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920" w:val="left"/>
          <w:tab w:leader="none" w:pos="3620" w:val="left"/>
          <w:tab w:leader="none" w:pos="6320" w:val="left"/>
        </w:tabs>
        <w:rPr>
          <w:sz w:val="20"/>
          <w:szCs w:val="20"/>
          <w:color w:val="auto"/>
        </w:rPr>
      </w:pPr>
      <w:r>
        <w:rPr>
          <w:rFonts w:ascii="Lucida Sans" w:cs="Lucida Sans" w:eastAsia="Lucida Sans" w:hAnsi="Lucida Sans"/>
          <w:sz w:val="26"/>
          <w:szCs w:val="26"/>
          <w:b w:val="1"/>
          <w:bCs w:val="1"/>
          <w:color w:val="FB1717"/>
        </w:rPr>
        <w:t>F E D E R A L</w:t>
        <w:tab/>
        <w:t>R E A L T Y</w:t>
        <w:tab/>
        <w:t>I N V E S T M E N T</w:t>
        <w:tab/>
        <w:t>T R U S T</w:t>
      </w:r>
    </w:p>
    <w:p>
      <w:pPr>
        <w:spacing w:after="0" w:line="106" w:lineRule="exact"/>
        <w:rPr>
          <w:sz w:val="24"/>
          <w:szCs w:val="24"/>
          <w:color w:val="auto"/>
        </w:rPr>
      </w:pPr>
    </w:p>
    <w:p>
      <w:pPr>
        <w:spacing w:after="0"/>
        <w:rPr>
          <w:sz w:val="20"/>
          <w:szCs w:val="20"/>
          <w:color w:val="auto"/>
        </w:rPr>
      </w:pPr>
      <w:r>
        <w:rPr>
          <w:rFonts w:ascii="Georgia Pro" w:cs="Georgia Pro" w:eastAsia="Georgia Pro" w:hAnsi="Georgia Pro"/>
          <w:sz w:val="60"/>
          <w:szCs w:val="60"/>
          <w:color w:val="E9E8E3"/>
        </w:rPr>
        <w:t>2022 Annual Report</w:t>
      </w:r>
    </w:p>
    <w:p>
      <w:pPr>
        <w:spacing w:after="0" w:line="158" w:lineRule="exact"/>
        <w:rPr>
          <w:sz w:val="24"/>
          <w:szCs w:val="24"/>
          <w:color w:val="auto"/>
        </w:rPr>
      </w:pPr>
    </w:p>
    <w:p>
      <w:pPr>
        <w:spacing w:after="0"/>
        <w:rPr>
          <w:sz w:val="20"/>
          <w:szCs w:val="20"/>
          <w:color w:val="auto"/>
        </w:rPr>
      </w:pPr>
      <w:r>
        <w:rPr>
          <w:rFonts w:ascii="Georgia Pro" w:cs="Georgia Pro" w:eastAsia="Georgia Pro" w:hAnsi="Georgia Pro"/>
          <w:sz w:val="60"/>
          <w:szCs w:val="60"/>
          <w:color w:val="E9E8E3"/>
        </w:rPr>
        <w:t>Form 10-K &amp; Proxy Statement</w:t>
      </w:r>
    </w:p>
    <w:p>
      <w:pPr>
        <w:sectPr>
          <w:pgSz w:w="11880" w:h="15480" w:orient="portrait"/>
          <w:cols w:equalWidth="0" w:num="1">
            <w:col w:w="9300"/>
          </w:cols>
          <w:pgMar w:left="114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32" w:lineRule="exact"/>
        <w:rPr>
          <w:sz w:val="20"/>
          <w:szCs w:val="20"/>
          <w:color w:val="auto"/>
        </w:rPr>
      </w:pPr>
    </w:p>
    <w:p>
      <w:pPr>
        <w:ind w:right="2760"/>
        <w:spacing w:after="0" w:line="226" w:lineRule="auto"/>
        <w:rPr>
          <w:sz w:val="20"/>
          <w:szCs w:val="20"/>
          <w:color w:val="auto"/>
        </w:rPr>
      </w:pPr>
      <w:r>
        <w:rPr>
          <w:rFonts w:ascii="Georgia Pro" w:cs="Georgia Pro" w:eastAsia="Georgia Pro" w:hAnsi="Georgia Pro"/>
          <w:sz w:val="103"/>
          <w:szCs w:val="103"/>
          <w:color w:val="auto"/>
        </w:rPr>
        <w:t>Dear Fellow Shareholders,</w:t>
      </w:r>
    </w:p>
    <w:p>
      <w:pPr>
        <w:sectPr>
          <w:pgSz w:w="11880" w:h="15480" w:orient="portrait"/>
          <w:cols w:equalWidth="0" w:num="1">
            <w:col w:w="9120"/>
          </w:cols>
          <w:pgMar w:left="1380" w:top="1440" w:right="1380" w:bottom="791" w:gutter="0" w:footer="0" w:header="0"/>
        </w:sectPr>
      </w:pPr>
    </w:p>
    <w:p>
      <w:pPr>
        <w:spacing w:after="0" w:line="24" w:lineRule="exact"/>
        <w:rPr>
          <w:sz w:val="20"/>
          <w:szCs w:val="20"/>
          <w:color w:val="auto"/>
        </w:rPr>
      </w:pPr>
    </w:p>
    <w:p>
      <w:pPr>
        <w:jc w:val="both"/>
        <w:spacing w:after="0" w:line="231" w:lineRule="auto"/>
        <w:rPr>
          <w:sz w:val="20"/>
          <w:szCs w:val="20"/>
          <w:color w:val="auto"/>
        </w:rPr>
      </w:pPr>
      <w:r>
        <w:rPr>
          <w:rFonts w:ascii="Lucida Sans" w:cs="Lucida Sans" w:eastAsia="Lucida Sans" w:hAnsi="Lucida Sans"/>
          <w:sz w:val="19"/>
          <w:szCs w:val="19"/>
          <w:b w:val="1"/>
          <w:bCs w:val="1"/>
          <w:i w:val="1"/>
          <w:iCs w:val="1"/>
          <w:u w:val="single" w:color="auto"/>
          <w:color w:val="auto"/>
        </w:rPr>
        <w:t>Resilient</w:t>
      </w:r>
      <w:r>
        <w:rPr>
          <w:rFonts w:ascii="Lucida Sans" w:cs="Lucida Sans" w:eastAsia="Lucida Sans" w:hAnsi="Lucida Sans"/>
          <w:sz w:val="19"/>
          <w:szCs w:val="19"/>
          <w:b w:val="1"/>
          <w:bCs w:val="1"/>
          <w:i w:val="1"/>
          <w:iCs w:val="1"/>
          <w:color w:val="auto"/>
        </w:rPr>
        <w:t>; (adjective), able to withstand or recover quickly from difficult conditions</w:t>
      </w:r>
      <w:r>
        <w:rPr>
          <w:rFonts w:ascii="Lucida Sans" w:cs="Lucida Sans" w:eastAsia="Lucida Sans" w:hAnsi="Lucida Sans"/>
          <w:sz w:val="19"/>
          <w:szCs w:val="19"/>
          <w:b w:val="1"/>
          <w:bCs w:val="1"/>
          <w:color w:val="auto"/>
        </w:rPr>
        <w:t>.</w:t>
      </w:r>
      <w:r>
        <w:rPr>
          <w:rFonts w:ascii="Lucida Sans" w:cs="Lucida Sans" w:eastAsia="Lucida Sans" w:hAnsi="Lucida Sans"/>
          <w:sz w:val="19"/>
          <w:szCs w:val="19"/>
          <w:b w:val="1"/>
          <w:bCs w:val="1"/>
          <w:i w:val="1"/>
          <w:iCs w:val="1"/>
          <w:color w:val="auto"/>
        </w:rPr>
        <w:t xml:space="preserve"> </w:t>
      </w:r>
      <w:r>
        <w:rPr>
          <w:rFonts w:ascii="Lucida Sans" w:cs="Lucida Sans" w:eastAsia="Lucida Sans" w:hAnsi="Lucida Sans"/>
          <w:sz w:val="19"/>
          <w:szCs w:val="19"/>
          <w:color w:val="auto"/>
        </w:rPr>
        <w:t>No word in our vocabulary better describes our company, our properties, and our people better than resilient.</w:t>
      </w:r>
    </w:p>
    <w:p>
      <w:pPr>
        <w:spacing w:after="0" w:line="220" w:lineRule="exact"/>
        <w:rPr>
          <w:sz w:val="20"/>
          <w:szCs w:val="20"/>
          <w:color w:val="auto"/>
        </w:rPr>
      </w:pPr>
    </w:p>
    <w:p>
      <w:pPr>
        <w:jc w:val="both"/>
        <w:spacing w:after="0" w:line="228" w:lineRule="auto"/>
        <w:rPr>
          <w:sz w:val="20"/>
          <w:szCs w:val="20"/>
          <w:color w:val="auto"/>
        </w:rPr>
      </w:pPr>
      <w:r>
        <w:rPr>
          <w:rFonts w:ascii="Lucida Sans" w:cs="Lucida Sans" w:eastAsia="Lucida Sans" w:hAnsi="Lucida Sans"/>
          <w:sz w:val="18"/>
          <w:szCs w:val="18"/>
          <w:color w:val="auto"/>
        </w:rPr>
        <w:t>The pandemic was particularly hard on Federal Realty. Because many of our properties are located in high density coastal states (Massachusetts, Maryland, California, New York, New Jersey, etc.); mandated government shutdowns were more restrictive and lasted longer in our markets than in others. When those restrictions were finally lifted, those consumers (and retail tenants) responded enthusiastically and led to a recovery from the pandemic in 2022 which was far stronger and faster than our most aggressive expectations. We are inherently social creatures, and if that reality was temporarily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57912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FB1717"/>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pt" to="456pt,10.4pt" o:allowincell="f" strokecolor="#FB1717" strokeweight="1pt"/>
            </w:pict>
          </mc:Fallback>
        </mc:AlternateConten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line="232" w:lineRule="auto"/>
        <w:rPr>
          <w:sz w:val="20"/>
          <w:szCs w:val="20"/>
          <w:color w:val="auto"/>
        </w:rPr>
      </w:pPr>
      <w:r>
        <w:rPr>
          <w:rFonts w:ascii="Lucida Sans" w:cs="Lucida Sans" w:eastAsia="Lucida Sans" w:hAnsi="Lucida Sans"/>
          <w:sz w:val="19"/>
          <w:szCs w:val="19"/>
          <w:color w:val="auto"/>
        </w:rPr>
        <w:t>forgotten in the dominant “bricks and mortar retail is dead” dialogue of 2016-2020, the global pandemic and its aftermath have surely put that novel notion to bed.</w:t>
      </w:r>
    </w:p>
    <w:p>
      <w:pPr>
        <w:spacing w:after="0" w:line="254" w:lineRule="exact"/>
        <w:rPr>
          <w:sz w:val="20"/>
          <w:szCs w:val="20"/>
          <w:color w:val="auto"/>
        </w:rPr>
      </w:pPr>
    </w:p>
    <w:p>
      <w:pPr>
        <w:jc w:val="both"/>
        <w:spacing w:after="0" w:line="244" w:lineRule="auto"/>
        <w:rPr>
          <w:sz w:val="20"/>
          <w:szCs w:val="20"/>
          <w:color w:val="auto"/>
        </w:rPr>
      </w:pPr>
      <w:r>
        <w:rPr>
          <w:rFonts w:ascii="Lucida Sans" w:cs="Lucida Sans" w:eastAsia="Lucida Sans" w:hAnsi="Lucida Sans"/>
          <w:sz w:val="18"/>
          <w:szCs w:val="18"/>
          <w:color w:val="auto"/>
        </w:rPr>
        <w:t>Our high-quality properties are thriving and, with a collection of the most relevant tenants of today and qualities such as enhanced landscaping, outdoor seating areas and creative “placemaking” that bring consumers back time and again, our properties are an integral part of the day-to-day life of the local communities. Retail destinations where sustainability and operating efficiency considerations are built in and not an afterthought. In short, the post-pandemic consumer demands more from the shopping centers serving their communities. Federal Realty delivers on that demand.</w:t>
      </w:r>
    </w:p>
    <w:p>
      <w:pPr>
        <w:spacing w:after="0" w:line="200" w:lineRule="exact"/>
        <w:rPr>
          <w:sz w:val="20"/>
          <w:szCs w:val="20"/>
          <w:color w:val="auto"/>
        </w:rPr>
      </w:pPr>
    </w:p>
    <w:p>
      <w:pPr>
        <w:sectPr>
          <w:pgSz w:w="11880" w:h="15480" w:orient="portrait"/>
          <w:cols w:equalWidth="0" w:num="2">
            <w:col w:w="4320" w:space="480"/>
            <w:col w:w="4320"/>
          </w:cols>
          <w:pgMar w:left="1380" w:top="1440" w:right="1380" w:bottom="791" w:gutter="0" w:footer="0" w:header="0"/>
          <w:type w:val="continuous"/>
        </w:sectPr>
      </w:pPr>
    </w:p>
    <w:p>
      <w:pPr>
        <w:spacing w:after="0" w:line="298" w:lineRule="exact"/>
        <w:rPr>
          <w:sz w:val="20"/>
          <w:szCs w:val="20"/>
          <w:color w:val="auto"/>
        </w:rPr>
      </w:pPr>
    </w:p>
    <w:p>
      <w:pPr>
        <w:spacing w:after="0"/>
        <w:tabs>
          <w:tab w:leader="none" w:pos="1500" w:val="left"/>
          <w:tab w:leader="none" w:pos="2240" w:val="left"/>
          <w:tab w:leader="none" w:pos="2460" w:val="left"/>
          <w:tab w:leader="none" w:pos="4100" w:val="left"/>
        </w:tabs>
        <w:rPr>
          <w:sz w:val="20"/>
          <w:szCs w:val="20"/>
          <w:color w:val="auto"/>
        </w:rPr>
      </w:pPr>
      <w:r>
        <w:rPr>
          <w:rFonts w:ascii="Lucida Sans" w:cs="Lucida Sans" w:eastAsia="Lucida Sans" w:hAnsi="Lucida Sans"/>
          <w:sz w:val="19"/>
          <w:szCs w:val="19"/>
          <w:b w:val="1"/>
          <w:bCs w:val="1"/>
          <w:color w:val="auto"/>
        </w:rPr>
        <w:t>B e t h e s d a</w:t>
        <w:tab/>
        <w:t>R o w</w:t>
        <w:tab/>
        <w:t>|</w:t>
        <w:tab/>
        <w:t>B e t h e s d a ,</w:t>
        <w:tab/>
        <w:t>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5798185" cy="3265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5798185" cy="3265170"/>
                    </a:xfrm>
                    <a:prstGeom prst="rect">
                      <a:avLst/>
                    </a:prstGeom>
                    <a:noFill/>
                  </pic:spPr>
                </pic:pic>
              </a:graphicData>
            </a:graphic>
          </wp:anchor>
        </w:drawing>
      </w:r>
    </w:p>
    <w:p>
      <w:pPr>
        <w:sectPr>
          <w:pgSz w:w="11880" w:h="15480" w:orient="portrait"/>
          <w:cols w:equalWidth="0" w:num="1">
            <w:col w:w="9120"/>
          </w:cols>
          <w:pgMar w:left="1380" w:top="1440" w:right="1380" w:bottom="79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60"/>
        <w:spacing w:after="0"/>
        <w:tabs>
          <w:tab w:leader="none" w:pos="6000" w:val="left"/>
          <w:tab w:leader="none" w:pos="6840" w:val="left"/>
          <w:tab w:leader="none" w:pos="7020" w:val="left"/>
          <w:tab w:leader="none" w:pos="7920" w:val="left"/>
        </w:tabs>
        <w:rPr>
          <w:sz w:val="20"/>
          <w:szCs w:val="20"/>
          <w:color w:val="auto"/>
        </w:rPr>
      </w:pPr>
      <w:r>
        <w:rPr>
          <w:rFonts w:ascii="Lucida Sans" w:cs="Lucida Sans" w:eastAsia="Lucida Sans" w:hAnsi="Lucida Sans"/>
          <w:sz w:val="14"/>
          <w:szCs w:val="14"/>
          <w:color w:val="auto"/>
        </w:rPr>
        <w:t>F E D E R A L</w:t>
        <w:tab/>
        <w:t>R E A L T Y</w:t>
      </w:r>
      <w:r>
        <w:rPr>
          <w:rFonts w:ascii="Lucida Sans" w:cs="Lucida Sans" w:eastAsia="Lucida Sans" w:hAnsi="Lucida Sans"/>
          <w:sz w:val="14"/>
          <w:szCs w:val="14"/>
          <w:color w:val="FA2E24"/>
        </w:rPr>
        <w:tab/>
        <w:t>|</w:t>
      </w:r>
      <w:r>
        <w:rPr>
          <w:rFonts w:ascii="Lucida Sans" w:cs="Lucida Sans" w:eastAsia="Lucida Sans" w:hAnsi="Lucida Sans"/>
          <w:sz w:val="14"/>
          <w:szCs w:val="14"/>
          <w:color w:val="auto"/>
        </w:rPr>
        <w:tab/>
        <w:t>A N N U A L</w:t>
        <w:tab/>
        <w:t xml:space="preserve">R E P O R T </w:t>
      </w:r>
      <w:r>
        <w:rPr>
          <w:rFonts w:ascii="Georgia Pro" w:cs="Georgia Pro" w:eastAsia="Georgia Pro" w:hAnsi="Georgia Pro"/>
          <w:sz w:val="14"/>
          <w:szCs w:val="14"/>
          <w:b w:val="1"/>
          <w:bCs w:val="1"/>
          <w:color w:val="FA2E24"/>
        </w:rPr>
        <w:t>2022</w:t>
      </w:r>
    </w:p>
    <w:p>
      <w:pPr>
        <w:sectPr>
          <w:pgSz w:w="11880" w:h="15480" w:orient="portrait"/>
          <w:cols w:equalWidth="0" w:num="1">
            <w:col w:w="9120"/>
          </w:cols>
          <w:pgMar w:left="1380" w:top="1440" w:right="1380" w:bottom="791" w:gutter="0" w:footer="0" w:header="0"/>
          <w:type w:val="continuous"/>
        </w:sectPr>
      </w:pPr>
    </w:p>
    <w:bookmarkStart w:id="3" w:name="page4"/>
    <w:bookmarkEnd w:id="3"/>
    <w:p>
      <w:pPr>
        <w:ind w:left="20" w:right="3840"/>
        <w:spacing w:after="0" w:line="224" w:lineRule="auto"/>
        <w:rPr>
          <w:sz w:val="20"/>
          <w:szCs w:val="20"/>
          <w:color w:val="auto"/>
        </w:rPr>
      </w:pPr>
      <w:r>
        <w:rPr>
          <w:rFonts w:ascii="Georgia Pro" w:cs="Georgia Pro" w:eastAsia="Georgia Pro" w:hAnsi="Georgia Pro"/>
          <w:sz w:val="52"/>
          <w:szCs w:val="52"/>
          <w:color w:val="auto"/>
        </w:rPr>
        <w:t>55 consecutive years of increased dividends.</w:t>
      </w:r>
    </w:p>
    <w:p>
      <w:pPr>
        <w:spacing w:after="0" w:line="119" w:lineRule="exact"/>
        <w:rPr>
          <w:sz w:val="20"/>
          <w:szCs w:val="20"/>
          <w:color w:val="auto"/>
        </w:rPr>
      </w:pPr>
    </w:p>
    <w:p>
      <w:pPr>
        <w:jc w:val="right"/>
        <w:ind w:right="40"/>
        <w:spacing w:after="0"/>
        <w:rPr>
          <w:sz w:val="20"/>
          <w:szCs w:val="20"/>
          <w:color w:val="auto"/>
        </w:rPr>
      </w:pPr>
      <w:r>
        <w:rPr>
          <w:rFonts w:ascii="Lucida Sans" w:cs="Lucida Sans" w:eastAsia="Lucida Sans" w:hAnsi="Lucida Sans"/>
          <w:sz w:val="15"/>
          <w:szCs w:val="15"/>
          <w:color w:val="auto"/>
        </w:rPr>
        <w:t>$4.32*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5687695</wp:posOffset>
                </wp:positionH>
                <wp:positionV relativeFrom="paragraph">
                  <wp:posOffset>31115</wp:posOffset>
                </wp:positionV>
                <wp:extent cx="0" cy="214757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47570"/>
                        </a:xfrm>
                        <a:prstGeom prst="line">
                          <a:avLst/>
                        </a:prstGeom>
                        <a:solidFill>
                          <a:srgbClr val="FFFFFF"/>
                        </a:solidFill>
                        <a:ln w="4528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85pt,2.45pt" to="447.85pt,171.55pt" o:allowincell="f" strokecolor="#000000" strokeweight="3.566pt"/>
            </w:pict>
          </mc:Fallback>
        </mc:AlternateContent>
        <mc:AlternateContent>
          <mc:Choice Requires="wps">
            <w:drawing>
              <wp:anchor simplePos="0" relativeHeight="251657728" behindDoc="1" locked="0" layoutInCell="0" allowOverlap="1">
                <wp:simplePos x="0" y="0"/>
                <wp:positionH relativeFrom="column">
                  <wp:posOffset>5586095</wp:posOffset>
                </wp:positionH>
                <wp:positionV relativeFrom="paragraph">
                  <wp:posOffset>51435</wp:posOffset>
                </wp:positionV>
                <wp:extent cx="0" cy="212725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7250"/>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85pt,4.05pt" to="439.85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5483860</wp:posOffset>
                </wp:positionH>
                <wp:positionV relativeFrom="paragraph">
                  <wp:posOffset>71755</wp:posOffset>
                </wp:positionV>
                <wp:extent cx="0" cy="210693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0693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8pt,5.65pt" to="431.8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90805</wp:posOffset>
                </wp:positionV>
                <wp:extent cx="0" cy="208788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87880"/>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75pt,7.15pt" to="423.75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5280025</wp:posOffset>
                </wp:positionH>
                <wp:positionV relativeFrom="paragraph">
                  <wp:posOffset>150495</wp:posOffset>
                </wp:positionV>
                <wp:extent cx="0" cy="202819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28190"/>
                        </a:xfrm>
                        <a:prstGeom prst="line">
                          <a:avLst/>
                        </a:prstGeom>
                        <a:solidFill>
                          <a:srgbClr val="FFFFFF"/>
                        </a:solidFill>
                        <a:ln w="4528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75pt,11.85pt" to="415.75pt,171.55pt" o:allowincell="f" strokecolor="#000000" strokeweight="3.5658pt"/>
            </w:pict>
          </mc:Fallback>
        </mc:AlternateContent>
        <mc:AlternateContent>
          <mc:Choice Requires="wps">
            <w:drawing>
              <wp:anchor simplePos="0" relativeHeight="251657728" behindDoc="1" locked="0" layoutInCell="0" allowOverlap="1">
                <wp:simplePos x="0" y="0"/>
                <wp:positionH relativeFrom="column">
                  <wp:posOffset>5178425</wp:posOffset>
                </wp:positionH>
                <wp:positionV relativeFrom="paragraph">
                  <wp:posOffset>191135</wp:posOffset>
                </wp:positionV>
                <wp:extent cx="0" cy="198755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755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75pt,15.05pt" to="407.7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5075555</wp:posOffset>
                </wp:positionH>
                <wp:positionV relativeFrom="paragraph">
                  <wp:posOffset>230505</wp:posOffset>
                </wp:positionV>
                <wp:extent cx="0" cy="194818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818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65pt,18.15pt" to="399.6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4973955</wp:posOffset>
                </wp:positionH>
                <wp:positionV relativeFrom="paragraph">
                  <wp:posOffset>309245</wp:posOffset>
                </wp:positionV>
                <wp:extent cx="0" cy="186944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944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65pt,24.35pt" to="391.6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4871720</wp:posOffset>
                </wp:positionH>
                <wp:positionV relativeFrom="paragraph">
                  <wp:posOffset>448945</wp:posOffset>
                </wp:positionV>
                <wp:extent cx="0" cy="172974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974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6pt,35.35pt" to="383.6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4770120</wp:posOffset>
                </wp:positionH>
                <wp:positionV relativeFrom="paragraph">
                  <wp:posOffset>628015</wp:posOffset>
                </wp:positionV>
                <wp:extent cx="0" cy="155067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50670"/>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6pt,49.45pt" to="375.6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4667885</wp:posOffset>
                </wp:positionH>
                <wp:positionV relativeFrom="paragraph">
                  <wp:posOffset>727075</wp:posOffset>
                </wp:positionV>
                <wp:extent cx="0" cy="145161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161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55pt,57.25pt" to="367.5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4565650</wp:posOffset>
                </wp:positionH>
                <wp:positionV relativeFrom="paragraph">
                  <wp:posOffset>807085</wp:posOffset>
                </wp:positionV>
                <wp:extent cx="0" cy="13716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160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5pt,63.55pt" to="359.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4464050</wp:posOffset>
                </wp:positionH>
                <wp:positionV relativeFrom="paragraph">
                  <wp:posOffset>846455</wp:posOffset>
                </wp:positionV>
                <wp:extent cx="0" cy="133223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3223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5pt,66.65pt" to="351.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4361815</wp:posOffset>
                </wp:positionH>
                <wp:positionV relativeFrom="paragraph">
                  <wp:posOffset>866775</wp:posOffset>
                </wp:positionV>
                <wp:extent cx="0" cy="131191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11910"/>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45pt,68.25pt" to="343.45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4259580</wp:posOffset>
                </wp:positionH>
                <wp:positionV relativeFrom="paragraph">
                  <wp:posOffset>885825</wp:posOffset>
                </wp:positionV>
                <wp:extent cx="0" cy="129286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286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4pt,69.75pt" to="335.4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4157980</wp:posOffset>
                </wp:positionH>
                <wp:positionV relativeFrom="paragraph">
                  <wp:posOffset>965835</wp:posOffset>
                </wp:positionV>
                <wp:extent cx="0" cy="121285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12850"/>
                        </a:xfrm>
                        <a:prstGeom prst="line">
                          <a:avLst/>
                        </a:prstGeom>
                        <a:solidFill>
                          <a:srgbClr val="FFFFFF"/>
                        </a:solidFill>
                        <a:ln w="45288">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4pt,76.05pt" to="327.4pt,171.55pt" o:allowincell="f" strokecolor="#000000" strokeweight="3.566pt"/>
            </w:pict>
          </mc:Fallback>
        </mc:AlternateContent>
        <mc:AlternateContent>
          <mc:Choice Requires="wps">
            <w:drawing>
              <wp:anchor simplePos="0" relativeHeight="251657728" behindDoc="1" locked="0" layoutInCell="0" allowOverlap="1">
                <wp:simplePos x="0" y="0"/>
                <wp:positionH relativeFrom="column">
                  <wp:posOffset>4055110</wp:posOffset>
                </wp:positionH>
                <wp:positionV relativeFrom="paragraph">
                  <wp:posOffset>1035050</wp:posOffset>
                </wp:positionV>
                <wp:extent cx="0" cy="114363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635"/>
                        </a:xfrm>
                        <a:prstGeom prst="line">
                          <a:avLst/>
                        </a:prstGeom>
                        <a:solidFill>
                          <a:srgbClr val="FFFFFF"/>
                        </a:solidFill>
                        <a:ln w="4528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3pt,81.5pt" to="319.3pt,171.55pt" o:allowincell="f" strokecolor="#000000" strokeweight="3.5658pt"/>
            </w:pict>
          </mc:Fallback>
        </mc:AlternateContent>
        <mc:AlternateContent>
          <mc:Choice Requires="wps">
            <w:drawing>
              <wp:anchor simplePos="0" relativeHeight="251657728" behindDoc="1" locked="0" layoutInCell="0" allowOverlap="1">
                <wp:simplePos x="0" y="0"/>
                <wp:positionH relativeFrom="column">
                  <wp:posOffset>3953510</wp:posOffset>
                </wp:positionH>
                <wp:positionV relativeFrom="paragraph">
                  <wp:posOffset>1075690</wp:posOffset>
                </wp:positionV>
                <wp:extent cx="0" cy="110299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02995"/>
                        </a:xfrm>
                        <a:prstGeom prst="line">
                          <a:avLst/>
                        </a:prstGeom>
                        <a:solidFill>
                          <a:srgbClr val="FFFFFF"/>
                        </a:solidFill>
                        <a:ln w="45288">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3pt,84.7pt" to="311.3pt,171.55pt" o:allowincell="f" strokecolor="#000000" strokeweight="3.566pt"/>
            </w:pict>
          </mc:Fallback>
        </mc:AlternateContent>
        <mc:AlternateContent>
          <mc:Choice Requires="wps">
            <w:drawing>
              <wp:anchor simplePos="0" relativeHeight="251657728" behindDoc="1" locked="0" layoutInCell="0" allowOverlap="1">
                <wp:simplePos x="0" y="0"/>
                <wp:positionH relativeFrom="column">
                  <wp:posOffset>3851910</wp:posOffset>
                </wp:positionH>
                <wp:positionV relativeFrom="paragraph">
                  <wp:posOffset>1174750</wp:posOffset>
                </wp:positionV>
                <wp:extent cx="0" cy="100393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3935"/>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pt,92.5pt" to="303.3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3749675</wp:posOffset>
                </wp:positionH>
                <wp:positionV relativeFrom="paragraph">
                  <wp:posOffset>1209675</wp:posOffset>
                </wp:positionV>
                <wp:extent cx="0" cy="96901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6901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25pt,95.25pt" to="295.2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3647440</wp:posOffset>
                </wp:positionH>
                <wp:positionV relativeFrom="paragraph">
                  <wp:posOffset>1219200</wp:posOffset>
                </wp:positionV>
                <wp:extent cx="0" cy="95948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948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pt,96pt" to="287.2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1239520</wp:posOffset>
                </wp:positionV>
                <wp:extent cx="0" cy="93916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3916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97.6pt" to="279.2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3444240</wp:posOffset>
                </wp:positionH>
                <wp:positionV relativeFrom="paragraph">
                  <wp:posOffset>1273810</wp:posOffset>
                </wp:positionV>
                <wp:extent cx="0" cy="90487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487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2pt,100.3pt" to="271.2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1299210</wp:posOffset>
                </wp:positionV>
                <wp:extent cx="0" cy="87947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947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102.3pt" to="263.1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3239770</wp:posOffset>
                </wp:positionH>
                <wp:positionV relativeFrom="paragraph">
                  <wp:posOffset>1318895</wp:posOffset>
                </wp:positionV>
                <wp:extent cx="0" cy="85979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979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1pt,103.85pt" to="255.1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3138170</wp:posOffset>
                </wp:positionH>
                <wp:positionV relativeFrom="paragraph">
                  <wp:posOffset>1338580</wp:posOffset>
                </wp:positionV>
                <wp:extent cx="0" cy="84010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40105"/>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1pt,105.4pt" to="247.1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3035935</wp:posOffset>
                </wp:positionH>
                <wp:positionV relativeFrom="paragraph">
                  <wp:posOffset>1358265</wp:posOffset>
                </wp:positionV>
                <wp:extent cx="0" cy="82042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20420"/>
                        </a:xfrm>
                        <a:prstGeom prst="line">
                          <a:avLst/>
                        </a:prstGeom>
                        <a:solidFill>
                          <a:srgbClr val="FFFFFF"/>
                        </a:solidFill>
                        <a:ln w="45287">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05pt,106.95pt" to="239.05pt,171.55pt" o:allowincell="f" strokecolor="#000000" strokeweight="3.5659pt"/>
            </w:pict>
          </mc:Fallback>
        </mc:AlternateContent>
        <mc:AlternateContent>
          <mc:Choice Requires="wps">
            <w:drawing>
              <wp:anchor simplePos="0" relativeHeight="251657728" behindDoc="1" locked="0" layoutInCell="0" allowOverlap="1">
                <wp:simplePos x="0" y="0"/>
                <wp:positionH relativeFrom="column">
                  <wp:posOffset>2933700</wp:posOffset>
                </wp:positionH>
                <wp:positionV relativeFrom="paragraph">
                  <wp:posOffset>1383665</wp:posOffset>
                </wp:positionV>
                <wp:extent cx="0" cy="79502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5020"/>
                        </a:xfrm>
                        <a:prstGeom prst="line">
                          <a:avLst/>
                        </a:prstGeom>
                        <a:solidFill>
                          <a:srgbClr val="FFFFFF"/>
                        </a:solidFill>
                        <a:ln w="45288">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pt,108.95pt" to="231pt,171.55pt" o:allowincell="f" strokecolor="#000000" strokeweight="3.566pt"/>
            </w:pict>
          </mc:Fallback>
        </mc:AlternateContent>
        <mc:AlternateContent>
          <mc:Choice Requires="wps">
            <w:drawing>
              <wp:anchor simplePos="0" relativeHeight="251657728" behindDoc="1" locked="0" layoutInCell="0" allowOverlap="1">
                <wp:simplePos x="0" y="0"/>
                <wp:positionH relativeFrom="column">
                  <wp:posOffset>2832100</wp:posOffset>
                </wp:positionH>
                <wp:positionV relativeFrom="paragraph">
                  <wp:posOffset>1398270</wp:posOffset>
                </wp:positionV>
                <wp:extent cx="0" cy="78041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0415"/>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110.1pt" to="223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2729865</wp:posOffset>
                </wp:positionH>
                <wp:positionV relativeFrom="paragraph">
                  <wp:posOffset>1408430</wp:posOffset>
                </wp:positionV>
                <wp:extent cx="0" cy="77025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025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95pt,110.9pt" to="214.9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2627630</wp:posOffset>
                </wp:positionH>
                <wp:positionV relativeFrom="paragraph">
                  <wp:posOffset>1417955</wp:posOffset>
                </wp:positionV>
                <wp:extent cx="0" cy="76073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073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9pt,111.65pt" to="206.9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2525395</wp:posOffset>
                </wp:positionH>
                <wp:positionV relativeFrom="paragraph">
                  <wp:posOffset>1438275</wp:posOffset>
                </wp:positionV>
                <wp:extent cx="0" cy="74041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041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85pt,113.25pt" to="198.8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2423795</wp:posOffset>
                </wp:positionH>
                <wp:positionV relativeFrom="paragraph">
                  <wp:posOffset>1473200</wp:posOffset>
                </wp:positionV>
                <wp:extent cx="0" cy="70548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548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85pt,116pt" to="190.8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2321560</wp:posOffset>
                </wp:positionH>
                <wp:positionV relativeFrom="paragraph">
                  <wp:posOffset>1503045</wp:posOffset>
                </wp:positionV>
                <wp:extent cx="0" cy="67564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75640"/>
                        </a:xfrm>
                        <a:prstGeom prst="line">
                          <a:avLst/>
                        </a:prstGeom>
                        <a:solidFill>
                          <a:srgbClr val="FFFFFF"/>
                        </a:solidFill>
                        <a:ln w="45288">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8pt,118.35pt" to="182.8pt,171.55pt" o:allowincell="f" strokecolor="#000000" strokeweight="3.566pt"/>
            </w:pict>
          </mc:Fallback>
        </mc:AlternateContent>
        <mc:AlternateContent>
          <mc:Choice Requires="wps">
            <w:drawing>
              <wp:anchor simplePos="0" relativeHeight="251657728" behindDoc="1" locked="0" layoutInCell="0" allowOverlap="1">
                <wp:simplePos x="0" y="0"/>
                <wp:positionH relativeFrom="column">
                  <wp:posOffset>2219325</wp:posOffset>
                </wp:positionH>
                <wp:positionV relativeFrom="paragraph">
                  <wp:posOffset>1567180</wp:posOffset>
                </wp:positionV>
                <wp:extent cx="0" cy="61150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150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75pt,123.4pt" to="174.7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2117725</wp:posOffset>
                </wp:positionH>
                <wp:positionV relativeFrom="paragraph">
                  <wp:posOffset>1626870</wp:posOffset>
                </wp:positionV>
                <wp:extent cx="0" cy="55181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181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75pt,128.1pt" to="166.7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2015490</wp:posOffset>
                </wp:positionH>
                <wp:positionV relativeFrom="paragraph">
                  <wp:posOffset>1656715</wp:posOffset>
                </wp:positionV>
                <wp:extent cx="0" cy="52197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1970"/>
                        </a:xfrm>
                        <a:prstGeom prst="line">
                          <a:avLst/>
                        </a:prstGeom>
                        <a:solidFill>
                          <a:srgbClr val="FFFFFF"/>
                        </a:solidFill>
                        <a:ln w="45288">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7pt,130.45pt" to="158.7pt,171.55pt" o:allowincell="f" strokecolor="#000000" strokeweight="3.566pt"/>
            </w:pict>
          </mc:Fallback>
        </mc:AlternateContent>
        <mc:AlternateContent>
          <mc:Choice Requires="wps">
            <w:drawing>
              <wp:anchor simplePos="0" relativeHeight="251657728" behindDoc="1" locked="0" layoutInCell="0" allowOverlap="1">
                <wp:simplePos x="0" y="0"/>
                <wp:positionH relativeFrom="column">
                  <wp:posOffset>1913255</wp:posOffset>
                </wp:positionH>
                <wp:positionV relativeFrom="paragraph">
                  <wp:posOffset>1691640</wp:posOffset>
                </wp:positionV>
                <wp:extent cx="0" cy="48704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7045"/>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65pt,133.2pt" to="150.65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1811655</wp:posOffset>
                </wp:positionH>
                <wp:positionV relativeFrom="paragraph">
                  <wp:posOffset>1737995</wp:posOffset>
                </wp:positionV>
                <wp:extent cx="0" cy="44069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069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65pt,136.85pt" to="142.6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1710055</wp:posOffset>
                </wp:positionH>
                <wp:positionV relativeFrom="paragraph">
                  <wp:posOffset>1807210</wp:posOffset>
                </wp:positionV>
                <wp:extent cx="0" cy="37147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147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65pt,142.3pt" to="134.65pt,171.5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1607185</wp:posOffset>
                </wp:positionH>
                <wp:positionV relativeFrom="paragraph">
                  <wp:posOffset>1840865</wp:posOffset>
                </wp:positionV>
                <wp:extent cx="0" cy="33782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7820"/>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55pt,144.95pt" to="126.55pt,171.5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1505585</wp:posOffset>
                </wp:positionH>
                <wp:positionV relativeFrom="paragraph">
                  <wp:posOffset>1882140</wp:posOffset>
                </wp:positionV>
                <wp:extent cx="0" cy="29654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6545"/>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55pt,148.2pt" to="118.55pt,171.55pt" o:allowincell="f" strokecolor="#000000" strokeweight="3.56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Lucida Sans" w:cs="Lucida Sans" w:eastAsia="Lucida Sans" w:hAnsi="Lucida Sans"/>
          <w:sz w:val="15"/>
          <w:szCs w:val="15"/>
          <w:color w:val="auto"/>
        </w:rPr>
        <w:t>$0.12*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1403985</wp:posOffset>
                </wp:positionH>
                <wp:positionV relativeFrom="paragraph">
                  <wp:posOffset>-92710</wp:posOffset>
                </wp:positionV>
                <wp:extent cx="0" cy="26416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4160"/>
                        </a:xfrm>
                        <a:prstGeom prst="line">
                          <a:avLst/>
                        </a:prstGeom>
                        <a:solidFill>
                          <a:srgbClr val="FFFFFF"/>
                        </a:solidFill>
                        <a:ln w="4527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55pt,-7.2999pt" to="110.55pt,13.5pt" o:allowincell="f" strokecolor="#000000" strokeweight="3.565pt"/>
            </w:pict>
          </mc:Fallback>
        </mc:AlternateContent>
        <mc:AlternateContent>
          <mc:Choice Requires="wps">
            <w:drawing>
              <wp:anchor simplePos="0" relativeHeight="251657728" behindDoc="1" locked="0" layoutInCell="0" allowOverlap="1">
                <wp:simplePos x="0" y="0"/>
                <wp:positionH relativeFrom="column">
                  <wp:posOffset>1301115</wp:posOffset>
                </wp:positionH>
                <wp:positionV relativeFrom="paragraph">
                  <wp:posOffset>-55245</wp:posOffset>
                </wp:positionV>
                <wp:extent cx="0" cy="22669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6695"/>
                        </a:xfrm>
                        <a:prstGeom prst="line">
                          <a:avLst/>
                        </a:prstGeom>
                        <a:solidFill>
                          <a:srgbClr val="FFFFFF"/>
                        </a:solidFill>
                        <a:ln w="45262">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5pt,-4.3499pt" to="102.45pt,13.5pt" o:allowincell="f" strokecolor="#000000" strokeweight="3.5639pt"/>
            </w:pict>
          </mc:Fallback>
        </mc:AlternateContent>
        <mc:AlternateContent>
          <mc:Choice Requires="wps">
            <w:drawing>
              <wp:anchor simplePos="0" relativeHeight="251657728" behindDoc="1" locked="0" layoutInCell="0" allowOverlap="1">
                <wp:simplePos x="0" y="0"/>
                <wp:positionH relativeFrom="column">
                  <wp:posOffset>1176655</wp:posOffset>
                </wp:positionH>
                <wp:positionV relativeFrom="paragraph">
                  <wp:posOffset>-49530</wp:posOffset>
                </wp:positionV>
                <wp:extent cx="45720" cy="22098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 cy="220980"/>
                        </a:xfrm>
                        <a:prstGeom prst="rect">
                          <a:avLst/>
                        </a:prstGeom>
                        <a:solidFill>
                          <a:srgbClr val="000000"/>
                        </a:solidFill>
                      </wps:spPr>
                      <wps:bodyPr/>
                    </wps:wsp>
                  </a:graphicData>
                </a:graphic>
              </wp:anchor>
            </w:drawing>
          </mc:Choice>
          <mc:Fallback>
            <w:pict>
              <v:rect id="Shape 48" o:spid="_x0000_s1073" style="position:absolute;margin-left:92.65pt;margin-top:-3.8999pt;width:3.6pt;height:17.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1075055</wp:posOffset>
                </wp:positionH>
                <wp:positionV relativeFrom="paragraph">
                  <wp:posOffset>-34925</wp:posOffset>
                </wp:positionV>
                <wp:extent cx="45085" cy="20637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206375"/>
                        </a:xfrm>
                        <a:prstGeom prst="rect">
                          <a:avLst/>
                        </a:prstGeom>
                        <a:solidFill>
                          <a:srgbClr val="000000"/>
                        </a:solidFill>
                      </wps:spPr>
                      <wps:bodyPr/>
                    </wps:wsp>
                  </a:graphicData>
                </a:graphic>
              </wp:anchor>
            </w:drawing>
          </mc:Choice>
          <mc:Fallback>
            <w:pict>
              <v:rect id="Shape 49" o:spid="_x0000_s1074" style="position:absolute;margin-left:84.65pt;margin-top:-2.7499pt;width:3.55pt;height:1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972820</wp:posOffset>
                </wp:positionH>
                <wp:positionV relativeFrom="paragraph">
                  <wp:posOffset>-27940</wp:posOffset>
                </wp:positionV>
                <wp:extent cx="45085" cy="19939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199390"/>
                        </a:xfrm>
                        <a:prstGeom prst="rect">
                          <a:avLst/>
                        </a:prstGeom>
                        <a:solidFill>
                          <a:srgbClr val="000000"/>
                        </a:solidFill>
                      </wps:spPr>
                      <wps:bodyPr/>
                    </wps:wsp>
                  </a:graphicData>
                </a:graphic>
              </wp:anchor>
            </w:drawing>
          </mc:Choice>
          <mc:Fallback>
            <w:pict>
              <v:rect id="Shape 50" o:spid="_x0000_s1075" style="position:absolute;margin-left:76.6pt;margin-top:-2.1999pt;width:3.5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870585</wp:posOffset>
                </wp:positionH>
                <wp:positionV relativeFrom="paragraph">
                  <wp:posOffset>5715</wp:posOffset>
                </wp:positionV>
                <wp:extent cx="45720" cy="16573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 cy="165735"/>
                        </a:xfrm>
                        <a:prstGeom prst="rect">
                          <a:avLst/>
                        </a:prstGeom>
                        <a:solidFill>
                          <a:srgbClr val="000000"/>
                        </a:solidFill>
                      </wps:spPr>
                      <wps:bodyPr/>
                    </wps:wsp>
                  </a:graphicData>
                </a:graphic>
              </wp:anchor>
            </w:drawing>
          </mc:Choice>
          <mc:Fallback>
            <w:pict>
              <v:rect id="Shape 51" o:spid="_x0000_s1076" style="position:absolute;margin-left:68.55pt;margin-top:0.45pt;width:3.6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768985</wp:posOffset>
                </wp:positionH>
                <wp:positionV relativeFrom="paragraph">
                  <wp:posOffset>12700</wp:posOffset>
                </wp:positionV>
                <wp:extent cx="45085" cy="1587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158750"/>
                        </a:xfrm>
                        <a:prstGeom prst="rect">
                          <a:avLst/>
                        </a:prstGeom>
                        <a:solidFill>
                          <a:srgbClr val="000000"/>
                        </a:solidFill>
                      </wps:spPr>
                      <wps:bodyPr/>
                    </wps:wsp>
                  </a:graphicData>
                </a:graphic>
              </wp:anchor>
            </w:drawing>
          </mc:Choice>
          <mc:Fallback>
            <w:pict>
              <v:rect id="Shape 52" o:spid="_x0000_s1077" style="position:absolute;margin-left:60.55pt;margin-top:1pt;width:3.5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667385</wp:posOffset>
                </wp:positionH>
                <wp:positionV relativeFrom="paragraph">
                  <wp:posOffset>19050</wp:posOffset>
                </wp:positionV>
                <wp:extent cx="45085" cy="1524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152400"/>
                        </a:xfrm>
                        <a:prstGeom prst="rect">
                          <a:avLst/>
                        </a:prstGeom>
                        <a:solidFill>
                          <a:srgbClr val="000000"/>
                        </a:solidFill>
                      </wps:spPr>
                      <wps:bodyPr/>
                    </wps:wsp>
                  </a:graphicData>
                </a:graphic>
              </wp:anchor>
            </w:drawing>
          </mc:Choice>
          <mc:Fallback>
            <w:pict>
              <v:rect id="Shape 53" o:spid="_x0000_s1078" style="position:absolute;margin-left:52.55pt;margin-top:1.5pt;width:3.5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564515</wp:posOffset>
                </wp:positionH>
                <wp:positionV relativeFrom="paragraph">
                  <wp:posOffset>26035</wp:posOffset>
                </wp:positionV>
                <wp:extent cx="45720" cy="14541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 cy="145415"/>
                        </a:xfrm>
                        <a:prstGeom prst="rect">
                          <a:avLst/>
                        </a:prstGeom>
                        <a:solidFill>
                          <a:srgbClr val="000000"/>
                        </a:solidFill>
                      </wps:spPr>
                      <wps:bodyPr/>
                    </wps:wsp>
                  </a:graphicData>
                </a:graphic>
              </wp:anchor>
            </w:drawing>
          </mc:Choice>
          <mc:Fallback>
            <w:pict>
              <v:rect id="Shape 54" o:spid="_x0000_s1079" style="position:absolute;margin-left:44.45pt;margin-top:2.05pt;width:3.6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462915</wp:posOffset>
                </wp:positionH>
                <wp:positionV relativeFrom="paragraph">
                  <wp:posOffset>32385</wp:posOffset>
                </wp:positionV>
                <wp:extent cx="45085" cy="13906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139065"/>
                        </a:xfrm>
                        <a:prstGeom prst="rect">
                          <a:avLst/>
                        </a:prstGeom>
                        <a:solidFill>
                          <a:srgbClr val="000000"/>
                        </a:solidFill>
                      </wps:spPr>
                      <wps:bodyPr/>
                    </wps:wsp>
                  </a:graphicData>
                </a:graphic>
              </wp:anchor>
            </w:drawing>
          </mc:Choice>
          <mc:Fallback>
            <w:pict>
              <v:rect id="Shape 55" o:spid="_x0000_s1080" style="position:absolute;margin-left:36.45pt;margin-top:2.55pt;width:3.55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361315</wp:posOffset>
                </wp:positionH>
                <wp:positionV relativeFrom="paragraph">
                  <wp:posOffset>33655</wp:posOffset>
                </wp:positionV>
                <wp:extent cx="45085" cy="13779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137795"/>
                        </a:xfrm>
                        <a:prstGeom prst="rect">
                          <a:avLst/>
                        </a:prstGeom>
                        <a:solidFill>
                          <a:srgbClr val="000000"/>
                        </a:solidFill>
                      </wps:spPr>
                      <wps:bodyPr/>
                    </wps:wsp>
                  </a:graphicData>
                </a:graphic>
              </wp:anchor>
            </w:drawing>
          </mc:Choice>
          <mc:Fallback>
            <w:pict>
              <v:rect id="Shape 56" o:spid="_x0000_s1081" style="position:absolute;margin-left:28.45pt;margin-top:2.65pt;width:3.5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39370</wp:posOffset>
                </wp:positionV>
                <wp:extent cx="45085" cy="13208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132080"/>
                        </a:xfrm>
                        <a:prstGeom prst="rect">
                          <a:avLst/>
                        </a:prstGeom>
                        <a:solidFill>
                          <a:srgbClr val="000000"/>
                        </a:solidFill>
                      </wps:spPr>
                      <wps:bodyPr/>
                    </wps:wsp>
                  </a:graphicData>
                </a:graphic>
              </wp:anchor>
            </w:drawing>
          </mc:Choice>
          <mc:Fallback>
            <w:pict>
              <v:rect id="Shape 57" o:spid="_x0000_s1082" style="position:absolute;margin-left:20.4pt;margin-top:3.1pt;width:3.5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156845</wp:posOffset>
                </wp:positionH>
                <wp:positionV relativeFrom="paragraph">
                  <wp:posOffset>46990</wp:posOffset>
                </wp:positionV>
                <wp:extent cx="45085" cy="12446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124460"/>
                        </a:xfrm>
                        <a:prstGeom prst="rect">
                          <a:avLst/>
                        </a:prstGeom>
                        <a:solidFill>
                          <a:srgbClr val="000000"/>
                        </a:solidFill>
                      </wps:spPr>
                      <wps:bodyPr/>
                    </wps:wsp>
                  </a:graphicData>
                </a:graphic>
              </wp:anchor>
            </w:drawing>
          </mc:Choice>
          <mc:Fallback>
            <w:pict>
              <v:rect id="Shape 58" o:spid="_x0000_s1083" style="position:absolute;margin-left:12.35pt;margin-top:3.7pt;width:3.55pt;height: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55245</wp:posOffset>
                </wp:positionH>
                <wp:positionV relativeFrom="paragraph">
                  <wp:posOffset>111760</wp:posOffset>
                </wp:positionV>
                <wp:extent cx="45085" cy="5969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59690"/>
                        </a:xfrm>
                        <a:prstGeom prst="rect">
                          <a:avLst/>
                        </a:prstGeom>
                        <a:solidFill>
                          <a:srgbClr val="000000"/>
                        </a:solidFill>
                      </wps:spPr>
                      <wps:bodyPr/>
                    </wps:wsp>
                  </a:graphicData>
                </a:graphic>
              </wp:anchor>
            </w:drawing>
          </mc:Choice>
          <mc:Fallback>
            <w:pict>
              <v:rect id="Shape 59" o:spid="_x0000_s1084" style="position:absolute;margin-left:4.35pt;margin-top:8.8pt;width:3.55pt;height: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171450</wp:posOffset>
                </wp:positionV>
                <wp:extent cx="57118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1825" cy="4763"/>
                        </a:xfrm>
                        <a:prstGeom prst="line">
                          <a:avLst/>
                        </a:prstGeom>
                        <a:solidFill>
                          <a:srgbClr val="FFFFFF"/>
                        </a:solidFill>
                        <a:ln w="9525">
                          <a:solidFill>
                            <a:srgbClr val="DEDEDE"/>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13.5pt" to="451.85pt,13.5pt" o:allowincell="f" strokecolor="#DEDEDE" strokeweight="0.75pt"/>
            </w:pict>
          </mc:Fallback>
        </mc:AlternateContent>
      </w:r>
    </w:p>
    <w:p>
      <w:pPr>
        <w:spacing w:after="0" w:line="341" w:lineRule="exact"/>
        <w:rPr>
          <w:sz w:val="20"/>
          <w:szCs w:val="20"/>
          <w:color w:val="auto"/>
        </w:rPr>
      </w:pPr>
    </w:p>
    <w:p>
      <w:pPr>
        <w:ind w:left="40"/>
        <w:spacing w:after="0"/>
        <w:tabs>
          <w:tab w:leader="none" w:pos="8520" w:val="left"/>
        </w:tabs>
        <w:rPr>
          <w:sz w:val="20"/>
          <w:szCs w:val="20"/>
          <w:color w:val="auto"/>
        </w:rPr>
      </w:pPr>
      <w:r>
        <w:rPr>
          <w:rFonts w:ascii="Lucida Sans" w:cs="Lucida Sans" w:eastAsia="Lucida Sans" w:hAnsi="Lucida Sans"/>
          <w:sz w:val="18"/>
          <w:szCs w:val="18"/>
          <w:b w:val="1"/>
          <w:bCs w:val="1"/>
          <w:color w:val="auto"/>
        </w:rPr>
        <w:t>1967</w:t>
      </w:r>
      <w:r>
        <w:rPr>
          <w:sz w:val="20"/>
          <w:szCs w:val="20"/>
          <w:color w:val="auto"/>
        </w:rPr>
        <w:tab/>
      </w:r>
      <w:r>
        <w:rPr>
          <w:rFonts w:ascii="Lucida Sans" w:cs="Lucida Sans" w:eastAsia="Lucida Sans" w:hAnsi="Lucida Sans"/>
          <w:sz w:val="18"/>
          <w:szCs w:val="18"/>
          <w:b w:val="1"/>
          <w:bCs w:val="1"/>
          <w:color w:val="auto"/>
        </w:rPr>
        <w:t>2022</w:t>
      </w:r>
    </w:p>
    <w:p>
      <w:pPr>
        <w:spacing w:after="0" w:line="252" w:lineRule="exact"/>
        <w:rPr>
          <w:sz w:val="20"/>
          <w:szCs w:val="20"/>
          <w:color w:val="auto"/>
        </w:rPr>
      </w:pPr>
    </w:p>
    <w:p>
      <w:pPr>
        <w:spacing w:after="0"/>
        <w:rPr>
          <w:sz w:val="20"/>
          <w:szCs w:val="20"/>
          <w:color w:val="auto"/>
        </w:rPr>
      </w:pPr>
      <w:r>
        <w:rPr>
          <w:rFonts w:ascii="Lucida Sans" w:cs="Lucida Sans" w:eastAsia="Lucida Sans" w:hAnsi="Lucida Sans"/>
          <w:sz w:val="9"/>
          <w:szCs w:val="9"/>
          <w:i w:val="1"/>
          <w:iCs w:val="1"/>
          <w:color w:val="auto"/>
        </w:rPr>
        <w:t>*Annualized dividends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156845</wp:posOffset>
                </wp:positionV>
                <wp:extent cx="57912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FB1717"/>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2.35pt" to="457pt,12.35pt" o:allowincell="f" strokecolor="#FB1717" strokeweight="1pt"/>
            </w:pict>
          </mc:Fallback>
        </mc:AlternateContent>
      </w:r>
    </w:p>
    <w:p>
      <w:pPr>
        <w:sectPr>
          <w:pgSz w:w="11880" w:h="15480" w:orient="portrait"/>
          <w:cols w:equalWidth="0" w:num="1">
            <w:col w:w="9140"/>
          </w:cols>
          <w:pgMar w:left="1360" w:top="1307" w:right="1380" w:bottom="791"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1360" w:val="left"/>
        </w:tabs>
        <w:rPr>
          <w:sz w:val="20"/>
          <w:szCs w:val="20"/>
          <w:color w:val="auto"/>
        </w:rPr>
      </w:pPr>
      <w:r>
        <w:rPr>
          <w:rFonts w:ascii="Lucida Sans" w:cs="Lucida Sans" w:eastAsia="Lucida Sans" w:hAnsi="Lucida Sans"/>
          <w:sz w:val="19"/>
          <w:szCs w:val="19"/>
          <w:b w:val="1"/>
          <w:bCs w:val="1"/>
          <w:color w:val="auto"/>
        </w:rPr>
        <w:t>R e c o r d s</w:t>
        <w:tab/>
        <w:t>B r o k e n</w:t>
      </w:r>
    </w:p>
    <w:p>
      <w:pPr>
        <w:spacing w:after="0" w:line="227" w:lineRule="exact"/>
        <w:rPr>
          <w:sz w:val="20"/>
          <w:szCs w:val="20"/>
          <w:color w:val="auto"/>
        </w:rPr>
      </w:pPr>
    </w:p>
    <w:p>
      <w:pPr>
        <w:jc w:val="both"/>
        <w:ind w:left="20"/>
        <w:spacing w:after="0" w:line="217" w:lineRule="auto"/>
        <w:rPr>
          <w:sz w:val="20"/>
          <w:szCs w:val="20"/>
          <w:color w:val="auto"/>
        </w:rPr>
      </w:pPr>
      <w:r>
        <w:rPr>
          <w:rFonts w:ascii="Lucida Sans" w:cs="Lucida Sans" w:eastAsia="Lucida Sans" w:hAnsi="Lucida Sans"/>
          <w:sz w:val="19"/>
          <w:szCs w:val="19"/>
          <w:color w:val="auto"/>
        </w:rPr>
        <w:t>As one of the oldest real estate investment trusts (REITs) in the United States, Federal Realty celebrated its 60</w:t>
      </w:r>
      <w:r>
        <w:rPr>
          <w:rFonts w:ascii="Lucida Sans" w:cs="Lucida Sans" w:eastAsia="Lucida Sans" w:hAnsi="Lucida Sans"/>
          <w:sz w:val="24"/>
          <w:szCs w:val="24"/>
          <w:color w:val="auto"/>
          <w:vertAlign w:val="superscript"/>
        </w:rPr>
        <w:t>th</w:t>
      </w:r>
      <w:r>
        <w:rPr>
          <w:rFonts w:ascii="Lucida Sans" w:cs="Lucida Sans" w:eastAsia="Lucida Sans" w:hAnsi="Lucida Sans"/>
          <w:sz w:val="19"/>
          <w:szCs w:val="19"/>
          <w:color w:val="auto"/>
        </w:rPr>
        <w:t xml:space="preserve"> anniversary in 2022. It’s fitting then that 2022 marked the first year in that long history that total rental revenue exceeded $1 billion and total real estate holdings, at cost, exceeded $10 billion. Decades of measured growth where the acquisition and development of only the highest quality real estate were pursued, resulting in the widely acknowledged premier open air shopping center portfolio in the country. At $6.32 per diluted share</w:t>
      </w:r>
      <w:r>
        <w:rPr>
          <w:rFonts w:ascii="Lucida Sans" w:cs="Lucida Sans" w:eastAsia="Lucida Sans" w:hAnsi="Lucida Sans"/>
          <w:sz w:val="24"/>
          <w:szCs w:val="24"/>
          <w:color w:val="auto"/>
          <w:vertAlign w:val="superscript"/>
        </w:rPr>
        <w:t>1</w:t>
      </w:r>
      <w:r>
        <w:rPr>
          <w:rFonts w:ascii="Lucida Sans" w:cs="Lucida Sans" w:eastAsia="Lucida Sans" w:hAnsi="Lucida Sans"/>
          <w:sz w:val="19"/>
          <w:szCs w:val="19"/>
          <w:color w:val="auto"/>
        </w:rPr>
        <w:t>, our funds from operations came within a penny of our all-time record; a record that we expect to beat in 2023.</w:t>
      </w:r>
    </w:p>
    <w:p>
      <w:pPr>
        <w:spacing w:after="0" w:line="241" w:lineRule="exact"/>
        <w:rPr>
          <w:sz w:val="20"/>
          <w:szCs w:val="20"/>
          <w:color w:val="auto"/>
        </w:rPr>
      </w:pPr>
    </w:p>
    <w:p>
      <w:pPr>
        <w:jc w:val="both"/>
        <w:ind w:left="20"/>
        <w:spacing w:after="0" w:line="226" w:lineRule="auto"/>
        <w:rPr>
          <w:sz w:val="20"/>
          <w:szCs w:val="20"/>
          <w:color w:val="auto"/>
        </w:rPr>
      </w:pPr>
      <w:r>
        <w:rPr>
          <w:rFonts w:ascii="Lucida Sans" w:cs="Lucida Sans" w:eastAsia="Lucida Sans" w:hAnsi="Lucida Sans"/>
          <w:sz w:val="19"/>
          <w:szCs w:val="19"/>
          <w:color w:val="auto"/>
        </w:rPr>
        <w:t>We’re also proud to have long been referred to as a Dividend Aristocrat, an honor bestowed only on those companies that have increased common dividends to shareholders for at least 25 consecutive years. Today, the honor is even greater as we are proud to be referred to as a Dividend King, which requires a 50 year unbroken record of increased dividends for which we are the lone REIT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149225</wp:posOffset>
                </wp:positionV>
                <wp:extent cx="6096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1.75pt" to="49pt,11.7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spacing w:after="0" w:line="227" w:lineRule="auto"/>
        <w:rPr>
          <w:sz w:val="20"/>
          <w:szCs w:val="20"/>
          <w:color w:val="auto"/>
        </w:rPr>
      </w:pPr>
      <w:r>
        <w:rPr>
          <w:rFonts w:ascii="Lucida Sans" w:cs="Lucida Sans" w:eastAsia="Lucida Sans" w:hAnsi="Lucida Sans"/>
          <w:sz w:val="19"/>
          <w:szCs w:val="19"/>
          <w:color w:val="auto"/>
        </w:rPr>
        <w:t>included in that very short list. Except that now we’ve increased our common dividends per share every year for 55 years! There’s no special title for that other than perhaps “unicorn”. Our real estate is that good.</w:t>
      </w:r>
    </w:p>
    <w:p>
      <w:pPr>
        <w:spacing w:after="0" w:line="361" w:lineRule="exact"/>
        <w:rPr>
          <w:sz w:val="20"/>
          <w:szCs w:val="20"/>
          <w:color w:val="auto"/>
        </w:rPr>
      </w:pPr>
    </w:p>
    <w:p>
      <w:pPr>
        <w:spacing w:after="0"/>
        <w:tabs>
          <w:tab w:leader="none" w:pos="660" w:val="left"/>
          <w:tab w:leader="none" w:pos="1640" w:val="left"/>
          <w:tab w:leader="none" w:pos="2080" w:val="left"/>
          <w:tab w:leader="none" w:pos="2720" w:val="left"/>
        </w:tabs>
        <w:rPr>
          <w:sz w:val="20"/>
          <w:szCs w:val="20"/>
          <w:color w:val="auto"/>
        </w:rPr>
      </w:pPr>
      <w:r>
        <w:rPr>
          <w:rFonts w:ascii="Lucida Sans" w:cs="Lucida Sans" w:eastAsia="Lucida Sans" w:hAnsi="Lucida Sans"/>
          <w:sz w:val="19"/>
          <w:szCs w:val="19"/>
          <w:b w:val="1"/>
          <w:bCs w:val="1"/>
          <w:color w:val="auto"/>
        </w:rPr>
        <w:t>T h e</w:t>
        <w:tab/>
        <w:t>H e a r t</w:t>
        <w:tab/>
        <w:t>o f</w:t>
        <w:tab/>
        <w:t>t h e</w:t>
        <w:tab/>
        <w:t>B u s i n e s s</w:t>
      </w:r>
    </w:p>
    <w:p>
      <w:pPr>
        <w:spacing w:after="0" w:line="288" w:lineRule="exact"/>
        <w:rPr>
          <w:sz w:val="20"/>
          <w:szCs w:val="20"/>
          <w:color w:val="auto"/>
        </w:rPr>
      </w:pPr>
    </w:p>
    <w:p>
      <w:pPr>
        <w:jc w:val="both"/>
        <w:spacing w:after="0" w:line="225" w:lineRule="auto"/>
        <w:rPr>
          <w:sz w:val="20"/>
          <w:szCs w:val="20"/>
          <w:color w:val="auto"/>
        </w:rPr>
      </w:pPr>
      <w:r>
        <w:rPr>
          <w:rFonts w:ascii="Lucida Sans" w:cs="Lucida Sans" w:eastAsia="Lucida Sans" w:hAnsi="Lucida Sans"/>
          <w:sz w:val="19"/>
          <w:szCs w:val="19"/>
          <w:color w:val="auto"/>
        </w:rPr>
        <w:t>With over 100 real estate properties spread out over 12 states and the District of Columbia, finding the right mix of retail, restaurant, and office tenants for our 26 million square feet of commercial space is the heart of our business. We strive to find those tenants that have the best chance of honoring their contracts (leases) through their full term. We strive to assure that when a tenant inevitably does fail, those contracts are strong and give us the best chance at financial recovery and, importantly, that there are new tenants excited to replace them. Diversity of that contractual rental stream is always a paramount consideration. It’s why we insist on diversity geographically, by type of shopping center and by tenant base. No one tenant accounts for more than 2.8% of our rental stream, and that tenant is A-rated TJX.</w:t>
      </w:r>
    </w:p>
    <w:p>
      <w:pPr>
        <w:spacing w:after="0" w:line="224" w:lineRule="exact"/>
        <w:rPr>
          <w:sz w:val="20"/>
          <w:szCs w:val="20"/>
          <w:color w:val="auto"/>
        </w:rPr>
      </w:pPr>
    </w:p>
    <w:p>
      <w:pPr>
        <w:sectPr>
          <w:pgSz w:w="11880" w:h="15480" w:orient="portrait"/>
          <w:cols w:equalWidth="0" w:num="2">
            <w:col w:w="4340" w:space="480"/>
            <w:col w:w="4320"/>
          </w:cols>
          <w:pgMar w:left="1360" w:top="1307" w:right="1380" w:bottom="791" w:gutter="0" w:footer="0" w:header="0"/>
          <w:type w:val="continuous"/>
        </w:sectPr>
      </w:pPr>
    </w:p>
    <w:p>
      <w:pPr>
        <w:spacing w:after="0" w:line="33" w:lineRule="exact"/>
        <w:rPr>
          <w:sz w:val="20"/>
          <w:szCs w:val="20"/>
          <w:color w:val="auto"/>
        </w:rPr>
      </w:pPr>
    </w:p>
    <w:p>
      <w:pPr>
        <w:ind w:left="220" w:hanging="200"/>
        <w:spacing w:after="0"/>
        <w:tabs>
          <w:tab w:leader="none" w:pos="220" w:val="left"/>
        </w:tabs>
        <w:numPr>
          <w:ilvl w:val="0"/>
          <w:numId w:val="1"/>
        </w:numPr>
        <w:rPr>
          <w:rFonts w:ascii="Lucida Sans" w:cs="Lucida Sans" w:eastAsia="Lucida Sans" w:hAnsi="Lucida Sans"/>
          <w:sz w:val="24"/>
          <w:szCs w:val="24"/>
          <w:color w:val="auto"/>
          <w:vertAlign w:val="superscript"/>
        </w:rPr>
      </w:pPr>
      <w:r>
        <w:rPr>
          <w:rFonts w:ascii="Lucida Sans" w:cs="Lucida Sans" w:eastAsia="Lucida Sans" w:hAnsi="Lucida Sans"/>
          <w:sz w:val="18"/>
          <w:szCs w:val="18"/>
          <w:color w:val="auto"/>
        </w:rPr>
        <w:t>Refer to page 48 of our Form 10-K for information on funds from operations per diluted share.</w:t>
      </w:r>
    </w:p>
    <w:p>
      <w:pPr>
        <w:sectPr>
          <w:pgSz w:w="11880" w:h="15480" w:orient="portrait"/>
          <w:cols w:equalWidth="0" w:num="1">
            <w:col w:w="9140"/>
          </w:cols>
          <w:pgMar w:left="1360" w:top="1307" w:right="1380" w:bottom="791" w:gutter="0" w:footer="0" w:header="0"/>
          <w:type w:val="continuous"/>
        </w:sectPr>
      </w:pPr>
    </w:p>
    <w:p>
      <w:pPr>
        <w:spacing w:after="0" w:line="172" w:lineRule="exact"/>
        <w:rPr>
          <w:sz w:val="20"/>
          <w:szCs w:val="20"/>
          <w:color w:val="auto"/>
        </w:rPr>
      </w:pPr>
    </w:p>
    <w:p>
      <w:pPr>
        <w:ind w:left="5080"/>
        <w:spacing w:after="0"/>
        <w:tabs>
          <w:tab w:leader="none" w:pos="6020" w:val="left"/>
          <w:tab w:leader="none" w:pos="6860" w:val="left"/>
          <w:tab w:leader="none" w:pos="7040" w:val="left"/>
          <w:tab w:leader="none" w:pos="7940" w:val="left"/>
        </w:tabs>
        <w:rPr>
          <w:sz w:val="20"/>
          <w:szCs w:val="20"/>
          <w:color w:val="auto"/>
        </w:rPr>
      </w:pPr>
      <w:r>
        <w:rPr>
          <w:rFonts w:ascii="Lucida Sans" w:cs="Lucida Sans" w:eastAsia="Lucida Sans" w:hAnsi="Lucida Sans"/>
          <w:sz w:val="14"/>
          <w:szCs w:val="14"/>
          <w:color w:val="auto"/>
        </w:rPr>
        <w:t>F E D E R A L</w:t>
        <w:tab/>
        <w:t>R E A L T Y</w:t>
      </w:r>
      <w:r>
        <w:rPr>
          <w:rFonts w:ascii="Lucida Sans" w:cs="Lucida Sans" w:eastAsia="Lucida Sans" w:hAnsi="Lucida Sans"/>
          <w:sz w:val="14"/>
          <w:szCs w:val="14"/>
          <w:color w:val="FA2E24"/>
        </w:rPr>
        <w:tab/>
        <w:t>|</w:t>
      </w:r>
      <w:r>
        <w:rPr>
          <w:rFonts w:ascii="Lucida Sans" w:cs="Lucida Sans" w:eastAsia="Lucida Sans" w:hAnsi="Lucida Sans"/>
          <w:sz w:val="14"/>
          <w:szCs w:val="14"/>
          <w:color w:val="auto"/>
        </w:rPr>
        <w:tab/>
        <w:t>A N N U A L</w:t>
        <w:tab/>
        <w:t xml:space="preserve">R E P O R T </w:t>
      </w:r>
      <w:r>
        <w:rPr>
          <w:rFonts w:ascii="Georgia Pro" w:cs="Georgia Pro" w:eastAsia="Georgia Pro" w:hAnsi="Georgia Pro"/>
          <w:sz w:val="14"/>
          <w:szCs w:val="14"/>
          <w:b w:val="1"/>
          <w:bCs w:val="1"/>
          <w:color w:val="FA2E24"/>
        </w:rPr>
        <w:t>2022</w:t>
      </w:r>
    </w:p>
    <w:p>
      <w:pPr>
        <w:sectPr>
          <w:pgSz w:w="11880" w:h="15480" w:orient="portrait"/>
          <w:cols w:equalWidth="0" w:num="1">
            <w:col w:w="9140"/>
          </w:cols>
          <w:pgMar w:left="1360" w:top="1307" w:right="1380" w:bottom="791" w:gutter="0" w:footer="0" w:header="0"/>
          <w:type w:val="continuous"/>
        </w:sectPr>
      </w:pPr>
    </w:p>
    <w:bookmarkStart w:id="4" w:name="page5"/>
    <w:bookmarkEnd w:id="4"/>
    <w:p>
      <w:pPr>
        <w:spacing w:after="0" w:line="231" w:lineRule="auto"/>
        <w:rPr>
          <w:sz w:val="20"/>
          <w:szCs w:val="20"/>
          <w:color w:val="auto"/>
        </w:rPr>
      </w:pPr>
      <w:r>
        <w:rPr>
          <w:rFonts w:ascii="Lucida Sans" w:cs="Lucida Sans" w:eastAsia="Lucida Sans" w:hAnsi="Lucida Sans"/>
          <w:sz w:val="19"/>
          <w:szCs w:val="19"/>
          <w:color w:val="auto"/>
        </w:rPr>
        <w:t>In addition to our commercial space, we also own and operate over 3,000 high quality residential apartments, all of which are an integral component of our retail driven mixed-used properties and larger shopping centers. Incorporating apartments in our portfolio not only creates material land value, but also adds another element of revenue diversity to our income stream, further differentiating the Federal Realty offering.</w:t>
      </w:r>
    </w:p>
    <w:p>
      <w:pPr>
        <w:spacing w:after="0" w:line="236" w:lineRule="exact"/>
        <w:rPr>
          <w:sz w:val="20"/>
          <w:szCs w:val="20"/>
          <w:color w:val="auto"/>
        </w:rPr>
      </w:pPr>
    </w:p>
    <w:p>
      <w:pPr>
        <w:jc w:val="both"/>
        <w:spacing w:after="0" w:line="231" w:lineRule="auto"/>
        <w:rPr>
          <w:sz w:val="20"/>
          <w:szCs w:val="20"/>
          <w:color w:val="auto"/>
        </w:rPr>
      </w:pPr>
      <w:r>
        <w:rPr>
          <w:rFonts w:ascii="Lucida Sans" w:cs="Lucida Sans" w:eastAsia="Lucida Sans" w:hAnsi="Lucida Sans"/>
          <w:sz w:val="19"/>
          <w:szCs w:val="19"/>
          <w:color w:val="auto"/>
        </w:rPr>
        <w:t>In 2022, our team executed nearly 500 retail space leases (not to mention 60 additional office leases and hundreds more residential leases) for over 2 million square feet of space at rents that were 6% higher than what the previous lease called for (to the extent there was a previous lease). In only 2 of the 60 years in our long history were we able to sign commitments for over 2 million square feet—2021 and 2022. Our business is healthy and our properties are in strong demand. Our entire portfolio is now 94.5% leased; a strong result that can still be improved upon.</w:t>
      </w:r>
    </w:p>
    <w:p>
      <w:pPr>
        <w:spacing w:after="0" w:line="319" w:lineRule="exact"/>
        <w:rPr>
          <w:sz w:val="20"/>
          <w:szCs w:val="20"/>
          <w:color w:val="auto"/>
        </w:rPr>
      </w:pPr>
    </w:p>
    <w:p>
      <w:pPr>
        <w:spacing w:after="0"/>
        <w:tabs>
          <w:tab w:leader="none" w:pos="1760" w:val="left"/>
          <w:tab w:leader="none" w:pos="2440" w:val="left"/>
        </w:tabs>
        <w:rPr>
          <w:sz w:val="20"/>
          <w:szCs w:val="20"/>
          <w:color w:val="auto"/>
        </w:rPr>
      </w:pPr>
      <w:r>
        <w:rPr>
          <w:rFonts w:ascii="Lucida Sans" w:cs="Lucida Sans" w:eastAsia="Lucida Sans" w:hAnsi="Lucida Sans"/>
          <w:sz w:val="19"/>
          <w:szCs w:val="19"/>
          <w:b w:val="1"/>
          <w:bCs w:val="1"/>
          <w:color w:val="auto"/>
        </w:rPr>
        <w:t>H e a d w i n d s</w:t>
        <w:tab/>
        <w:t>a n d</w:t>
        <w:tab/>
        <w:t>T a i l w i n d s</w:t>
      </w:r>
    </w:p>
    <w:p>
      <w:pPr>
        <w:spacing w:after="0" w:line="243" w:lineRule="exact"/>
        <w:rPr>
          <w:sz w:val="20"/>
          <w:szCs w:val="20"/>
          <w:color w:val="auto"/>
        </w:rPr>
      </w:pPr>
    </w:p>
    <w:p>
      <w:pPr>
        <w:jc w:val="both"/>
        <w:spacing w:after="0" w:line="241" w:lineRule="auto"/>
        <w:rPr>
          <w:sz w:val="20"/>
          <w:szCs w:val="20"/>
          <w:color w:val="auto"/>
        </w:rPr>
      </w:pPr>
      <w:r>
        <w:rPr>
          <w:rFonts w:ascii="Lucida Sans" w:cs="Lucida Sans" w:eastAsia="Lucida Sans" w:hAnsi="Lucida Sans"/>
          <w:sz w:val="19"/>
          <w:szCs w:val="19"/>
          <w:color w:val="auto"/>
        </w:rPr>
        <w:t>The Federal Reserve’s actions to raise interest rates and tame inflation are expected to impact most businesses, including ours, as we enter 2023 and beyond. As economic activity falls and higher interest rates affect everything from car loans to mortgage payments, to deal underwriting, we would not be surprised to see a slowdown in consumer spending which very well may cause retailer reticence and a residual impact on deal making. As of this writing, we haven’t seen any such reticence but the concern is pretty obvious. Our business remains more than solid and if history is any indication (and we believe it is), Federal Realty’s real estate will outperform in times like these given the superior demographics along with the very strong diversification of our income stream. To put a finer point on that, today’s troubled tenants: Bed Bath &amp; Beyond, Party City, Tuesday Morning, Kirkland, (and even Regal Cinemas of which we have no exposure), – all of them combined comprise less than 1% of our 2023 forecasted rental stream.</w:t>
      </w:r>
    </w:p>
    <w:p>
      <w:pPr>
        <w:spacing w:after="0" w:line="237" w:lineRule="exact"/>
        <w:rPr>
          <w:sz w:val="20"/>
          <w:szCs w:val="20"/>
          <w:color w:val="auto"/>
        </w:rPr>
      </w:pPr>
    </w:p>
    <w:p>
      <w:pPr>
        <w:jc w:val="both"/>
        <w:spacing w:after="0" w:line="234" w:lineRule="auto"/>
        <w:rPr>
          <w:sz w:val="20"/>
          <w:szCs w:val="20"/>
          <w:color w:val="auto"/>
        </w:rPr>
      </w:pPr>
      <w:r>
        <w:rPr>
          <w:rFonts w:ascii="Lucida Sans" w:cs="Lucida Sans" w:eastAsia="Lucida Sans" w:hAnsi="Lucida Sans"/>
          <w:sz w:val="19"/>
          <w:szCs w:val="19"/>
          <w:color w:val="auto"/>
        </w:rPr>
        <w:t>While higher interest rates will surely pressure most companies’ earnings, including ours, to</w:t>
      </w:r>
    </w:p>
    <w:p>
      <w:pPr>
        <w:spacing w:after="0" w:line="20" w:lineRule="exact"/>
        <w:rPr>
          <w:sz w:val="20"/>
          <w:szCs w:val="20"/>
          <w:color w:val="auto"/>
        </w:rPr>
      </w:pPr>
      <w:r>
        <w:rPr>
          <w:sz w:val="20"/>
          <w:szCs w:val="20"/>
          <w:color w:val="auto"/>
        </w:rPr>
        <w:br w:type="column"/>
      </w:r>
    </w:p>
    <w:p>
      <w:pPr>
        <w:jc w:val="both"/>
        <w:spacing w:after="0" w:line="231" w:lineRule="auto"/>
        <w:rPr>
          <w:sz w:val="20"/>
          <w:szCs w:val="20"/>
          <w:color w:val="auto"/>
        </w:rPr>
      </w:pPr>
      <w:r>
        <w:rPr>
          <w:rFonts w:ascii="Lucida Sans" w:cs="Lucida Sans" w:eastAsia="Lucida Sans" w:hAnsi="Lucida Sans"/>
          <w:sz w:val="19"/>
          <w:szCs w:val="19"/>
          <w:color w:val="auto"/>
        </w:rPr>
        <w:t>some extent in 2023 and future years, this business plan doesn’t need money to be virtually free to thrive. We’ve been around for 60 years and have raised our dividend to shareholders every single year since 1967. Neither interest rates in the high teens in the late 70’s and early 80’s, nor the great financial crisis of 2008-2009, nor even a global pandemic in 2020-2021 interrupted our commitment to shareholders as expressed through a common share dividend raise. We believe we owe that to you.</w:t>
      </w:r>
    </w:p>
    <w:p>
      <w:pPr>
        <w:spacing w:after="0" w:line="359" w:lineRule="exact"/>
        <w:rPr>
          <w:sz w:val="20"/>
          <w:szCs w:val="20"/>
          <w:color w:val="auto"/>
        </w:rPr>
      </w:pPr>
    </w:p>
    <w:p>
      <w:pPr>
        <w:spacing w:after="0"/>
        <w:tabs>
          <w:tab w:leader="none" w:pos="1440" w:val="left"/>
          <w:tab w:leader="none" w:pos="2060" w:val="left"/>
        </w:tabs>
        <w:rPr>
          <w:sz w:val="20"/>
          <w:szCs w:val="20"/>
          <w:color w:val="auto"/>
        </w:rPr>
      </w:pPr>
      <w:r>
        <w:rPr>
          <w:rFonts w:ascii="Lucida Sans" w:cs="Lucida Sans" w:eastAsia="Lucida Sans" w:hAnsi="Lucida Sans"/>
          <w:sz w:val="19"/>
          <w:szCs w:val="19"/>
          <w:b w:val="1"/>
          <w:bCs w:val="1"/>
          <w:color w:val="auto"/>
        </w:rPr>
        <w:t>R e f i n i n g</w:t>
        <w:tab/>
        <w:t>t h e</w:t>
        <w:tab/>
        <w:t>P o r t f o l i o</w:t>
      </w:r>
    </w:p>
    <w:p>
      <w:pPr>
        <w:spacing w:after="0" w:line="232" w:lineRule="exact"/>
        <w:rPr>
          <w:sz w:val="20"/>
          <w:szCs w:val="20"/>
          <w:color w:val="auto"/>
        </w:rPr>
      </w:pPr>
    </w:p>
    <w:p>
      <w:pPr>
        <w:jc w:val="both"/>
        <w:spacing w:after="0" w:line="230" w:lineRule="auto"/>
        <w:rPr>
          <w:sz w:val="20"/>
          <w:szCs w:val="20"/>
          <w:color w:val="auto"/>
        </w:rPr>
      </w:pPr>
      <w:r>
        <w:rPr>
          <w:rFonts w:ascii="Lucida Sans" w:cs="Lucida Sans" w:eastAsia="Lucida Sans" w:hAnsi="Lucida Sans"/>
          <w:sz w:val="19"/>
          <w:szCs w:val="19"/>
          <w:color w:val="auto"/>
        </w:rPr>
        <w:t>The continuous refinement of our portfolio through buying, building and selling are critical components to long term value creation and one of the parts of our business plan that we feel differentiates us. In 2022, we were able to sell three properties in Maryland with limited upside for $134 million, at a 5% capitalization rate. Those properties, one a legacy residential community from Federal’s earliest days, the second a Federal developed residential building on excess land that we controlled, and the third one of our earliest small retail developments, gave us the opportunity to reinvest those and additional proceeds accretively (in other words, at a return in excess of 5%) into retail properties that have significantly better growth prospects. Acquisitions in 2022 included, Kingstowne Towne Center in Kingstowne, Virginia, The Shops at Pembroke Gardens in Pembroke Pines, Florida, and a furthering of our real estate footprint on desirable Washington Street in Hoboken New Jersey. In short, those dispositions and acquisitions make Federal Realty’s portfolio even stronger going into 2023 than it was a year ago.</w:t>
      </w:r>
    </w:p>
    <w:p>
      <w:pPr>
        <w:spacing w:after="0" w:line="254" w:lineRule="exact"/>
        <w:rPr>
          <w:sz w:val="20"/>
          <w:szCs w:val="20"/>
          <w:color w:val="auto"/>
        </w:rPr>
      </w:pPr>
    </w:p>
    <w:p>
      <w:pPr>
        <w:jc w:val="both"/>
        <w:spacing w:after="0" w:line="231" w:lineRule="auto"/>
        <w:rPr>
          <w:sz w:val="20"/>
          <w:szCs w:val="20"/>
          <w:color w:val="auto"/>
        </w:rPr>
      </w:pPr>
      <w:r>
        <w:rPr>
          <w:rFonts w:ascii="Lucida Sans" w:cs="Lucida Sans" w:eastAsia="Lucida Sans" w:hAnsi="Lucida Sans"/>
          <w:sz w:val="19"/>
          <w:szCs w:val="19"/>
          <w:color w:val="auto"/>
        </w:rPr>
        <w:t>The same can be said of our development business which has focused on expanding the footprint of our award-winning mixed-use properties in San Jose California, Somerville Massachusetts and North Bethesda, Maryland. The “Big 3”, in addition to smaller projects in Coconut Grove, Florida and Darien, Connecticut, are critical to our brand and our long term growth. You only need to look at the $650 million plus of construction in process on our year-end balance sheet to identify a large source of future income.</w:t>
      </w:r>
    </w:p>
    <w:p>
      <w:pPr>
        <w:spacing w:after="0" w:line="426" w:lineRule="exact"/>
        <w:rPr>
          <w:sz w:val="20"/>
          <w:szCs w:val="20"/>
          <w:color w:val="auto"/>
        </w:rPr>
      </w:pPr>
    </w:p>
    <w:p>
      <w:pPr>
        <w:sectPr>
          <w:pgSz w:w="11880" w:h="15480" w:orient="portrait"/>
          <w:cols w:equalWidth="0" w:num="2">
            <w:col w:w="4320" w:space="480"/>
            <w:col w:w="4320"/>
          </w:cols>
          <w:pgMar w:left="1380" w:top="1298" w:right="1380" w:bottom="791" w:gutter="0" w:footer="0" w:header="0"/>
        </w:sectPr>
      </w:pPr>
    </w:p>
    <w:p>
      <w:pPr>
        <w:spacing w:after="0" w:line="200" w:lineRule="exact"/>
        <w:rPr>
          <w:sz w:val="20"/>
          <w:szCs w:val="20"/>
          <w:color w:val="auto"/>
        </w:rPr>
      </w:pPr>
    </w:p>
    <w:p>
      <w:pPr>
        <w:spacing w:after="0" w:line="217" w:lineRule="exact"/>
        <w:rPr>
          <w:sz w:val="20"/>
          <w:szCs w:val="20"/>
          <w:color w:val="auto"/>
        </w:rPr>
      </w:pPr>
    </w:p>
    <w:p>
      <w:pPr>
        <w:ind w:left="5060"/>
        <w:spacing w:after="0"/>
        <w:tabs>
          <w:tab w:leader="none" w:pos="6000" w:val="left"/>
          <w:tab w:leader="none" w:pos="6840" w:val="left"/>
          <w:tab w:leader="none" w:pos="7020" w:val="left"/>
          <w:tab w:leader="none" w:pos="7920" w:val="left"/>
        </w:tabs>
        <w:rPr>
          <w:sz w:val="20"/>
          <w:szCs w:val="20"/>
          <w:color w:val="auto"/>
        </w:rPr>
      </w:pPr>
      <w:r>
        <w:rPr>
          <w:rFonts w:ascii="Lucida Sans" w:cs="Lucida Sans" w:eastAsia="Lucida Sans" w:hAnsi="Lucida Sans"/>
          <w:sz w:val="14"/>
          <w:szCs w:val="14"/>
          <w:color w:val="auto"/>
        </w:rPr>
        <w:t>F E D E R A L</w:t>
        <w:tab/>
        <w:t>R E A L T Y</w:t>
      </w:r>
      <w:r>
        <w:rPr>
          <w:rFonts w:ascii="Lucida Sans" w:cs="Lucida Sans" w:eastAsia="Lucida Sans" w:hAnsi="Lucida Sans"/>
          <w:sz w:val="14"/>
          <w:szCs w:val="14"/>
          <w:color w:val="FA2E24"/>
        </w:rPr>
        <w:tab/>
        <w:t>|</w:t>
      </w:r>
      <w:r>
        <w:rPr>
          <w:rFonts w:ascii="Lucida Sans" w:cs="Lucida Sans" w:eastAsia="Lucida Sans" w:hAnsi="Lucida Sans"/>
          <w:sz w:val="14"/>
          <w:szCs w:val="14"/>
          <w:color w:val="auto"/>
        </w:rPr>
        <w:tab/>
        <w:t>A N N U A L</w:t>
        <w:tab/>
        <w:t xml:space="preserve">R E P O R T </w:t>
      </w:r>
      <w:r>
        <w:rPr>
          <w:rFonts w:ascii="Georgia Pro" w:cs="Georgia Pro" w:eastAsia="Georgia Pro" w:hAnsi="Georgia Pro"/>
          <w:sz w:val="14"/>
          <w:szCs w:val="14"/>
          <w:b w:val="1"/>
          <w:bCs w:val="1"/>
          <w:color w:val="FA2E24"/>
        </w:rPr>
        <w:t>2022</w:t>
      </w:r>
    </w:p>
    <w:p>
      <w:pPr>
        <w:sectPr>
          <w:pgSz w:w="11880" w:h="15480" w:orient="portrait"/>
          <w:cols w:equalWidth="0" w:num="1">
            <w:col w:w="9120"/>
          </w:cols>
          <w:pgMar w:left="1380" w:top="1298" w:right="1380" w:bottom="791" w:gutter="0" w:footer="0" w:header="0"/>
          <w:type w:val="continuous"/>
        </w:sectPr>
      </w:pPr>
    </w:p>
    <w:bookmarkStart w:id="5" w:name="page6"/>
    <w:bookmarkEnd w:id="5"/>
    <w:p>
      <w:pPr>
        <w:jc w:val="both"/>
        <w:spacing w:after="0"/>
        <w:rPr>
          <w:sz w:val="20"/>
          <w:szCs w:val="20"/>
          <w:color w:val="auto"/>
        </w:rPr>
      </w:pPr>
      <w:r>
        <w:rPr>
          <w:rFonts w:ascii="Lucida Sans" w:cs="Lucida Sans" w:eastAsia="Lucida Sans" w:hAnsi="Lucida Sans"/>
          <w:sz w:val="19"/>
          <w:szCs w:val="19"/>
          <w:color w:val="auto"/>
        </w:rPr>
        <w:t>Short term disruptions that come with the development business are inevitable and accordingly, we limit this part of our business plan to 10% of our asset base. Yet, it’s precisely this differentiator that not only polishes our reputation as innovators and leading-edge real estate professionals, but also creates a knowledge base that filters down to benefit every property in our portfolio in one way or another. Each year end, you should expect Federal Realty’s portfolio to be better than it was the year before.</w:t>
      </w:r>
    </w:p>
    <w:p>
      <w:pPr>
        <w:spacing w:after="0" w:line="200" w:lineRule="exact"/>
        <w:rPr>
          <w:sz w:val="20"/>
          <w:szCs w:val="20"/>
          <w:color w:val="auto"/>
        </w:rPr>
      </w:pPr>
    </w:p>
    <w:p>
      <w:pPr>
        <w:spacing w:after="0" w:line="273" w:lineRule="exact"/>
        <w:rPr>
          <w:sz w:val="20"/>
          <w:szCs w:val="20"/>
          <w:color w:val="auto"/>
        </w:rPr>
      </w:pPr>
    </w:p>
    <w:p>
      <w:pPr>
        <w:spacing w:after="0"/>
        <w:tabs>
          <w:tab w:leader="none" w:pos="420" w:val="left"/>
        </w:tabs>
        <w:rPr>
          <w:sz w:val="20"/>
          <w:szCs w:val="20"/>
          <w:color w:val="auto"/>
        </w:rPr>
      </w:pPr>
      <w:r>
        <w:rPr>
          <w:rFonts w:ascii="Lucida Sans" w:cs="Lucida Sans" w:eastAsia="Lucida Sans" w:hAnsi="Lucida Sans"/>
          <w:sz w:val="19"/>
          <w:szCs w:val="19"/>
          <w:b w:val="1"/>
          <w:bCs w:val="1"/>
          <w:color w:val="auto"/>
        </w:rPr>
        <w:t>I n</w:t>
        <w:tab/>
        <w:t>C l o s i n g</w:t>
      </w:r>
    </w:p>
    <w:p>
      <w:pPr>
        <w:spacing w:after="0" w:line="233" w:lineRule="exact"/>
        <w:rPr>
          <w:sz w:val="20"/>
          <w:szCs w:val="20"/>
          <w:color w:val="auto"/>
        </w:rPr>
      </w:pPr>
    </w:p>
    <w:p>
      <w:pPr>
        <w:jc w:val="both"/>
        <w:spacing w:after="0" w:line="224" w:lineRule="auto"/>
        <w:rPr>
          <w:sz w:val="20"/>
          <w:szCs w:val="20"/>
          <w:color w:val="auto"/>
        </w:rPr>
      </w:pPr>
      <w:r>
        <w:rPr>
          <w:rFonts w:ascii="Lucida Sans" w:cs="Lucida Sans" w:eastAsia="Lucida Sans" w:hAnsi="Lucida Sans"/>
          <w:sz w:val="19"/>
          <w:szCs w:val="19"/>
          <w:color w:val="auto"/>
        </w:rPr>
        <w:t>In May of 2023, I will be celebrating the 25</w:t>
      </w:r>
      <w:r>
        <w:rPr>
          <w:rFonts w:ascii="Lucida Sans" w:cs="Lucida Sans" w:eastAsia="Lucida Sans" w:hAnsi="Lucida Sans"/>
          <w:sz w:val="24"/>
          <w:szCs w:val="24"/>
          <w:color w:val="auto"/>
          <w:vertAlign w:val="superscript"/>
        </w:rPr>
        <w:t>th</w:t>
      </w:r>
      <w:r>
        <w:rPr>
          <w:rFonts w:ascii="Lucida Sans" w:cs="Lucida Sans" w:eastAsia="Lucida Sans" w:hAnsi="Lucida Sans"/>
          <w:sz w:val="19"/>
          <w:szCs w:val="19"/>
          <w:color w:val="auto"/>
        </w:rPr>
        <w:t xml:space="preserve"> anniversary of my time at Federal Realty, the last 20 years of which as your Chief Executive. The cohesiveness and culture of the team, the relationship with our Board of Trustees and the consistent, unwavering execution of our business plan over that time has been one of our most overlooked, yet</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Lucida Sans" w:cs="Lucida Sans" w:eastAsia="Lucida Sans" w:hAnsi="Lucida Sans"/>
          <w:sz w:val="19"/>
          <w:szCs w:val="19"/>
          <w:color w:val="auto"/>
        </w:rPr>
        <w:t>greatest strengths. You know what you’re getting when you invest in FRT. A multifaceted real estate business plan that includes the operation of some of the highest quality retail-focused destinations in the country along with consistent, industry-leading re-development, development, and acquisition components of the overall plan; all under the strength of a low leveraged, conservatively managed balance sheet. That long-term successful approach with unrivaled consistency allows us to attract talent that’s the best in the business at all levels throughout the company. That applies to the Board too. Our success is not dependent on any one executive or team member. It takes a village, and we’re proud of the community we’ve created and nurtured over these many years.</w:t>
      </w:r>
    </w:p>
    <w:p>
      <w:pPr>
        <w:spacing w:after="0" w:line="292" w:lineRule="exact"/>
        <w:rPr>
          <w:sz w:val="20"/>
          <w:szCs w:val="20"/>
          <w:color w:val="auto"/>
        </w:rPr>
      </w:pPr>
    </w:p>
    <w:p>
      <w:pPr>
        <w:jc w:val="both"/>
        <w:spacing w:after="0" w:line="228" w:lineRule="auto"/>
        <w:rPr>
          <w:sz w:val="20"/>
          <w:szCs w:val="20"/>
          <w:color w:val="auto"/>
        </w:rPr>
      </w:pPr>
      <w:r>
        <w:rPr>
          <w:rFonts w:ascii="Lucida Sans" w:cs="Lucida Sans" w:eastAsia="Lucida Sans" w:hAnsi="Lucida Sans"/>
          <w:sz w:val="19"/>
          <w:szCs w:val="19"/>
          <w:color w:val="auto"/>
        </w:rPr>
        <w:t>On behalf of the Board of Trustees and our entire team, I thank you for your support and look forward to serving you in the years ahead.</w:t>
      </w:r>
    </w:p>
    <w:p>
      <w:pPr>
        <w:spacing w:after="0" w:line="200" w:lineRule="exact"/>
        <w:rPr>
          <w:sz w:val="20"/>
          <w:szCs w:val="20"/>
          <w:color w:val="auto"/>
        </w:rPr>
      </w:pPr>
    </w:p>
    <w:p>
      <w:pPr>
        <w:spacing w:after="0" w:line="218" w:lineRule="exact"/>
        <w:rPr>
          <w:sz w:val="20"/>
          <w:szCs w:val="20"/>
          <w:color w:val="auto"/>
        </w:rPr>
      </w:pPr>
    </w:p>
    <w:p>
      <w:pPr>
        <w:ind w:left="3140"/>
        <w:spacing w:after="0"/>
        <w:rPr>
          <w:sz w:val="20"/>
          <w:szCs w:val="20"/>
          <w:color w:val="auto"/>
        </w:rPr>
      </w:pPr>
      <w:r>
        <w:rPr>
          <w:rFonts w:ascii="Lucida Sans" w:cs="Lucida Sans" w:eastAsia="Lucida Sans" w:hAnsi="Lucida Sans"/>
          <w:sz w:val="19"/>
          <w:szCs w:val="19"/>
          <w:color w:val="auto"/>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46355</wp:posOffset>
            </wp:positionV>
            <wp:extent cx="1170305" cy="622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
                      <a:extLst>
                        <a:ext uri="{28A0092B-C50C-407E-A947-70E740481C1C}"/>
                      </a:extLst>
                    </a:blip>
                    <a:srcRect/>
                    <a:stretch>
                      <a:fillRect/>
                    </a:stretch>
                  </pic:blipFill>
                  <pic:spPr bwMode="auto">
                    <a:xfrm>
                      <a:off x="0" y="0"/>
                      <a:ext cx="1170305" cy="6223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320" w:space="480"/>
            <w:col w:w="4320"/>
          </w:cols>
          <w:pgMar w:left="1380" w:top="1298" w:right="1380" w:bottom="7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60"/>
        <w:spacing w:after="0"/>
        <w:rPr>
          <w:sz w:val="20"/>
          <w:szCs w:val="20"/>
          <w:color w:val="auto"/>
        </w:rPr>
      </w:pPr>
      <w:r>
        <w:rPr>
          <w:rFonts w:ascii="Lucida Sans" w:cs="Lucida Sans" w:eastAsia="Lucida Sans" w:hAnsi="Lucida Sans"/>
          <w:sz w:val="19"/>
          <w:szCs w:val="19"/>
          <w:color w:val="auto"/>
        </w:rPr>
        <w:t>Donald C. Wood</w:t>
      </w:r>
    </w:p>
    <w:p>
      <w:pPr>
        <w:spacing w:after="0" w:line="136" w:lineRule="exact"/>
        <w:rPr>
          <w:sz w:val="20"/>
          <w:szCs w:val="20"/>
          <w:color w:val="auto"/>
        </w:rPr>
      </w:pPr>
    </w:p>
    <w:p>
      <w:pPr>
        <w:ind w:left="6900"/>
        <w:spacing w:after="0"/>
        <w:rPr>
          <w:sz w:val="20"/>
          <w:szCs w:val="20"/>
          <w:color w:val="auto"/>
        </w:rPr>
      </w:pPr>
      <w:r>
        <w:rPr>
          <w:rFonts w:ascii="Lucida Sans" w:cs="Lucida Sans" w:eastAsia="Lucida Sans" w:hAnsi="Lucida Sans"/>
          <w:sz w:val="20"/>
          <w:szCs w:val="20"/>
          <w:color w:val="auto"/>
        </w:rPr>
        <w:t>Chief Executive Officer</w:t>
      </w:r>
    </w:p>
    <w:p>
      <w:pPr>
        <w:sectPr>
          <w:pgSz w:w="11880" w:h="15480" w:orient="portrait"/>
          <w:cols w:equalWidth="0" w:num="1">
            <w:col w:w="9120"/>
          </w:cols>
          <w:pgMar w:left="1380" w:top="1298" w:right="1380" w:bottom="79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60"/>
        <w:spacing w:after="0"/>
        <w:tabs>
          <w:tab w:leader="none" w:pos="6000" w:val="left"/>
          <w:tab w:leader="none" w:pos="6840" w:val="left"/>
          <w:tab w:leader="none" w:pos="7020" w:val="left"/>
          <w:tab w:leader="none" w:pos="7920" w:val="left"/>
        </w:tabs>
        <w:rPr>
          <w:sz w:val="20"/>
          <w:szCs w:val="20"/>
          <w:color w:val="auto"/>
        </w:rPr>
      </w:pPr>
      <w:r>
        <w:rPr>
          <w:rFonts w:ascii="Lucida Sans" w:cs="Lucida Sans" w:eastAsia="Lucida Sans" w:hAnsi="Lucida Sans"/>
          <w:sz w:val="14"/>
          <w:szCs w:val="14"/>
          <w:color w:val="auto"/>
        </w:rPr>
        <w:t>F E D E R A L</w:t>
        <w:tab/>
        <w:t>R E A L T Y</w:t>
      </w:r>
      <w:r>
        <w:rPr>
          <w:rFonts w:ascii="Lucida Sans" w:cs="Lucida Sans" w:eastAsia="Lucida Sans" w:hAnsi="Lucida Sans"/>
          <w:sz w:val="14"/>
          <w:szCs w:val="14"/>
          <w:color w:val="FA2E24"/>
        </w:rPr>
        <w:tab/>
        <w:t>|</w:t>
      </w:r>
      <w:r>
        <w:rPr>
          <w:rFonts w:ascii="Lucida Sans" w:cs="Lucida Sans" w:eastAsia="Lucida Sans" w:hAnsi="Lucida Sans"/>
          <w:sz w:val="14"/>
          <w:szCs w:val="14"/>
          <w:color w:val="auto"/>
        </w:rPr>
        <w:tab/>
        <w:t>A N N U A L</w:t>
        <w:tab/>
        <w:t xml:space="preserve">R E P O R T </w:t>
      </w:r>
      <w:r>
        <w:rPr>
          <w:rFonts w:ascii="Georgia Pro" w:cs="Georgia Pro" w:eastAsia="Georgia Pro" w:hAnsi="Georgia Pro"/>
          <w:sz w:val="14"/>
          <w:szCs w:val="14"/>
          <w:b w:val="1"/>
          <w:bCs w:val="1"/>
          <w:color w:val="FA2E24"/>
        </w:rPr>
        <w:t>2022</w:t>
      </w:r>
    </w:p>
    <w:p>
      <w:pPr>
        <w:sectPr>
          <w:pgSz w:w="11880" w:h="15480" w:orient="portrait"/>
          <w:cols w:equalWidth="0" w:num="1">
            <w:col w:w="9120"/>
          </w:cols>
          <w:pgMar w:left="1380" w:top="1298" w:right="1380" w:bottom="791" w:gutter="0" w:footer="0" w:header="0"/>
          <w:type w:val="continuous"/>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9" w:lineRule="exact"/>
        <w:rPr>
          <w:sz w:val="20"/>
          <w:szCs w:val="20"/>
          <w:color w:val="auto"/>
        </w:rPr>
      </w:pPr>
    </w:p>
    <w:p>
      <w:pPr>
        <w:ind w:left="760" w:hanging="610"/>
        <w:spacing w:after="0"/>
        <w:tabs>
          <w:tab w:leader="none" w:pos="760" w:val="left"/>
        </w:tabs>
        <w:numPr>
          <w:ilvl w:val="0"/>
          <w:numId w:val="2"/>
        </w:numPr>
        <w:rPr>
          <w:rFonts w:ascii="Arial" w:cs="Arial" w:eastAsia="Arial" w:hAnsi="Arial"/>
          <w:sz w:val="24"/>
          <w:szCs w:val="24"/>
          <w:color w:val="auto"/>
        </w:rPr>
      </w:pPr>
      <w:r>
        <w:rPr>
          <w:rFonts w:ascii="Times New Roman" w:cs="Times New Roman" w:eastAsia="Times New Roman" w:hAnsi="Times New Roman"/>
          <w:sz w:val="18"/>
          <w:szCs w:val="18"/>
          <w:b w:val="1"/>
          <w:bCs w:val="1"/>
          <w:color w:val="auto"/>
        </w:rPr>
        <w:t>ANNUAL REPORT PURSUANT TO THE SECTION 13 OR 15(D) OF THE SECURITIES EXCHANGE ACT OF 1934</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2022</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27" w:lineRule="exact"/>
        <w:rPr>
          <w:sz w:val="20"/>
          <w:szCs w:val="20"/>
          <w:color w:val="auto"/>
        </w:rPr>
      </w:pPr>
    </w:p>
    <w:p>
      <w:pPr>
        <w:ind w:left="760" w:hanging="610"/>
        <w:spacing w:after="0"/>
        <w:tabs>
          <w:tab w:leader="none" w:pos="760" w:val="left"/>
        </w:tabs>
        <w:numPr>
          <w:ilvl w:val="0"/>
          <w:numId w:val="3"/>
        </w:numPr>
        <w:rPr>
          <w:rFonts w:ascii="Arial" w:cs="Arial" w:eastAsia="Arial" w:hAnsi="Arial"/>
          <w:sz w:val="24"/>
          <w:szCs w:val="24"/>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8" w:lineRule="exact"/>
        <w:rPr>
          <w:sz w:val="20"/>
          <w:szCs w:val="20"/>
          <w:color w:val="auto"/>
        </w:rPr>
      </w:pPr>
    </w:p>
    <w:p>
      <w:pPr>
        <w:ind w:left="3160"/>
        <w:spacing w:after="0"/>
        <w:tabs>
          <w:tab w:leader="none" w:pos="644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7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Commission file number: 1-07533 (Federal Realty Investment Trust)</w:t>
      </w:r>
    </w:p>
    <w:p>
      <w:pPr>
        <w:spacing w:after="0" w:line="3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Commission file number: 333-262016-01 (Federal Realty OP LP)</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auto"/>
        </w:rPr>
        <w:t>FEDERAL REALTY INVESTMENT TRUST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auto"/>
        </w:rPr>
        <w:t>FEDERAL REALTY OP LP</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60" w:type="dxa"/>
            <w:vAlign w:val="bottom"/>
            <w:gridSpan w:val="4"/>
          </w:tcPr>
          <w:p>
            <w:pPr>
              <w:jc w:val="center"/>
              <w:ind w:left="288"/>
              <w:spacing w:after="0"/>
              <w:rPr>
                <w:sz w:val="20"/>
                <w:szCs w:val="20"/>
                <w:color w:val="auto"/>
              </w:rPr>
            </w:pPr>
            <w:r>
              <w:rPr>
                <w:rFonts w:ascii="Times New Roman" w:cs="Times New Roman" w:eastAsia="Times New Roman" w:hAnsi="Times New Roman"/>
                <w:sz w:val="20"/>
                <w:szCs w:val="20"/>
                <w:b w:val="1"/>
                <w:bCs w:val="1"/>
                <w:color w:val="auto"/>
                <w:w w:val="99"/>
              </w:rPr>
              <w:t>Maryland (Federal Realty Investment Trust)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2"/>
          </w:tcPr>
          <w:p>
            <w:pPr>
              <w:jc w:val="center"/>
              <w:ind w:right="832"/>
              <w:spacing w:after="0"/>
              <w:rPr>
                <w:sz w:val="20"/>
                <w:szCs w:val="20"/>
                <w:color w:val="auto"/>
              </w:rPr>
            </w:pPr>
            <w:r>
              <w:rPr>
                <w:rFonts w:ascii="Times New Roman" w:cs="Times New Roman" w:eastAsia="Times New Roman" w:hAnsi="Times New Roman"/>
                <w:sz w:val="20"/>
                <w:szCs w:val="20"/>
                <w:b w:val="1"/>
                <w:bCs w:val="1"/>
                <w:color w:val="auto"/>
                <w:w w:val="99"/>
              </w:rPr>
              <w:t>87-3916363</w:t>
            </w:r>
          </w:p>
        </w:tc>
      </w:tr>
      <w:tr>
        <w:trPr>
          <w:trHeight w:val="254"/>
        </w:trPr>
        <w:tc>
          <w:tcPr>
            <w:tcW w:w="4360" w:type="dxa"/>
            <w:vAlign w:val="bottom"/>
            <w:gridSpan w:val="4"/>
          </w:tcPr>
          <w:p>
            <w:pPr>
              <w:jc w:val="center"/>
              <w:ind w:left="288"/>
              <w:spacing w:after="0"/>
              <w:rPr>
                <w:sz w:val="20"/>
                <w:szCs w:val="20"/>
                <w:color w:val="auto"/>
              </w:rPr>
            </w:pPr>
            <w:r>
              <w:rPr>
                <w:rFonts w:ascii="Times New Roman" w:cs="Times New Roman" w:eastAsia="Times New Roman" w:hAnsi="Times New Roman"/>
                <w:sz w:val="20"/>
                <w:szCs w:val="20"/>
                <w:b w:val="1"/>
                <w:bCs w:val="1"/>
                <w:color w:val="auto"/>
              </w:rPr>
              <w:t>Delaware (Federal Realty OP LP)</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0" w:type="dxa"/>
            <w:vAlign w:val="bottom"/>
            <w:gridSpan w:val="2"/>
          </w:tcPr>
          <w:p>
            <w:pPr>
              <w:jc w:val="center"/>
              <w:ind w:right="832"/>
              <w:spacing w:after="0"/>
              <w:rPr>
                <w:sz w:val="20"/>
                <w:szCs w:val="20"/>
                <w:color w:val="auto"/>
              </w:rPr>
            </w:pPr>
            <w:r>
              <w:rPr>
                <w:rFonts w:ascii="Times New Roman" w:cs="Times New Roman" w:eastAsia="Times New Roman" w:hAnsi="Times New Roman"/>
                <w:sz w:val="20"/>
                <w:szCs w:val="20"/>
                <w:b w:val="1"/>
                <w:bCs w:val="1"/>
                <w:color w:val="auto"/>
                <w:w w:val="99"/>
              </w:rPr>
              <w:t>52-0782497</w:t>
            </w:r>
          </w:p>
        </w:tc>
      </w:tr>
      <w:tr>
        <w:trPr>
          <w:trHeight w:val="211"/>
        </w:trPr>
        <w:tc>
          <w:tcPr>
            <w:tcW w:w="1440" w:type="dxa"/>
            <w:vAlign w:val="bottom"/>
          </w:tcPr>
          <w:p>
            <w:pPr>
              <w:spacing w:after="0"/>
              <w:rPr>
                <w:sz w:val="18"/>
                <w:szCs w:val="18"/>
                <w:color w:val="auto"/>
              </w:rPr>
            </w:pPr>
          </w:p>
        </w:tc>
        <w:tc>
          <w:tcPr>
            <w:tcW w:w="2920" w:type="dxa"/>
            <w:vAlign w:val="bottom"/>
            <w:gridSpan w:val="3"/>
          </w:tcPr>
          <w:p>
            <w:pPr>
              <w:jc w:val="center"/>
              <w:ind w:right="970"/>
              <w:spacing w:after="0"/>
              <w:rPr>
                <w:sz w:val="20"/>
                <w:szCs w:val="20"/>
                <w:color w:val="auto"/>
              </w:rPr>
            </w:pPr>
            <w:r>
              <w:rPr>
                <w:rFonts w:ascii="Times New Roman" w:cs="Times New Roman" w:eastAsia="Times New Roman" w:hAnsi="Times New Roman"/>
                <w:sz w:val="16"/>
                <w:szCs w:val="16"/>
                <w:b w:val="1"/>
                <w:bCs w:val="1"/>
                <w:color w:val="auto"/>
              </w:rPr>
              <w:t>(State of Organization)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ind w:right="1052"/>
              <w:spacing w:after="0"/>
              <w:rPr>
                <w:sz w:val="20"/>
                <w:szCs w:val="20"/>
                <w:color w:val="auto"/>
              </w:rPr>
            </w:pPr>
            <w:r>
              <w:rPr>
                <w:rFonts w:ascii="Times New Roman" w:cs="Times New Roman" w:eastAsia="Times New Roman" w:hAnsi="Times New Roman"/>
                <w:sz w:val="16"/>
                <w:szCs w:val="16"/>
                <w:b w:val="1"/>
                <w:bCs w:val="1"/>
                <w:color w:val="auto"/>
                <w:w w:val="99"/>
              </w:rPr>
              <w:t>(IRS Employer Identification No.)</w:t>
            </w:r>
          </w:p>
        </w:tc>
      </w:tr>
      <w:tr>
        <w:trPr>
          <w:trHeight w:val="278"/>
        </w:trPr>
        <w:tc>
          <w:tcPr>
            <w:tcW w:w="1440" w:type="dxa"/>
            <w:vAlign w:val="bottom"/>
          </w:tcPr>
          <w:p>
            <w:pPr>
              <w:spacing w:after="0"/>
              <w:rPr>
                <w:sz w:val="24"/>
                <w:szCs w:val="24"/>
                <w:color w:val="auto"/>
              </w:rPr>
            </w:pPr>
          </w:p>
        </w:tc>
        <w:tc>
          <w:tcPr>
            <w:tcW w:w="8620" w:type="dxa"/>
            <w:vAlign w:val="bottom"/>
            <w:gridSpan w:val="9"/>
          </w:tcPr>
          <w:p>
            <w:pPr>
              <w:jc w:val="center"/>
              <w:ind w:right="972"/>
              <w:spacing w:after="0"/>
              <w:rPr>
                <w:sz w:val="20"/>
                <w:szCs w:val="20"/>
                <w:color w:val="auto"/>
              </w:rPr>
            </w:pPr>
            <w:r>
              <w:rPr>
                <w:rFonts w:ascii="Times New Roman" w:cs="Times New Roman" w:eastAsia="Times New Roman" w:hAnsi="Times New Roman"/>
                <w:sz w:val="18"/>
                <w:szCs w:val="18"/>
                <w:b w:val="1"/>
                <w:bCs w:val="1"/>
                <w:color w:val="auto"/>
              </w:rPr>
              <w:t>909 Rose Avenue, Suite 200, North Bethesda, Maryland 20852</w:t>
            </w:r>
          </w:p>
        </w:tc>
      </w:tr>
      <w:tr>
        <w:trPr>
          <w:trHeight w:val="211"/>
        </w:trPr>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00"/>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(301) 998-8100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1"/>
        </w:trPr>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60" w:type="dxa"/>
            <w:vAlign w:val="bottom"/>
            <w:gridSpan w:val="8"/>
          </w:tcPr>
          <w:p>
            <w:pPr>
              <w:jc w:val="center"/>
              <w:ind w:right="2472"/>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r>
      <w:tr>
        <w:trPr>
          <w:trHeight w:val="312"/>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3"/>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3580" w:type="dxa"/>
            <w:vAlign w:val="bottom"/>
          </w:tcPr>
          <w:p>
            <w:pPr>
              <w:spacing w:after="0"/>
              <w:rPr>
                <w:sz w:val="24"/>
                <w:szCs w:val="24"/>
                <w:color w:val="auto"/>
              </w:rPr>
            </w:pPr>
          </w:p>
        </w:tc>
      </w:tr>
      <w:tr>
        <w:trPr>
          <w:trHeight w:val="325"/>
        </w:trPr>
        <w:tc>
          <w:tcPr>
            <w:tcW w:w="14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4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Common Shares of Beneficial Interest</w:t>
            </w:r>
          </w:p>
        </w:tc>
        <w:tc>
          <w:tcPr>
            <w:tcW w:w="220" w:type="dxa"/>
            <w:vAlign w:val="bottom"/>
          </w:tcPr>
          <w:p>
            <w:pPr>
              <w:spacing w:after="0"/>
              <w:rPr>
                <w:sz w:val="21"/>
                <w:szCs w:val="21"/>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auto"/>
              </w:rPr>
              <w:t>FRT</w:t>
            </w:r>
          </w:p>
        </w:tc>
        <w:tc>
          <w:tcPr>
            <w:tcW w:w="22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180"/>
        </w:trPr>
        <w:tc>
          <w:tcPr>
            <w:tcW w:w="436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$.01 par value per share, with associated Common Share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34"/>
        </w:trPr>
        <w:tc>
          <w:tcPr>
            <w:tcW w:w="1440" w:type="dxa"/>
            <w:vAlign w:val="bottom"/>
          </w:tcPr>
          <w:p>
            <w:pPr>
              <w:spacing w:after="0"/>
              <w:rPr>
                <w:sz w:val="20"/>
                <w:szCs w:val="20"/>
                <w:color w:val="auto"/>
              </w:rPr>
            </w:pPr>
          </w:p>
        </w:tc>
        <w:tc>
          <w:tcPr>
            <w:tcW w:w="2920" w:type="dxa"/>
            <w:vAlign w:val="bottom"/>
            <w:gridSpan w:val="3"/>
          </w:tcPr>
          <w:p>
            <w:pPr>
              <w:jc w:val="center"/>
              <w:ind w:right="1390"/>
              <w:spacing w:after="0"/>
              <w:rPr>
                <w:sz w:val="20"/>
                <w:szCs w:val="20"/>
                <w:color w:val="auto"/>
              </w:rPr>
            </w:pPr>
            <w:r>
              <w:rPr>
                <w:rFonts w:ascii="Times New Roman" w:cs="Times New Roman" w:eastAsia="Times New Roman" w:hAnsi="Times New Roman"/>
                <w:sz w:val="18"/>
                <w:szCs w:val="18"/>
                <w:color w:val="auto"/>
                <w:w w:val="99"/>
              </w:rPr>
              <w:t>Purchase Rights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305"/>
        </w:trPr>
        <w:tc>
          <w:tcPr>
            <w:tcW w:w="4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Depositary Shares, each representing 1/1000 of a share</w:t>
            </w:r>
          </w:p>
        </w:tc>
        <w:tc>
          <w:tcPr>
            <w:tcW w:w="220" w:type="dxa"/>
            <w:vAlign w:val="bottom"/>
          </w:tcPr>
          <w:p>
            <w:pPr>
              <w:spacing w:after="0"/>
              <w:rPr>
                <w:sz w:val="24"/>
                <w:szCs w:val="24"/>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auto"/>
              </w:rPr>
              <w:t>FRT-C</w:t>
            </w: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180"/>
        </w:trPr>
        <w:tc>
          <w:tcPr>
            <w:tcW w:w="436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of 5.00% Series C Cumulative Redeemable Preferred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34"/>
        </w:trPr>
        <w:tc>
          <w:tcPr>
            <w:tcW w:w="4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Stock, $.01 par value per share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01"/>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5"/>
        </w:trPr>
        <w:tc>
          <w:tcPr>
            <w:tcW w:w="1440" w:type="dxa"/>
            <w:vAlign w:val="bottom"/>
          </w:tcPr>
          <w:p>
            <w:pPr>
              <w:spacing w:after="0"/>
              <w:rPr>
                <w:sz w:val="24"/>
                <w:szCs w:val="24"/>
                <w:color w:val="auto"/>
              </w:rPr>
            </w:pPr>
          </w:p>
        </w:tc>
        <w:tc>
          <w:tcPr>
            <w:tcW w:w="2920" w:type="dxa"/>
            <w:vAlign w:val="bottom"/>
            <w:gridSpan w:val="3"/>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0" w:type="dxa"/>
            <w:vAlign w:val="bottom"/>
          </w:tcPr>
          <w:p>
            <w:pPr>
              <w:spacing w:after="0"/>
              <w:rPr>
                <w:sz w:val="24"/>
                <w:szCs w:val="24"/>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85"/>
        </w:trPr>
        <w:tc>
          <w:tcPr>
            <w:tcW w:w="1440" w:type="dxa"/>
            <w:vAlign w:val="bottom"/>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4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4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ectPr>
          <w:pgSz w:w="11880" w:h="15480" w:orient="portrait"/>
          <w:cols w:equalWidth="0" w:num="1">
            <w:col w:w="10380"/>
          </w:cols>
          <w:pgMar w:left="720" w:top="870" w:right="780" w:bottom="305" w:gutter="0" w:footer="0" w:header="0"/>
        </w:sectPr>
      </w:pP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Federal Realty Investment Trust Federal Realty OP LP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Yes Yes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44" w:lineRule="exact"/>
        <w:rPr>
          <w:sz w:val="20"/>
          <w:szCs w:val="20"/>
          <w:color w:val="auto"/>
        </w:rPr>
      </w:pPr>
    </w:p>
    <w:p>
      <w:pPr>
        <w:sectPr>
          <w:pgSz w:w="11880" w:h="15480" w:orient="portrait"/>
          <w:cols w:equalWidth="0" w:num="5">
            <w:col w:w="2320" w:space="600"/>
            <w:col w:w="140" w:space="100"/>
            <w:col w:w="280" w:space="180"/>
            <w:col w:w="120" w:space="100"/>
            <w:col w:w="6540"/>
          </w:cols>
          <w:pgMar w:left="720" w:top="870" w:right="780" w:bottom="305"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ectPr>
          <w:pgSz w:w="11880" w:h="15480" w:orient="portrait"/>
          <w:cols w:equalWidth="0" w:num="1">
            <w:col w:w="10380"/>
          </w:cols>
          <w:pgMar w:left="720" w:top="870" w:right="780" w:bottom="305" w:gutter="0" w:footer="0" w:header="0"/>
          <w:type w:val="continuous"/>
        </w:sectPr>
      </w:pP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Federal Realty Investment Trust Federal Realty OP LP</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w:t>
      </w:r>
    </w:p>
    <w:p>
      <w:pPr>
        <w:spacing w:after="0" w:line="225"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40" w:lineRule="exact"/>
        <w:rPr>
          <w:sz w:val="20"/>
          <w:szCs w:val="20"/>
          <w:color w:val="auto"/>
        </w:rPr>
      </w:pPr>
    </w:p>
    <w:p>
      <w:pPr>
        <w:sectPr>
          <w:pgSz w:w="11880" w:h="15480" w:orient="portrait"/>
          <w:cols w:equalWidth="0" w:num="3">
            <w:col w:w="2320" w:space="600"/>
            <w:col w:w="520" w:space="180"/>
            <w:col w:w="6760"/>
          </w:cols>
          <w:pgMar w:left="720" w:top="870" w:right="780" w:bottom="305"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880" w:h="15480" w:orient="portrait"/>
          <w:cols w:equalWidth="0" w:num="1">
            <w:col w:w="10380"/>
          </w:cols>
          <w:pgMar w:left="720" w:top="870" w:right="780" w:bottom="305" w:gutter="0" w:footer="0" w:header="0"/>
          <w:type w:val="continuous"/>
        </w:sectPr>
      </w:pPr>
    </w:p>
    <w:p>
      <w:pPr>
        <w:spacing w:after="0" w:line="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Federal Realty Investment Trust Federal Realty OP LP</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w:t>
      </w:r>
    </w:p>
    <w:p>
      <w:pPr>
        <w:spacing w:after="0" w:line="225"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ectPr>
          <w:pgSz w:w="11880" w:h="15480" w:orient="portrait"/>
          <w:cols w:equalWidth="0" w:num="3">
            <w:col w:w="2320" w:space="560"/>
            <w:col w:w="520" w:space="180"/>
            <w:col w:w="6800"/>
          </w:cols>
          <w:pgMar w:left="720" w:top="870" w:right="780" w:bottom="305" w:gutter="0" w:footer="0" w:header="0"/>
          <w:type w:val="continuous"/>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31" w:lineRule="exact"/>
        <w:tabs>
          <w:tab w:leader="none" w:pos="2860" w:val="left"/>
        </w:tabs>
        <w:rPr>
          <w:sz w:val="20"/>
          <w:szCs w:val="20"/>
          <w:color w:val="auto"/>
        </w:rPr>
      </w:pPr>
      <w:r>
        <w:rPr>
          <w:rFonts w:ascii="Times New Roman" w:cs="Times New Roman" w:eastAsia="Times New Roman" w:hAnsi="Times New Roman"/>
          <w:sz w:val="18"/>
          <w:szCs w:val="18"/>
          <w:color w:val="auto"/>
        </w:rPr>
        <w:t>Federal Realty Investment Trust</w:t>
      </w:r>
      <w:r>
        <w:rPr>
          <w:sz w:val="20"/>
          <w:szCs w:val="20"/>
          <w:color w:val="auto"/>
        </w:rPr>
        <w:tab/>
      </w:r>
      <w:r>
        <w:rPr>
          <w:rFonts w:ascii="Arial Unicode MS" w:cs="Arial Unicode MS" w:eastAsia="Arial Unicode MS" w:hAnsi="Arial Unicode MS"/>
          <w:sz w:val="18"/>
          <w:szCs w:val="18"/>
          <w:color w:val="auto"/>
        </w:rPr>
        <w:t xml:space="preserve">☒ </w:t>
      </w:r>
      <w:r>
        <w:rPr>
          <w:rFonts w:ascii="Times New Roman" w:cs="Times New Roman" w:eastAsia="Times New Roman" w:hAnsi="Times New Roman"/>
          <w:sz w:val="18"/>
          <w:szCs w:val="18"/>
          <w:color w:val="auto"/>
        </w:rPr>
        <w:t>Yes</w:t>
      </w:r>
      <w:r>
        <w:rPr>
          <w:rFonts w:ascii="Arial Unicode MS" w:cs="Arial Unicode MS" w:eastAsia="Arial Unicode MS" w:hAnsi="Arial Unicode MS"/>
          <w:sz w:val="18"/>
          <w:szCs w:val="18"/>
          <w:color w:val="auto"/>
        </w:rPr>
        <w:t xml:space="preserve">  ☐ </w:t>
      </w:r>
      <w:r>
        <w:rPr>
          <w:rFonts w:ascii="Times New Roman" w:cs="Times New Roman" w:eastAsia="Times New Roman" w:hAnsi="Times New Roman"/>
          <w:sz w:val="18"/>
          <w:szCs w:val="18"/>
          <w:color w:val="auto"/>
        </w:rPr>
        <w:t>No</w:t>
      </w:r>
    </w:p>
    <w:p>
      <w:pPr>
        <w:spacing w:after="0" w:line="242" w:lineRule="exact"/>
        <w:tabs>
          <w:tab w:leader="none" w:pos="2860" w:val="left"/>
        </w:tabs>
        <w:rPr>
          <w:sz w:val="20"/>
          <w:szCs w:val="20"/>
          <w:color w:val="auto"/>
        </w:rPr>
      </w:pPr>
      <w:r>
        <w:rPr>
          <w:rFonts w:ascii="Times New Roman" w:cs="Times New Roman" w:eastAsia="Times New Roman" w:hAnsi="Times New Roman"/>
          <w:sz w:val="18"/>
          <w:szCs w:val="18"/>
          <w:color w:val="auto"/>
        </w:rPr>
        <w:t>Federal Realty OP LP</w:t>
      </w:r>
      <w:r>
        <w:rPr>
          <w:sz w:val="20"/>
          <w:szCs w:val="20"/>
          <w:color w:val="auto"/>
        </w:rPr>
        <w:tab/>
      </w:r>
      <w:r>
        <w:rPr>
          <w:rFonts w:ascii="Arial Unicode MS" w:cs="Arial Unicode MS" w:eastAsia="Arial Unicode MS" w:hAnsi="Arial Unicode MS"/>
          <w:sz w:val="18"/>
          <w:szCs w:val="18"/>
          <w:color w:val="auto"/>
        </w:rPr>
        <w:t xml:space="preserve">☒ </w:t>
      </w:r>
      <w:r>
        <w:rPr>
          <w:rFonts w:ascii="Times New Roman" w:cs="Times New Roman" w:eastAsia="Times New Roman" w:hAnsi="Times New Roman"/>
          <w:sz w:val="18"/>
          <w:szCs w:val="18"/>
          <w:color w:val="auto"/>
        </w:rPr>
        <w:t>Yes</w:t>
      </w:r>
      <w:r>
        <w:rPr>
          <w:rFonts w:ascii="Arial Unicode MS" w:cs="Arial Unicode MS" w:eastAsia="Arial Unicode MS" w:hAnsi="Arial Unicode MS"/>
          <w:sz w:val="18"/>
          <w:szCs w:val="18"/>
          <w:color w:val="auto"/>
        </w:rPr>
        <w:t xml:space="preserve">  ☐ </w:t>
      </w:r>
      <w:r>
        <w:rPr>
          <w:rFonts w:ascii="Times New Roman" w:cs="Times New Roman" w:eastAsia="Times New Roman" w:hAnsi="Times New Roman"/>
          <w:sz w:val="18"/>
          <w:szCs w:val="18"/>
          <w:color w:val="auto"/>
        </w:rPr>
        <w:t>No</w:t>
      </w:r>
    </w:p>
    <w:p>
      <w:pPr>
        <w:sectPr>
          <w:pgSz w:w="11880" w:h="15480" w:orient="portrait"/>
          <w:cols w:equalWidth="0" w:num="1">
            <w:col w:w="10360"/>
          </w:cols>
          <w:pgMar w:left="720" w:top="574" w:right="800" w:bottom="1440" w:gutter="0" w:footer="0" w:header="0"/>
        </w:sectPr>
      </w:pP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Federal Realty Investment Trust</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79"/>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330"/>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316"/>
        </w:trPr>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8"/>
              </w:rPr>
              <w:t>Emerging growth company</w:t>
            </w:r>
          </w:p>
        </w:tc>
      </w:tr>
      <w:tr>
        <w:trPr>
          <w:trHeight w:val="22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Federal Realty OP LP</w:t>
            </w:r>
          </w:p>
        </w:tc>
        <w:tc>
          <w:tcPr>
            <w:tcW w:w="800" w:type="dxa"/>
            <w:vAlign w:val="bottom"/>
            <w:gridSpan w:val="2"/>
          </w:tcPr>
          <w:p>
            <w:pPr>
              <w:spacing w:after="0"/>
              <w:rPr>
                <w:sz w:val="19"/>
                <w:szCs w:val="19"/>
                <w:color w:val="auto"/>
              </w:rPr>
            </w:pPr>
          </w:p>
        </w:tc>
        <w:tc>
          <w:tcPr>
            <w:tcW w:w="136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315"/>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301"/>
        </w:trPr>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8"/>
              </w:rPr>
              <w:t>Emerging growth company</w:t>
            </w:r>
          </w:p>
        </w:tc>
      </w:tr>
    </w:tbl>
    <w:p>
      <w:pPr>
        <w:spacing w:after="0" w:line="134" w:lineRule="exact"/>
        <w:rPr>
          <w:sz w:val="20"/>
          <w:szCs w:val="20"/>
          <w:color w:val="auto"/>
        </w:rPr>
      </w:pPr>
    </w:p>
    <w:p>
      <w:pPr>
        <w:ind w:left="60" w:right="260"/>
        <w:spacing w:after="0"/>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2" w:lineRule="exact"/>
        <w:rPr>
          <w:sz w:val="20"/>
          <w:szCs w:val="20"/>
          <w:color w:val="auto"/>
        </w:rPr>
      </w:pPr>
    </w:p>
    <w:p>
      <w:pPr>
        <w:ind w:left="60" w:right="60"/>
        <w:spacing w:after="0" w:line="229"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p>
    <w:p>
      <w:pPr>
        <w:spacing w:after="0" w:line="6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p>
    <w:p>
      <w:pPr>
        <w:spacing w:after="0" w:line="7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p>
    <w:p>
      <w:pPr>
        <w:spacing w:after="0" w:line="229"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p>
    <w:p>
      <w:pPr>
        <w:spacing w:after="0" w:line="4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p>
    <w:p>
      <w:pPr>
        <w:spacing w:after="0" w:line="6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p>
    <w:p>
      <w:pPr>
        <w:spacing w:after="0" w:line="6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p>
    <w:p>
      <w:pPr>
        <w:spacing w:after="0" w:line="804" w:lineRule="exact"/>
        <w:rPr>
          <w:sz w:val="20"/>
          <w:szCs w:val="20"/>
          <w:color w:val="auto"/>
        </w:rPr>
      </w:pPr>
    </w:p>
    <w:p>
      <w:pPr>
        <w:sectPr>
          <w:pgSz w:w="11880" w:h="15480" w:orient="portrait"/>
          <w:cols w:equalWidth="0" w:num="2">
            <w:col w:w="10160" w:space="40"/>
            <w:col w:w="160"/>
          </w:cols>
          <w:pgMar w:left="720" w:top="574" w:right="800" w:bottom="1440" w:gutter="0" w:footer="0" w:header="0"/>
          <w:type w:val="continuous"/>
        </w:sectPr>
      </w:pPr>
    </w:p>
    <w:tbl>
      <w:tblPr>
        <w:tblLayout w:type="fixed"/>
        <w:tblInd w:w="60" w:type="dxa"/>
        <w:tblCellMar>
          <w:top w:w="0" w:type="dxa"/>
          <w:left w:w="0" w:type="dxa"/>
          <w:bottom w:w="0" w:type="dxa"/>
          <w:right w:w="0" w:type="dxa"/>
        </w:tblCellMar>
      </w:tblPr>
      <w:tr>
        <w:trPr>
          <w:trHeight w:val="26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Federal Realty Investment Trust</w:t>
            </w:r>
          </w:p>
        </w:tc>
        <w:tc>
          <w:tcPr>
            <w:tcW w:w="220" w:type="dxa"/>
            <w:vAlign w:val="bottom"/>
          </w:tcPr>
          <w:p>
            <w:pPr>
              <w:ind w:left="80"/>
              <w:spacing w:after="0" w:line="263" w:lineRule="exact"/>
              <w:rPr>
                <w:sz w:val="20"/>
                <w:szCs w:val="20"/>
                <w:color w:val="auto"/>
              </w:rPr>
            </w:pPr>
            <w:r>
              <w:rPr>
                <w:rFonts w:ascii="Arial Unicode MS" w:cs="Arial Unicode MS" w:eastAsia="Arial Unicode MS" w:hAnsi="Arial Unicode MS"/>
                <w:sz w:val="20"/>
                <w:szCs w:val="20"/>
                <w:color w:val="auto"/>
                <w:w w:val="81"/>
              </w:rPr>
              <w:t>☒</w:t>
            </w:r>
          </w:p>
        </w:tc>
      </w:tr>
      <w:tr>
        <w:trPr>
          <w:trHeight w:val="28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Federal Realty OP LP</w:t>
            </w:r>
          </w:p>
        </w:tc>
        <w:tc>
          <w:tcPr>
            <w:tcW w:w="220" w:type="dxa"/>
            <w:vAlign w:val="bottom"/>
          </w:tcPr>
          <w:p>
            <w:pPr>
              <w:ind w:left="80"/>
              <w:spacing w:after="0" w:line="268" w:lineRule="exact"/>
              <w:rPr>
                <w:sz w:val="20"/>
                <w:szCs w:val="20"/>
                <w:color w:val="auto"/>
              </w:rPr>
            </w:pPr>
            <w:r>
              <w:rPr>
                <w:rFonts w:ascii="Arial Unicode MS" w:cs="Arial Unicode MS" w:eastAsia="Arial Unicode MS" w:hAnsi="Arial Unicode MS"/>
                <w:sz w:val="20"/>
                <w:szCs w:val="20"/>
                <w:color w:val="auto"/>
                <w:w w:val="81"/>
              </w:rPr>
              <w:t>☒</w:t>
            </w:r>
          </w:p>
        </w:tc>
      </w:tr>
    </w:tbl>
    <w:p>
      <w:pPr>
        <w:spacing w:after="0" w:line="65" w:lineRule="exact"/>
        <w:rPr>
          <w:sz w:val="20"/>
          <w:szCs w:val="20"/>
          <w:color w:val="auto"/>
        </w:rPr>
      </w:pPr>
    </w:p>
    <w:p>
      <w:pPr>
        <w:ind w:left="60" w:right="480"/>
        <w:spacing w:after="0"/>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49" w:lineRule="exact"/>
        <w:rPr>
          <w:sz w:val="20"/>
          <w:szCs w:val="20"/>
          <w:color w:val="auto"/>
        </w:rPr>
      </w:pPr>
    </w:p>
    <w:p>
      <w:pPr>
        <w:ind w:left="60"/>
        <w:spacing w:after="0" w:line="242" w:lineRule="exact"/>
        <w:rPr>
          <w:sz w:val="20"/>
          <w:szCs w:val="20"/>
          <w:color w:val="auto"/>
        </w:rPr>
      </w:pPr>
      <w:r>
        <w:rPr>
          <w:rFonts w:ascii="Times New Roman" w:cs="Times New Roman" w:eastAsia="Times New Roman" w:hAnsi="Times New Roman"/>
          <w:sz w:val="18"/>
          <w:szCs w:val="18"/>
          <w:color w:val="auto"/>
        </w:rPr>
        <w:t xml:space="preserve">Federal Realty Investment Trust  </w:t>
      </w:r>
      <w:r>
        <w:rPr>
          <w:rFonts w:ascii="Arial Unicode MS" w:cs="Arial Unicode MS" w:eastAsia="Arial Unicode MS" w:hAnsi="Arial Unicode MS"/>
          <w:sz w:val="18"/>
          <w:szCs w:val="18"/>
          <w:color w:val="auto"/>
        </w:rPr>
        <w:t>☐</w:t>
      </w:r>
    </w:p>
    <w:p>
      <w:pPr>
        <w:spacing w:after="0" w:line="14" w:lineRule="exact"/>
        <w:rPr>
          <w:sz w:val="20"/>
          <w:szCs w:val="20"/>
          <w:color w:val="auto"/>
        </w:rPr>
      </w:pPr>
    </w:p>
    <w:p>
      <w:pPr>
        <w:ind w:left="60"/>
        <w:spacing w:after="0" w:line="215" w:lineRule="exact"/>
        <w:tabs>
          <w:tab w:leader="none" w:pos="2500" w:val="left"/>
        </w:tabs>
        <w:rPr>
          <w:sz w:val="20"/>
          <w:szCs w:val="20"/>
          <w:color w:val="auto"/>
        </w:rPr>
      </w:pPr>
      <w:r>
        <w:rPr>
          <w:rFonts w:ascii="Times New Roman" w:cs="Times New Roman" w:eastAsia="Times New Roman" w:hAnsi="Times New Roman"/>
          <w:sz w:val="18"/>
          <w:szCs w:val="18"/>
          <w:color w:val="auto"/>
        </w:rPr>
        <w:t>Federal Realty OP LP</w:t>
      </w:r>
      <w:r>
        <w:rPr>
          <w:sz w:val="20"/>
          <w:szCs w:val="20"/>
          <w:color w:val="auto"/>
        </w:rPr>
        <w:tab/>
      </w:r>
      <w:r>
        <w:rPr>
          <w:rFonts w:ascii="Arial Unicode MS" w:cs="Arial Unicode MS" w:eastAsia="Arial Unicode MS" w:hAnsi="Arial Unicode MS"/>
          <w:sz w:val="16"/>
          <w:szCs w:val="16"/>
          <w:color w:val="auto"/>
        </w:rPr>
        <w:t>☐</w:t>
      </w:r>
    </w:p>
    <w:p>
      <w:pPr>
        <w:spacing w:after="0" w:line="118" w:lineRule="exact"/>
        <w:rPr>
          <w:sz w:val="20"/>
          <w:szCs w:val="20"/>
          <w:color w:val="auto"/>
        </w:rPr>
      </w:pPr>
    </w:p>
    <w:p>
      <w:pPr>
        <w:jc w:val="both"/>
        <w:ind w:left="60" w:right="840"/>
        <w:spacing w:after="0" w:line="268"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26" w:lineRule="exact"/>
        <w:rPr>
          <w:sz w:val="20"/>
          <w:szCs w:val="20"/>
          <w:color w:val="auto"/>
        </w:rPr>
      </w:pPr>
    </w:p>
    <w:p>
      <w:pPr>
        <w:ind w:left="60"/>
        <w:spacing w:after="0" w:line="242" w:lineRule="exact"/>
        <w:rPr>
          <w:sz w:val="20"/>
          <w:szCs w:val="20"/>
          <w:color w:val="auto"/>
        </w:rPr>
      </w:pPr>
      <w:r>
        <w:rPr>
          <w:rFonts w:ascii="Times New Roman" w:cs="Times New Roman" w:eastAsia="Times New Roman" w:hAnsi="Times New Roman"/>
          <w:sz w:val="18"/>
          <w:szCs w:val="18"/>
          <w:color w:val="auto"/>
        </w:rPr>
        <w:t xml:space="preserve">Federal Realty Investment Trust  </w:t>
      </w:r>
      <w:r>
        <w:rPr>
          <w:rFonts w:ascii="Arial Unicode MS" w:cs="Arial Unicode MS" w:eastAsia="Arial Unicode MS" w:hAnsi="Arial Unicode MS"/>
          <w:sz w:val="18"/>
          <w:szCs w:val="18"/>
          <w:color w:val="auto"/>
        </w:rPr>
        <w:t>☐</w:t>
      </w:r>
    </w:p>
    <w:p>
      <w:pPr>
        <w:spacing w:after="0" w:line="14" w:lineRule="exact"/>
        <w:rPr>
          <w:sz w:val="20"/>
          <w:szCs w:val="20"/>
          <w:color w:val="auto"/>
        </w:rPr>
      </w:pPr>
    </w:p>
    <w:p>
      <w:pPr>
        <w:ind w:left="60"/>
        <w:spacing w:after="0" w:line="215" w:lineRule="exact"/>
        <w:tabs>
          <w:tab w:leader="none" w:pos="2500" w:val="left"/>
        </w:tabs>
        <w:rPr>
          <w:sz w:val="20"/>
          <w:szCs w:val="20"/>
          <w:color w:val="auto"/>
        </w:rPr>
      </w:pPr>
      <w:r>
        <w:rPr>
          <w:rFonts w:ascii="Times New Roman" w:cs="Times New Roman" w:eastAsia="Times New Roman" w:hAnsi="Times New Roman"/>
          <w:sz w:val="18"/>
          <w:szCs w:val="18"/>
          <w:color w:val="auto"/>
        </w:rPr>
        <w:t>Federal Realty OP LP</w:t>
      </w:r>
      <w:r>
        <w:rPr>
          <w:sz w:val="20"/>
          <w:szCs w:val="20"/>
          <w:color w:val="auto"/>
        </w:rPr>
        <w:tab/>
      </w:r>
      <w:r>
        <w:rPr>
          <w:rFonts w:ascii="Arial Unicode MS" w:cs="Arial Unicode MS" w:eastAsia="Arial Unicode MS" w:hAnsi="Arial Unicode MS"/>
          <w:sz w:val="16"/>
          <w:szCs w:val="16"/>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38" w:lineRule="exact"/>
        <w:rPr>
          <w:sz w:val="20"/>
          <w:szCs w:val="20"/>
          <w:color w:val="auto"/>
        </w:rPr>
      </w:pPr>
    </w:p>
    <w:p>
      <w:pPr>
        <w:spacing w:after="0" w:line="242" w:lineRule="exact"/>
        <w:tabs>
          <w:tab w:leader="none" w:pos="2860" w:val="left"/>
        </w:tabs>
        <w:rPr>
          <w:sz w:val="20"/>
          <w:szCs w:val="20"/>
          <w:color w:val="auto"/>
        </w:rPr>
      </w:pPr>
      <w:r>
        <w:rPr>
          <w:rFonts w:ascii="Times New Roman" w:cs="Times New Roman" w:eastAsia="Times New Roman" w:hAnsi="Times New Roman"/>
          <w:sz w:val="18"/>
          <w:szCs w:val="18"/>
          <w:color w:val="auto"/>
        </w:rPr>
        <w:t>Federal Realty Investment Trust</w:t>
      </w:r>
      <w:r>
        <w:rPr>
          <w:sz w:val="20"/>
          <w:szCs w:val="20"/>
          <w:color w:val="auto"/>
        </w:rPr>
        <w:tab/>
      </w:r>
      <w:r>
        <w:rPr>
          <w:rFonts w:ascii="Arial Unicode MS" w:cs="Arial Unicode MS" w:eastAsia="Arial Unicode MS" w:hAnsi="Arial Unicode MS"/>
          <w:sz w:val="18"/>
          <w:szCs w:val="18"/>
          <w:color w:val="auto"/>
        </w:rPr>
        <w:t xml:space="preserve">☐ </w:t>
      </w:r>
      <w:r>
        <w:rPr>
          <w:rFonts w:ascii="Times New Roman" w:cs="Times New Roman" w:eastAsia="Times New Roman" w:hAnsi="Times New Roman"/>
          <w:sz w:val="18"/>
          <w:szCs w:val="18"/>
          <w:color w:val="auto"/>
        </w:rPr>
        <w:t>Yes</w:t>
      </w:r>
      <w:r>
        <w:rPr>
          <w:rFonts w:ascii="Arial Unicode MS" w:cs="Arial Unicode MS" w:eastAsia="Arial Unicode MS" w:hAnsi="Arial Unicode MS"/>
          <w:sz w:val="18"/>
          <w:szCs w:val="18"/>
          <w:color w:val="auto"/>
        </w:rPr>
        <w:t xml:space="preserve">  ☒ </w:t>
      </w:r>
      <w:r>
        <w:rPr>
          <w:rFonts w:ascii="Times New Roman" w:cs="Times New Roman" w:eastAsia="Times New Roman" w:hAnsi="Times New Roman"/>
          <w:sz w:val="18"/>
          <w:szCs w:val="18"/>
          <w:color w:val="auto"/>
        </w:rPr>
        <w:t>No</w:t>
      </w:r>
    </w:p>
    <w:p>
      <w:pPr>
        <w:spacing w:after="0" w:line="242" w:lineRule="exact"/>
        <w:tabs>
          <w:tab w:leader="none" w:pos="2860" w:val="left"/>
        </w:tabs>
        <w:rPr>
          <w:sz w:val="20"/>
          <w:szCs w:val="20"/>
          <w:color w:val="auto"/>
        </w:rPr>
      </w:pPr>
      <w:r>
        <w:rPr>
          <w:rFonts w:ascii="Times New Roman" w:cs="Times New Roman" w:eastAsia="Times New Roman" w:hAnsi="Times New Roman"/>
          <w:sz w:val="18"/>
          <w:szCs w:val="18"/>
          <w:color w:val="auto"/>
        </w:rPr>
        <w:t>Federal Realty OP LP</w:t>
      </w:r>
      <w:r>
        <w:rPr>
          <w:sz w:val="20"/>
          <w:szCs w:val="20"/>
          <w:color w:val="auto"/>
        </w:rPr>
        <w:tab/>
      </w:r>
      <w:r>
        <w:rPr>
          <w:rFonts w:ascii="Arial Unicode MS" w:cs="Arial Unicode MS" w:eastAsia="Arial Unicode MS" w:hAnsi="Arial Unicode MS"/>
          <w:sz w:val="18"/>
          <w:szCs w:val="18"/>
          <w:color w:val="auto"/>
        </w:rPr>
        <w:t xml:space="preserve">☐ </w:t>
      </w:r>
      <w:r>
        <w:rPr>
          <w:rFonts w:ascii="Times New Roman" w:cs="Times New Roman" w:eastAsia="Times New Roman" w:hAnsi="Times New Roman"/>
          <w:sz w:val="18"/>
          <w:szCs w:val="18"/>
          <w:color w:val="auto"/>
        </w:rPr>
        <w:t>Yes</w:t>
      </w:r>
      <w:r>
        <w:rPr>
          <w:rFonts w:ascii="Arial Unicode MS" w:cs="Arial Unicode MS" w:eastAsia="Arial Unicode MS" w:hAnsi="Arial Unicode MS"/>
          <w:sz w:val="18"/>
          <w:szCs w:val="18"/>
          <w:color w:val="auto"/>
        </w:rPr>
        <w:t xml:space="preserve">  ☒ </w:t>
      </w:r>
      <w:r>
        <w:rPr>
          <w:rFonts w:ascii="Times New Roman" w:cs="Times New Roman" w:eastAsia="Times New Roman" w:hAnsi="Times New Roman"/>
          <w:sz w:val="18"/>
          <w:szCs w:val="18"/>
          <w:color w:val="auto"/>
        </w:rPr>
        <w:t>No</w:t>
      </w:r>
    </w:p>
    <w:p>
      <w:pPr>
        <w:spacing w:after="0" w:line="27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The aggregate market value of the registrant's common shares held by non-affiliates of the registrant, based upon the closing sales price of the registrant's common shares on June 30,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 $7.7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OP LP: 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Federal Realty Investment Trust's common shares outstanding on February 3, 2023 was 81,353,180.</w:t>
      </w:r>
    </w:p>
    <w:p>
      <w:pPr>
        <w:sectPr>
          <w:pgSz w:w="11880" w:h="15480" w:orient="portrait"/>
          <w:cols w:equalWidth="0" w:num="1">
            <w:col w:w="10360"/>
          </w:cols>
          <w:pgMar w:left="720" w:top="574" w:right="80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17" w:lineRule="exact"/>
        <w:rPr>
          <w:sz w:val="20"/>
          <w:szCs w:val="20"/>
          <w:color w:val="auto"/>
        </w:rPr>
      </w:pPr>
    </w:p>
    <w:p>
      <w:pPr>
        <w:ind w:right="220"/>
        <w:spacing w:after="0" w:line="309" w:lineRule="auto"/>
        <w:rPr>
          <w:sz w:val="20"/>
          <w:szCs w:val="20"/>
          <w:color w:val="auto"/>
        </w:rPr>
      </w:pPr>
      <w:r>
        <w:rPr>
          <w:rFonts w:ascii="Times New Roman" w:cs="Times New Roman" w:eastAsia="Times New Roman" w:hAnsi="Times New Roman"/>
          <w:sz w:val="19"/>
          <w:szCs w:val="19"/>
          <w:color w:val="auto"/>
        </w:rPr>
        <w:t>Portions of Federal Realty Investment Trust’s Proxy Statement to be filed with the Securities and Exchange Commission (the "SEC") for its annual meeting of shareholders to be held in May 2023 will be incorporated by reference into Part III hereof.</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11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9"/>
          <w:szCs w:val="19"/>
          <w:color w:val="auto"/>
        </w:rPr>
        <w:t>This report combines the annual reports on Form 10-K for the year ended December 31, 2022,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5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December 31, 2022, the Parent Company owned 100% of the outstanding partnership units (the "OP Units") in the Operating Partnership.</w:t>
      </w:r>
    </w:p>
    <w:p>
      <w:pPr>
        <w:spacing w:after="0" w:line="6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The Company believes combining the annual reports on Form 10-K of the Parent Company and the Operating Partnership into this single report provides the following benefits:</w:t>
      </w:r>
    </w:p>
    <w:p>
      <w:pPr>
        <w:spacing w:after="0" w:line="41" w:lineRule="exact"/>
        <w:rPr>
          <w:sz w:val="20"/>
          <w:szCs w:val="20"/>
          <w:color w:val="auto"/>
        </w:rPr>
      </w:pPr>
    </w:p>
    <w:p>
      <w:pPr>
        <w:ind w:left="720" w:right="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Enhances investors' understanding of the Parent Company and the Operating Partnership by enabling investors to view the businesses as a whole in the same manner as management views and operates the business;</w:t>
      </w:r>
    </w:p>
    <w:p>
      <w:pPr>
        <w:spacing w:after="0" w:line="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Eliminates duplicate disclosure and provides a more streamlined and readable presentation; and</w:t>
      </w:r>
    </w:p>
    <w:p>
      <w:pPr>
        <w:spacing w:after="0" w:line="1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Creates time and cost efficiencies through the preparation of one combined report instead of two separate reports.</w:t>
      </w:r>
    </w:p>
    <w:p>
      <w:pPr>
        <w:spacing w:after="0" w:line="110"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6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ectPr>
          <w:pgSz w:w="11880" w:h="15480" w:orient="portrait"/>
          <w:cols w:equalWidth="0" w:num="1">
            <w:col w:w="10240"/>
          </w:cols>
          <w:pgMar w:left="820" w:top="406" w:right="820" w:bottom="1440" w:gutter="0" w:footer="0" w:header="0"/>
        </w:sectPr>
      </w:pPr>
    </w:p>
    <w:bookmarkStart w:id="9" w:name="page10"/>
    <w:bookmarkEnd w:id="9"/>
    <w:p>
      <w:pPr>
        <w:ind w:left="3080"/>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3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FEDERAL REALTY OP LP</w:t>
      </w:r>
    </w:p>
    <w:p>
      <w:pPr>
        <w:spacing w:after="0" w:line="16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3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FISCAL YEAR ENDED DECEMBER 31, 2022</w:t>
      </w:r>
    </w:p>
    <w:p>
      <w:pPr>
        <w:spacing w:after="0" w:line="8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3</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18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19</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28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28</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w:t>
      </w:r>
    </w:p>
    <w:p>
      <w:pPr>
        <w:spacing w:after="0" w:line="3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Our Common Equity and Related Shareholder Matters and Issuer Purchases of Equity</w:t>
      </w:r>
    </w:p>
    <w:p>
      <w:pPr>
        <w:spacing w:after="0" w:line="23"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29</w:t>
      </w:r>
    </w:p>
    <w:p>
      <w:pPr>
        <w:spacing w:after="0" w:line="33"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31</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31</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49</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50</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50</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50</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51</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III</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Trustees, Executive Officers and Corporate Governance</w:t>
      </w:r>
      <w:r>
        <w:rPr>
          <w:sz w:val="20"/>
          <w:szCs w:val="20"/>
          <w:color w:val="auto"/>
        </w:rPr>
        <w:tab/>
      </w:r>
      <w:r>
        <w:rPr>
          <w:rFonts w:ascii="Times New Roman" w:cs="Times New Roman" w:eastAsia="Times New Roman" w:hAnsi="Times New Roman"/>
          <w:sz w:val="20"/>
          <w:szCs w:val="20"/>
          <w:color w:val="auto"/>
        </w:rPr>
        <w:t>52</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52</w:t>
      </w:r>
    </w:p>
    <w:p>
      <w:pPr>
        <w:spacing w:after="0" w:line="34"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Shareholder Matters</w:t>
      </w:r>
      <w:r>
        <w:rPr>
          <w:sz w:val="20"/>
          <w:szCs w:val="20"/>
          <w:color w:val="auto"/>
        </w:rPr>
        <w:tab/>
      </w:r>
      <w:r>
        <w:rPr>
          <w:rFonts w:ascii="Times New Roman" w:cs="Times New Roman" w:eastAsia="Times New Roman" w:hAnsi="Times New Roman"/>
          <w:sz w:val="20"/>
          <w:szCs w:val="20"/>
          <w:color w:val="auto"/>
        </w:rPr>
        <w:t>52</w:t>
      </w:r>
    </w:p>
    <w:p>
      <w:pPr>
        <w:spacing w:after="0" w:line="76"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Trustee Independence</w:t>
      </w:r>
      <w:r>
        <w:rPr>
          <w:sz w:val="20"/>
          <w:szCs w:val="20"/>
          <w:color w:val="auto"/>
        </w:rPr>
        <w:tab/>
      </w:r>
      <w:r>
        <w:rPr>
          <w:rFonts w:ascii="Times New Roman" w:cs="Times New Roman" w:eastAsia="Times New Roman" w:hAnsi="Times New Roman"/>
          <w:sz w:val="20"/>
          <w:szCs w:val="20"/>
          <w:color w:val="auto"/>
        </w:rPr>
        <w:t>52</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w:t>
      </w:r>
      <w:r>
        <w:rPr>
          <w:sz w:val="20"/>
          <w:szCs w:val="20"/>
          <w:color w:val="auto"/>
        </w:rPr>
        <w:tab/>
      </w:r>
      <w:r>
        <w:rPr>
          <w:rFonts w:ascii="Times New Roman" w:cs="Times New Roman" w:eastAsia="Times New Roman" w:hAnsi="Times New Roman"/>
          <w:sz w:val="20"/>
          <w:szCs w:val="20"/>
          <w:color w:val="auto"/>
        </w:rPr>
        <w:t>52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IV</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52</w:t>
      </w:r>
    </w:p>
    <w:p>
      <w:pPr>
        <w:spacing w:after="0" w:line="70" w:lineRule="exact"/>
        <w:rPr>
          <w:sz w:val="20"/>
          <w:szCs w:val="20"/>
          <w:color w:val="auto"/>
        </w:rPr>
      </w:pPr>
    </w:p>
    <w:p>
      <w:pPr>
        <w:spacing w:after="0"/>
        <w:tabs>
          <w:tab w:leader="none" w:pos="1220" w:val="left"/>
          <w:tab w:leader="none" w:pos="98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56</w:t>
      </w:r>
    </w:p>
    <w:p>
      <w:pPr>
        <w:spacing w:after="0" w:line="355" w:lineRule="exact"/>
        <w:rPr>
          <w:sz w:val="20"/>
          <w:szCs w:val="20"/>
          <w:color w:val="auto"/>
        </w:rPr>
      </w:pPr>
    </w:p>
    <w:p>
      <w:pPr>
        <w:spacing w:after="0"/>
        <w:tabs>
          <w:tab w:leader="dot" w:pos="982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57</w:t>
      </w:r>
    </w:p>
    <w:p>
      <w:pPr>
        <w:sectPr>
          <w:pgSz w:w="11880" w:h="15480" w:orient="portrait"/>
          <w:cols w:equalWidth="0" w:num="1">
            <w:col w:w="10040"/>
          </w:cols>
          <w:pgMar w:left="880" w:top="40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040"/>
          </w:cols>
          <w:pgMar w:left="880" w:top="406" w:right="960" w:bottom="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are some of the risks and uncertainties, although not all risks and uncertainties, that could cause our actual results to differ materially from those presented in our forward-looking statements:</w:t>
      </w:r>
    </w:p>
    <w:p>
      <w:pPr>
        <w:spacing w:after="0" w:line="181" w:lineRule="exact"/>
        <w:rPr>
          <w:sz w:val="20"/>
          <w:szCs w:val="20"/>
          <w:color w:val="auto"/>
        </w:rPr>
      </w:pPr>
    </w:p>
    <w:p>
      <w:pPr>
        <w:ind w:left="720" w:right="20" w:hanging="370"/>
        <w:spacing w:after="0" w:line="26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that our tenants will not pay rent, may vacate early or may file for bankruptcy or that we may be unable to renew leases or re-let space at favorable rents as leases expire or to fill existing vacancy;</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that our growth will be limited if we cannot obtain additional capital, or if the costs of capital we obtain are significantly higher than historical levels;</w:t>
      </w:r>
    </w:p>
    <w:p>
      <w:pPr>
        <w:ind w:left="7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general economic conditions, including inflation and local economic conditions in our geographic markets;</w:t>
      </w:r>
    </w:p>
    <w:p>
      <w:pPr>
        <w:jc w:val="both"/>
        <w:ind w:left="7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3"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natural disasters, climate change and public health crises (such as the outbreak and worldwide spread of COVID-19), and the measures that international, federal, state and local governments, agencies, law enforcement and/ 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we describe risks and uncertainties that could cause actual results and events to differ materially in “Risk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(Part I, Item 1A of this Annual Report on Form 10-K), “Quantitative and Qualitative Disclosures about Market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 (Part II, Item 7A), and “Management’s Discussion and Analysis of Financial Conditions and Results of Operations” (Part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II, Item 7).</w:t>
      </w:r>
    </w:p>
    <w:p>
      <w:pPr>
        <w:spacing w:after="0" w:line="1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9"/>
          <w:szCs w:val="19"/>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off of its assets. The Trust owns 100% of the limited liability company interest of, is sole</w:t>
      </w:r>
    </w:p>
    <w:p>
      <w:pPr>
        <w:sectPr>
          <w:pgSz w:w="11880" w:h="15480" w:orient="portrait"/>
          <w:cols w:equalWidth="0" w:num="1">
            <w:col w:w="10260"/>
          </w:cols>
          <w:pgMar w:left="820" w:top="886" w:right="800" w:bottom="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260"/>
          </w:cols>
          <w:pgMar w:left="820" w:top="886" w:right="800" w:bottom="0" w:gutter="0" w:footer="0" w:header="0"/>
          <w:type w:val="continuous"/>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20"/>
          <w:szCs w:val="20"/>
          <w:color w:val="auto"/>
        </w:rPr>
        <w:t>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Partnership.The Parent Company specializes in the ownership, management, and redevelopment of high quality retail and mixed-use properties located primarily in communities where we believe retail demand exceeds supply, in strategically selected metropolitan markets in the Mid-Atlantic and Northeast regions of the United States, California, and South Florida. As of December 31, 2022, we owned or had a majority interest in community and neighborhood shopping centers and mixed-use properties which are operated as 103 predominantly retail real estate projects comprising approximately 25.8 million square feet. In total, the real estate projects were 94.5% leased and 92.8% occupied at December 31, 2022. Our revenue is primarily generated from lease agreements with tenants. We have paid quarterly dividends to our shareholders continuously since our founding in 1962 and have increased our dividends per common share for 55 consecutive years.</w:t>
      </w:r>
    </w:p>
    <w:p>
      <w:pPr>
        <w:spacing w:after="0" w:line="15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Times New Roman" w:cs="Times New Roman" w:eastAsia="Times New Roman" w:hAnsi="Times New Roman"/>
          <w:sz w:val="20"/>
          <w:szCs w:val="20"/>
          <w:i w:val="1"/>
          <w:iCs w:val="1"/>
          <w:color w:val="auto"/>
        </w:rPr>
        <w:t>www.federalrealty.com</w:t>
      </w:r>
      <w:r>
        <w:rPr>
          <w:rFonts w:ascii="Times New Roman" w:cs="Times New Roman" w:eastAsia="Times New Roman" w:hAnsi="Times New Roman"/>
          <w:sz w:val="20"/>
          <w:szCs w:val="20"/>
          <w:color w:val="auto"/>
        </w:rPr>
        <w:t>. The information contained on our website is not a part of this report and is not incorporated herein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reference.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Objectives and Strategies</w:t>
      </w:r>
    </w:p>
    <w:p>
      <w:pPr>
        <w:spacing w:after="0" w:line="11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Our primary business objective is to own, manage, acquire and redevelop a portfolio of high quality retail focused properties that will:</w:t>
      </w:r>
    </w:p>
    <w:p>
      <w:pPr>
        <w:spacing w:after="0" w:line="2" w:lineRule="exact"/>
        <w:rPr>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increasing cash flow for distribution to shareholders;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generate higher internal growth than the shopping center industry over the long term;</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potential for capital appreciation;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investor capital.</w:t>
      </w:r>
    </w:p>
    <w:p>
      <w:pPr>
        <w:spacing w:after="0" w:line="17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Strategies</w:t>
      </w:r>
    </w:p>
    <w:p>
      <w:pPr>
        <w:spacing w:after="0" w:line="11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spacing w:after="0" w:line="3" w:lineRule="exact"/>
        <w:rPr>
          <w:sz w:val="20"/>
          <w:szCs w:val="20"/>
          <w:color w:val="auto"/>
        </w:rPr>
      </w:pPr>
    </w:p>
    <w:p>
      <w:pPr>
        <w:ind w:left="720" w:right="34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rental rates through the renewal of expiring leases or the leasing of space to new tenants at higher rental rates while limiting vacancy and down-time;</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diversified tenant base, thereby limiting exposure to any one tenant’s financial or operating difficulties;</w:t>
      </w:r>
    </w:p>
    <w:p>
      <w:pPr>
        <w:spacing w:after="0" w:line="10" w:lineRule="exact"/>
        <w:rPr>
          <w:rFonts w:ascii="Times New Roman" w:cs="Times New Roman" w:eastAsia="Times New Roman" w:hAnsi="Times New Roman"/>
          <w:sz w:val="20"/>
          <w:szCs w:val="20"/>
          <w:color w:val="auto"/>
        </w:rPr>
      </w:pPr>
    </w:p>
    <w:p>
      <w:pPr>
        <w:ind w:left="720" w:right="8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the merchandising mix of our tenant base to achieve a balance of strong national and regional tenants with local specialty tenants;</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minimizing overhead and operating costs;</w:t>
      </w:r>
    </w:p>
    <w:p>
      <w:pPr>
        <w:spacing w:after="0" w:line="10"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our properties to take into account their impact on climate change and their resilience in the face of climate change;</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local and regional market expertise in order to capitalize on market and retailing trends;</w:t>
      </w:r>
    </w:p>
    <w:p>
      <w:pPr>
        <w:spacing w:after="0" w:line="10" w:lineRule="exact"/>
        <w:rPr>
          <w:rFonts w:ascii="Times New Roman" w:cs="Times New Roman" w:eastAsia="Times New Roman" w:hAnsi="Times New Roman"/>
          <w:sz w:val="20"/>
          <w:szCs w:val="20"/>
          <w:color w:val="auto"/>
        </w:rPr>
      </w:pPr>
    </w:p>
    <w:p>
      <w:pPr>
        <w:ind w:left="720" w:right="30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leveraging the contacts and experience of our management team to build and maintain long-term relationships with tenants;</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exceptional customer service; and</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an experience at many of our properties that is identifiable, unique and serves the surrounding communities to help insulate these properties and the tenants at these properties from the impact of on-line retailing.</w:t>
      </w:r>
    </w:p>
    <w:p>
      <w:pPr>
        <w:sectPr>
          <w:pgSz w:w="11880" w:h="15480" w:orient="portrait"/>
          <w:cols w:equalWidth="0" w:num="1">
            <w:col w:w="10220"/>
          </w:cols>
          <w:pgMar w:left="820" w:top="41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220"/>
          </w:cols>
          <w:pgMar w:left="820" w:top="413" w:right="8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auto"/>
        </w:rPr>
        <w:t>Investing Strategies</w:t>
      </w:r>
    </w:p>
    <w:p>
      <w:pPr>
        <w:spacing w:after="0" w:line="114"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20"/>
          <w:szCs w:val="20"/>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720" w:right="38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renovating, expanding, reconfiguring and/or retenanting our existing properties to take advantage of under-utilized land or existing square footage to increase revenue;</w:t>
      </w:r>
    </w:p>
    <w:p>
      <w:pPr>
        <w:ind w:left="720" w:right="48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renovating or expanding tenant spaces for tenants capable of producing higher sales, and therefore, paying higher rents;</w:t>
      </w:r>
    </w:p>
    <w:p>
      <w:pPr>
        <w:jc w:val="both"/>
        <w:ind w:left="720" w:right="24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 w:lineRule="exact"/>
        <w:rPr>
          <w:rFonts w:ascii="Times New Roman" w:cs="Times New Roman" w:eastAsia="Times New Roman" w:hAnsi="Times New Roman"/>
          <w:sz w:val="20"/>
          <w:szCs w:val="20"/>
          <w:color w:val="auto"/>
        </w:rPr>
      </w:pPr>
    </w:p>
    <w:p>
      <w:pPr>
        <w:ind w:left="720" w:right="200" w:hanging="370"/>
        <w:spacing w:after="0" w:line="26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Criteria</w:t>
      </w:r>
    </w:p>
    <w:p>
      <w:pPr>
        <w:spacing w:after="0" w:line="114"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auto"/>
        </w:rPr>
        <w:t>When we evaluate potential redevelopment, retenanting, expansion, acquisition and development opportunities, we consider such factors as:</w:t>
      </w:r>
    </w:p>
    <w:p>
      <w:pPr>
        <w:spacing w:after="0" w:line="2" w:lineRule="exact"/>
        <w:rPr>
          <w:sz w:val="20"/>
          <w:szCs w:val="20"/>
          <w:color w:val="auto"/>
        </w:rPr>
      </w:pPr>
    </w:p>
    <w:p>
      <w:pPr>
        <w:ind w:left="720" w:right="120" w:hanging="370"/>
        <w:spacing w:after="0" w:line="25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returns in relation to our short and long-term cost of capital as well as the anticipated risk we will face in achieving the expected returns;</w:t>
      </w: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anticipated growth rate of operating income generated by the property;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increase the long-term value of the property through redevelopment and retenanting;</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mix at the property, tenant sales performance and the creditworthiness of those tenants;</w:t>
      </w:r>
    </w:p>
    <w:p>
      <w:pPr>
        <w:spacing w:after="0" w:line="10" w:lineRule="exact"/>
        <w:rPr>
          <w:rFonts w:ascii="Times New Roman" w:cs="Times New Roman" w:eastAsia="Times New Roman" w:hAnsi="Times New Roman"/>
          <w:sz w:val="20"/>
          <w:szCs w:val="20"/>
          <w:color w:val="auto"/>
        </w:rPr>
      </w:pPr>
    </w:p>
    <w:p>
      <w:pPr>
        <w:ind w:left="720" w:right="220" w:hanging="370"/>
        <w:spacing w:after="0" w:line="25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geographic area in which the property is located, including the population density, household incomes, education levels, as well as the population and income trends in that geographic area. This may from time to time include the evaluation of new markets;</w:t>
      </w:r>
    </w:p>
    <w:p>
      <w:pPr>
        <w:spacing w:after="0" w:line="1" w:lineRule="exact"/>
        <w:rPr>
          <w:rFonts w:ascii="Times New Roman" w:cs="Times New Roman" w:eastAsia="Times New Roman" w:hAnsi="Times New Roman"/>
          <w:sz w:val="20"/>
          <w:szCs w:val="20"/>
          <w:color w:val="auto"/>
        </w:rPr>
      </w:pPr>
    </w:p>
    <w:p>
      <w:pPr>
        <w:ind w:left="720" w:right="160" w:hanging="370"/>
        <w:spacing w:after="0" w:line="25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conditions in the vicinity of the property, including gross leasable area (GLA) per capita, competition for tenants and the ability of others to create competing properties through redevelopment, new construction or renovation;</w:t>
      </w:r>
    </w:p>
    <w:p>
      <w:pPr>
        <w:spacing w:after="0" w:line="1" w:lineRule="exact"/>
        <w:rPr>
          <w:rFonts w:ascii="Times New Roman" w:cs="Times New Roman" w:eastAsia="Times New Roman" w:hAnsi="Times New Roman"/>
          <w:sz w:val="20"/>
          <w:szCs w:val="20"/>
          <w:color w:val="auto"/>
        </w:rPr>
      </w:pPr>
    </w:p>
    <w:p>
      <w:pPr>
        <w:ind w:left="720" w:right="680" w:hanging="370"/>
        <w:spacing w:after="0" w:line="263" w:lineRule="auto"/>
        <w:tabs>
          <w:tab w:leader="none" w:pos="7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access to and visibility of the property from existing roadways and the potential for new, widened or realigned, roadways within the property’s trade area, which may affect access and commuting and shopping patterns;</w:t>
      </w:r>
    </w:p>
    <w:p>
      <w:pPr>
        <w:spacing w:after="0" w:line="1"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and success of our existing investments in the market area;</w:t>
      </w:r>
    </w:p>
    <w:p>
      <w:pPr>
        <w:spacing w:after="0" w:line="10" w:lineRule="exact"/>
        <w:rPr>
          <w:rFonts w:ascii="Times New Roman" w:cs="Times New Roman" w:eastAsia="Times New Roman" w:hAnsi="Times New Roman"/>
          <w:sz w:val="20"/>
          <w:szCs w:val="20"/>
          <w:color w:val="auto"/>
        </w:rPr>
      </w:pPr>
    </w:p>
    <w:p>
      <w:pPr>
        <w:ind w:left="720" w:right="240" w:hanging="370"/>
        <w:spacing w:after="0" w:line="25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market value of the land, buildings and other improvements and the potential for increasing those market values; and</w:t>
      </w:r>
    </w:p>
    <w:p>
      <w:pPr>
        <w:ind w:left="720" w:right="540" w:hanging="37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physical condition of the land, buildings and other improvements, including the structural and environmental condition.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Strategies</w:t>
      </w:r>
    </w:p>
    <w:p>
      <w:pPr>
        <w:spacing w:after="0" w:line="114"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20"/>
          <w:szCs w:val="20"/>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720" w:right="40" w:hanging="37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prudent level of overall leverage and an appropriate pool of unencumbered properties that is sufficient to support our unsecured borrowings;</w:t>
      </w: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our exposure to variable-rate debt;</w:t>
      </w:r>
    </w:p>
    <w:p>
      <w:pPr>
        <w:spacing w:after="0" w:line="10" w:lineRule="exact"/>
        <w:rPr>
          <w:rFonts w:ascii="Times New Roman" w:cs="Times New Roman" w:eastAsia="Times New Roman" w:hAnsi="Times New Roman"/>
          <w:sz w:val="20"/>
          <w:szCs w:val="20"/>
          <w:color w:val="auto"/>
        </w:rPr>
      </w:pPr>
    </w:p>
    <w:p>
      <w:pPr>
        <w:ind w:left="720" w:right="140" w:hanging="37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sufficient levels of cash and available line of credit to fund operating and investing needs on a short-term basis;</w:t>
      </w:r>
    </w:p>
    <w:p>
      <w:pPr>
        <w:ind w:left="720" w:right="20" w:hanging="37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advantage of market opportunities to refinance existing debt, reduce interest costs and manage our debt maturity schedule so that a significant portion of our debt relative to our size does not mature in any one year;</w:t>
      </w:r>
    </w:p>
    <w:p>
      <w:pPr>
        <w:ind w:left="720" w:hanging="37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1" w:lineRule="exact"/>
        <w:rPr>
          <w:rFonts w:ascii="Times New Roman" w:cs="Times New Roman" w:eastAsia="Times New Roman" w:hAnsi="Times New Roman"/>
          <w:sz w:val="20"/>
          <w:szCs w:val="20"/>
          <w:color w:val="auto"/>
        </w:rPr>
      </w:pPr>
    </w:p>
    <w:p>
      <w:pPr>
        <w:ind w:left="720" w:right="260" w:hanging="37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the most advantageous long-term source of capital available to us to finance redevelopment and acquisition opportunities, which may include:</w:t>
      </w:r>
    </w:p>
    <w:p>
      <w:pPr>
        <w:ind w:left="1440" w:right="100" w:hanging="370"/>
        <w:spacing w:after="0" w:line="250" w:lineRule="auto"/>
        <w:tabs>
          <w:tab w:leader="none" w:pos="14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our equity or debt securities through public offerings, including our at-the-market ("ATM") equity program in which we may from time to time offer and sell common shares including through forward sales contracts, or private placements,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through unsecured or secured borrowings,</w:t>
      </w:r>
    </w:p>
    <w:p>
      <w:pPr>
        <w:sectPr>
          <w:pgSz w:w="11880" w:h="15480" w:orient="portrait"/>
          <w:cols w:equalWidth="0" w:num="1">
            <w:col w:w="10260"/>
          </w:cols>
          <w:pgMar w:left="820" w:top="40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260"/>
          </w:cols>
          <w:pgMar w:left="820" w:top="409" w:right="800" w:bottom="0" w:gutter="0" w:footer="0" w:header="0"/>
          <w:type w:val="continuous"/>
        </w:sectPr>
      </w:pPr>
    </w:p>
    <w:bookmarkStart w:id="13" w:name="page14"/>
    <w:bookmarkEnd w:id="13"/>
    <w:p>
      <w:pPr>
        <w:ind w:left="1440" w:right="40" w:hanging="370"/>
        <w:spacing w:after="0" w:line="257" w:lineRule="auto"/>
        <w:tabs>
          <w:tab w:leader="none" w:pos="14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joint venture arrangements.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At February 3, 2023, we had 314 full-time employees and 8 part-time employees. None of our employees are represented by a collective bargaining unit. We believe that our relationship with our employees is good.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Diversity and Inclusion</w:t>
      </w:r>
    </w:p>
    <w:p>
      <w:pPr>
        <w:spacing w:after="0" w:line="11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We are an Equal Opportunity/Affirmative action employer, and strive to maintain a workplace that is free from discrimination on the basis of race, color, religion, sex, sexual orientation, nationality, disability, or protected Veteran status.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 Safety, and Wellness</w:t>
      </w:r>
    </w:p>
    <w:p>
      <w:pPr>
        <w:spacing w:after="0" w:line="1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We have also transitioned to a hybrid work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and Benefits</w:t>
      </w:r>
    </w:p>
    <w:p>
      <w:pPr>
        <w:spacing w:after="0" w:line="1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offer a quarterly recognition program, as well as rewarding employees with spot bonuses for stellar performance or going above and beyond the base requirements of their job description.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Talent Development</w:t>
      </w:r>
    </w:p>
    <w:p>
      <w:pPr>
        <w:spacing w:after="0" w:line="11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20"/>
          <w:szCs w:val="20"/>
          <w:color w:val="auto"/>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Community Involvement</w:t>
      </w:r>
    </w:p>
    <w:p>
      <w:pPr>
        <w:spacing w:after="0" w:line="1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Status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2018,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Economic Conditions and the COVID-19 Pandemic</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economy continues to face several challenges including higher levels of inflation, rising interest rates, global supply chain bottlenecks and shortages, workforce shortages, a potential recession, and ongoing impacts of COVID-19. We continue to monitor and address these risks; however, the extent of the future effects on our business, results of operations, cash flows, and growth strategies is highly uncertain and will ultimately depend on future developments, none of which can be predicted with any certainty.</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240"/>
          </w:cols>
          <w:pgMar w:left="820" w:top="413" w:right="82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Governmental Regulations Affecting Our Properties</w:t>
      </w:r>
    </w:p>
    <w:p>
      <w:pPr>
        <w:spacing w:after="0" w:line="117"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20"/>
          <w:szCs w:val="20"/>
          <w:color w:val="auto"/>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be held liable for property damage and for investigation and clean up costs incurred in connection with the contamination, and we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4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Energy and Emissions Regulations Affecting Our Properties</w:t>
      </w:r>
    </w:p>
    <w:p>
      <w:pPr>
        <w:spacing w:after="0" w:line="10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Some jurisdictions in which we own property have enacted or may enact legislation that requires use of only certain types of energy sources, limits energy usage on site, or limits allowable emissions from buildings with fines or other costs being</w:t>
      </w:r>
    </w:p>
    <w:p>
      <w:pPr>
        <w:spacing w:after="0" w:line="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20"/>
          <w:szCs w:val="20"/>
          <w:color w:val="auto"/>
        </w:rPr>
        <w:t>imposed for exceeding those limits. This type of legislation typically includes an extended period of time from adoption to implementation to allow property owners ample opportunity to make investments and take other actions to comply with the legislation. Any investments we believe we will need to make to comply with laws that have been passed to date are being included as part of our ordinary capital improvement planning process for our properties. We also address the potential effects of these types of laws in our energy reduction and energy efficient efforts that are described in more detail in Item 7. "Management's Discussion and Analysis of Financial Condition and Results of Operations - Corporate Responsibility." These types of laws have not had a material adverse effect on our financial condition or results of operations and management does not believe they will have a material adverse effect in the future. We cannot, however, predict the impact of new or changed laws or regulations on properties we currently own or may acquire in the future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3" w:lineRule="exact"/>
        <w:rPr>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number of properties available for acquisition;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cost of properties available for acquisition;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with our ability to attract and retain tenants, leading to increased vacancy rates and/or reduced rents;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our ability to minimize expenses of operation.</w:t>
      </w:r>
    </w:p>
    <w:p>
      <w:pPr>
        <w:spacing w:after="0" w:line="170"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20"/>
          <w:szCs w:val="20"/>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Times New Roman" w:cs="Times New Roman" w:eastAsia="Times New Roman" w:hAnsi="Times New Roman"/>
          <w:sz w:val="20"/>
          <w:szCs w:val="20"/>
          <w:i w:val="1"/>
          <w:iCs w:val="1"/>
          <w:color w:val="auto"/>
        </w:rPr>
        <w:t>www.federalrealty.com</w:t>
      </w:r>
      <w:r>
        <w:rPr>
          <w:rFonts w:ascii="Times New Roman" w:cs="Times New Roman" w:eastAsia="Times New Roman" w:hAnsi="Times New Roman"/>
          <w:sz w:val="20"/>
          <w:szCs w:val="20"/>
          <w:color w:val="auto"/>
        </w:rPr>
        <w:t xml:space="preserve"> as soon as reasonably practicable after we electronically file the material with, or furnish the material to, the Securities and Exchange Commission, or the SEC.</w:t>
      </w:r>
    </w:p>
    <w:p>
      <w:pPr>
        <w:sectPr>
          <w:pgSz w:w="11880" w:h="15480" w:orient="portrait"/>
          <w:cols w:equalWidth="0" w:num="1">
            <w:col w:w="10200"/>
          </w:cols>
          <w:pgMar w:left="820" w:top="406" w:right="86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200"/>
          </w:cols>
          <w:pgMar w:left="820" w:top="406" w:right="860" w:bottom="0" w:gutter="0" w:footer="0" w:header="0"/>
          <w:type w:val="continuous"/>
        </w:sectPr>
      </w:pPr>
    </w:p>
    <w:bookmarkStart w:id="15" w:name="page16"/>
    <w:bookmarkEnd w:id="15"/>
    <w:p>
      <w:pPr>
        <w:ind w:right="280"/>
        <w:spacing w:after="0" w:line="260" w:lineRule="auto"/>
        <w:rPr>
          <w:sz w:val="20"/>
          <w:szCs w:val="20"/>
          <w:color w:val="auto"/>
        </w:rPr>
      </w:pPr>
      <w:r>
        <w:rPr>
          <w:rFonts w:ascii="Times New Roman" w:cs="Times New Roman" w:eastAsia="Times New Roman" w:hAnsi="Times New Roman"/>
          <w:sz w:val="20"/>
          <w:szCs w:val="20"/>
          <w:color w:val="auto"/>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spacing w:after="0" w:line="14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Amendments to the Code of Ethics or Code of Business Conduct or waivers that apply to any of our executive officers or our senior financial officers will be disclosed in the Corporate Governance section of our website as well.</w:t>
      </w:r>
    </w:p>
    <w:p>
      <w:pPr>
        <w:spacing w:after="0" w:line="200" w:lineRule="exact"/>
        <w:rPr>
          <w:sz w:val="20"/>
          <w:szCs w:val="20"/>
          <w:color w:val="auto"/>
        </w:rPr>
      </w:pPr>
    </w:p>
    <w:p>
      <w:pPr>
        <w:spacing w:after="0" w:line="2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1A.</w:t>
        <w:tab/>
        <w:t>RISK FACTORS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Factors Related to our Real Estate Investments and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from our properties may be reduced or limited if the retail operations of our tenants are not successful.</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as well as COVID-19,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net income depends on the success and continued presence of our “anchor” tenants.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Over the past several years, we have seen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2022, our anchor tenant space is 96.9% leased and 95.6% occupied.</w:t>
      </w:r>
    </w:p>
    <w:p>
      <w:pPr>
        <w:spacing w:after="0" w:line="20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20"/>
          <w:szCs w:val="20"/>
          <w:b w:val="1"/>
          <w:bCs w:val="1"/>
          <w:color w:val="auto"/>
        </w:rPr>
        <w:t>A shift in retail shopping from brick and mortar stores to online shopping may have an adverse impact on our cash flow, financial condition and results of operations.</w:t>
      </w:r>
    </w:p>
    <w:p>
      <w:pPr>
        <w:spacing w:after="0" w:line="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240"/>
          </w:cols>
          <w:pgMar w:left="820" w:top="413" w:right="820" w:bottom="0" w:gutter="0" w:footer="0" w:header="0"/>
          <w:type w:val="continuous"/>
        </w:sectPr>
      </w:pPr>
    </w:p>
    <w:bookmarkStart w:id="16" w:name="page17"/>
    <w:bookmarkEnd w:id="16"/>
    <w:p>
      <w:pPr>
        <w:ind w:right="160"/>
        <w:spacing w:after="0" w:line="286" w:lineRule="auto"/>
        <w:rPr>
          <w:sz w:val="20"/>
          <w:szCs w:val="20"/>
          <w:color w:val="auto"/>
        </w:rPr>
      </w:pPr>
      <w:r>
        <w:rPr>
          <w:rFonts w:ascii="Times New Roman" w:cs="Times New Roman" w:eastAsia="Times New Roman" w:hAnsi="Times New Roman"/>
          <w:sz w:val="20"/>
          <w:szCs w:val="20"/>
          <w:b w:val="1"/>
          <w:bCs w:val="1"/>
          <w:color w:val="auto"/>
        </w:rPr>
        <w:t>We have properties that are geographically concentrated, and adverse economic or real estate market declines in these areas could have a material adverse effect on us.</w:t>
      </w:r>
    </w:p>
    <w:p>
      <w:pPr>
        <w:spacing w:after="0" w:line="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As of December 31, 2022, our tenants operated in 12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spacing w:after="0" w:line="14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Declines in the economy or a decline in the real estate market in these states could hurt our financial performance and the value of our properties. Factors that may negatively affect economic conditions in these states include:</w:t>
      </w:r>
    </w:p>
    <w:p>
      <w:pPr>
        <w:spacing w:after="0" w:line="181" w:lineRule="exact"/>
        <w:rPr>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layoffs or downsizing;</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slowdowns;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elevated levels of inflation over an extended period of time;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interest rates;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business restrictions due to health crises;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relocations of businesses;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demographics;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telecommuting and use of alternative work places;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 quality;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oversupply of, or reduced demand for, real estate;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concessions or reduced rental rates under new leases for properties where tenants defaulted;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operating costs including insurance premiums and real estate taxes.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unable to collect balances due from tenants that file for bankruptcy protection.</w:t>
      </w:r>
    </w:p>
    <w:p>
      <w:pPr>
        <w:spacing w:after="0" w:line="1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experience difficulty or delay in renewing leases or re-leasing space.</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development activities have inherent risks.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5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In addition to the risks associated with real estate investment in general, as described elsewhere and the specific risks above, the risks associated with our remaining development activities include:</w:t>
      </w:r>
    </w:p>
    <w:p>
      <w:pPr>
        <w:spacing w:after="0" w:line="2"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changes may delay the completion of development projects and increase overall costs;</w:t>
      </w:r>
    </w:p>
    <w:p>
      <w:pPr>
        <w:spacing w:after="0" w:line="10" w:lineRule="exact"/>
        <w:rPr>
          <w:rFonts w:ascii="Times New Roman" w:cs="Times New Roman" w:eastAsia="Times New Roman" w:hAnsi="Times New Roman"/>
          <w:sz w:val="20"/>
          <w:szCs w:val="20"/>
          <w:color w:val="auto"/>
        </w:rPr>
      </w:pPr>
    </w:p>
    <w:p>
      <w:pPr>
        <w:ind w:left="720" w:right="40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time lag between commencement and stabilization subjects us to greater risks due to fluctuations in the general economy;</w:t>
      </w:r>
    </w:p>
    <w:p>
      <w:pPr>
        <w:ind w:left="720" w:right="8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residential product into uncertain residential environments may result in lower rents or longer time periods to reach economic stabilization;</w:t>
      </w:r>
    </w:p>
    <w:p>
      <w:pPr>
        <w:ind w:left="720" w:right="10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amount of our investment is related to infrastructure and the overall value of the project may be negatively impacted if we do not complete subsequent phases;</w:t>
      </w: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or inability to obtain construction or permanent financing on favorable terms;</w:t>
      </w:r>
    </w:p>
    <w:p>
      <w:pPr>
        <w:sectPr>
          <w:pgSz w:w="11880" w:h="15480" w:orient="portrait"/>
          <w:cols w:equalWidth="0" w:num="1">
            <w:col w:w="10240"/>
          </w:cols>
          <w:pgMar w:left="820" w:top="406" w:right="82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240"/>
          </w:cols>
          <w:pgMar w:left="820" w:top="406" w:right="820" w:bottom="0" w:gutter="0" w:footer="0" w:header="0"/>
          <w:type w:val="continuous"/>
        </w:sectPr>
      </w:pPr>
    </w:p>
    <w:bookmarkStart w:id="17" w:name="page18"/>
    <w:bookmarkEnd w:id="17"/>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expenditure of money and time on projects that may never be completed;</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securing key anchor or other tenants may impact occupancy rates and projected revenue;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projected rental rates or anticipated pace of lease-up;</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estimated construction or operating costs, including labor and material costs; and</w:t>
      </w:r>
    </w:p>
    <w:p>
      <w:pPr>
        <w:spacing w:after="0" w:line="10" w:lineRule="exact"/>
        <w:rPr>
          <w:rFonts w:ascii="Times New Roman" w:cs="Times New Roman" w:eastAsia="Times New Roman" w:hAnsi="Times New Roman"/>
          <w:sz w:val="20"/>
          <w:szCs w:val="20"/>
          <w:color w:val="auto"/>
        </w:rPr>
      </w:pPr>
    </w:p>
    <w:p>
      <w:pPr>
        <w:ind w:left="720" w:right="20" w:hanging="370"/>
        <w:spacing w:after="0" w:line="275" w:lineRule="auto"/>
        <w:tabs>
          <w:tab w:leader="none" w:pos="7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possible delay in completion of a project because of a number of factors, including COVID-19, supply chain disruptions and shortages, inflation, weather, labor disruptions, construction delays or delays in receipt of zoning or other regulatory approvals, acts of terror or other acts of violence, or acts of God (such as fires, earthquakes or floods).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Redevelopments and acquisitions may fail to perform as expected.</w:t>
      </w:r>
    </w:p>
    <w:p>
      <w:pPr>
        <w:spacing w:after="0" w:line="11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3" w:lineRule="exact"/>
        <w:rPr>
          <w:sz w:val="20"/>
          <w:szCs w:val="20"/>
          <w:color w:val="auto"/>
        </w:rPr>
      </w:pPr>
    </w:p>
    <w:p>
      <w:pPr>
        <w:ind w:left="720" w:right="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spacing w:after="0" w:line="1" w:lineRule="exact"/>
        <w:rPr>
          <w:rFonts w:ascii="Times New Roman" w:cs="Times New Roman" w:eastAsia="Times New Roman" w:hAnsi="Times New Roman"/>
          <w:sz w:val="20"/>
          <w:szCs w:val="20"/>
          <w:color w:val="auto"/>
        </w:rPr>
      </w:pPr>
    </w:p>
    <w:p>
      <w:pPr>
        <w:ind w:left="720" w:right="56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identify suitable properties to acquire or may be unable to complete the acquisition of the properties we identify;</w:t>
      </w: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integrate an acquisition into our existing operations successfully;</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spacing w:after="0" w:line="1"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Times New Roman" w:cs="Times New Roman" w:eastAsia="Times New Roman" w:hAnsi="Times New Roman"/>
          <w:sz w:val="20"/>
          <w:szCs w:val="20"/>
          <w:color w:val="auto"/>
        </w:rPr>
      </w:pPr>
    </w:p>
    <w:p>
      <w:pPr>
        <w:ind w:left="720" w:right="240" w:hanging="370"/>
        <w:spacing w:after="0" w:line="255"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performance and value are subject to general risks associated with the real estate industry.</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3" w:lineRule="exact"/>
        <w:rPr>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downturns in general, or in the areas where our properties are located;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local real estate market conditions, such as an oversupply or reduction in demand;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tenant preferences that reduce the attractiveness of our properties to tenants;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zoning or regulatory restrictions;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market rental rates;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that may increase or decrease energy costs and other weather-related expenses;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need to periodically repair, renovate and re-lease space; and</w:t>
      </w:r>
    </w:p>
    <w:p>
      <w:pPr>
        <w:spacing w:after="0" w:line="10" w:lineRule="exact"/>
        <w:rPr>
          <w:rFonts w:ascii="Times New Roman" w:cs="Times New Roman" w:eastAsia="Times New Roman" w:hAnsi="Times New Roman"/>
          <w:sz w:val="20"/>
          <w:szCs w:val="20"/>
          <w:color w:val="auto"/>
        </w:rPr>
      </w:pPr>
    </w:p>
    <w:p>
      <w:pPr>
        <w:ind w:left="720" w:right="440" w:hanging="370"/>
        <w:spacing w:after="0" w:line="25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5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Each of these risks could result in decreases in market rental rates and increases in vacancy rates, which could adversely affect our financial condition and results of operation.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Many real estate costs are fixed, even if income from our properties decreases.</w:t>
      </w:r>
    </w:p>
    <w:p>
      <w:pPr>
        <w:spacing w:after="0" w:line="11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9"/>
          <w:szCs w:val="19"/>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w:t>
      </w:r>
    </w:p>
    <w:p>
      <w:pPr>
        <w:sectPr>
          <w:pgSz w:w="11880" w:h="15480" w:orient="portrait"/>
          <w:cols w:equalWidth="0" w:num="1">
            <w:col w:w="10220"/>
          </w:cols>
          <w:pgMar w:left="820" w:top="41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220"/>
          </w:cols>
          <w:pgMar w:left="820" w:top="413" w:right="840" w:bottom="0" w:gutter="0" w:footer="0" w:header="0"/>
          <w:type w:val="continuous"/>
        </w:sectPr>
      </w:pPr>
    </w:p>
    <w:bookmarkStart w:id="18" w:name="page19"/>
    <w:bookmarkEnd w:id="18"/>
    <w:p>
      <w:pPr>
        <w:ind w:right="600"/>
        <w:spacing w:after="0" w:line="281" w:lineRule="auto"/>
        <w:rPr>
          <w:sz w:val="20"/>
          <w:szCs w:val="20"/>
          <w:color w:val="auto"/>
        </w:rPr>
      </w:pPr>
      <w:r>
        <w:rPr>
          <w:rFonts w:ascii="Times New Roman" w:cs="Times New Roman" w:eastAsia="Times New Roman" w:hAnsi="Times New Roman"/>
          <w:sz w:val="20"/>
          <w:szCs w:val="20"/>
          <w:color w:val="auto"/>
        </w:rPr>
        <w:t>any significant revenue immediately, and the cash flow from existing operations may be insufficient to pay the operating expenses and debt service associated with such new properties until they are fully occupied.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 may limit our ability to purchase new properties and generate sufficient income from tenants.</w:t>
      </w:r>
    </w:p>
    <w:p>
      <w:pPr>
        <w:spacing w:after="0" w:line="1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Numerous commercial developers and real estate companies compete with us in seeking tenants for our existing properties and properties for acquisition. This competition may:</w:t>
      </w:r>
    </w:p>
    <w:p>
      <w:pPr>
        <w:spacing w:after="0" w:line="2" w:lineRule="exact"/>
        <w:rPr>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properties available for acquisition;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cost of properties available for acquisition;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rents payable to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with our ability to attract and retain tenants;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increased vacancy rates at our properties;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our ability to minimize expenses of operation.</w:t>
      </w:r>
    </w:p>
    <w:p>
      <w:pPr>
        <w:spacing w:after="0" w:line="17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unable to sell properties when appropriate because real estate investments are illiquid.</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have limited flexibility in dealing with our jointly owned investments.</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organizational documents do not limit the amount of funds that we may invest in properties and assets owned jointly with other persons or entities. As of December 31, 2022, we held 20 predominantly retail real estate projects jointly with other persons in addition to properties owned in a “downREIT” structure. Additionally, as of December 31, 2022,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2022, we held the controlling interests in all of our existing co-investments (except the hotel investment discussed above, the investment in the La Alameda shopping center acquired in 2017, the investment in the Chandler Festival and Chandler Gateway shopping centers acquired in 2022 (see Note 3 to the consolidated financial statements), and our Escondido Promenade shopping center (as discussed in Note 3 to the consolidated financial statements),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insurance coverage on our properties may be inadequate.</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4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w:t>
      </w:r>
    </w:p>
    <w:p>
      <w:pPr>
        <w:sectPr>
          <w:pgSz w:w="11880" w:h="15480" w:orient="portrait"/>
          <w:cols w:equalWidth="0" w:num="1">
            <w:col w:w="10240"/>
          </w:cols>
          <w:pgMar w:left="820" w:top="413" w:right="820" w:bottom="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240"/>
          </w:cols>
          <w:pgMar w:left="820" w:top="413" w:right="820" w:bottom="0" w:gutter="0" w:footer="0" w:header="0"/>
          <w:type w:val="continuous"/>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20"/>
          <w:szCs w:val="20"/>
          <w:color w:val="auto"/>
        </w:rPr>
        <w:t>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4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20"/>
          <w:szCs w:val="20"/>
          <w:b w:val="1"/>
          <w:bCs w:val="1"/>
          <w:color w:val="auto"/>
        </w:rPr>
        <w:t>Natural disasters, climate change and health crises, including the COVID-19 pandemic, could have an adverse impact on our cash flow and operating results.</w:t>
      </w:r>
    </w:p>
    <w:p>
      <w:pPr>
        <w:spacing w:after="0" w:line="3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our business is subject to risks related to the effects of public health crises, epidemics and pandemics, including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COVID-19 pandemic. Such events could:</w:t>
      </w:r>
    </w:p>
    <w:p>
      <w:pPr>
        <w:spacing w:after="0" w:line="10"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inhibit global, national and local economic activity;</w:t>
      </w:r>
    </w:p>
    <w:p>
      <w:pPr>
        <w:spacing w:after="0" w:line="10" w:lineRule="exact"/>
        <w:rPr>
          <w:rFonts w:ascii="Times New Roman" w:cs="Times New Roman" w:eastAsia="Times New Roman" w:hAnsi="Times New Roman"/>
          <w:sz w:val="20"/>
          <w:szCs w:val="20"/>
          <w:color w:val="auto"/>
        </w:rPr>
      </w:pPr>
    </w:p>
    <w:p>
      <w:pPr>
        <w:ind w:left="720" w:right="60" w:hanging="370"/>
        <w:spacing w:after="0" w:line="263" w:lineRule="auto"/>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drive inflation, adversely affect trading activity in securities markets, which could negatively impact the trading prices of our common shares and debt securities and our ability to access the securities markets as a source of liquidity;</w:t>
      </w:r>
    </w:p>
    <w:p>
      <w:pPr>
        <w:spacing w:after="0" w:line="1" w:lineRule="exact"/>
        <w:rPr>
          <w:rFonts w:ascii="Times New Roman" w:cs="Times New Roman" w:eastAsia="Times New Roman" w:hAnsi="Times New Roman"/>
          <w:sz w:val="19"/>
          <w:szCs w:val="19"/>
          <w:color w:val="auto"/>
        </w:rPr>
      </w:pPr>
    </w:p>
    <w:p>
      <w:pPr>
        <w:ind w:left="720" w:right="28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our tenants’ financial condition by limiting foot traffic and staffing at their businesses, which could affect their ability to pay rent and willingness to make new leasing commitments;</w:t>
      </w:r>
    </w:p>
    <w:p>
      <w:pPr>
        <w:ind w:left="720" w:right="4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our cash flow, which could impact our ability to pay dividends at the current rate and in the current format or at all or to service our debt;</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temporarily or permanently reduce the demand for retail or office space;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with our business operations by requiring our personnel to work remotely;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frequency of cyber-attacks;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 supply chains that could be important in our development and redevelopment activities;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labor shortages;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with potential purchases and sales of properties;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our ability to pay dividends at the current rate and in the current format or at all;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other direct and indirect effects that are difficult to predict.</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the COVID-19 pandemic, which vary by jurisdiction, or the pandemics' short and long term economic effects, each of which could have a material adverse effect on our business.</w:t>
      </w:r>
    </w:p>
    <w:p>
      <w:pPr>
        <w:spacing w:after="0" w:line="1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auto"/>
        </w:rPr>
        <w:t>An increased focus on metrics and reporting related to corporate responsibility, specifically related to environmental, social and governance ("ESG") factors, may impose additional costs and expose us to new risks.</w:t>
      </w:r>
    </w:p>
    <w:p>
      <w:pPr>
        <w:spacing w:after="0" w:line="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Investors and other stakeholders have become more focused on understanding how companies address a variety of ESG factors. Many of those investors and shareholders look to ESG rating systems, or disclosure frameworks that have been developed by third party groups to allow comparisons between companies on ESG factors as they evaluate investment decisions as well as to company disclosures.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Although we participate in many of these ratings systems, or disclosure frameworks, and generally score relatively well in those in which we do participate, we do not participate in, and would not necessarily score well in, all of the available ratings systems. Further, the criteria used in these ratings systems change frequently, and we cannot guaranty that we will be able to score well as criteria change. We supplement our participation in ratings systems with corporate disclosures of our ESG activities but many investors and stakeholders may look for specific disclosures that we do not provide. Failure to participate in</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240"/>
          </w:cols>
          <w:pgMar w:left="820" w:top="413" w:right="820" w:bottom="0" w:gutter="0" w:footer="0" w:header="0"/>
          <w:type w:val="continuous"/>
        </w:sectPr>
      </w:pPr>
    </w:p>
    <w:bookmarkStart w:id="20" w:name="page21"/>
    <w:bookmarkEnd w:id="20"/>
    <w:p>
      <w:pPr>
        <w:ind w:right="40"/>
        <w:spacing w:after="0" w:line="286" w:lineRule="auto"/>
        <w:rPr>
          <w:sz w:val="20"/>
          <w:szCs w:val="20"/>
          <w:color w:val="auto"/>
        </w:rPr>
      </w:pPr>
      <w:r>
        <w:rPr>
          <w:rFonts w:ascii="Times New Roman" w:cs="Times New Roman" w:eastAsia="Times New Roman" w:hAnsi="Times New Roman"/>
          <w:sz w:val="19"/>
          <w:szCs w:val="19"/>
          <w:color w:val="auto"/>
        </w:rPr>
        <w:t>certain of the third party ratings systems, failure to score well in those ratings systems or failure to provide certain ESG disclosures could result in reputational harm when investors or others compare us against similar companies in our industry and could cause certain investors to be unwilling to invest in our stock which could adversely impact our ability to raise capital.</w:t>
      </w:r>
    </w:p>
    <w:p>
      <w:pPr>
        <w:spacing w:after="0" w:line="39"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20"/>
          <w:szCs w:val="20"/>
          <w:color w:val="auto"/>
        </w:rPr>
        <w:t>For more information about the Trust's Corporate Responsibility initiatives, see Item 7. "Management's Discussion and Analysis of Financial Condition and Results of Operations - Corporate Responsibility."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Factors Related to our Funding Strategies and Capital Structure</w:t>
      </w:r>
    </w:p>
    <w:p>
      <w:pPr>
        <w:spacing w:after="0" w:line="2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20"/>
          <w:szCs w:val="20"/>
          <w:b w:val="1"/>
          <w:bCs w:val="1"/>
          <w:color w:val="auto"/>
        </w:rPr>
        <w:t>The amount of debt we have and the restrictions imposed by that debt could adversely affect our business and financial condition.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2022, we had approximately $4.3 billion of debt outstanding. Of that outstanding debt, approximately</w:t>
      </w:r>
    </w:p>
    <w:p>
      <w:pPr>
        <w:spacing w:after="0" w:line="3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$322.3 million was secured by all or a portion of 7 of our real estate projects. As of December 31, 2022, approximately 86.2% of our debt is fixed rate or is fixed via interest rate swap agreements, which includes all of our property secured debt and our unsecured senior notes. Our organizational documents do not limit the level or amount of debt that we may incur. The amount of our debt outstanding from time to time could have important consequences to our shareholders. For example, it could:</w:t>
      </w:r>
    </w:p>
    <w:p>
      <w:pPr>
        <w:spacing w:after="0" w:line="2" w:lineRule="exact"/>
        <w:rPr>
          <w:sz w:val="20"/>
          <w:szCs w:val="20"/>
          <w:color w:val="auto"/>
        </w:rPr>
      </w:pPr>
    </w:p>
    <w:p>
      <w:pPr>
        <w:jc w:val="both"/>
        <w:ind w:left="720" w:right="4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ability to make distributions on our outstanding common shares and preferred shares;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difficult to satisfy our debt service requirements;</w:t>
      </w:r>
    </w:p>
    <w:p>
      <w:pPr>
        <w:spacing w:after="0" w:line="10" w:lineRule="exact"/>
        <w:rPr>
          <w:rFonts w:ascii="Times New Roman" w:cs="Times New Roman" w:eastAsia="Times New Roman" w:hAnsi="Times New Roman"/>
          <w:sz w:val="20"/>
          <w:szCs w:val="20"/>
          <w:color w:val="auto"/>
        </w:rPr>
      </w:pPr>
    </w:p>
    <w:p>
      <w:pPr>
        <w:ind w:left="720" w:right="6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dedicate increased amounts of our cash flow from operations to payments on debt upon refinancing or on our variable rate, unhedged debt, if interest rates rise;</w:t>
      </w:r>
    </w:p>
    <w:p>
      <w:pPr>
        <w:ind w:left="7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flexibility in planning for, or reacting to, changes in our business and the factors that affect the profitability of our business;</w:t>
      </w:r>
    </w:p>
    <w:p>
      <w:pPr>
        <w:jc w:val="both"/>
        <w:ind w:left="720" w:right="2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Times New Roman" w:cs="Times New Roman" w:eastAsia="Times New Roman" w:hAnsi="Times New Roman"/>
          <w:sz w:val="20"/>
          <w:szCs w:val="20"/>
          <w:color w:val="auto"/>
        </w:rPr>
      </w:pPr>
    </w:p>
    <w:p>
      <w:pPr>
        <w:ind w:left="720" w:right="260" w:hanging="37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flexibility in conducting our business, which may place us at a disadvantage compared to competitors with less debt or debt with less restrictive terms.</w:t>
      </w:r>
    </w:p>
    <w:p>
      <w:pPr>
        <w:spacing w:after="0" w:line="14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24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57"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20"/>
          <w:szCs w:val="20"/>
          <w:color w:val="auto"/>
        </w:rPr>
        <w:t>Our revolving credit facility, unsecured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relating to the maintenance of property securing a mortgage;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our ability to pledge assets or create liens;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our ability to incur additional debt;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our ability to amend or modify existing leases at properties securing a mortgage;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our ability to enter into transactions with affiliates;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our ability to consolidate, merge or sell all or substantially all of our assets.</w:t>
      </w:r>
    </w:p>
    <w:p>
      <w:pPr>
        <w:spacing w:after="0" w:line="17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auto"/>
        </w:rPr>
        <w:t>As of December 31, 2022,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w:t>
      </w:r>
    </w:p>
    <w:p>
      <w:pPr>
        <w:sectPr>
          <w:pgSz w:w="11880" w:h="15480" w:orient="portrait"/>
          <w:cols w:equalWidth="0" w:num="1">
            <w:col w:w="10240"/>
          </w:cols>
          <w:pgMar w:left="820" w:top="413" w:right="82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240"/>
          </w:cols>
          <w:pgMar w:left="820" w:top="413" w:right="820" w:bottom="0" w:gutter="0" w:footer="0" w:header="0"/>
          <w:type w:val="continuous"/>
        </w:sectPr>
      </w:pPr>
    </w:p>
    <w:bookmarkStart w:id="21" w:name="page22"/>
    <w:bookmarkEnd w:id="21"/>
    <w:p>
      <w:pPr>
        <w:ind w:right="380"/>
        <w:spacing w:after="0" w:line="266" w:lineRule="auto"/>
        <w:rPr>
          <w:sz w:val="20"/>
          <w:szCs w:val="20"/>
          <w:color w:val="auto"/>
        </w:rPr>
      </w:pPr>
      <w:r>
        <w:rPr>
          <w:rFonts w:ascii="Times New Roman" w:cs="Times New Roman" w:eastAsia="Times New Roman" w:hAnsi="Times New Roman"/>
          <w:sz w:val="20"/>
          <w:szCs w:val="20"/>
          <w:color w:val="auto"/>
        </w:rPr>
        <w:t>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Adverse changes in our credit rating could affect our borrowing capacity and borrowing terms.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ability to grow will be limited if we cannot obtain additional capital.</w:t>
      </w:r>
    </w:p>
    <w:p>
      <w:pPr>
        <w:spacing w:after="0" w:line="11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Our growth strategy is focused on the development and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4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20"/>
          <w:szCs w:val="20"/>
          <w:b w:val="1"/>
          <w:bCs w:val="1"/>
          <w:color w:val="auto"/>
        </w:rPr>
        <w:t>Rising interest rates could adversely affect our cash flow and the market price of our outstanding debt and preferred shares.</w:t>
      </w:r>
    </w:p>
    <w:p>
      <w:pPr>
        <w:spacing w:after="0" w:line="3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Of our $4.3 billion of debt outstanding as of December 31, 2022, approximately $655.1 million bears interest at a variable rate, of which, $600.0 million is our unsecured term loan that bears interest at a variable rate of SOFR plus 85 basis points plus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0.10%, and $55.1 million in mortgages payable that bear interest at a variable rate of LIBOR plus 195 basis points and are effectively fixed through two interest rate swap agreements. We also have a $1.25 billion revolving credit facility, on which no balance was outstanding at December 31, 2022, that bears interest at SOFR plus 77.5 basis points, plus 0.10%.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Factors Related to our REIT Status and Other Laws and Regulations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laws and regulations could reduce the value or profitability of our properties.</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w:t>
      </w:r>
    </w:p>
    <w:p>
      <w:pPr>
        <w:sectPr>
          <w:pgSz w:w="11880" w:h="15480" w:orient="portrait"/>
          <w:cols w:equalWidth="0" w:num="1">
            <w:col w:w="10220"/>
          </w:cols>
          <w:pgMar w:left="820" w:top="41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220"/>
          </w:cols>
          <w:pgMar w:left="820" w:top="413" w:right="840" w:bottom="0" w:gutter="0" w:footer="0" w:header="0"/>
          <w:type w:val="continuous"/>
        </w:sectPr>
      </w:pPr>
    </w:p>
    <w:bookmarkStart w:id="22" w:name="page23"/>
    <w:bookmarkEnd w:id="22"/>
    <w:p>
      <w:pPr>
        <w:ind w:right="120"/>
        <w:spacing w:after="0" w:line="281" w:lineRule="auto"/>
        <w:rPr>
          <w:sz w:val="20"/>
          <w:szCs w:val="20"/>
          <w:color w:val="auto"/>
        </w:rPr>
      </w:pPr>
      <w:r>
        <w:rPr>
          <w:rFonts w:ascii="Times New Roman" w:cs="Times New Roman" w:eastAsia="Times New Roman" w:hAnsi="Times New Roman"/>
          <w:sz w:val="20"/>
          <w:szCs w:val="20"/>
          <w:color w:val="auto"/>
        </w:rPr>
        <w:t>properties that management believes would have a material adverse effect on our business, assets or results of operations taken as a whole.</w:t>
      </w:r>
    </w:p>
    <w:p>
      <w:pPr>
        <w:spacing w:after="0" w:line="18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spacing w:after="0" w:line="23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20"/>
          <w:szCs w:val="20"/>
          <w:b w:val="1"/>
          <w:bCs w:val="1"/>
          <w:color w:val="auto"/>
        </w:rPr>
        <w:t>The Americans with Disabilities Act of 1990 could require us to take remedial steps with respect to existing or newly acquired properties.</w:t>
      </w:r>
    </w:p>
    <w:p>
      <w:pPr>
        <w:spacing w:after="0" w:line="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The revenues generated by our tenants could be negatively affected by various federal, state and local laws to which they are subject.</w:t>
      </w:r>
    </w:p>
    <w:p>
      <w:pPr>
        <w:spacing w:after="0" w:line="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4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20"/>
          <w:szCs w:val="20"/>
          <w:b w:val="1"/>
          <w:bCs w:val="1"/>
          <w:color w:val="auto"/>
        </w:rPr>
        <w:t>Failure to qualify as a REIT for federal income tax purposes would cause the Parent Company to be taxed as a corporation, which would substantially reduce funds available for payment of distributions.</w:t>
      </w:r>
    </w:p>
    <w:p>
      <w:pPr>
        <w:spacing w:after="0" w:line="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we fail to qualify as a REIT:</w:t>
      </w:r>
    </w:p>
    <w:p>
      <w:pPr>
        <w:spacing w:after="0" w:line="30" w:lineRule="exact"/>
        <w:rPr>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would not be allowed a deduction for distributions to shareholders in computing taxable income;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would be subject to federal income tax at regular corporate rates;</w:t>
      </w:r>
    </w:p>
    <w:p>
      <w:pPr>
        <w:spacing w:after="0" w:line="10" w:lineRule="exact"/>
        <w:rPr>
          <w:rFonts w:ascii="Times New Roman" w:cs="Times New Roman" w:eastAsia="Times New Roman" w:hAnsi="Times New Roman"/>
          <w:sz w:val="20"/>
          <w:szCs w:val="20"/>
          <w:color w:val="auto"/>
        </w:rPr>
      </w:pPr>
    </w:p>
    <w:p>
      <w:pPr>
        <w:ind w:left="720" w:right="3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we are entitled to relief under specific statutory provisions, we could not elect to be taxed as a REIT for four taxable years following the year during which we were disqualified;</w:t>
      </w:r>
    </w:p>
    <w:p>
      <w:pPr>
        <w:ind w:left="720" w:right="3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would no longer be required by law to make any distributions to our shareholders.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maintain our status as a REIT, we limit the amount of shares any one shareholder of the Parent Company can own.</w:t>
      </w:r>
    </w:p>
    <w:p>
      <w:pPr>
        <w:spacing w:after="0" w:line="3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240"/>
          </w:cols>
          <w:pgMar w:left="820" w:top="413" w:right="820" w:bottom="0" w:gutter="0" w:footer="0" w:header="0"/>
          <w:type w:val="continuous"/>
        </w:sectPr>
      </w:pPr>
    </w:p>
    <w:bookmarkStart w:id="23" w:name="page24"/>
    <w:bookmarkEnd w:id="23"/>
    <w:p>
      <w:pPr>
        <w:ind w:right="20"/>
        <w:spacing w:after="0" w:line="272" w:lineRule="auto"/>
        <w:rPr>
          <w:sz w:val="20"/>
          <w:szCs w:val="20"/>
          <w:color w:val="auto"/>
        </w:rPr>
      </w:pPr>
      <w:r>
        <w:rPr>
          <w:rFonts w:ascii="Times New Roman" w:cs="Times New Roman" w:eastAsia="Times New Roman" w:hAnsi="Times New Roman"/>
          <w:sz w:val="19"/>
          <w:szCs w:val="19"/>
          <w:color w:val="auto"/>
        </w:rPr>
        <w:t>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happens, either the transfer of ownership would be void or the shares would be transferred to a charitable trust and then sold to someone who can own those shares without violating the 9.8% ownership limit.</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3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20"/>
          <w:szCs w:val="20"/>
          <w:b w:val="1"/>
          <w:bCs w:val="1"/>
          <w:color w:val="auto"/>
        </w:rPr>
        <w:t>Legislative, administrative, regulatory or other actions affecting REITs, including positions taken by the IRS, could have a material adverse effect on us and our investors.</w:t>
      </w:r>
    </w:p>
    <w:p>
      <w:pPr>
        <w:spacing w:after="0" w:line="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spacing w:after="0" w:line="24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20"/>
          <w:szCs w:val="20"/>
          <w:b w:val="1"/>
          <w:bCs w:val="1"/>
          <w:color w:val="auto"/>
        </w:rPr>
        <w:t>Certain tax and anti-takeover provisions of the Parent Company's declaration of trust and bylaws, and certain restrictions in the Partnership's limited partnership agreement, may inhibit a change of our control.</w:t>
      </w:r>
    </w:p>
    <w:p>
      <w:pPr>
        <w:spacing w:after="0" w:line="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3"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REIT ownership limit described above;</w:t>
      </w:r>
    </w:p>
    <w:p>
      <w:pPr>
        <w:spacing w:after="0" w:line="10"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of the issuance of our preferred shares with powers, preferences or rights to be determined by the Board of Trustees;</w:t>
      </w:r>
    </w:p>
    <w:p>
      <w:pPr>
        <w:ind w:left="720" w:right="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1" w:lineRule="exact"/>
        <w:rPr>
          <w:rFonts w:ascii="Times New Roman" w:cs="Times New Roman" w:eastAsia="Times New Roman" w:hAnsi="Times New Roman"/>
          <w:sz w:val="20"/>
          <w:szCs w:val="20"/>
          <w:color w:val="auto"/>
        </w:rPr>
      </w:pPr>
    </w:p>
    <w:p>
      <w:pPr>
        <w:ind w:left="720" w:right="46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Trustees, without a shareholder vote, can classify or reclassify unissued shares of beneficial interest, including the reclassification of common shares into preferred shares and vice-versa;</w:t>
      </w: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two-thirds shareholder vote is required to approve some amendments to the declaration of trust;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advance-notice requirements for proposals to be presented at shareholder meetings.</w:t>
      </w:r>
    </w:p>
    <w:p>
      <w:pPr>
        <w:spacing w:after="0" w:line="17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3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43"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sectPr>
          <w:pgSz w:w="11880" w:h="15480" w:orient="portrait"/>
          <w:cols w:equalWidth="0" w:num="1">
            <w:col w:w="10240"/>
          </w:cols>
          <w:pgMar w:left="820" w:top="413" w:right="82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240"/>
          </w:cols>
          <w:pgMar w:left="820" w:top="413" w:right="820" w:bottom="0" w:gutter="0" w:footer="0" w:header="0"/>
          <w:type w:val="continuous"/>
        </w:sectPr>
      </w:pPr>
    </w:p>
    <w:bookmarkStart w:id="24" w:name="page25"/>
    <w:bookmarkEnd w:id="24"/>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rights of limited partners and certain assignees of units of limited partnership interest ("OP Units");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restrictions on OP Units and restrictions on admissions of partners;</w:t>
      </w:r>
    </w:p>
    <w:p>
      <w:pPr>
        <w:spacing w:after="0" w:line="10" w:lineRule="exact"/>
        <w:rPr>
          <w:rFonts w:ascii="Times New Roman" w:cs="Times New Roman" w:eastAsia="Times New Roman" w:hAnsi="Times New Roman"/>
          <w:sz w:val="20"/>
          <w:szCs w:val="20"/>
          <w:color w:val="auto"/>
        </w:rPr>
      </w:pPr>
    </w:p>
    <w:p>
      <w:pPr>
        <w:ind w:left="720" w:right="66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that the General Partner may not be removed as the general partner of the Partnership without its consent;</w:t>
      </w:r>
    </w:p>
    <w:p>
      <w:pPr>
        <w:ind w:left="720" w:right="54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General Partner to issue preferred partnership interests in the Partnership with terms that it may determine, without the approval or consent of any Limited Partner; and</w:t>
      </w:r>
    </w:p>
    <w:p>
      <w:pPr>
        <w:ind w:left="720" w:right="200" w:hanging="370"/>
        <w:spacing w:after="0" w:line="255"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required to incur additional debt to qualify as a REIT.</w:t>
      </w:r>
    </w:p>
    <w:p>
      <w:pPr>
        <w:spacing w:after="0" w:line="1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6" w:lineRule="exact"/>
        <w:rPr>
          <w:sz w:val="20"/>
          <w:szCs w:val="20"/>
          <w:color w:val="auto"/>
        </w:rPr>
      </w:pPr>
    </w:p>
    <w:p>
      <w:pPr>
        <w:ind w:left="720" w:right="1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income may not be matched by our related expenses at the time the income is considered received for purposes of determining taxable income; and</w:t>
      </w:r>
    </w:p>
    <w:p>
      <w:pPr>
        <w:ind w:left="720" w:right="180" w:hanging="37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non-deductible capital expenditures, creation of reserves, or debt service requirements may reduce available cash but not taxable income.</w:t>
      </w:r>
    </w:p>
    <w:p>
      <w:pPr>
        <w:spacing w:after="0" w:line="14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 Factors</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The market value of our debt and equity securities is subject to various factors that may cause significant fluctuations or volatility.</w:t>
      </w:r>
    </w:p>
    <w:p>
      <w:pPr>
        <w:spacing w:after="0" w:line="3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1"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financial market conditions;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and trend of interest rates;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access the capital markets to raise additional capital;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additional equity or debt securities;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funds from operations (“FFO”) or earnings estimates;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credit or analyst ratings;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performance;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perception of our business compared to other REITs;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perception of REITs, in general, compared to other investment alternatives.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cannot assure you we will continue to pay dividends in the current composition or at historical rates.</w:t>
      </w:r>
    </w:p>
    <w:p>
      <w:pPr>
        <w:spacing w:after="0" w:line="117"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20"/>
          <w:szCs w:val="20"/>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results of future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by our tenants under their contractual lease agreements;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our loan covenants;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acquire, finance, develop or redevelop and lease additional properties at attractive rates.</w:t>
      </w:r>
    </w:p>
    <w:p>
      <w:pPr>
        <w:spacing w:after="0" w:line="1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ectPr>
          <w:pgSz w:w="11880" w:h="15480" w:orient="portrait"/>
          <w:cols w:equalWidth="0" w:num="1">
            <w:col w:w="10240"/>
          </w:cols>
          <w:pgMar w:left="820" w:top="413" w:right="820" w:bottom="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240"/>
          </w:cols>
          <w:pgMar w:left="820" w:top="413" w:right="820" w:bottom="0" w:gutter="0" w:footer="0" w:header="0"/>
          <w:type w:val="continuous"/>
        </w:sectPr>
      </w:pPr>
    </w:p>
    <w:bookmarkStart w:id="25" w:name="page26"/>
    <w:bookmarkEnd w:id="25"/>
    <w:p>
      <w:pPr>
        <w:spacing w:after="0" w:line="269" w:lineRule="auto"/>
        <w:rPr>
          <w:sz w:val="20"/>
          <w:szCs w:val="20"/>
          <w:color w:val="auto"/>
        </w:rPr>
      </w:pPr>
      <w:r>
        <w:rPr>
          <w:rFonts w:ascii="Times New Roman" w:cs="Times New Roman" w:eastAsia="Times New Roman" w:hAnsi="Times New Roman"/>
          <w:sz w:val="20"/>
          <w:szCs w:val="20"/>
          <w:b w:val="1"/>
          <w:bCs w:val="1"/>
          <w:color w:val="auto"/>
        </w:rPr>
        <w:t>The Parent Company is a holding company with no direct operations, and it will rely on funds received from the Partnership to pay its obligations and make distributions to its shareholders.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spacing w:after="0" w:line="1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auto"/>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Loss of our key management could adversely affect performance and the value of our common shares.</w:t>
      </w:r>
    </w:p>
    <w:p>
      <w:pPr>
        <w:spacing w:after="0" w:line="10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adjust our business policies without shareholder approval.</w:t>
      </w:r>
    </w:p>
    <w:p>
      <w:pPr>
        <w:spacing w:after="0" w:line="11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3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face risks relating to cyber attacks that could cause loss of confidential information and other business disruptions.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rely extensively on information technology systems to process transactions and manage our business, and our business is at risk from and may be impacted by cyber attacks. These could include attempts to gain unauthorized access to our data and computer systems as well as attacks on third party's information technology systems that we rely on to provide important information technology services relating to key business functions, such as payroll. Attacks can be both individual and/or highly organized attempts by very sophisticated hacking organizations.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cyber attack. A cyber attack could compromise the confidential information of our employees, tenants and vendors. A successful attack could disrupt and otherwise adversely affect our business operations.</w:t>
      </w:r>
    </w:p>
    <w:p>
      <w:pPr>
        <w:spacing w:after="0" w:line="30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240"/>
          </w:cols>
          <w:pgMar w:left="820" w:top="4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240"/>
          </w:cols>
          <w:pgMar w:left="820" w:top="406" w:right="820" w:bottom="0" w:gutter="0" w:footer="0" w:header="0"/>
          <w:type w:val="continuous"/>
        </w:sectPr>
      </w:pPr>
    </w:p>
    <w:bookmarkStart w:id="26" w:name="page27"/>
    <w:bookmarkEnd w:id="26"/>
    <w:p>
      <w:pPr>
        <w:ind w:left="10"/>
        <w:spacing w:after="0"/>
        <w:tabs>
          <w:tab w:leader="none" w:pos="910" w:val="left"/>
        </w:tabs>
        <w:rPr>
          <w:sz w:val="20"/>
          <w:szCs w:val="20"/>
          <w:color w:val="auto"/>
        </w:rPr>
      </w:pPr>
      <w:r>
        <w:rPr>
          <w:rFonts w:ascii="Times New Roman" w:cs="Times New Roman" w:eastAsia="Times New Roman" w:hAnsi="Times New Roman"/>
          <w:sz w:val="20"/>
          <w:szCs w:val="20"/>
          <w:b w:val="1"/>
          <w:bCs w:val="1"/>
          <w:color w:val="auto"/>
        </w:rPr>
        <w:t>ITEM 2.</w:t>
        <w:tab/>
        <w:t>PROPERTIES</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7" w:lineRule="exact"/>
        <w:rPr>
          <w:sz w:val="20"/>
          <w:szCs w:val="20"/>
          <w:color w:val="auto"/>
        </w:rPr>
      </w:pPr>
    </w:p>
    <w:p>
      <w:pPr>
        <w:ind w:left="10" w:right="200"/>
        <w:spacing w:after="0" w:line="255" w:lineRule="auto"/>
        <w:rPr>
          <w:sz w:val="20"/>
          <w:szCs w:val="20"/>
          <w:color w:val="auto"/>
        </w:rPr>
      </w:pPr>
      <w:r>
        <w:rPr>
          <w:rFonts w:ascii="Times New Roman" w:cs="Times New Roman" w:eastAsia="Times New Roman" w:hAnsi="Times New Roman"/>
          <w:sz w:val="20"/>
          <w:szCs w:val="20"/>
          <w:color w:val="auto"/>
        </w:rPr>
        <w:t>As of December 31, 2022, we owned or had a majority ownership interest in community and neighborhood shopping centers and mixed-used properties which are operated as 103 predominantly retail real estate projects comprising approximately 25.8 million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2022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Tenant Diversification</w:t>
      </w:r>
    </w:p>
    <w:p>
      <w:pPr>
        <w:spacing w:after="0" w:line="117"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As of December 31, 2022, we had approximately 3,300 commercial leases and 3,000 residential leases, with tenants ranging from sole proprietors to major national and international retailers. No one tenant or affiliated group of tenants accounted for more than 2.8% of our annualized base rent as of December 31, 2022. As a result of our tenant diversification, we believe our exposure to any one bankruptcy filing has not been and will not be significant, however, multiple filings by a number of tenants could have a significant impact.</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Geographic Diversification</w:t>
      </w:r>
    </w:p>
    <w:p>
      <w:pPr>
        <w:spacing w:after="0" w:line="117" w:lineRule="exact"/>
        <w:rPr>
          <w:sz w:val="20"/>
          <w:szCs w:val="20"/>
          <w:color w:val="auto"/>
        </w:rPr>
      </w:pPr>
    </w:p>
    <w:p>
      <w:pPr>
        <w:ind w:left="10" w:right="440"/>
        <w:spacing w:after="0" w:line="266" w:lineRule="auto"/>
        <w:rPr>
          <w:sz w:val="20"/>
          <w:szCs w:val="20"/>
          <w:color w:val="auto"/>
        </w:rPr>
      </w:pPr>
      <w:r>
        <w:rPr>
          <w:rFonts w:ascii="Times New Roman" w:cs="Times New Roman" w:eastAsia="Times New Roman" w:hAnsi="Times New Roman"/>
          <w:sz w:val="20"/>
          <w:szCs w:val="20"/>
          <w:color w:val="auto"/>
        </w:rPr>
        <w:t>Our 103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2022.</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 Leasable</w:t>
            </w:r>
          </w:p>
        </w:tc>
        <w:tc>
          <w:tcPr>
            <w:tcW w:w="80" w:type="dxa"/>
            <w:vAlign w:val="bottom"/>
          </w:tcPr>
          <w:p>
            <w:pPr>
              <w:spacing w:after="0"/>
              <w:rPr>
                <w:sz w:val="13"/>
                <w:szCs w:val="13"/>
                <w:color w:val="auto"/>
              </w:rPr>
            </w:pPr>
          </w:p>
        </w:tc>
        <w:tc>
          <w:tcPr>
            <w:tcW w:w="1160" w:type="dxa"/>
            <w:vAlign w:val="bottom"/>
          </w:tcPr>
          <w:p>
            <w:pPr>
              <w:jc w:val="center"/>
              <w:ind w:left="136"/>
              <w:spacing w:after="0" w:line="160" w:lineRule="exact"/>
              <w:rPr>
                <w:sz w:val="20"/>
                <w:szCs w:val="20"/>
                <w:color w:val="auto"/>
              </w:rPr>
            </w:pPr>
            <w:r>
              <w:rPr>
                <w:rFonts w:ascii="Times New Roman" w:cs="Times New Roman" w:eastAsia="Times New Roman" w:hAnsi="Times New Roman"/>
                <w:sz w:val="16"/>
                <w:szCs w:val="16"/>
                <w:b w:val="1"/>
                <w:bCs w:val="1"/>
                <w:color w:val="auto"/>
              </w:rPr>
              <w:t>of Gross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8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left="116"/>
              <w:spacing w:after="0" w:line="160" w:lineRule="exact"/>
              <w:rPr>
                <w:sz w:val="20"/>
                <w:szCs w:val="20"/>
                <w:color w:val="auto"/>
              </w:rPr>
            </w:pPr>
            <w:r>
              <w:rPr>
                <w:rFonts w:ascii="Times New Roman" w:cs="Times New Roman" w:eastAsia="Times New Roman" w:hAnsi="Times New Roman"/>
                <w:sz w:val="16"/>
                <w:szCs w:val="16"/>
                <w:b w:val="1"/>
                <w:bCs w:val="1"/>
                <w:color w:val="auto"/>
                <w:w w:val="99"/>
              </w:rPr>
              <w:t>Leasable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Projects</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Area</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rPr>
              <w:t>Area</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square feet)</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California (1)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6,385,000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Maryland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4,346,000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Virginia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4,094,000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Pennsylvania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1,996,000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Massachusetts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2,184,000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New Jersey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Florida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New York</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1,236,000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Illinois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799,000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Arizona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Connecticut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358,000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Michigan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District of Columbia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5800" w:type="dxa"/>
            <w:vAlign w:val="bottom"/>
          </w:tcPr>
          <w:p>
            <w:pPr>
              <w:ind w:left="40"/>
              <w:spacing w:after="0" w:line="215" w:lineRule="exact"/>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103</w:t>
            </w: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25,810,000</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100.0 %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ind w:left="10" w:right="760" w:hanging="10"/>
        <w:spacing w:after="0" w:line="281" w:lineRule="auto"/>
        <w:tabs>
          <w:tab w:leader="none" w:pos="2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our 77.7% pro-rata share of Escondido Promenade, see Note 3 to the consolidated financial statements for additional information.</w:t>
      </w:r>
    </w:p>
    <w:p>
      <w:pPr>
        <w:spacing w:after="0" w:line="1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Leases, Lease Terms and Lease Expirations</w:t>
      </w:r>
    </w:p>
    <w:p>
      <w:pPr>
        <w:spacing w:after="0" w:line="117" w:lineRule="exact"/>
        <w:rPr>
          <w:sz w:val="20"/>
          <w:szCs w:val="20"/>
          <w:color w:val="auto"/>
        </w:rPr>
      </w:pPr>
    </w:p>
    <w:p>
      <w:pPr>
        <w:ind w:left="10" w:right="280"/>
        <w:spacing w:after="0" w:line="260" w:lineRule="auto"/>
        <w:rPr>
          <w:sz w:val="20"/>
          <w:szCs w:val="20"/>
          <w:color w:val="auto"/>
        </w:rPr>
      </w:pPr>
      <w:r>
        <w:rPr>
          <w:rFonts w:ascii="Times New Roman" w:cs="Times New Roman" w:eastAsia="Times New Roman" w:hAnsi="Times New Roman"/>
          <w:sz w:val="20"/>
          <w:szCs w:val="20"/>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63"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2022, represented approximately 9.7% of total rental income.</w:t>
      </w:r>
    </w:p>
    <w:p>
      <w:pPr>
        <w:sectPr>
          <w:pgSz w:w="11880" w:h="15480" w:orient="portrait"/>
          <w:cols w:equalWidth="0" w:num="1">
            <w:col w:w="10250"/>
          </w:cols>
          <w:pgMar w:left="810" w:top="406" w:right="82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250"/>
          </w:cols>
          <w:pgMar w:left="810" w:top="406" w:right="820" w:bottom="0" w:gutter="0" w:footer="0" w:header="0"/>
          <w:type w:val="continuous"/>
        </w:sectPr>
      </w:pPr>
    </w:p>
    <w:bookmarkStart w:id="27" w:name="page28"/>
    <w:bookmarkEnd w:id="27"/>
    <w:p>
      <w:pPr>
        <w:ind w:right="200"/>
        <w:spacing w:after="0" w:line="266" w:lineRule="auto"/>
        <w:rPr>
          <w:sz w:val="20"/>
          <w:szCs w:val="20"/>
          <w:color w:val="auto"/>
        </w:rPr>
      </w:pPr>
      <w:r>
        <w:rPr>
          <w:rFonts w:ascii="Times New Roman" w:cs="Times New Roman" w:eastAsia="Times New Roman" w:hAnsi="Times New Roman"/>
          <w:sz w:val="20"/>
          <w:szCs w:val="20"/>
          <w:color w:val="auto"/>
        </w:rPr>
        <w:t>The following table sets forth the schedule of lease expirations for our commercial leases in place as of December 31, 2022 for each of the 10 years beginning with 2023 and after 2032 in the aggregate assuming that none of the tenants exercise future renewal options. Annualized base rents reflect in-place contractual rents as of December 31, 2022.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8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Annualized</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Leased Square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64"/>
              <w:spacing w:after="0" w:line="160" w:lineRule="exact"/>
              <w:rPr>
                <w:sz w:val="20"/>
                <w:szCs w:val="20"/>
                <w:color w:val="auto"/>
              </w:rPr>
            </w:pPr>
            <w:r>
              <w:rPr>
                <w:rFonts w:ascii="Times New Roman" w:cs="Times New Roman" w:eastAsia="Times New Roman" w:hAnsi="Times New Roman"/>
                <w:sz w:val="16"/>
                <w:szCs w:val="16"/>
                <w:b w:val="1"/>
                <w:bCs w:val="1"/>
                <w:color w:val="auto"/>
                <w:w w:val="98"/>
              </w:rPr>
              <w:t>Base Rent</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Base Rent</w:t>
            </w:r>
          </w:p>
        </w:tc>
        <w:tc>
          <w:tcPr>
            <w:tcW w:w="0" w:type="dxa"/>
            <w:vAlign w:val="bottom"/>
          </w:tcPr>
          <w:p>
            <w:pPr>
              <w:spacing w:after="0"/>
              <w:rPr>
                <w:sz w:val="1"/>
                <w:szCs w:val="1"/>
                <w:color w:val="auto"/>
              </w:rPr>
            </w:pPr>
          </w:p>
        </w:tc>
      </w:tr>
      <w:tr>
        <w:trPr>
          <w:trHeight w:val="160"/>
        </w:trPr>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 of Lease Expiration</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Footage</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Footage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Represented by</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Represented by</w:t>
            </w:r>
          </w:p>
        </w:tc>
        <w:tc>
          <w:tcPr>
            <w:tcW w:w="0" w:type="dxa"/>
            <w:vAlign w:val="bottom"/>
          </w:tcPr>
          <w:p>
            <w:pPr>
              <w:spacing w:after="0"/>
              <w:rPr>
                <w:sz w:val="1"/>
                <w:szCs w:val="1"/>
                <w:color w:val="auto"/>
              </w:rPr>
            </w:pPr>
          </w:p>
        </w:tc>
      </w:tr>
      <w:tr>
        <w:trPr>
          <w:trHeight w:val="214"/>
        </w:trPr>
        <w:tc>
          <w:tcPr>
            <w:tcW w:w="4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Expiring</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Expiring</w:t>
            </w:r>
          </w:p>
        </w:tc>
        <w:tc>
          <w:tcPr>
            <w:tcW w:w="60" w:type="dxa"/>
            <w:vAlign w:val="bottom"/>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Expiring Leases</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Expiring Leases</w:t>
            </w:r>
          </w:p>
        </w:tc>
        <w:tc>
          <w:tcPr>
            <w:tcW w:w="0" w:type="dxa"/>
            <w:vAlign w:val="bottom"/>
          </w:tcPr>
          <w:p>
            <w:pPr>
              <w:spacing w:after="0"/>
              <w:rPr>
                <w:sz w:val="1"/>
                <w:szCs w:val="1"/>
                <w:color w:val="auto"/>
              </w:rPr>
            </w:pPr>
          </w:p>
        </w:tc>
      </w:tr>
      <w:tr>
        <w:trPr>
          <w:trHeight w:val="262"/>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50,078,000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3,288,000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93,999,000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3,392,000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90,135,000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2,221,000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71,066,000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2,987,000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100,035,000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2,549,000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74,476,000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1,707,000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57,460,000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29,051,000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1,042,000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35,049,000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2,081,000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68,078,000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0" w:type="dxa"/>
            <w:vAlign w:val="bottom"/>
          </w:tcPr>
          <w:p>
            <w:pPr>
              <w:spacing w:after="0"/>
              <w:rPr>
                <w:sz w:val="1"/>
                <w:szCs w:val="1"/>
                <w:color w:val="auto"/>
              </w:rPr>
            </w:pPr>
          </w:p>
        </w:tc>
      </w:tr>
      <w:tr>
        <w:trPr>
          <w:trHeight w:val="288"/>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2,090,000</w:t>
            </w:r>
          </w:p>
        </w:tc>
        <w:tc>
          <w:tcPr>
            <w:tcW w:w="8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57,455,000</w:t>
            </w:r>
          </w:p>
        </w:tc>
        <w:tc>
          <w:tcPr>
            <w:tcW w:w="8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245"/>
        </w:trPr>
        <w:tc>
          <w:tcPr>
            <w:tcW w:w="43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23,942,000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726,882,000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During 2022, we signed leases for a total of 2,048,000 square feet of retail space including 1,985,000 square feet of comparable space leases (leases for which there was a prior tenant) at an average rental increase of 6% on a cash basis. New leases for comparable spaces were signed for 757,000 square feet at an average rental increase of 8% on a cash basis. Renewals for comparable spaces were signed for 1,228,000 square feet at an average rental increase of 4% on a cash basis. Tenant improvements and incentives for comparable spaces were $31.65 per square foot, of which, $75.12 per square foot was for new leases and $4.86 per square foot was for renewals in 2022.</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During 2021, we signed leases for a total of 2,193,000 square feet of retail space including 2,093,000 square feet of comparable space leases (leases for which there was a prior tenant) at an average rental increase of 7% on a cash basis. New leases for comparable spaces were signed for 1,144,000 square feet at an average rental increase of 10% on a cash basis. Renewals for comparable spaces were signed for 949,000 square feet at an average rental increase of 3% on a cash basis. Tenant improvements and incentives for comparable spaces were $37.57 per square foot, of which, $65.92 per square foot was for new leases and $3.41 per square foot was for renewals in 2021.</w:t>
      </w:r>
    </w:p>
    <w:p>
      <w:pPr>
        <w:spacing w:after="0" w:line="14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Historically, we have executed comparable space leases for 1.4 to 2.0 million square feet of retail space each year and expect the volume for 2023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The leases signed in 2022 generally become effective over the following two years though some may not become effective until 2025 and beyond. Further, there is risk that some new tenants will not ultimately take possession of their space and that tenants for both new and renewal leases may not pay all of their contractual rent due to operating, financing or other matters. However,</w:t>
      </w:r>
    </w:p>
    <w:p>
      <w:pPr>
        <w:sectPr>
          <w:pgSz w:w="11880" w:h="15480" w:orient="portrait"/>
          <w:cols w:equalWidth="0" w:num="1">
            <w:col w:w="10260"/>
          </w:cols>
          <w:pgMar w:left="820" w:top="413" w:right="800" w:bottom="0"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260"/>
          </w:cols>
          <w:pgMar w:left="820" w:top="413" w:right="800" w:bottom="0" w:gutter="0" w:footer="0" w:header="0"/>
          <w:type w:val="continuous"/>
        </w:sectPr>
      </w:pPr>
    </w:p>
    <w:bookmarkStart w:id="28" w:name="page29"/>
    <w:bookmarkEnd w:id="28"/>
    <w:p>
      <w:pPr>
        <w:spacing w:after="0" w:line="281" w:lineRule="auto"/>
        <w:rPr>
          <w:sz w:val="20"/>
          <w:szCs w:val="20"/>
          <w:color w:val="auto"/>
        </w:rPr>
      </w:pPr>
      <w:r>
        <w:rPr>
          <w:rFonts w:ascii="Times New Roman" w:cs="Times New Roman" w:eastAsia="Times New Roman" w:hAnsi="Times New Roman"/>
          <w:sz w:val="20"/>
          <w:szCs w:val="20"/>
          <w:color w:val="auto"/>
        </w:rPr>
        <w:t>our historical increases in rental rates do provide information about the tenant/landlord relationship and the potential increase we may achieve in rental income over time.</w:t>
      </w:r>
    </w:p>
    <w:p>
      <w:pPr>
        <w:sectPr>
          <w:pgSz w:w="11880" w:h="15480" w:orient="portrait"/>
          <w:cols w:equalWidth="0" w:num="1">
            <w:col w:w="10000"/>
          </w:cols>
          <w:pgMar w:left="820" w:top="41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000"/>
          </w:cols>
          <w:pgMar w:left="820" w:top="413" w:right="106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Retail and Residential Properties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following table sets forth information concerning all real estate projects in which we owned an equity interest, had a leasehold interest, or otherwise controlled and are consolidated as of December 31, 2022. Except as otherwise noted, we are the sole owner of our real estate projects. Principal tenants are the largest tenants in the project based on square feet leased or are tenants important to a project’s success due to their ability to attract retail customers.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Completed</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Leased(3)</w:t>
            </w:r>
          </w:p>
        </w:tc>
        <w:tc>
          <w:tcPr>
            <w:tcW w:w="8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56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auto"/>
                <w:w w:val="97"/>
              </w:rPr>
              <w:t>Arizona</w:t>
            </w:r>
          </w:p>
        </w:tc>
        <w:tc>
          <w:tcPr>
            <w:tcW w:w="2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Camelback Colonnade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1977, 2019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642,000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$18.14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89%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Fry's Food &amp; Drug</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Phoenix, AZ 85016(4)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Floor &amp; Décor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Nordstrom Last Chance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Best Buy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Chandler Festival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355,000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$17.24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Chandler, AZ 85224(5)(6)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Chandler Gateway</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2001</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2022</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262,000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$11.10</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Walmart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Chandler, AZ 85226(5)(6)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Hobby Lobby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Petco</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Hilton Village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1982, 1989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2021/2022</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305,000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33.87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Scottsdale, AZ 85250(4)(7)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Houston's</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Azalea</w:t>
            </w:r>
          </w:p>
        </w:tc>
        <w:tc>
          <w:tcPr>
            <w:tcW w:w="2080" w:type="dxa"/>
            <w:vAlign w:val="bottom"/>
          </w:tcPr>
          <w:p>
            <w:pPr>
              <w:spacing w:after="0"/>
              <w:rPr>
                <w:sz w:val="16"/>
                <w:szCs w:val="16"/>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2014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223,000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$28.48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South Gate, CA 90280(4)(6)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Bell Gardens</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1990, 2003,</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2017/2018</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330,000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$23.58</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98%</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Food 4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Bell Gardens, CA 90201(4)(6)(7)</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Bob's Discount Furniture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Colorado Blvd</w:t>
            </w:r>
          </w:p>
        </w:tc>
        <w:tc>
          <w:tcPr>
            <w:tcW w:w="9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rPr>
              <w:t>1905-1988</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1998</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42,000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$60.04</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Banana Republic</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Pasadena, CA 91103(7)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True Food Kitchen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Crow Canyon Commons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1980, 1998,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2005/2007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243,000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$29.55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Sprouts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San Ramon, CA 94583</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 Wine &amp; More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Rite Aid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Alamo Ace Hardware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East Bay Bridge</w:t>
            </w:r>
          </w:p>
        </w:tc>
        <w:tc>
          <w:tcPr>
            <w:tcW w:w="9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rPr>
              <w:t>1994-2001,</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2012</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440,000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$19.71</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Pak-N-Save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Emeryville &amp; Oakland, CA 94608</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2011, 2012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 Depot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Target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Nordstrom Rack</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Escondido Promenade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1987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1996/2010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231,000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$29.37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Escondido, CA 92029(8)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Dick's Sporting 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Bob's Discount Furniture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Fourth Street</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1948, 1975</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2017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71,000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$32.59</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81%</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CB2</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Berkeley, CA 94710(4)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Ingram Book Group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Bellwether Coffee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auto"/>
              </w:rPr>
              <w:t>Freedom Plaza</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2020</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2018</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114,000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$30.71</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97%</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Smart &amp; Final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Los Angeles, CA 90002(4)(7)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Nike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Blink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Grossmont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1961, 1963,</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932,000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$14.17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98%</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La Mesa, CA 91942(4)</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1982-1983,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Walmart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Macy's</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Hastings Ranch Plaza</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1958, 1984,</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2017</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273,000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$8.59</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Pasadena, CA 91107(7)</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2006, 2007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Sears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Hollywood Blvd</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1929, 1991</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1999</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181,000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$36.55</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86%</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Hollywood, CA 90028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Kings Court</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1960</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1998</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81,000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$42.31</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Lunardi's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Los Gatos, CA 95032(7)(9)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color w:val="auto"/>
              </w:rPr>
              <w:t>La Alameda</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2008</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2017</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245,000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$27.08</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Walnut Park, CA 90255(5)(6)(7)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Petco</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Old Town Center</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1962, 1998</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1997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98,000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$42.99</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Anthropologie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Los Gatos, CA 95030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Sephora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Teleferic Barcelona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20" w:top="406" w:right="86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200"/>
          </w:cols>
          <w:pgMar w:left="820" w:top="406" w:right="860"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Completed</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Leased(3)</w:t>
            </w:r>
          </w:p>
        </w:tc>
        <w:tc>
          <w:tcPr>
            <w:tcW w:w="8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780" w:type="dxa"/>
            <w:vAlign w:val="bottom"/>
            <w:gridSpan w:val="4"/>
          </w:tcPr>
          <w:p>
            <w:pPr>
              <w:spacing w:after="0" w:line="154" w:lineRule="exact"/>
              <w:rPr>
                <w:sz w:val="20"/>
                <w:szCs w:val="20"/>
                <w:color w:val="auto"/>
              </w:rPr>
            </w:pPr>
            <w:r>
              <w:rPr>
                <w:rFonts w:ascii="Times New Roman" w:cs="Times New Roman" w:eastAsia="Times New Roman" w:hAnsi="Times New Roman"/>
                <w:sz w:val="16"/>
                <w:szCs w:val="16"/>
                <w:color w:val="auto"/>
              </w:rPr>
              <w:t>Olivo at Mission Hills</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2017</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155,000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$33.26</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Mission Hills, CA 91345(4)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24 Hour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Plaza Del Sol</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2009</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2017</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48,000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$24.22</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South El Monte, CA 91733(4)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Plaza El Segundo / The Point</w:t>
            </w:r>
          </w:p>
        </w:tc>
        <w:tc>
          <w:tcPr>
            <w:tcW w:w="9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rPr>
              <w:t>2006-2007,</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2011/2013</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501,000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$48.03</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85%</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Whole Foods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El Segundo, CA 90245 (6)</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Dick's Sporting Goods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San Antonio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2015/2019</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213,000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$16.70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Mountain View, CA 94040(7)(9)</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1964-1965,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Walmart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1974-1975,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24 Hour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1995-1997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Santana Row</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2002, 2009,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1,206,000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$56.56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Crate &amp; Barrel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San Jose, CA 95128(7)(11)</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2016, 2020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Container Store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H&amp;M</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Best Buy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Splunk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Net App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auto"/>
              </w:rPr>
              <w:t>Santana Row Residential</w:t>
            </w:r>
          </w:p>
        </w:tc>
        <w:tc>
          <w:tcPr>
            <w:tcW w:w="9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rPr>
              <w:t>2003-2006,</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1997/2012</w:t>
            </w:r>
          </w:p>
        </w:tc>
        <w:tc>
          <w:tcPr>
            <w:tcW w:w="60" w:type="dxa"/>
            <w:vAlign w:val="bottom"/>
          </w:tcPr>
          <w:p>
            <w:pPr>
              <w:spacing w:after="0"/>
              <w:rPr>
                <w:sz w:val="15"/>
                <w:szCs w:val="15"/>
                <w:color w:val="auto"/>
              </w:rPr>
            </w:pPr>
          </w:p>
        </w:tc>
        <w:tc>
          <w:tcPr>
            <w:tcW w:w="108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662 units</w:t>
            </w:r>
          </w:p>
        </w:tc>
        <w:tc>
          <w:tcPr>
            <w:tcW w:w="80" w:type="dxa"/>
            <w:vAlign w:val="bottom"/>
          </w:tcPr>
          <w:p>
            <w:pPr>
              <w:spacing w:after="0"/>
              <w:rPr>
                <w:sz w:val="15"/>
                <w:szCs w:val="15"/>
                <w:color w:val="auto"/>
              </w:rPr>
            </w:pPr>
          </w:p>
        </w:tc>
        <w:tc>
          <w:tcPr>
            <w:tcW w:w="1060" w:type="dxa"/>
            <w:vAlign w:val="bottom"/>
          </w:tcPr>
          <w:p>
            <w:pPr>
              <w:ind w:left="440"/>
              <w:spacing w:after="0" w:line="177"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San Jose, CA 95128</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2011, 2014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Sylmar Towne Center</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1973</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2017</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148,000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$17.57</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93%</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Food 4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Sylmar, CA 91342(4)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Third Street Promenade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1888-2000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1996-2000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$72.02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74%</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adidas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Santa Monica, CA 90401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Madewell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Patagonia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Westgate Center</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1960-1966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648,000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$19.68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91%</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San Jose, CA 95129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Nike Factory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Connecticut</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Bristol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264,000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$14.24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82%</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Stop &amp; Shop</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Bristol, CT 06010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Burlington</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Darien Commons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1920-2009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2013/2018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$42.94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89%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Equinox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Darien, CT 06820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Walgreens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Darien Commons Residential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2022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2013/2018</w:t>
            </w:r>
          </w:p>
        </w:tc>
        <w:tc>
          <w:tcPr>
            <w:tcW w:w="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 units</w:t>
            </w:r>
          </w:p>
        </w:tc>
        <w:tc>
          <w:tcPr>
            <w:tcW w:w="8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75%</w:t>
            </w: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Darien, CT 06820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auto"/>
              </w:rPr>
              <w:t>Greenwich Avenue</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1968</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1995</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35,000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$96.19</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Saks Fifth Avenue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Greenwich Avenue, CT 06830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District of Columbia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Friendship Center</w:t>
            </w:r>
          </w:p>
        </w:tc>
        <w:tc>
          <w:tcPr>
            <w:tcW w:w="1380" w:type="dxa"/>
            <w:vAlign w:val="bottom"/>
          </w:tcPr>
          <w:p>
            <w:pPr>
              <w:spacing w:after="0"/>
              <w:rPr>
                <w:sz w:val="19"/>
                <w:szCs w:val="19"/>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1998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78,000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$33.73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Washington, DC 20015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DSW</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Maggiano's</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CocoWalk</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1990/1994,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2015-2017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273,000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$45.17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Cinepolis Theaters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Coconut Grove, FL 33133(4)(12)</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1922-1973,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Youfit Health Club</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2018-2021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Del Mar Village</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1982, 1994</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2008/2014</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187,000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$23.44</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97%</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Winn Dixie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Boca Raton, FL 33433</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&amp; 2007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The Shops at Pembroke Gardens</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2007</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2022</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391,000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$30.66</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92%</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DSW</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Pembroke Pines, FL 33027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Nike Factory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Barnes &amp; Noble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auto"/>
              </w:rPr>
              <w:t>Tower Shops</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1989, 2017</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2011/2014</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430,000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$27.06</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Davie, FL 33324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Best Buy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Illinois</w:t>
            </w:r>
          </w:p>
        </w:tc>
        <w:tc>
          <w:tcPr>
            <w:tcW w:w="2280" w:type="dxa"/>
            <w:vAlign w:val="bottom"/>
            <w:gridSpan w:val="3"/>
            <w:vMerge w:val="restart"/>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Crossroads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168,000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$23.48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91%</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Highland Park, IL 60035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Binny's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Ferguson's Bath, Kitchen, &amp;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Lighting Gallery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Finley Square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281,000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$17.13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92%</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Bed, Bath &amp; Beyond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auto"/>
              </w:rPr>
              <w:t>Downers Grove, IL 60515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Buy Buy Baby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Michaels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Portillo's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20" w:top="451" w:right="860" w:bottom="0" w:gutter="0" w:footer="0" w:header="0"/>
        </w:sectPr>
      </w:pP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200"/>
          </w:cols>
          <w:pgMar w:left="820" w:top="451" w:right="860"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Completed</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Leased(3)</w:t>
            </w:r>
          </w:p>
        </w:tc>
        <w:tc>
          <w:tcPr>
            <w:tcW w:w="8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78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Garden Market</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1958</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1994</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139,000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$13.92</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Mariano's Fresh Market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Western Springs, IL 60558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Walgreens</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Riverpoint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1989, 2012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211,000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$21.21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93%</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Jewel Osco</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Chicago, IL 60614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7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Maryland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Bethesda Row</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1945-1991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1993-2006/</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529,000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$56.39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Bethesda, MD 20814(7)</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2001, 2008</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2008/2010</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Apple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Equinox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Anthropologie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Bethesda Row Residential</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2008</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1993</w:t>
            </w:r>
          </w:p>
        </w:tc>
        <w:tc>
          <w:tcPr>
            <w:tcW w:w="60" w:type="dxa"/>
            <w:vAlign w:val="bottom"/>
          </w:tcPr>
          <w:p>
            <w:pPr>
              <w:spacing w:after="0"/>
              <w:rPr>
                <w:sz w:val="14"/>
                <w:szCs w:val="14"/>
                <w:color w:val="auto"/>
              </w:rPr>
            </w:pPr>
          </w:p>
        </w:tc>
        <w:tc>
          <w:tcPr>
            <w:tcW w:w="10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rPr>
              <w:t>180 units</w:t>
            </w:r>
          </w:p>
        </w:tc>
        <w:tc>
          <w:tcPr>
            <w:tcW w:w="80" w:type="dxa"/>
            <w:vAlign w:val="bottom"/>
          </w:tcPr>
          <w:p>
            <w:pPr>
              <w:spacing w:after="0"/>
              <w:rPr>
                <w:sz w:val="14"/>
                <w:szCs w:val="14"/>
                <w:color w:val="auto"/>
              </w:rPr>
            </w:pPr>
          </w:p>
        </w:tc>
        <w:tc>
          <w:tcPr>
            <w:tcW w:w="1060" w:type="dxa"/>
            <w:vAlign w:val="bottom"/>
          </w:tcPr>
          <w:p>
            <w:pPr>
              <w:ind w:left="440"/>
              <w:spacing w:after="0" w:line="167"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Bethesda, MD 20814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Congressional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1965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324,000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$41.60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91%</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Fresh Market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Rockville, MD 20852(4)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Buy Buy Baby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Barnes &amp; Noble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Container Store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Congressional Plaza Residential</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2003, 2016</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1965</w:t>
            </w:r>
          </w:p>
        </w:tc>
        <w:tc>
          <w:tcPr>
            <w:tcW w:w="60" w:type="dxa"/>
            <w:vAlign w:val="bottom"/>
          </w:tcPr>
          <w:p>
            <w:pPr>
              <w:spacing w:after="0"/>
              <w:rPr>
                <w:sz w:val="14"/>
                <w:szCs w:val="14"/>
                <w:color w:val="auto"/>
              </w:rPr>
            </w:pPr>
          </w:p>
        </w:tc>
        <w:tc>
          <w:tcPr>
            <w:tcW w:w="10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rPr>
              <w:t>194 units</w:t>
            </w:r>
          </w:p>
        </w:tc>
        <w:tc>
          <w:tcPr>
            <w:tcW w:w="80" w:type="dxa"/>
            <w:vAlign w:val="bottom"/>
          </w:tcPr>
          <w:p>
            <w:pPr>
              <w:spacing w:after="0"/>
              <w:rPr>
                <w:sz w:val="14"/>
                <w:szCs w:val="14"/>
                <w:color w:val="auto"/>
              </w:rPr>
            </w:pPr>
          </w:p>
        </w:tc>
        <w:tc>
          <w:tcPr>
            <w:tcW w:w="1060" w:type="dxa"/>
            <w:vAlign w:val="bottom"/>
          </w:tcPr>
          <w:p>
            <w:pPr>
              <w:ind w:left="440"/>
              <w:spacing w:after="0" w:line="167"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98%</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Rockville, MD 20852(4)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Courthouse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$25.61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69%</w:t>
            </w: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Rockville, MD 20852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Federal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1989</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249,000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$38.25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93%</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Rockville, MD 20852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Micro Center</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Gaithersburg Square</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1966</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1993</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208,000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$31.11</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Gaithersburg, MD 20878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Ashley Furniture HomeStore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Governor Plaza</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1963</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1985</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243,000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$20.44</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Aldi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Glen Burnie, MD 21961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Dick's Sporting 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Petco</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Laurel</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1956</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1986</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364,000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$23.71</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Laurel, MD 20707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Montrose Crossing</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1960-1979,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2011/2013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368,000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$33.72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Rockville, MD 20852</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1996, 2011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 Depot Design Center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Burlington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Perring Plaza</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1963</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1985</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398,000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$19.04</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71%</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Shoppers Food Warehouse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Baltimore, MD 21134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 Depot</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Micro Center</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Pike &amp; Rose</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1963, 2014,</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1982/2007/</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667,000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$42.68</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Porsche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North Bethesda, MD 20852(11)</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2018, 2020</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2012</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Uniqlo</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REI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H&amp;M</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L.L. Bean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Pike &amp; Rose Residential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2014, 2016,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1982/2007</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765 units</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97%</w:t>
            </w: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North Bethesda, MD 20852</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Plaza Del Mercado</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116,000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$33.15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Aldi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Silver Spring, MD 20906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Quince Orchard</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1975</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1993</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270,000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$26.14</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84%</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Aldi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Gaithersburg, MD 20877(7)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Staples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THE AVENUE at White Marsh</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1997</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2007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315,000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$27.59</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5"/>
              </w:rPr>
              <w:t>88%</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Baltimore, MD 21236(9)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Nike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The Shoppes at Nottingham Square</w:t>
            </w:r>
          </w:p>
        </w:tc>
        <w:tc>
          <w:tcPr>
            <w:tcW w:w="9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rPr>
              <w:t>2005-2006</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2007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33,000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$51.91</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Baltimore, MD 21236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White Marsh Other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1985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$33.44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87%</w:t>
            </w: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Baltimore, MD 21236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White Marsh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1987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80,000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$23.62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Baltimore, MD 21236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20" w:top="4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200"/>
          </w:cols>
          <w:pgMar w:left="820" w:top="451" w:right="860"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Completed</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Leased(3)</w:t>
            </w:r>
          </w:p>
        </w:tc>
        <w:tc>
          <w:tcPr>
            <w:tcW w:w="8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78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color w:val="auto"/>
              </w:rPr>
              <w:t>Wildwood</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1958</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1969</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88,000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$103.94</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Balducci's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Bethesda, MD 20814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Assembly Row/</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2005, 2014,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2005-2011/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1,178,000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$35.30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Assembly Square Marketplace</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2018, 2021</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2013</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Somerville, MA 02145(11)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Nike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PUMA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Assembly Row Residential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2018, 2021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2005-2011</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947 units</w:t>
            </w:r>
          </w:p>
        </w:tc>
        <w:tc>
          <w:tcPr>
            <w:tcW w:w="80" w:type="dxa"/>
            <w:vAlign w:val="bottom"/>
          </w:tcPr>
          <w:p>
            <w:pPr>
              <w:spacing w:after="0"/>
              <w:rPr>
                <w:sz w:val="16"/>
                <w:szCs w:val="16"/>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94%</w:t>
            </w: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Somerville, MA 02145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Campus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114,000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$16.83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85%</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Roche Bros.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Bridgewater, MA 02324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Burlington</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Chelsea Commons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1962,1969,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2006-2008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222,000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$12.94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Home Depot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Chelsea, MA 02150(6)</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Planet Fitness</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5"/>
          </w:tcPr>
          <w:p>
            <w:pPr>
              <w:spacing w:after="0" w:line="161" w:lineRule="exact"/>
              <w:rPr>
                <w:sz w:val="20"/>
                <w:szCs w:val="20"/>
                <w:color w:val="auto"/>
              </w:rPr>
            </w:pPr>
            <w:r>
              <w:rPr>
                <w:rFonts w:ascii="Times New Roman" w:cs="Times New Roman" w:eastAsia="Times New Roman" w:hAnsi="Times New Roman"/>
                <w:sz w:val="16"/>
                <w:szCs w:val="16"/>
                <w:color w:val="auto"/>
              </w:rPr>
              <w:t>Dedham Plaza</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1959</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1993/2016/</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249,000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$18.14</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92%</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Star Market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Dedham, MA 02026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Planet Fitness</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Linden Square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1960, 2008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224,000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$50.56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97%</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Roche Bros.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Wellesley, MA 02481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 units</w:t>
            </w:r>
          </w:p>
        </w:tc>
        <w:tc>
          <w:tcPr>
            <w:tcW w:w="80" w:type="dxa"/>
            <w:vAlign w:val="bottom"/>
          </w:tcPr>
          <w:p>
            <w:pPr>
              <w:spacing w:after="0"/>
              <w:rPr>
                <w:sz w:val="18"/>
                <w:szCs w:val="18"/>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780" w:type="dxa"/>
            <w:vAlign w:val="bottom"/>
            <w:gridSpan w:val="5"/>
          </w:tcPr>
          <w:p>
            <w:pPr>
              <w:spacing w:after="0" w:line="177" w:lineRule="exact"/>
              <w:rPr>
                <w:sz w:val="20"/>
                <w:szCs w:val="20"/>
                <w:color w:val="auto"/>
              </w:rPr>
            </w:pPr>
            <w:r>
              <w:rPr>
                <w:rFonts w:ascii="Times New Roman" w:cs="Times New Roman" w:eastAsia="Times New Roman" w:hAnsi="Times New Roman"/>
                <w:sz w:val="16"/>
                <w:szCs w:val="16"/>
                <w:color w:val="auto"/>
              </w:rPr>
              <w:t>North Dartmouth</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2004</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2006</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48,000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$17.22</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Stop &amp; Shop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North Dartmouth, MA 02747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Queen Anne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1994</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149,000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$20.42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Big Y Foods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Norwell, MA 02061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Michigan</w:t>
            </w:r>
          </w:p>
        </w:tc>
        <w:tc>
          <w:tcPr>
            <w:tcW w:w="2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Gratiot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1973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215,000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$12.82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Kroger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Roseville, MI 48066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Bed, Bath &amp; Beyond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Best Buy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DSW</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New Jersey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Brick Plaza</w:t>
            </w:r>
          </w:p>
        </w:tc>
        <w:tc>
          <w:tcPr>
            <w:tcW w:w="2000" w:type="dxa"/>
            <w:vAlign w:val="bottom"/>
            <w:gridSpan w:val="2"/>
          </w:tcPr>
          <w:p>
            <w:pPr>
              <w:spacing w:after="0"/>
              <w:rPr>
                <w:sz w:val="19"/>
                <w:szCs w:val="19"/>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1989</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407,000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$21.85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Brick Township, NJ 08723(7)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Burlington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5"/>
          </w:tcPr>
          <w:p>
            <w:pPr>
              <w:spacing w:after="0" w:line="167" w:lineRule="exact"/>
              <w:rPr>
                <w:sz w:val="20"/>
                <w:szCs w:val="20"/>
                <w:color w:val="auto"/>
              </w:rPr>
            </w:pPr>
            <w:r>
              <w:rPr>
                <w:rFonts w:ascii="Times New Roman" w:cs="Times New Roman" w:eastAsia="Times New Roman" w:hAnsi="Times New Roman"/>
                <w:sz w:val="16"/>
                <w:szCs w:val="16"/>
                <w:color w:val="auto"/>
              </w:rPr>
              <w:t>Brook 35</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1986, 2004</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2014</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98,000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$41.89</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92%</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Banana Republic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Sea Grit, NJ 08750(4)(6)(9)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Gap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Williams-Sonoma</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color w:val="auto"/>
              </w:rPr>
              <w:t>Ellisburg</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1959</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1992</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260,000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$18.20</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Whole Foods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Cherry Hill, NJ 08034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Buy Buy Baby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RH Outlet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color w:val="auto"/>
              </w:rPr>
              <w:t>Hoboken</w:t>
            </w:r>
          </w:p>
        </w:tc>
        <w:tc>
          <w:tcPr>
            <w:tcW w:w="98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rPr>
              <w:t>1887-2006</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2019/2020/</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171,000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$57.04</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98%</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Hoboken, NJ 07030(4)(6)(13)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2022</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New York Sports Club</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129 units</w:t>
            </w:r>
          </w:p>
        </w:tc>
        <w:tc>
          <w:tcPr>
            <w:tcW w:w="80" w:type="dxa"/>
            <w:vAlign w:val="bottom"/>
          </w:tcPr>
          <w:p>
            <w:pPr>
              <w:spacing w:after="0"/>
              <w:rPr>
                <w:sz w:val="13"/>
                <w:szCs w:val="13"/>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Sephora</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Multiple Restaurants</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780" w:type="dxa"/>
            <w:vAlign w:val="bottom"/>
            <w:gridSpan w:val="5"/>
          </w:tcPr>
          <w:p>
            <w:pPr>
              <w:spacing w:after="0" w:line="161" w:lineRule="exact"/>
              <w:rPr>
                <w:sz w:val="20"/>
                <w:szCs w:val="20"/>
                <w:color w:val="auto"/>
              </w:rPr>
            </w:pPr>
            <w:r>
              <w:rPr>
                <w:rFonts w:ascii="Times New Roman" w:cs="Times New Roman" w:eastAsia="Times New Roman" w:hAnsi="Times New Roman"/>
                <w:sz w:val="16"/>
                <w:szCs w:val="16"/>
                <w:color w:val="auto"/>
              </w:rPr>
              <w:t>Mercer Mall</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1975</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2003/2017</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551,000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$26.68</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89%</w:t>
            </w:r>
          </w:p>
        </w:tc>
        <w:tc>
          <w:tcPr>
            <w:tcW w:w="80" w:type="dxa"/>
            <w:vAlign w:val="bottom"/>
          </w:tcPr>
          <w:p>
            <w:pPr>
              <w:spacing w:after="0"/>
              <w:rPr>
                <w:sz w:val="14"/>
                <w:szCs w:val="14"/>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Shop Rite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Lawrenceville, NJ 08648(7)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Nike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REI</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Tesla</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color w:val="auto"/>
              </w:rPr>
              <w:t>The Grove at Shrewsbury</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1988, 1993</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2014</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193,000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$49.05</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Lululemon</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Shrewsbury, NJ 07702(4)(6)(9)</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&amp; 2007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Anthropologie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Pottery Barn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Williams-Sonoma</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Troy Hills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211,000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$23.02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Parsippany-Troy, NJ 07054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780" w:type="dxa"/>
            <w:vAlign w:val="bottom"/>
            <w:gridSpan w:val="5"/>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New York</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Fresh Meadows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1949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408,000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$39.23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Island of Gold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Queens, NY 11365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Kohl's</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5"/>
          </w:tcPr>
          <w:p>
            <w:pPr>
              <w:spacing w:after="0" w:line="161" w:lineRule="exact"/>
              <w:rPr>
                <w:sz w:val="20"/>
                <w:szCs w:val="20"/>
                <w:color w:val="auto"/>
              </w:rPr>
            </w:pPr>
            <w:r>
              <w:rPr>
                <w:rFonts w:ascii="Times New Roman" w:cs="Times New Roman" w:eastAsia="Times New Roman" w:hAnsi="Times New Roman"/>
                <w:sz w:val="16"/>
                <w:szCs w:val="16"/>
                <w:color w:val="auto"/>
              </w:rPr>
              <w:t>Georgetowne Shopping Center</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1969, 2006,</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2019</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147,000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$41.49</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87%</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Foodway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Brooklyn, NY 11234</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2015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Five Below</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IHOP</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color w:val="auto"/>
              </w:rPr>
              <w:t>Greenlawn Plaza</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1975, 2004</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2006</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103,000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$19.80</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92%</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Greenlawn Farms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6"/>
                <w:szCs w:val="16"/>
                <w:color w:val="auto"/>
              </w:rPr>
              <w:t>Greenlawn, NY 11743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Tuesday Morning</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Planet Fitness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20" w:top="451" w:right="860" w:bottom="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200"/>
          </w:cols>
          <w:pgMar w:left="820" w:top="451" w:right="86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Completed</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Leased(3)</w:t>
            </w:r>
          </w:p>
        </w:tc>
        <w:tc>
          <w:tcPr>
            <w:tcW w:w="8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780" w:type="dxa"/>
            <w:vAlign w:val="bottom"/>
            <w:gridSpan w:val="3"/>
          </w:tcPr>
          <w:p>
            <w:pPr>
              <w:spacing w:after="0" w:line="154" w:lineRule="exact"/>
              <w:rPr>
                <w:sz w:val="20"/>
                <w:szCs w:val="20"/>
                <w:color w:val="auto"/>
              </w:rPr>
            </w:pPr>
            <w:r>
              <w:rPr>
                <w:rFonts w:ascii="Times New Roman" w:cs="Times New Roman" w:eastAsia="Times New Roman" w:hAnsi="Times New Roman"/>
                <w:sz w:val="16"/>
                <w:szCs w:val="16"/>
                <w:color w:val="auto"/>
              </w:rPr>
              <w:t>Hauppauge</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1963</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1998</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134,000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$33.63</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5"/>
              </w:rPr>
              <w:t>86%</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Shop Rite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Hauppauge, NY 11788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Huntington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1988/2007/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116,000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$26.85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90%</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Petsmart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Huntington, NY 11746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2015</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Michaels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auto"/>
              </w:rPr>
              <w:t>Huntington Square</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1980, 2007</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2010</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75,000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$30.76</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91%</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Barnes &amp; Noble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East Northport, NY 11731(7)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Melville Mall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253,000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$29.75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Uncle Giuseppe's Marketplace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Huntington, NY 11747(7)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Dick's Sporting 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Macy's Backstage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Public Lands</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Andorra</w:t>
            </w:r>
          </w:p>
        </w:tc>
        <w:tc>
          <w:tcPr>
            <w:tcW w:w="1880" w:type="dxa"/>
            <w:vAlign w:val="bottom"/>
          </w:tcPr>
          <w:p>
            <w:pPr>
              <w:spacing w:after="0"/>
              <w:rPr>
                <w:sz w:val="19"/>
                <w:szCs w:val="19"/>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1953</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270,000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$14.82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88%</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Acme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Philadelphia, PA 19128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Kohl's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Five Below</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 Cynwyd</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174,000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$37.51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94%</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Acme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Bala Cynwyd, PA 19004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Michaels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Bala Cynwyd Residential</w:t>
            </w:r>
          </w:p>
        </w:tc>
        <w:tc>
          <w:tcPr>
            <w:tcW w:w="98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6"/>
                <w:szCs w:val="16"/>
                <w:color w:val="auto"/>
                <w:w w:val="99"/>
              </w:rPr>
              <w:t>2020</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1993</w:t>
            </w: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87 units</w:t>
            </w:r>
          </w:p>
        </w:tc>
        <w:tc>
          <w:tcPr>
            <w:tcW w:w="80" w:type="dxa"/>
            <w:vAlign w:val="bottom"/>
          </w:tcPr>
          <w:p>
            <w:pPr>
              <w:spacing w:after="0"/>
              <w:rPr>
                <w:sz w:val="18"/>
                <w:szCs w:val="18"/>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 Fitness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Bala Cynwyd, PA 19004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Flourtown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156,000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$22.58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Flourtown, PA 19031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Movie Tavern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Lancaster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126,000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$19.01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Lancaster, PA 17601(7)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AutoZone</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Langhorne Square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223,000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$18.68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Redner's Warehouse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Levittown, PA 19056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Planet Fitness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auto"/>
              </w:rPr>
              <w:t>Lawrence Park</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1972</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1980/2017</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356,000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$23.57</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97%</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Acme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Broomall, PA 19008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Barnes &amp; Noble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Lankenau Medical Center</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color w:val="auto"/>
              </w:rPr>
              <w:t>Northeast</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1959</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1983</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214,000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$21.57</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80%</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Philadelphia, PA 19114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Skechers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Crunch Fitness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Town Center of New Britain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124,000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$10.08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93%</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New Britain, PA 18901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Rite Aid</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Dollar Tree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Willow Grove</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1953</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1984</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105,000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$22.37</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98%</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Willow Grove, PA 19090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Five Below</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color w:val="auto"/>
              </w:rPr>
              <w:t>Wynnewood</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1948</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1996</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248,000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$29.27</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97%</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Wynnewood, PA 19096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9 units</w:t>
            </w:r>
          </w:p>
        </w:tc>
        <w:tc>
          <w:tcPr>
            <w:tcW w:w="8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DSW</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Virginia</w:t>
            </w:r>
          </w:p>
        </w:tc>
        <w:tc>
          <w:tcPr>
            <w:tcW w:w="2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29th Place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1975-2001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169,000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$20.35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Lidl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Charlottesville, VA 22091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DSW</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Staples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Barcroft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1963, 1972,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2006/2007/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113,000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$28.80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98%</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Harris Teeter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Falls Church, VA 22041</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1990, &amp;</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2016</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Barracks Road</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497,000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$27.77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Harris Teeter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Charlottesville, VA 22905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Kroger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Anthropologie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Bed, Bath &amp; Beyond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Birch &amp; Broad</w:t>
            </w:r>
          </w:p>
        </w:tc>
        <w:tc>
          <w:tcPr>
            <w:tcW w:w="98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rPr>
              <w:t>1960/1962</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1967/1972</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144,000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$37.94</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Falls Church, VA 22046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Staples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Chesterbrook</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90,000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$26.67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76%</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Safeway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McLean, VA 22101(4)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Starbucks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Fairfax Junction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1981, 1986,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2019/2020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124,000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$24.92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91%</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Aldi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Fairfax, VA 22030(9)</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Planet Fitness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Graham Park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132,000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$40.71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Falls Church, VA 22042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20" w:top="451" w:right="860" w:bottom="0" w:gutter="0" w:footer="0" w:header="0"/>
        </w:sect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200"/>
          </w:cols>
          <w:pgMar w:left="820" w:top="451" w:right="860" w:bottom="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Completed</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Leased(3)</w:t>
            </w:r>
          </w:p>
        </w:tc>
        <w:tc>
          <w:tcPr>
            <w:tcW w:w="8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Idylwood Plaza</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1991</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1994</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73,000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$48.07</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5"/>
              </w:rPr>
              <w:t>88%</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Whole Foods</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Falls Church, VA 22030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Kingstowne Towne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1996, 2001,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410,000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$26.99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98%</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Giant Food</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Kingstowne, VA 22315</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2006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Safeway</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HomeGoods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Five Below</w:t>
            </w: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1"/>
        </w:trPr>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color w:val="auto"/>
              </w:rPr>
              <w:t>Mount Vernon/South Valley/</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1966,</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2003/2006</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565,000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$19.90</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97%</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Shoppers Food Warehouse</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7770 Richmond Hwy</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auto"/>
                <w:w w:val="99"/>
              </w:rPr>
              <w:t>1972,1987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Alexandria, VA 22306(9)</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&amp; 2001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Home Depot</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Petsmart</w:t>
            </w:r>
          </w:p>
        </w:tc>
        <w:tc>
          <w:tcPr>
            <w:tcW w:w="0" w:type="dxa"/>
            <w:vAlign w:val="bottom"/>
          </w:tcPr>
          <w:p>
            <w:pPr>
              <w:spacing w:after="0"/>
              <w:rPr>
                <w:sz w:val="1"/>
                <w:szCs w:val="1"/>
                <w:color w:val="auto"/>
              </w:rPr>
            </w:pPr>
          </w:p>
        </w:tc>
      </w:tr>
      <w:tr>
        <w:trPr>
          <w:trHeight w:val="19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Old Keene Mill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1968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1976</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91,000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$39.41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Whole Foods</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Springfield, VA 22152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Walgreens</w:t>
            </w: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Planet Fitness</w:t>
            </w:r>
          </w:p>
        </w:tc>
        <w:tc>
          <w:tcPr>
            <w:tcW w:w="0" w:type="dxa"/>
            <w:vAlign w:val="bottom"/>
          </w:tcPr>
          <w:p>
            <w:pPr>
              <w:spacing w:after="0"/>
              <w:rPr>
                <w:sz w:val="1"/>
                <w:szCs w:val="1"/>
                <w:color w:val="auto"/>
              </w:rPr>
            </w:pPr>
          </w:p>
        </w:tc>
      </w:tr>
      <w:tr>
        <w:trPr>
          <w:trHeight w:val="161"/>
        </w:trPr>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color w:val="auto"/>
              </w:rPr>
              <w:t>Pan Am</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1979</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1993</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auto"/>
                <w:w w:val="99"/>
              </w:rPr>
              <w:t>228,000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auto"/>
                <w:w w:val="99"/>
              </w:rPr>
              <w:t>$25.71</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auto"/>
                <w:w w:val="95"/>
              </w:rPr>
              <w:t>95%</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Safeway</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Fairfax, VA 22031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Micro Center</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w:t>
            </w:r>
          </w:p>
        </w:tc>
        <w:tc>
          <w:tcPr>
            <w:tcW w:w="0" w:type="dxa"/>
            <w:vAlign w:val="bottom"/>
          </w:tcPr>
          <w:p>
            <w:pPr>
              <w:spacing w:after="0"/>
              <w:rPr>
                <w:sz w:val="1"/>
                <w:szCs w:val="1"/>
                <w:color w:val="auto"/>
              </w:rPr>
            </w:pPr>
          </w:p>
        </w:tc>
      </w:tr>
      <w:tr>
        <w:trPr>
          <w:trHeight w:val="176"/>
        </w:trPr>
        <w:tc>
          <w:tcPr>
            <w:tcW w:w="2820" w:type="dxa"/>
            <w:vAlign w:val="bottom"/>
          </w:tcPr>
          <w:p>
            <w:pPr>
              <w:ind w:left="40"/>
              <w:spacing w:after="0" w:line="177" w:lineRule="exact"/>
              <w:rPr>
                <w:sz w:val="20"/>
                <w:szCs w:val="20"/>
                <w:color w:val="auto"/>
              </w:rPr>
            </w:pPr>
            <w:r>
              <w:rPr>
                <w:rFonts w:ascii="Times New Roman" w:cs="Times New Roman" w:eastAsia="Times New Roman" w:hAnsi="Times New Roman"/>
                <w:sz w:val="16"/>
                <w:szCs w:val="16"/>
                <w:color w:val="auto"/>
              </w:rPr>
              <w:t>Pike 7 Plaza</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1968</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1997/2015</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auto"/>
                <w:w w:val="99"/>
              </w:rPr>
              <w:t>172,000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auto"/>
                <w:w w:val="99"/>
              </w:rPr>
              <w:t>$49.74</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Vienna, VA 22180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DSW</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71"/>
        </w:trPr>
        <w:tc>
          <w:tcPr>
            <w:tcW w:w="2820" w:type="dxa"/>
            <w:vAlign w:val="bottom"/>
          </w:tcPr>
          <w:p>
            <w:pPr>
              <w:ind w:left="40"/>
              <w:spacing w:after="0" w:line="171" w:lineRule="exact"/>
              <w:rPr>
                <w:sz w:val="20"/>
                <w:szCs w:val="20"/>
                <w:color w:val="auto"/>
              </w:rPr>
            </w:pPr>
            <w:r>
              <w:rPr>
                <w:rFonts w:ascii="Times New Roman" w:cs="Times New Roman" w:eastAsia="Times New Roman" w:hAnsi="Times New Roman"/>
                <w:sz w:val="16"/>
                <w:szCs w:val="16"/>
                <w:color w:val="auto"/>
              </w:rPr>
              <w:t>Tower Shopping Center</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1960</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1998</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auto"/>
                <w:w w:val="99"/>
              </w:rPr>
              <w:t>111,000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auto"/>
                <w:w w:val="99"/>
              </w:rPr>
              <w:t>$27.55</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auto"/>
                <w:w w:val="95"/>
              </w:rPr>
              <w:t>87%</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L.A. Mart</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Springfield, VA 22150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Talbots</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Wine &amp; More</w:t>
            </w:r>
          </w:p>
        </w:tc>
        <w:tc>
          <w:tcPr>
            <w:tcW w:w="0" w:type="dxa"/>
            <w:vAlign w:val="bottom"/>
          </w:tcPr>
          <w:p>
            <w:pPr>
              <w:spacing w:after="0"/>
              <w:rPr>
                <w:sz w:val="1"/>
                <w:szCs w:val="1"/>
                <w:color w:val="auto"/>
              </w:rPr>
            </w:pPr>
          </w:p>
        </w:tc>
      </w:tr>
      <w:tr>
        <w:trPr>
          <w:trHeight w:val="21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Twinbrooke Shopping Centre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1977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101,000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$26.40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92%</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Safeway</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Fairfax, VA 22032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Walgreens</w:t>
            </w:r>
          </w:p>
        </w:tc>
        <w:tc>
          <w:tcPr>
            <w:tcW w:w="0" w:type="dxa"/>
            <w:vAlign w:val="bottom"/>
          </w:tcPr>
          <w:p>
            <w:pPr>
              <w:spacing w:after="0"/>
              <w:rPr>
                <w:sz w:val="1"/>
                <w:szCs w:val="1"/>
                <w:color w:val="auto"/>
              </w:rPr>
            </w:pPr>
          </w:p>
        </w:tc>
      </w:tr>
      <w:tr>
        <w:trPr>
          <w:trHeight w:val="19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Tyson's Station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1954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1978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$49.47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91%</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Trader Joe's</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Falls Church, VA 22043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Village at Shirlington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1940,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266,000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$40.07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85%</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Harris Teeter</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Arlington, VA 22206(7)</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rPr>
              <w:t>2006-2009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AMC</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Carlyle Grand Café</w:t>
            </w:r>
          </w:p>
        </w:tc>
        <w:tc>
          <w:tcPr>
            <w:tcW w:w="0" w:type="dxa"/>
            <w:vAlign w:val="bottom"/>
          </w:tcPr>
          <w:p>
            <w:pPr>
              <w:spacing w:after="0"/>
              <w:rPr>
                <w:sz w:val="1"/>
                <w:szCs w:val="1"/>
                <w:color w:val="auto"/>
              </w:rPr>
            </w:pPr>
          </w:p>
        </w:tc>
      </w:tr>
      <w:tr>
        <w:trPr>
          <w:trHeight w:val="191"/>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Westpost (formerly known as Pentagon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2001-2002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1998/2010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297,000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$33.49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Harris Teeter</w:t>
            </w:r>
          </w:p>
        </w:tc>
        <w:tc>
          <w:tcPr>
            <w:tcW w:w="0" w:type="dxa"/>
            <w:vAlign w:val="bottom"/>
          </w:tcPr>
          <w:p>
            <w:pPr>
              <w:spacing w:after="0"/>
              <w:rPr>
                <w:sz w:val="1"/>
                <w:szCs w:val="1"/>
                <w:color w:val="auto"/>
              </w:rPr>
            </w:pPr>
          </w:p>
        </w:tc>
      </w:tr>
      <w:tr>
        <w:trPr>
          <w:trHeight w:val="160"/>
        </w:trPr>
        <w:tc>
          <w:tcPr>
            <w:tcW w:w="28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Row)</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Target</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Arlington, VA 22202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TJ Maxx</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DSW</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w:t>
            </w:r>
          </w:p>
        </w:tc>
        <w:tc>
          <w:tcPr>
            <w:tcW w:w="0" w:type="dxa"/>
            <w:vAlign w:val="bottom"/>
          </w:tcPr>
          <w:p>
            <w:pPr>
              <w:spacing w:after="0"/>
              <w:rPr>
                <w:sz w:val="1"/>
                <w:szCs w:val="1"/>
                <w:color w:val="auto"/>
              </w:rPr>
            </w:pPr>
          </w:p>
        </w:tc>
      </w:tr>
      <w:tr>
        <w:trPr>
          <w:trHeight w:val="166"/>
        </w:trPr>
        <w:tc>
          <w:tcPr>
            <w:tcW w:w="282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Willow Lawn</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1957</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1983</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463,000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auto"/>
                <w:w w:val="99"/>
              </w:rPr>
              <w:t>$21.85</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auto"/>
              </w:rPr>
              <w:t>Kroger</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auto"/>
              </w:rPr>
              <w:t>Richmond, VA 23230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Old Navy</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Ross Dress For Less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Gold's Gym</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Dick's Sporting Goods</w:t>
            </w:r>
          </w:p>
        </w:tc>
        <w:tc>
          <w:tcPr>
            <w:tcW w:w="0" w:type="dxa"/>
            <w:vAlign w:val="bottom"/>
          </w:tcPr>
          <w:p>
            <w:pPr>
              <w:spacing w:after="0"/>
              <w:rPr>
                <w:sz w:val="1"/>
                <w:szCs w:val="1"/>
                <w:color w:val="auto"/>
              </w:rPr>
            </w:pPr>
          </w:p>
        </w:tc>
      </w:tr>
      <w:tr>
        <w:trPr>
          <w:trHeight w:val="244"/>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 Commercial (10)</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25,810,000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$30.36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94%</w:t>
            </w: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—Residential</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3,039 units</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5"/>
              </w:rPr>
              <w:t>96%</w:t>
            </w:r>
          </w:p>
        </w:tc>
        <w:tc>
          <w:tcPr>
            <w:tcW w:w="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_____________________</w:t>
      </w:r>
    </w:p>
    <w:p>
      <w:pPr>
        <w:spacing w:after="0" w:line="122"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GLA of the commercial portion of the property. Some of our properties include office space which is included in this square footage.</w:t>
      </w:r>
    </w:p>
    <w:p>
      <w:pPr>
        <w:spacing w:after="0" w:line="36" w:lineRule="exact"/>
        <w:rPr>
          <w:rFonts w:ascii="Times New Roman" w:cs="Times New Roman" w:eastAsia="Times New Roman" w:hAnsi="Times New Roman"/>
          <w:sz w:val="15"/>
          <w:szCs w:val="15"/>
          <w:color w:val="auto"/>
        </w:rPr>
      </w:pPr>
    </w:p>
    <w:p>
      <w:pPr>
        <w:ind w:left="720" w:right="140" w:hanging="370"/>
        <w:spacing w:after="0" w:line="267" w:lineRule="auto"/>
        <w:tabs>
          <w:tab w:leader="none" w:pos="7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ind w:left="720" w:right="220" w:hanging="370"/>
        <w:spacing w:after="0" w:line="250"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leased is expressed as a percentage of rentable commercial square feet occupied or subject to a lease. Residential percentage leased is expressed as a percentage of units occupied or subject to a lease.</w:t>
      </w:r>
    </w:p>
    <w:p>
      <w:pPr>
        <w:ind w:left="720" w:hanging="370"/>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own the controlling interest in this property.</w:t>
      </w:r>
    </w:p>
    <w:p>
      <w:pPr>
        <w:spacing w:after="0" w:line="8"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own a noncontrolling interest in this property.</w:t>
      </w:r>
    </w:p>
    <w:p>
      <w:pPr>
        <w:spacing w:after="0" w:line="8"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a portion of this property is encumbered by a mortgage loan.</w:t>
      </w:r>
    </w:p>
    <w:p>
      <w:pPr>
        <w:spacing w:after="0" w:line="8"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a portion of this property is owned pursuant to a ground lease.</w:t>
      </w:r>
    </w:p>
    <w:p>
      <w:pPr>
        <w:spacing w:after="0" w:line="8" w:lineRule="exact"/>
        <w:rPr>
          <w:rFonts w:ascii="Times New Roman" w:cs="Times New Roman" w:eastAsia="Times New Roman" w:hAnsi="Times New Roman"/>
          <w:sz w:val="16"/>
          <w:szCs w:val="16"/>
          <w:color w:val="auto"/>
        </w:rPr>
      </w:pPr>
    </w:p>
    <w:p>
      <w:pPr>
        <w:ind w:left="720" w:right="140" w:hanging="370"/>
        <w:spacing w:after="0" w:line="250"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own a 77.7% TIC interest in this property. GLA disclosed represents our 77.7% share. See Note 3 to the consolidated financial statements for additional information.</w:t>
      </w:r>
    </w:p>
    <w:p>
      <w:pPr>
        <w:ind w:left="720" w:right="100" w:hanging="370"/>
        <w:spacing w:after="0" w:line="250"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own all or a portion of this property in a “downREIT” partnership, of which a wholly owned subsidiary of the Trust is the sole general partner, with third party partners holding operating partnership units.</w:t>
      </w:r>
    </w:p>
    <w:p>
      <w:pPr>
        <w:ind w:left="720" w:right="160" w:hanging="370"/>
        <w:spacing w:after="0" w:line="250"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information is calculated on a GLA weighted-average basis, excluding Chandler Festival, Chandler Gateway, and La Alameda,, which are all unconsolidated properties at December 31, 2022.</w:t>
      </w:r>
    </w:p>
    <w:p>
      <w:pPr>
        <w:ind w:left="720" w:hanging="370"/>
        <w:spacing w:after="0" w:line="250"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 of property is currently under development. See further discussion in Item 7. Management's Discussion and Analysis of Financial Condition and Results of Operations.</w:t>
      </w:r>
    </w:p>
    <w:p>
      <w:pPr>
        <w:ind w:left="720" w:hanging="370"/>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property includes interests in four nearby buildings.</w:t>
      </w:r>
    </w:p>
    <w:p>
      <w:pPr>
        <w:spacing w:after="0" w:line="8"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property includes 40 buildings primarily along Washington Street and 14th Street in Hoboken, New Jersey.</w:t>
      </w:r>
    </w:p>
    <w:p>
      <w:pPr>
        <w:sectPr>
          <w:pgSz w:w="11880" w:h="15480" w:orient="portrait"/>
          <w:cols w:equalWidth="0" w:num="1">
            <w:col w:w="10200"/>
          </w:cols>
          <w:pgMar w:left="820" w:top="45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200"/>
          </w:cols>
          <w:pgMar w:left="820" w:top="451" w:right="860" w:bottom="0" w:gutter="0" w:footer="0" w:header="0"/>
          <w:type w:val="continuous"/>
        </w:sectPr>
      </w:pPr>
    </w:p>
    <w:bookmarkStart w:id="35" w:name="page36"/>
    <w:bookmarkEnd w:id="35"/>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9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spacing w:after="0" w:line="3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00"/>
          </w:cols>
          <w:pgMar w:left="820" w:top="4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200"/>
          </w:cols>
          <w:pgMar w:left="820" w:top="406" w:right="860" w:bottom="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OUR COMMON EQUITY AND RELATED SHAREHOLDER MATTERS AND ISSUER PURCHASES OF EQUITY SECURITIES</w:t>
      </w:r>
    </w:p>
    <w:p>
      <w:pPr>
        <w:spacing w:after="0" w:line="3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4"/>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restart"/>
          </w:tcPr>
          <w:p>
            <w:pPr>
              <w:jc w:val="center"/>
              <w:ind w:right="106"/>
              <w:spacing w:after="0" w:line="125"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51"/>
        </w:trPr>
        <w:tc>
          <w:tcPr>
            <w:tcW w:w="6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High</w:t>
            </w: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Low</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36"/>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EAEAE"/>
              </w:rPr>
              <w:t>.......................................................................................................................</w:t>
            </w:r>
            <w:r>
              <w:rPr>
                <w:rFonts w:ascii="Times New Roman" w:cs="Times New Roman" w:eastAsia="Times New Roman" w:hAnsi="Times New Roman"/>
                <w:sz w:val="20"/>
                <w:szCs w:val="20"/>
                <w:b w:val="1"/>
                <w:bCs w:val="1"/>
                <w:color w:val="000000"/>
              </w:rPr>
              <w:t>2022</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Fourth quarter</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112.34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Third quarter</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113.61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Second quarter</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128.13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0" w:type="dxa"/>
            <w:vAlign w:val="bottom"/>
          </w:tcPr>
          <w:p>
            <w:pPr>
              <w:spacing w:after="0"/>
              <w:rPr>
                <w:sz w:val="1"/>
                <w:szCs w:val="1"/>
                <w:color w:val="auto"/>
              </w:rPr>
            </w:pPr>
          </w:p>
        </w:tc>
      </w:tr>
      <w:tr>
        <w:trPr>
          <w:trHeight w:val="282"/>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First quarter </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140.51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0" w:type="dxa"/>
            <w:vAlign w:val="bottom"/>
          </w:tcPr>
          <w:p>
            <w:pPr>
              <w:spacing w:after="0"/>
              <w:rPr>
                <w:sz w:val="1"/>
                <w:szCs w:val="1"/>
                <w:color w:val="auto"/>
              </w:rPr>
            </w:pPr>
          </w:p>
        </w:tc>
      </w:tr>
      <w:tr>
        <w:trPr>
          <w:trHeight w:val="262"/>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2021 </w:t>
            </w:r>
            <w:r>
              <w:rPr>
                <w:rFonts w:ascii="Times New Roman" w:cs="Times New Roman" w:eastAsia="Times New Roman" w:hAnsi="Times New Roman"/>
                <w:sz w:val="20"/>
                <w:szCs w:val="20"/>
                <w:b w:val="1"/>
                <w:bCs w:val="1"/>
                <w:color w:val="AEAEAE"/>
                <w:w w:val="99"/>
              </w:rPr>
              <w:t>.......................................................................................................................</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Fourth quarter</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138.40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Third quarter</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123.43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Second quarter</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125.00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First quarter </w:t>
            </w:r>
            <w:r>
              <w:rPr>
                <w:rFonts w:ascii="Times New Roman" w:cs="Times New Roman" w:eastAsia="Times New Roman" w:hAnsi="Times New Roman"/>
                <w:sz w:val="20"/>
                <w:szCs w:val="20"/>
                <w:color w:val="AEAEA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110.66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February 3, 2023, there were 2,157 holders of record of our common shares.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55 consecutive years.</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Our total annual dividends paid per common share for 2022 and 2021 were $4.29 per share and $4.25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2023 or subsequent years will constitute a return of capital for federal income tax purposes. During a year in which a REIT earns a net long-term capital gain, the REIT can elect under</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Section 857(b)(3) of the Code to designate a portion of dividends paid to shareholders as capital gain dividends. If this election is made, then the capital gain dividends are generally taxable to the shareholder as long-term capital gains.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reflects the income tax status of distributions per share paid to common shareholders:</w:t>
      </w:r>
    </w:p>
    <w:p>
      <w:pPr>
        <w:spacing w:after="0" w:line="200" w:lineRule="exact"/>
        <w:rPr>
          <w:sz w:val="20"/>
          <w:szCs w:val="20"/>
          <w:color w:val="auto"/>
        </w:rPr>
      </w:pPr>
    </w:p>
    <w:p>
      <w:pPr>
        <w:spacing w:after="0" w:line="20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85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4918075</wp:posOffset>
                </wp:positionH>
                <wp:positionV relativeFrom="paragraph">
                  <wp:posOffset>13970</wp:posOffset>
                </wp:positionV>
                <wp:extent cx="15716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1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25pt,1.1pt" to="511pt,1.1pt" o:allowincell="f" strokecolor="#000000" strokeweight="1pt"/>
            </w:pict>
          </mc:Fallback>
        </mc:AlternateConten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2"/>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Ordinarydividend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3.358</w:t>
            </w:r>
          </w:p>
        </w:tc>
      </w:tr>
      <w:tr>
        <w:trPr>
          <w:trHeight w:val="285"/>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Capital gain </w:t>
            </w:r>
            <w:r>
              <w:rPr>
                <w:rFonts w:ascii="Times New Roman" w:cs="Times New Roman" w:eastAsia="Times New Roman" w:hAnsi="Times New Roman"/>
                <w:sz w:val="20"/>
                <w:szCs w:val="20"/>
                <w:color w:val="AEAEAE"/>
                <w:w w:val="99"/>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0.680</w:t>
            </w:r>
          </w:p>
        </w:tc>
      </w:tr>
      <w:tr>
        <w:trPr>
          <w:trHeight w:val="288"/>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Return of capital</w:t>
            </w:r>
            <w:r>
              <w:rPr>
                <w:rFonts w:ascii="Times New Roman" w:cs="Times New Roman" w:eastAsia="Times New Roman" w:hAnsi="Times New Roman"/>
                <w:sz w:val="20"/>
                <w:szCs w:val="20"/>
                <w:color w:val="AEAEAE"/>
                <w:w w:val="99"/>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0.212</w:t>
            </w:r>
          </w:p>
        </w:tc>
      </w:tr>
      <w:tr>
        <w:trPr>
          <w:trHeight w:val="245"/>
        </w:trPr>
        <w:tc>
          <w:tcPr>
            <w:tcW w:w="7700" w:type="dxa"/>
            <w:vAlign w:val="bottom"/>
          </w:tcPr>
          <w:p>
            <w:pPr>
              <w:spacing w:after="0"/>
              <w:rPr>
                <w:sz w:val="21"/>
                <w:szCs w:val="21"/>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4.250</w:t>
            </w:r>
          </w:p>
        </w:tc>
      </w:tr>
      <w:tr>
        <w:trPr>
          <w:trHeight w:val="20"/>
        </w:trPr>
        <w:tc>
          <w:tcPr>
            <w:tcW w:w="7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360"/>
        <w:spacing w:after="0" w:line="309" w:lineRule="auto"/>
        <w:rPr>
          <w:sz w:val="20"/>
          <w:szCs w:val="20"/>
          <w:color w:val="auto"/>
        </w:rPr>
      </w:pPr>
      <w:r>
        <w:rPr>
          <w:rFonts w:ascii="Times New Roman" w:cs="Times New Roman" w:eastAsia="Times New Roman" w:hAnsi="Times New Roman"/>
          <w:sz w:val="19"/>
          <w:szCs w:val="19"/>
          <w:color w:val="auto"/>
        </w:rPr>
        <w:t>Distributions on our 5.417% Series 1 Cumulative Convertible Preferred Shares were paid at the rate of $1.354 per share per annum commencing on the issuance date of March 8, 2007. Distributions on our 5.0% Series C Cumulative Redeemable</w:t>
      </w:r>
    </w:p>
    <w:p>
      <w:pPr>
        <w:sectPr>
          <w:pgSz w:w="11880" w:h="15480" w:orient="portrait"/>
          <w:cols w:equalWidth="0" w:num="1">
            <w:col w:w="10240"/>
          </w:cols>
          <w:pgMar w:left="820" w:top="406" w:right="82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240"/>
          </w:cols>
          <w:pgMar w:left="820" w:top="406" w:right="820" w:bottom="0" w:gutter="0" w:footer="0" w:header="0"/>
          <w:type w:val="continuous"/>
        </w:sectPr>
      </w:pPr>
    </w:p>
    <w:bookmarkStart w:id="37" w:name="page38"/>
    <w:bookmarkEnd w:id="37"/>
    <w:p>
      <w:pPr>
        <w:ind w:right="80"/>
        <w:spacing w:after="0" w:line="258" w:lineRule="auto"/>
        <w:rPr>
          <w:sz w:val="20"/>
          <w:szCs w:val="20"/>
          <w:color w:val="auto"/>
        </w:rPr>
      </w:pPr>
      <w:r>
        <w:rPr>
          <w:rFonts w:ascii="Times New Roman" w:cs="Times New Roman" w:eastAsia="Times New Roman" w:hAnsi="Times New Roman"/>
          <w:sz w:val="20"/>
          <w:szCs w:val="20"/>
          <w:color w:val="auto"/>
        </w:rPr>
        <w:t>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Stockholder Return Performance</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2017, and ending December 31, 2022,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COMPARISON OF 5-YEAR CUMULATIVE TOTAL RETURN</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w w:val="94"/>
              </w:rPr>
              <w:t>$200</w:t>
            </w:r>
          </w:p>
        </w:tc>
        <w:tc>
          <w:tcPr>
            <w:tcW w:w="20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735"/>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w w:val="94"/>
              </w:rPr>
              <w:t>$175</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20"/>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w w:val="94"/>
              </w:rPr>
              <w:t>$150</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35"/>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w w:val="94"/>
              </w:rPr>
              <w:t>$125</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35"/>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w w:val="94"/>
              </w:rPr>
              <w:t>$100</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20"/>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rPr>
              <w:t>$75</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15"/>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rPr>
              <w:t>$50</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0"/>
        </w:trPr>
        <w:tc>
          <w:tcPr>
            <w:tcW w:w="148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12/31/17</w:t>
            </w:r>
          </w:p>
        </w:tc>
        <w:tc>
          <w:tcPr>
            <w:tcW w:w="208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rPr>
              <w:t>12/31/18</w:t>
            </w:r>
          </w:p>
        </w:tc>
        <w:tc>
          <w:tcPr>
            <w:tcW w:w="17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auto"/>
              </w:rPr>
              <w:t>12/31/19</w:t>
            </w:r>
          </w:p>
        </w:tc>
        <w:tc>
          <w:tcPr>
            <w:tcW w:w="142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12/31/20</w:t>
            </w:r>
          </w:p>
        </w:tc>
        <w:tc>
          <w:tcPr>
            <w:tcW w:w="17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12/31/21</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12/31/22</w:t>
            </w:r>
          </w:p>
        </w:tc>
      </w:tr>
      <w:tr>
        <w:trPr>
          <w:trHeight w:val="490"/>
        </w:trPr>
        <w:tc>
          <w:tcPr>
            <w:tcW w:w="1480" w:type="dxa"/>
            <w:vAlign w:val="bottom"/>
          </w:tcPr>
          <w:p>
            <w:pPr>
              <w:spacing w:after="0"/>
              <w:rPr>
                <w:sz w:val="24"/>
                <w:szCs w:val="24"/>
                <w:color w:val="auto"/>
              </w:rPr>
            </w:pPr>
          </w:p>
        </w:tc>
        <w:tc>
          <w:tcPr>
            <w:tcW w:w="20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Federal Realty</w:t>
            </w:r>
          </w:p>
        </w:tc>
        <w:tc>
          <w:tcPr>
            <w:tcW w:w="17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S&amp;P 500</w:t>
            </w:r>
          </w:p>
        </w:tc>
        <w:tc>
          <w:tcPr>
            <w:tcW w:w="31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FTSE NAREIT Equity</w:t>
            </w:r>
          </w:p>
        </w:tc>
        <w:tc>
          <w:tcPr>
            <w:tcW w:w="1240" w:type="dxa"/>
            <w:vAlign w:val="bottom"/>
          </w:tcPr>
          <w:p>
            <w:pPr>
              <w:spacing w:after="0"/>
              <w:rPr>
                <w:sz w:val="24"/>
                <w:szCs w:val="24"/>
                <w:color w:val="auto"/>
              </w:rPr>
            </w:pPr>
          </w:p>
        </w:tc>
      </w:tr>
      <w:tr>
        <w:trPr>
          <w:trHeight w:val="260"/>
        </w:trPr>
        <w:tc>
          <w:tcPr>
            <w:tcW w:w="1480" w:type="dxa"/>
            <w:vAlign w:val="bottom"/>
          </w:tcPr>
          <w:p>
            <w:pPr>
              <w:spacing w:after="0"/>
              <w:rPr>
                <w:sz w:val="22"/>
                <w:szCs w:val="22"/>
                <w:color w:val="auto"/>
              </w:rPr>
            </w:pPr>
          </w:p>
        </w:tc>
        <w:tc>
          <w:tcPr>
            <w:tcW w:w="20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Investment Trust</w:t>
            </w:r>
          </w:p>
        </w:tc>
        <w:tc>
          <w:tcPr>
            <w:tcW w:w="1700" w:type="dxa"/>
            <w:vAlign w:val="bottom"/>
          </w:tcPr>
          <w:p>
            <w:pPr>
              <w:spacing w:after="0"/>
              <w:rPr>
                <w:sz w:val="22"/>
                <w:szCs w:val="22"/>
                <w:color w:val="auto"/>
              </w:rPr>
            </w:pPr>
          </w:p>
        </w:tc>
        <w:tc>
          <w:tcPr>
            <w:tcW w:w="31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Total REIT Index</w:t>
            </w:r>
          </w:p>
        </w:tc>
        <w:tc>
          <w:tcPr>
            <w:tcW w:w="12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-3497580</wp:posOffset>
            </wp:positionV>
            <wp:extent cx="5667375" cy="2847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
                      <a:extLst>
                        <a:ext uri="{28A0092B-C50C-407E-A947-70E740481C1C}"/>
                      </a:extLst>
                    </a:blip>
                    <a:srcRect/>
                    <a:stretch>
                      <a:fillRect/>
                    </a:stretch>
                  </pic:blipFill>
                  <pic:spPr bwMode="auto">
                    <a:xfrm>
                      <a:off x="0" y="0"/>
                      <a:ext cx="5667375" cy="284797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-297180</wp:posOffset>
            </wp:positionV>
            <wp:extent cx="381000" cy="161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
                      <a:extLst>
                        <a:ext uri="{28A0092B-C50C-407E-A947-70E740481C1C}"/>
                      </a:extLst>
                    </a:blip>
                    <a:srcRect/>
                    <a:stretch>
                      <a:fillRect/>
                    </a:stretch>
                  </pic:blipFill>
                  <pic:spPr bwMode="auto">
                    <a:xfrm>
                      <a:off x="0" y="0"/>
                      <a:ext cx="381000" cy="1619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2638425</wp:posOffset>
                </wp:positionH>
                <wp:positionV relativeFrom="paragraph">
                  <wp:posOffset>-220980</wp:posOffset>
                </wp:positionV>
                <wp:extent cx="13335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75pt,-17.3999pt" to="218.25pt,-17.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-220980</wp:posOffset>
                </wp:positionV>
                <wp:extent cx="12382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7.3999pt" to="237.75pt,-17.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2771775</wp:posOffset>
                </wp:positionH>
                <wp:positionV relativeFrom="paragraph">
                  <wp:posOffset>-278130</wp:posOffset>
                </wp:positionV>
                <wp:extent cx="123825" cy="12382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000000"/>
                        </a:solidFill>
                      </wps:spPr>
                      <wps:bodyPr/>
                    </wps:wsp>
                  </a:graphicData>
                </a:graphic>
              </wp:anchor>
            </w:drawing>
          </mc:Choice>
          <mc:Fallback>
            <w:pict>
              <v:rect id="Shape 69" o:spid="_x0000_s1094" style="position:absolute;margin-left:218.25pt;margin-top:-21.8999pt;width:9.7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drawing>
          <wp:anchor simplePos="0" relativeHeight="251657728" behindDoc="1" locked="0" layoutInCell="0" allowOverlap="1">
            <wp:simplePos x="0" y="0"/>
            <wp:positionH relativeFrom="column">
              <wp:posOffset>3714750</wp:posOffset>
            </wp:positionH>
            <wp:positionV relativeFrom="paragraph">
              <wp:posOffset>-297180</wp:posOffset>
            </wp:positionV>
            <wp:extent cx="381000" cy="161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
                      <a:extLst>
                        <a:ext uri="{28A0092B-C50C-407E-A947-70E740481C1C}"/>
                      </a:extLst>
                    </a:blip>
                    <a:srcRect/>
                    <a:stretch>
                      <a:fillRect/>
                    </a:stretch>
                  </pic:blipFill>
                  <pic:spPr bwMode="auto">
                    <a:xfrm>
                      <a:off x="0" y="0"/>
                      <a:ext cx="381000" cy="16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Shares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2022, we did not issue any common shares in connection with the redemption of downREIT operating partnership units. Any equity securities sold by us during 2022 that were not registered have been previously reported in a Quarterly Report on Form 10-Q.</w:t>
      </w:r>
    </w:p>
    <w:p>
      <w:pPr>
        <w:spacing w:after="0" w:line="237" w:lineRule="exact"/>
        <w:rPr>
          <w:sz w:val="20"/>
          <w:szCs w:val="20"/>
          <w:color w:val="auto"/>
        </w:rPr>
      </w:pPr>
    </w:p>
    <w:p>
      <w:pPr>
        <w:ind w:right="3620"/>
        <w:spacing w:after="0" w:line="358" w:lineRule="auto"/>
        <w:rPr>
          <w:sz w:val="20"/>
          <w:szCs w:val="20"/>
          <w:color w:val="auto"/>
        </w:rPr>
      </w:pPr>
      <w:r>
        <w:rPr>
          <w:rFonts w:ascii="Times New Roman" w:cs="Times New Roman" w:eastAsia="Times New Roman" w:hAnsi="Times New Roman"/>
          <w:sz w:val="20"/>
          <w:szCs w:val="20"/>
          <w:b w:val="1"/>
          <w:bCs w:val="1"/>
          <w:color w:val="auto"/>
        </w:rPr>
        <w:t xml:space="preserve">Purchases of Equity Securities by the Issuer and Affiliated Purchasers </w:t>
      </w:r>
      <w:r>
        <w:rPr>
          <w:rFonts w:ascii="Times New Roman" w:cs="Times New Roman" w:eastAsia="Times New Roman" w:hAnsi="Times New Roman"/>
          <w:sz w:val="20"/>
          <w:szCs w:val="20"/>
          <w:color w:val="auto"/>
        </w:rPr>
        <w:t>During 2022, 5,871 restricted common shares were forfeited by former employees.</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From time to time, we could be deemed to have repurchased shares as a result of shares withheld for tax purposes upon a stock compensation related vesting event.</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240"/>
          </w:cols>
          <w:pgMar w:left="820" w:top="413" w:right="820" w:bottom="0" w:gutter="0" w:footer="0" w:header="0"/>
          <w:type w:val="continuous"/>
        </w:sectPr>
      </w:pPr>
    </w:p>
    <w:bookmarkStart w:id="38" w:name="page39"/>
    <w:bookmarkEnd w:id="38"/>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6.</w:t>
        <w:tab/>
        <w:t>RESERVED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1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This section generally discusses 2022 and 2021 items and year-to-year comparisons between 2022 and 2021. Discussions of 2020 items and year-to-year comparisons between 2021 and 2020 that are not included in this Form 10-K can be found in “Management’s Discussion and Analysis of Financial Condition and Results of Operations” in Part II, Item 7 of our Annual Report on Form 10-K for the fiscal year ended December 31, 2021 filed with the Securities and Exchange Commission on February 10,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The Parent Company specializes in the ownership, management, and redevelopment of high quality retail and mixed-use properties located primarily in communities where we believe demand exceeds supply, in strategically selected metropolitan markets in the Northeast and Mid-Atlantic regions of the United States, California, and South Florida. As of December 31, 2022, we owned or had a majority interest in community and neighborhood shopping centers and mixed-use properties which are operated as 103 predominantly retail real estate projects comprising approximately 25.8 million square feet. In total, the real estate projects were 94.5% leased and 92.8% occupied at December 31, 2022. We have paid quarterly dividends to our shareholders continuously since our founding in 1962 and have increased our dividends per common share for 55 consecutive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Impacts of COVID-19 Pandemic and General Economic Conditions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Given the ongoing workforce shortages, global supply chain bottlenecks and shortages, and high inflation, we continue to monitor and address risks related to the COVID-19 pandemic and the general state of the economy. While improving, our cash flow and results of operations in the year ended December 31, 2022 continued to be negatively impacted largely due to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positioned many of our tenants to be able to return to payment of contractual rent as soon as possible after the initial impacts from the pandemic started to subside.</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During 2022, we have continued to see improvements in overall cash collections from tenants with collection rates nearing pre-pandemic levels. We have also taken multiple steps over the past two years to strengthen our financial position, maximize liquidity, and to provide maximum flexibility during these uncertain times, including maintaining levels of cash in excess of the cash balances we have historically maintained. On October 5, 2022, we amended our revolving credit facility increasing the borrowing capacity from $1.0 billion to $1.25 billion and extending the maturity date to April 5, 2027, plus two six-month extensions at our option. Additionally, we have an option (subject to bank approval) to increase the credit facility through an accordion feature to $1.75 billion. We also amended our unsecured term loan borrowing an additional $300.0 million. </w:t>
      </w:r>
      <w:r>
        <w:rPr>
          <w:rFonts w:ascii="Times New Roman" w:cs="Times New Roman" w:eastAsia="Times New Roman" w:hAnsi="Times New Roman"/>
          <w:sz w:val="20"/>
          <w:szCs w:val="20"/>
          <w:color w:val="131313"/>
        </w:rPr>
        <w:t>As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31313"/>
        </w:rPr>
        <w:t>December 31, 2022, there is no outstanding balance on our $1.25 billion revolving credit facility, and we have cash and cash equivalents of $85.6 million.</w:t>
      </w:r>
    </w:p>
    <w:p>
      <w:pPr>
        <w:spacing w:after="0" w:line="20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Additional discussion of the impact of current economic conditions and the COVID-19 pandemic on our results and long-term operations can be found throughout Item 7 and Item 1A. Risk Factors.</w:t>
      </w:r>
    </w:p>
    <w:p>
      <w:pPr>
        <w:sectPr>
          <w:pgSz w:w="11880" w:h="15480" w:orient="portrait"/>
          <w:cols w:equalWidth="0" w:num="1">
            <w:col w:w="10220"/>
          </w:cols>
          <w:pgMar w:left="820" w:top="4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220"/>
          </w:cols>
          <w:pgMar w:left="820" w:top="406" w:right="84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Corporate Responsibility</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 in our ESG Policy and our 2021 Corporate Responsibility Report, which are provided only for informational purposes on our website and not incorporated by reference herein.</w:t>
      </w:r>
    </w:p>
    <w:p>
      <w:pPr>
        <w:spacing w:after="0" w:line="2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19 LEED certified buildings and our Pike &amp; Rose project has achieved LEED for Neighborhood Development Stage 3 Gold certification. The COVID-19 pandemic has also increased our focus on owning, developing and operating healthier buildings. To that end, our new corporate headquarters space at our 909 Rose Avenue building has earned a Fitwel certification developed by the U.S. Centers for Disease Control and Prevention (CDC) together with the General Services Administration (GSA). This certification assesses a building’s impact on seven distinct categories related to overall health and well-being.</w:t>
      </w:r>
    </w:p>
    <w:p>
      <w:pPr>
        <w:spacing w:after="0" w:line="20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We are also committed to implementing sustainable business practices at our operating properties that focus on energy efficiency, water conservation and waste minimization and have established greenhouse gas (GHG) emissions reduction targets in accordance with the Science-Based Targets initiative as well as energy reduction targets. To achieve these targets, we are actively addressing energy efficiency projects on site such as upgrading to LED lighting, procuring green energy, reducing electric consumption, and increasing our onsite solar generation capacity. We have installed on-site solar systems at 25 of our properties with a capacity of 14 MW with more projects actively in progress. We also installed electric vehicle car charging stations in numerous properties throughout our portfolio. We currently have over 300 charging stations in operation with more under construction.</w:t>
      </w:r>
    </w:p>
    <w:p>
      <w:pPr>
        <w:spacing w:after="0" w:line="1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We also understand that we face risks presented by climate change and are working to evaluate our risk exposure. In our 2021 Sustainability report, we provided a disclosure pursuant to the Task Force on Climate Related Financial Disclosure and we intend to provide that disclosure annually.</w:t>
      </w:r>
    </w:p>
    <w:p>
      <w:pPr>
        <w:spacing w:after="0" w:line="13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5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sectPr>
          <w:pgSz w:w="11880" w:h="15480" w:orient="portrait"/>
          <w:cols w:equalWidth="0" w:num="1">
            <w:col w:w="10180"/>
          </w:cols>
          <w:pgMar w:left="820" w:top="40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180"/>
          </w:cols>
          <w:pgMar w:left="820" w:top="406" w:right="8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i w:val="1"/>
          <w:iCs w:val="1"/>
          <w:color w:val="auto"/>
        </w:rPr>
        <w:t>Collectibility of Lease Income</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$10.7 million. If leases currently classified as not probable are subsequently changed to probable, any lease receivables (including straight-line rent receivables) are re-instated with a corresponding increase to rental income.</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collection of rents has continued to improve, including collecting rents related to prior periods. As a result, our collectibility related adjustments for the year ended December 31, 2022 resulted in an increase to rental income of $4.1 million, as compared to a $24.0 million decrease to rental income during the year ended December 31, 2021, which reflected lower levels of cash collections and elevated levels of rent abatements and disputes directly related to COVID-19. As of December 31, 2022 and 2021, the revenue from approximately 31% and 34% of our tenants (based on total commercial leases), respectively, is being recognized on a cash basis. As of December 31, 2022 and 2021, our straight-line rent receivables balance was $126.6 million and $110.7 million, respectively, and is included in "accounts and notes receivable, net" on our consolidated balance sheet.</w:t>
      </w:r>
    </w:p>
    <w:p>
      <w:pPr>
        <w:spacing w:after="0" w:line="153"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9"/>
          <w:szCs w:val="19"/>
          <w:color w:val="auto"/>
        </w:rPr>
        <w:t>As of December 31, 2022, we executed rent deferral agreements related to the COVID-19 pandemic representing approximately $48 million of rent. We have subsequently collected approximately $35 million of those amounts previously deferred.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 recognition policies</w:t>
      </w:r>
    </w:p>
    <w:p>
      <w:pPr>
        <w:spacing w:after="0" w:line="1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 The existence and amount of variable consideration can vary significantly among transactions. Historically, our property sales have had variable consideration of less than 1% of total expected consideration; however, we had one transaction in 2019 where the variable consideration was approximately $45.5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Real Estate Acquisitions</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2022, we acquired properties included in our consolidated financial statements with a total purchase price of</w:t>
      </w:r>
    </w:p>
    <w:p>
      <w:pPr>
        <w:spacing w:after="0" w:line="3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$443.1 million. $1.9 million, or less than 1% of the total purchase price was allocated to above market lease assets and $38.7 million, or 9% was allocated to below market lease liabilities. If the amounts allocated in 2022 to below market lease liabilities and building assets were each reduced by 5% of the total purchase price, annual below market lease liability amortization increasing rental income would decrease by approximately $2.1 million (using the weighted average life of below market liabilities at each respective acquired property) and annual depreciation expense would decrease by approximately $0.6 million (using a depreciable life of 35 years).</w:t>
      </w:r>
    </w:p>
    <w:p>
      <w:pPr>
        <w:sectPr>
          <w:pgSz w:w="11880" w:h="15480" w:orient="portrait"/>
          <w:cols w:equalWidth="0" w:num="1">
            <w:col w:w="10260"/>
          </w:cols>
          <w:pgMar w:left="820" w:top="409" w:right="800" w:bottom="0" w:gutter="0" w:footer="0" w:header="0"/>
        </w:sect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60"/>
          </w:cols>
          <w:pgMar w:left="820" w:top="409" w:right="800" w:bottom="0" w:gutter="0" w:footer="0" w:header="0"/>
          <w:type w:val="continuous"/>
        </w:sectPr>
      </w:pPr>
    </w:p>
    <w:bookmarkStart w:id="41" w:name="page42"/>
    <w:bookmarkEnd w:id="41"/>
    <w:p>
      <w:pPr>
        <w:ind w:left="10"/>
        <w:spacing w:after="0"/>
        <w:rPr>
          <w:sz w:val="20"/>
          <w:szCs w:val="20"/>
          <w:color w:val="auto"/>
        </w:rPr>
      </w:pPr>
      <w:r>
        <w:rPr>
          <w:rFonts w:ascii="Times New Roman" w:cs="Times New Roman" w:eastAsia="Times New Roman" w:hAnsi="Times New Roman"/>
          <w:sz w:val="20"/>
          <w:szCs w:val="20"/>
          <w:i w:val="1"/>
          <w:iCs w:val="1"/>
          <w:color w:val="auto"/>
        </w:rPr>
        <w:t>Long-Lived Assets and Impairment</w:t>
      </w:r>
    </w:p>
    <w:p>
      <w:pPr>
        <w:spacing w:after="0" w:line="114" w:lineRule="exact"/>
        <w:rPr>
          <w:sz w:val="20"/>
          <w:szCs w:val="20"/>
          <w:color w:val="auto"/>
        </w:rPr>
      </w:pPr>
    </w:p>
    <w:p>
      <w:pPr>
        <w:ind w:left="10" w:right="160"/>
        <w:spacing w:after="0" w:line="254" w:lineRule="auto"/>
        <w:rPr>
          <w:sz w:val="20"/>
          <w:szCs w:val="20"/>
          <w:color w:val="auto"/>
        </w:rPr>
      </w:pPr>
      <w:r>
        <w:rPr>
          <w:rFonts w:ascii="Times New Roman" w:cs="Times New Roman" w:eastAsia="Times New Roman" w:hAnsi="Times New Roman"/>
          <w:sz w:val="20"/>
          <w:szCs w:val="20"/>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spacing w:after="0" w:line="153"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w:t>
      </w:r>
    </w:p>
    <w:p>
      <w:pPr>
        <w:spacing w:after="0" w:line="246" w:lineRule="exact"/>
        <w:rPr>
          <w:sz w:val="20"/>
          <w:szCs w:val="20"/>
          <w:color w:val="auto"/>
        </w:rPr>
      </w:pPr>
    </w:p>
    <w:p>
      <w:pPr>
        <w:ind w:left="10" w:right="4440"/>
        <w:spacing w:after="0" w:line="393" w:lineRule="auto"/>
        <w:rPr>
          <w:sz w:val="20"/>
          <w:szCs w:val="20"/>
          <w:color w:val="auto"/>
        </w:rPr>
      </w:pPr>
      <w:r>
        <w:rPr>
          <w:rFonts w:ascii="Times New Roman" w:cs="Times New Roman" w:eastAsia="Times New Roman" w:hAnsi="Times New Roman"/>
          <w:sz w:val="20"/>
          <w:szCs w:val="20"/>
          <w:b w:val="1"/>
          <w:bCs w:val="1"/>
          <w:color w:val="auto"/>
        </w:rPr>
        <w:t xml:space="preserve">Recently Adopted and Recently Issued Accounting Pronouncements </w:t>
      </w:r>
      <w:r>
        <w:rPr>
          <w:rFonts w:ascii="Times New Roman" w:cs="Times New Roman" w:eastAsia="Times New Roman" w:hAnsi="Times New Roman"/>
          <w:sz w:val="20"/>
          <w:szCs w:val="20"/>
          <w:color w:val="auto"/>
        </w:rPr>
        <w:t>See Note 2 to the consolidated financial statements.</w:t>
      </w:r>
    </w:p>
    <w:p>
      <w:pPr>
        <w:spacing w:after="0" w:line="1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2022 Acquisitions, Dispositions, and Other Transactions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During the year ended December 31, 2022, we acquired the following properties: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Date Acquired</w:t>
            </w:r>
          </w:p>
        </w:tc>
        <w:tc>
          <w:tcPr>
            <w:tcW w:w="60" w:type="dxa"/>
            <w:vAlign w:val="bottom"/>
          </w:tcPr>
          <w:p>
            <w:pPr>
              <w:spacing w:after="0"/>
              <w:rPr>
                <w:sz w:val="19"/>
                <w:szCs w:val="19"/>
                <w:color w:val="auto"/>
              </w:rPr>
            </w:pPr>
          </w:p>
        </w:tc>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6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City/State</w:t>
            </w:r>
          </w:p>
        </w:tc>
        <w:tc>
          <w:tcPr>
            <w:tcW w:w="6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Gross Leasable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9"/>
              </w:rPr>
              <w:t>Gross Value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Area (GLA)</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40"/>
              <w:spacing w:after="0" w:line="206" w:lineRule="exact"/>
              <w:rPr>
                <w:sz w:val="20"/>
                <w:szCs w:val="20"/>
                <w:color w:val="auto"/>
              </w:rPr>
            </w:pPr>
            <w:r>
              <w:rPr>
                <w:rFonts w:ascii="Times New Roman" w:cs="Times New Roman" w:eastAsia="Times New Roman" w:hAnsi="Times New Roman"/>
                <w:sz w:val="20"/>
                <w:szCs w:val="20"/>
                <w:color w:val="auto"/>
              </w:rPr>
              <w:t>April 20, 2022 &amp;</w:t>
            </w:r>
          </w:p>
        </w:tc>
        <w:tc>
          <w:tcPr>
            <w:tcW w:w="60" w:type="dxa"/>
            <w:vAlign w:val="bottom"/>
          </w:tcPr>
          <w:p>
            <w:pPr>
              <w:spacing w:after="0"/>
              <w:rPr>
                <w:sz w:val="17"/>
                <w:szCs w:val="17"/>
                <w:color w:val="auto"/>
              </w:rPr>
            </w:pPr>
          </w:p>
        </w:tc>
        <w:tc>
          <w:tcPr>
            <w:tcW w:w="2740" w:type="dxa"/>
            <w:vAlign w:val="bottom"/>
          </w:tcPr>
          <w:p>
            <w:pPr>
              <w:ind w:left="40"/>
              <w:spacing w:after="0" w:line="206" w:lineRule="exact"/>
              <w:rPr>
                <w:sz w:val="20"/>
                <w:szCs w:val="20"/>
                <w:color w:val="auto"/>
              </w:rPr>
            </w:pPr>
            <w:r>
              <w:rPr>
                <w:rFonts w:ascii="Times New Roman" w:cs="Times New Roman" w:eastAsia="Times New Roman" w:hAnsi="Times New Roman"/>
                <w:sz w:val="20"/>
                <w:szCs w:val="20"/>
                <w:color w:val="auto"/>
              </w:rPr>
              <w:t>Kingstowne Towne Center</w:t>
            </w:r>
          </w:p>
        </w:tc>
        <w:tc>
          <w:tcPr>
            <w:tcW w:w="60" w:type="dxa"/>
            <w:vAlign w:val="bottom"/>
          </w:tcPr>
          <w:p>
            <w:pPr>
              <w:spacing w:after="0"/>
              <w:rPr>
                <w:sz w:val="17"/>
                <w:szCs w:val="17"/>
                <w:color w:val="auto"/>
              </w:rPr>
            </w:pPr>
          </w:p>
        </w:tc>
        <w:tc>
          <w:tcPr>
            <w:tcW w:w="2080" w:type="dxa"/>
            <w:vAlign w:val="bottom"/>
          </w:tcPr>
          <w:p>
            <w:pPr>
              <w:ind w:left="60"/>
              <w:spacing w:after="0" w:line="206" w:lineRule="exact"/>
              <w:rPr>
                <w:sz w:val="20"/>
                <w:szCs w:val="20"/>
                <w:color w:val="auto"/>
              </w:rPr>
            </w:pPr>
            <w:r>
              <w:rPr>
                <w:rFonts w:ascii="Times New Roman" w:cs="Times New Roman" w:eastAsia="Times New Roman" w:hAnsi="Times New Roman"/>
                <w:sz w:val="20"/>
                <w:szCs w:val="20"/>
                <w:color w:val="auto"/>
              </w:rPr>
              <w:t>Kingstowne, Virginia</w:t>
            </w:r>
          </w:p>
        </w:tc>
        <w:tc>
          <w:tcPr>
            <w:tcW w:w="1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410,000</w:t>
            </w:r>
          </w:p>
        </w:tc>
        <w:tc>
          <w:tcPr>
            <w:tcW w:w="2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200.0</w:t>
            </w:r>
          </w:p>
        </w:tc>
        <w:tc>
          <w:tcPr>
            <w:tcW w:w="2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27, 2022</w:t>
            </w:r>
          </w:p>
        </w:tc>
        <w:tc>
          <w:tcPr>
            <w:tcW w:w="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18, 2022</w:t>
            </w:r>
          </w:p>
        </w:tc>
        <w:tc>
          <w:tcPr>
            <w:tcW w:w="6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Hilton Village (office building)</w:t>
            </w:r>
          </w:p>
        </w:tc>
        <w:tc>
          <w:tcPr>
            <w:tcW w:w="6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Scottsdale, Arizona</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8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27, 2022</w:t>
            </w:r>
          </w:p>
        </w:tc>
        <w:tc>
          <w:tcPr>
            <w:tcW w:w="6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Shops at Pembroke Gardens</w:t>
            </w:r>
          </w:p>
        </w:tc>
        <w:tc>
          <w:tcPr>
            <w:tcW w:w="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Pembroke Pines, Florida</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1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18, 2022</w:t>
            </w:r>
          </w:p>
        </w:tc>
        <w:tc>
          <w:tcPr>
            <w:tcW w:w="6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Hoboken (301 Washington St.)</w:t>
            </w:r>
          </w:p>
        </w:tc>
        <w:tc>
          <w:tcPr>
            <w:tcW w:w="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Hoboken, New Jersey</w:t>
            </w:r>
          </w:p>
        </w:tc>
        <w:tc>
          <w:tcPr>
            <w:tcW w:w="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370" w:right="180" w:hanging="370"/>
        <w:spacing w:after="0" w:line="257"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$11.3 million and $0.3 million of net assets were allocated to other assets for "acquired lease costs" and "above market leases," respectively, and $20.2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auto"/>
        </w:rPr>
      </w:pPr>
    </w:p>
    <w:p>
      <w:pPr>
        <w:ind w:left="370" w:right="20" w:hanging="370"/>
        <w:spacing w:after="0" w:line="250"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w:t>
      </w:r>
    </w:p>
    <w:p>
      <w:pPr>
        <w:spacing w:after="0" w:line="2" w:lineRule="exact"/>
        <w:rPr>
          <w:rFonts w:ascii="Times New Roman" w:cs="Times New Roman" w:eastAsia="Times New Roman" w:hAnsi="Times New Roman"/>
          <w:sz w:val="20"/>
          <w:szCs w:val="20"/>
          <w:color w:val="auto"/>
        </w:rPr>
      </w:pPr>
    </w:p>
    <w:p>
      <w:pPr>
        <w:ind w:left="370" w:right="220" w:hanging="370"/>
        <w:spacing w:after="0" w:line="257"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$16.3 million and $1.6 million of net assets acquired were allocated to other assets for "acquired lease costs" and "above market leases," respectively, and $18.4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auto"/>
        </w:rPr>
      </w:pPr>
    </w:p>
    <w:p>
      <w:pPr>
        <w:ind w:left="370" w:right="380" w:hanging="370"/>
        <w:spacing w:after="0" w:line="281"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property, that we own a 90% ownership interest in, was acquired through our Hoboken joint venture, and is in the beginning stages of redevelopment.</w:t>
      </w:r>
    </w:p>
    <w:p>
      <w:pPr>
        <w:spacing w:after="0" w:line="221" w:lineRule="exact"/>
        <w:rPr>
          <w:sz w:val="20"/>
          <w:szCs w:val="20"/>
          <w:color w:val="auto"/>
        </w:rPr>
      </w:pPr>
    </w:p>
    <w:p>
      <w:pPr>
        <w:ind w:left="10" w:right="160"/>
        <w:spacing w:after="0" w:line="275" w:lineRule="auto"/>
        <w:rPr>
          <w:sz w:val="20"/>
          <w:szCs w:val="20"/>
          <w:color w:val="auto"/>
        </w:rPr>
      </w:pPr>
      <w:r>
        <w:rPr>
          <w:rFonts w:ascii="Times New Roman" w:cs="Times New Roman" w:eastAsia="Times New Roman" w:hAnsi="Times New Roman"/>
          <w:sz w:val="19"/>
          <w:szCs w:val="19"/>
          <w:color w:val="auto"/>
        </w:rPr>
        <w:t>On October 6, 2022, we acquired a 47.5% net interest in an unconsolidated joint venture that owns two shopping centers for a combined price of $58.9 million. On the date of acquisition, the properties had combined mortgage debt of $76.1 million, of which, our share is approximately $36.2 million. Approximately $8.0 million and $2.0 million of net assets acquired were allocated to other assets for "acquired lease costs" and "above market leases," respectively, and $17.1 million of net assets acquired were allocated to other liabilities for "below market leases." Additional information on the properties is listed below:</w:t>
      </w:r>
    </w:p>
    <w:p>
      <w:pPr>
        <w:sectPr>
          <w:pgSz w:w="11880" w:h="15480" w:orient="portrait"/>
          <w:cols w:equalWidth="0" w:num="1">
            <w:col w:w="10230"/>
          </w:cols>
          <w:pgMar w:left="810" w:top="40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230"/>
          </w:cols>
          <w:pgMar w:left="810" w:top="409" w:right="84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60" w:type="dxa"/>
            <w:vAlign w:val="bottom"/>
          </w:tcPr>
          <w:p>
            <w:pPr>
              <w:spacing w:after="0"/>
              <w:rPr>
                <w:sz w:val="19"/>
                <w:szCs w:val="19"/>
                <w:color w:val="auto"/>
              </w:rPr>
            </w:pPr>
          </w:p>
        </w:tc>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City/State</w:t>
            </w:r>
          </w:p>
        </w:tc>
        <w:tc>
          <w:tcPr>
            <w:tcW w:w="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Gross Leasable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rPr>
              <w:t>Purchase Price</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Area (GLA)</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8"/>
              </w:rPr>
              <w:t>(our share)</w:t>
            </w:r>
          </w:p>
        </w:tc>
        <w:tc>
          <w:tcPr>
            <w:tcW w:w="0" w:type="dxa"/>
            <w:vAlign w:val="bottom"/>
          </w:tcPr>
          <w:p>
            <w:pPr>
              <w:spacing w:after="0"/>
              <w:rPr>
                <w:sz w:val="1"/>
                <w:szCs w:val="1"/>
                <w:color w:val="auto"/>
              </w:rPr>
            </w:pPr>
          </w:p>
        </w:tc>
      </w:tr>
      <w:tr>
        <w:trPr>
          <w:trHeight w:val="290"/>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61"/>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Festival</w:t>
            </w:r>
          </w:p>
        </w:tc>
        <w:tc>
          <w:tcPr>
            <w:tcW w:w="60" w:type="dxa"/>
            <w:vAlign w:val="bottom"/>
          </w:tcPr>
          <w:p>
            <w:pPr>
              <w:spacing w:after="0"/>
              <w:rPr>
                <w:sz w:val="22"/>
                <w:szCs w:val="22"/>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Arizona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40.8</w:t>
            </w:r>
          </w:p>
        </w:tc>
        <w:tc>
          <w:tcPr>
            <w:tcW w:w="0" w:type="dxa"/>
            <w:vAlign w:val="bottom"/>
          </w:tcPr>
          <w:p>
            <w:pPr>
              <w:spacing w:after="0"/>
              <w:rPr>
                <w:sz w:val="1"/>
                <w:szCs w:val="1"/>
                <w:color w:val="auto"/>
              </w:rPr>
            </w:pPr>
          </w:p>
        </w:tc>
      </w:tr>
      <w:tr>
        <w:trPr>
          <w:trHeight w:val="26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Gateway</w:t>
            </w:r>
          </w:p>
        </w:tc>
        <w:tc>
          <w:tcPr>
            <w:tcW w:w="60" w:type="dxa"/>
            <w:vAlign w:val="bottom"/>
          </w:tcPr>
          <w:p>
            <w:pPr>
              <w:spacing w:after="0"/>
              <w:rPr>
                <w:sz w:val="22"/>
                <w:szCs w:val="22"/>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Arizona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2022, we sold two residential properties (one included an adjacent retail pad), one retail property, one parcel of land, and one portion of a property for sales prices totaling $136.2 million, resulting in net gains totaling approximately $84.1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Transactions</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On July 13, 2022, we acquired the 21.8% redeemable noncontrolling interest in the partnership that owns our Plaza El Segundo shopping center for $23.6 million, bringing our ownership interest to 100%.</w:t>
      </w:r>
    </w:p>
    <w:p>
      <w:pPr>
        <w:spacing w:after="0" w:line="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The transaction is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December 31, 2022. As a part of this transaction, we made a $3.5 million loan to our co-owner, which is included in "accounts and notes receivable, net" on our consolidated balance sheet at December 31, 2022. In addition, we entered into a purchase option agreement to acquire the TIC interest from our co-owner, which was secured through an option payment of $1.5 million, and allows us to exercise our option at any time between February 1, 2023 and March 15, 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 Significant Debt and Equity Transactions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On February 14, 2022, we replaced our existing at-the-market (“ATM”) equity program with a new ATM equity program in which we may from time to time offer and sell common shares having an aggregate offering price of up to $500.0 million. Our ATM equity program also allows shares to be sold through forward sales contracts. We intend to use the net proceeds from ATM equity program issuances to fund potential acquisition opportunities, fund our development and redevelopment pipeline, repay indebtedness and/or for general corporate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2022, we settled the remaining forward sales agreements entered into during 2021 by issuing 2,203,655 common shares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net proceeds of $259.4 million, and consequently, we have no outstanding open forward sales agreements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For the year ended December 31, 2022, we issued 430,473 common shares at a weighted average price per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of $111.49 for net cash proceeds of $47.4 million including paying $0.5 million in commissions and $0.1 million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offering expenses related to the sales of these common shares. As of December 31, 2022, we had the capacity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 up to $452.0 million in common shares under our ATM equity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29, 2022, we repaid the $16.1 million mortgage loan on one of the buildings at our Hoboken property, at par.</w:t>
      </w:r>
    </w:p>
    <w:p>
      <w:pPr>
        <w:spacing w:after="0" w:line="1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On October 5, 2022, we amended our revolving credit facility, increasing the borrowing capacity from $1.0 billion to $1.25 billion, extending the maturity date to April 5, 2027, plus two six-month extension options, transitioning the interest rate provisions from LIBOR to the secured overnight financing rate ("SOFR"), and adjusting the spread for SOFR based loans. Our SOFR based loans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 On October 5, 2022, we also amended our unsecured term loan and borrowed an additional $300.0 million, bringing the total outstanding to $600.0 million. The term loan amendment also transitioned the interest rate provisions from LIBOR to SOFR. This SOFR based loan bears interest at Term SOFR as defined in the agreement, plus 0.10%, plus an 85 basis point spread, based on our current credit rating. The net proceeds from the term loan were used to repay the $267.0 million outstanding balance on the revolving credit facility and for general corporate purposes.</w:t>
      </w:r>
    </w:p>
    <w:p>
      <w:pPr>
        <w:sectPr>
          <w:pgSz w:w="11880" w:h="15480" w:orient="portrait"/>
          <w:cols w:equalWidth="0" w:num="1">
            <w:col w:w="10260"/>
          </w:cols>
          <w:pgMar w:left="820" w:top="61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260"/>
          </w:cols>
          <w:pgMar w:left="820" w:top="617" w:right="80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2023 Acquisition</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On January 31, 2023, we acquired the 180,000 square foot portion of Huntington Square shopping center that was not previously owned, as well as the fee interest in the land underneath the portion of the shopping center which we control under a long-term ground lease for $35.5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Capitalized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external and internal costs directly related to the development, redevelopment and leasing of real estate, including pre-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construction costs, real estate taxes, insurance, and construction costs and salaries and related costs of personnel directly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involved, are capitalized. We capitalized external and internal costs related to both development and redevelopment activities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$278 million and $11 million, respectively, for 2022 and $356 million and $10 million, respectively, for 2021. We capitalized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external and internal costs related to other property improvements of $111 million and $4 million, respectively, for 2022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$64 million and $4 million, respectively, for 2021. We capitalized external and internal costs related to leasing activities of $18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 and $4 million, respectively, for 2022 and $19 million and $3 million, respectively, for 2021. The amount of capitalized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internal costs for salaries and related benefits for development and redevelopment activities, other property improvements,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leasing activities were $10 million, $3 million, and $4 million, respectively, for 2022 and $10 million, $3 million, and $3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 respectively, for 2021. Total capitalized costs were $425 million for 2022 and $456 million for 2021,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Reorganization</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In January 2022, we completed a reorganization into an umbrella partnership real estate investment trust, or "UPREIT." For additional information on our UPREIT reorganization, please see our Current Reports on Form 8-K filed with the SEC on January 3, 2022 and January 5, 2022, as well our 2021 Annual Report on Form 10-K filed on February 10, 2022.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1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Our long-term growth strategy is focused on growth in earnings, funds from operations, and cash flows primarily through a combination of the following:</w:t>
      </w:r>
    </w:p>
    <w:p>
      <w:pPr>
        <w:spacing w:after="0" w:line="1" w:lineRule="exact"/>
        <w:rPr>
          <w:sz w:val="20"/>
          <w:szCs w:val="20"/>
          <w:color w:val="auto"/>
        </w:rPr>
      </w:pPr>
    </w:p>
    <w:p>
      <w:pPr>
        <w:ind w:left="1880" w:hanging="900"/>
        <w:spacing w:after="0"/>
        <w:tabs>
          <w:tab w:leader="none" w:pos="18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in our comparable property portfolio,</w:t>
      </w:r>
    </w:p>
    <w:p>
      <w:pPr>
        <w:spacing w:after="0" w:line="70" w:lineRule="exact"/>
        <w:rPr>
          <w:rFonts w:ascii="Times New Roman" w:cs="Times New Roman" w:eastAsia="Times New Roman" w:hAnsi="Times New Roman"/>
          <w:sz w:val="20"/>
          <w:szCs w:val="20"/>
          <w:color w:val="auto"/>
        </w:rPr>
      </w:pPr>
    </w:p>
    <w:p>
      <w:pPr>
        <w:ind w:left="1880" w:hanging="900"/>
        <w:spacing w:after="0"/>
        <w:tabs>
          <w:tab w:leader="none" w:pos="18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in our portfolio from property redevelopments and expansions, and</w:t>
      </w:r>
    </w:p>
    <w:p>
      <w:pPr>
        <w:spacing w:after="0" w:line="70" w:lineRule="exact"/>
        <w:rPr>
          <w:rFonts w:ascii="Times New Roman" w:cs="Times New Roman" w:eastAsia="Times New Roman" w:hAnsi="Times New Roman"/>
          <w:sz w:val="20"/>
          <w:szCs w:val="20"/>
          <w:color w:val="auto"/>
        </w:rPr>
      </w:pPr>
    </w:p>
    <w:p>
      <w:pPr>
        <w:ind w:left="1880" w:hanging="900"/>
        <w:spacing w:after="0"/>
        <w:tabs>
          <w:tab w:leader="none" w:pos="18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our portfolio through property acquisitions.</w:t>
      </w:r>
    </w:p>
    <w:p>
      <w:pPr>
        <w:spacing w:after="0" w:line="1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While the general economic effects of the elevated levels of inflation, rising interest rates, and the COVID-19 pandemic are impacting us in the short-term, our long-term focus has not changed. 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2022, no single tenant accounted for more than 2.8% of annualized base rent.</w:t>
      </w:r>
    </w:p>
    <w:p>
      <w:pPr>
        <w:spacing w:after="0" w:line="1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effects of the current economic conditions, the COVID-19 pandemic, and inflation continue to negatively impact our business with the largest current impacts being lower occupancy, supply chain disruptions, and higher interest costs. At December 31, 2022, our commercial space is 92.8% occupied, which is below historical levels largely due to tenant failures as a result of the pandemic. This lower occupancy will adversely impact our results until we can release the space and then commences paying rent, as well as limit future vacancies. We are, however, experiencing strong demand for our commercial space as evidenced by the 2.0 million square feet of comparable space leasing we've completed in 2022, and the 1.7% spread between our leased rate of 94.5% and our occupied rate of 92.8%. Our percentage of contractual rent actually collected has continued to increase since the low point in April 2020, including some tenants paying past due amounts. We continue to see impacts of overall supply chain disruptions affecting the broader economy, including significantly longer lead times, limited availability, and increased costs for certain construction and other materials that support our development and redevelopment activities. If disruptions continue to worsen, they could result in extended timeframes and/or increased costs for completion of our projects and tenant build-outs, which could delay the commencement of rent payments under new leases. Similarly, if our</w:t>
      </w:r>
    </w:p>
    <w:p>
      <w:pPr>
        <w:sectPr>
          <w:pgSz w:w="11880" w:h="15480" w:orient="portrait"/>
          <w:cols w:equalWidth="0" w:num="1">
            <w:col w:w="10240"/>
          </w:cols>
          <w:pgMar w:left="820" w:top="406" w:right="82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240"/>
          </w:cols>
          <w:pgMar w:left="820" w:top="406" w:right="820" w:bottom="0" w:gutter="0" w:footer="0" w:header="0"/>
          <w:type w:val="continuous"/>
        </w:sectPr>
      </w:pPr>
    </w:p>
    <w:bookmarkStart w:id="44" w:name="page45"/>
    <w:bookmarkEnd w:id="44"/>
    <w:p>
      <w:pPr>
        <w:ind w:right="120"/>
        <w:spacing w:after="0" w:line="266" w:lineRule="auto"/>
        <w:rPr>
          <w:sz w:val="20"/>
          <w:szCs w:val="20"/>
          <w:color w:val="auto"/>
        </w:rPr>
      </w:pPr>
      <w:r>
        <w:rPr>
          <w:rFonts w:ascii="Times New Roman" w:cs="Times New Roman" w:eastAsia="Times New Roman" w:hAnsi="Times New Roman"/>
          <w:sz w:val="20"/>
          <w:szCs w:val="20"/>
          <w:color w:val="auto"/>
        </w:rPr>
        <w:t>tenants experience significant disruptions in supply chains supporting their own products, or staffing issues due to labor shortages, their ability to pay rent may be adversely affected. We continue to monitor these macroeconomic developments and are working with our tenants and our vendors to limit the overall impact to our business.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131313"/>
        </w:rPr>
        <w:t>The duration and severity of the economic impact from the current economic environment and the COVID-19 pandemic will depend on future developments, which are highly uncertain and cannot be predicted, however</w:t>
      </w:r>
      <w:r>
        <w:rPr>
          <w:rFonts w:ascii="Times New Roman" w:cs="Times New Roman" w:eastAsia="Times New Roman" w:hAnsi="Times New Roman"/>
          <w:sz w:val="20"/>
          <w:szCs w:val="20"/>
          <w:color w:val="000000"/>
        </w:rPr>
        <w:t>, we seek to position the Trust to</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000000"/>
        </w:rPr>
        <w:t>continue to participate in the resulting economic recovery.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continue to have several development projects in process being delivered as follows:</w:t>
      </w:r>
    </w:p>
    <w:p>
      <w:pPr>
        <w:spacing w:after="0" w:line="30" w:lineRule="exact"/>
        <w:rPr>
          <w:sz w:val="20"/>
          <w:szCs w:val="20"/>
          <w:color w:val="auto"/>
        </w:rPr>
      </w:pPr>
    </w:p>
    <w:p>
      <w:pPr>
        <w:ind w:left="72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III of Assembly Row includes 277,000 square feet of office space, 56,000 square feet of retail space, and 500 residential units. As of December 31, 2022, Phase III is substantially complete, with expected final costs between $475 million and $485 million.</w:t>
      </w:r>
    </w:p>
    <w:p>
      <w:pPr>
        <w:spacing w:after="0" w:line="1" w:lineRule="exact"/>
        <w:rPr>
          <w:rFonts w:ascii="Times New Roman" w:cs="Times New Roman" w:eastAsia="Times New Roman" w:hAnsi="Times New Roman"/>
          <w:sz w:val="20"/>
          <w:szCs w:val="20"/>
          <w:color w:val="auto"/>
        </w:rPr>
      </w:pPr>
    </w:p>
    <w:p>
      <w:pPr>
        <w:ind w:left="720" w:right="6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III at Pike &amp; Rose includes a 212,000 square foot office building (which includes 7,000 square feet of ground floor retail space and approximately 45,000 square feet is our new corporate headquarters). As of December 31, 2022, Phase III is substantially complete, with final estimated costs between $130 million and $135 million.</w:t>
      </w:r>
    </w:p>
    <w:p>
      <w:pPr>
        <w:spacing w:after="0" w:line="1" w:lineRule="exact"/>
        <w:rPr>
          <w:rFonts w:ascii="Times New Roman" w:cs="Times New Roman" w:eastAsia="Times New Roman" w:hAnsi="Times New Roman"/>
          <w:sz w:val="20"/>
          <w:szCs w:val="20"/>
          <w:color w:val="auto"/>
        </w:rPr>
      </w:pPr>
    </w:p>
    <w:p>
      <w:pPr>
        <w:ind w:left="720" w:right="22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IV at Pike &amp; Rose is a 276,000 square foot office building (which includes 10,000 square feet of ground floor retail space). Approximately 157,000 square feet of the office space is pre-leased to two tenants. The building is expected to cost between $185 million and $200 million, and begin delivering in late 2023.</w:t>
      </w:r>
    </w:p>
    <w:p>
      <w:pPr>
        <w:spacing w:after="0" w:line="1" w:lineRule="exact"/>
        <w:rPr>
          <w:rFonts w:ascii="Times New Roman" w:cs="Times New Roman" w:eastAsia="Times New Roman" w:hAnsi="Times New Roman"/>
          <w:sz w:val="20"/>
          <w:szCs w:val="20"/>
          <w:color w:val="auto"/>
        </w:rPr>
      </w:pPr>
    </w:p>
    <w:p>
      <w:pPr>
        <w:ind w:left="720" w:right="18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phase of construction on Santana West includes an eight story 376,000 square foot office building, which is expected to cost between $300 million and $315 million.</w:t>
      </w:r>
    </w:p>
    <w:p>
      <w:pPr>
        <w:ind w:left="720" w:right="900" w:hanging="370"/>
        <w:spacing w:after="0" w:line="26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Throughout the portfolio, we currently have redevelopment projects underway with a projected total cost of approximately $228 million that we expect to stabilize over the next several years.</w:t>
      </w:r>
    </w:p>
    <w:p>
      <w:pPr>
        <w:spacing w:after="0" w:line="202" w:lineRule="exact"/>
        <w:rPr>
          <w:sz w:val="20"/>
          <w:szCs w:val="20"/>
          <w:color w:val="auto"/>
        </w:rPr>
      </w:pPr>
    </w:p>
    <w:p>
      <w:pPr>
        <w:jc w:val="both"/>
        <w:ind w:right="260"/>
        <w:spacing w:after="0" w:line="286" w:lineRule="auto"/>
        <w:rPr>
          <w:sz w:val="20"/>
          <w:szCs w:val="20"/>
          <w:color w:val="auto"/>
        </w:rPr>
      </w:pPr>
      <w:r>
        <w:rPr>
          <w:rFonts w:ascii="Times New Roman" w:cs="Times New Roman" w:eastAsia="Times New Roman" w:hAnsi="Times New Roman"/>
          <w:sz w:val="19"/>
          <w:szCs w:val="19"/>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COVID-19, supply chain disruptions, broader economic conditions, and inflation.</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5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At December 31, 2022, the leasable square feet in our properties was 94.5% leased and 92.8%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Comparable Properties</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2022 and the comparison of 2022 and 2021, all or a portion of 91 properties, were considered comparable properties and seven were considered non-comparable properties. For the year ended December 31, 2022, one property was moved from comparable properties to non-comparable properties, one property was moved from non-comparable properties to comparable properties, three properties were removed from comparable properties, as they were sold, and one property was removed from comparable properties, as it was deconsolidated, compared to the designations as of December 31, 2021. While there is judgment surrounding changes in designations, we typically move non-comparable properties to comparable properties once they have stabilized, which is typically considered 90% physical</w:t>
      </w:r>
    </w:p>
    <w:p>
      <w:pPr>
        <w:sectPr>
          <w:pgSz w:w="11880" w:h="15480" w:orient="portrait"/>
          <w:cols w:equalWidth="0" w:num="1">
            <w:col w:w="10220"/>
          </w:cols>
          <w:pgMar w:left="820" w:top="413" w:right="8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220"/>
          </w:cols>
          <w:pgMar w:left="820" w:top="413" w:right="840" w:bottom="0" w:gutter="0" w:footer="0" w:header="0"/>
          <w:type w:val="continuous"/>
        </w:sectPr>
      </w:pPr>
    </w:p>
    <w:bookmarkStart w:id="45" w:name="page46"/>
    <w:bookmarkEnd w:id="45"/>
    <w:p>
      <w:pPr>
        <w:spacing w:after="0" w:line="256" w:lineRule="auto"/>
        <w:rPr>
          <w:sz w:val="20"/>
          <w:szCs w:val="20"/>
          <w:color w:val="auto"/>
        </w:rPr>
      </w:pPr>
      <w:r>
        <w:rPr>
          <w:rFonts w:ascii="Times New Roman" w:cs="Times New Roman" w:eastAsia="Times New Roman" w:hAnsi="Times New Roman"/>
          <w:sz w:val="20"/>
          <w:szCs w:val="20"/>
          <w:color w:val="auto"/>
        </w:rPr>
        <w:t>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ectPr>
          <w:pgSz w:w="11880" w:h="15480" w:orient="portrait"/>
          <w:cols w:equalWidth="0" w:num="1">
            <w:col w:w="10040"/>
          </w:cols>
          <w:pgMar w:left="820" w:top="41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040"/>
          </w:cols>
          <w:pgMar w:left="820" w:top="413" w:right="1020" w:bottom="0" w:gutter="0" w:footer="0" w:header="0"/>
          <w:type w:val="continuous"/>
        </w:sectPr>
      </w:pPr>
    </w:p>
    <w:bookmarkStart w:id="46" w:name="page47"/>
    <w:bookmarkEnd w:id="4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YEAR ENDED DECEMBER 31, 2022 COMPARED TO YEAR ENDED DECEMBER 31, 2021</w:t>
      </w:r>
    </w:p>
    <w:p>
      <w:pPr>
        <w:spacing w:after="0" w:line="200" w:lineRule="exact"/>
        <w:rPr>
          <w:sz w:val="20"/>
          <w:szCs w:val="20"/>
          <w:color w:val="auto"/>
        </w:rPr>
      </w:pPr>
    </w:p>
    <w:p>
      <w:pPr>
        <w:spacing w:after="0" w:line="223"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35"/>
        </w:trPr>
        <w:tc>
          <w:tcPr>
            <w:tcW w:w="5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r>
      <w:tr>
        <w:trPr>
          <w:trHeight w:val="229"/>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Rental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1,073,292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948,842</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Mortgage interest income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1,086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(54.4)%</w:t>
            </w:r>
          </w:p>
        </w:tc>
      </w:tr>
      <w:tr>
        <w:trPr>
          <w:trHeight w:val="280"/>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property revenue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1,074,378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951,224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123,154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12.9 %</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Rental expenses</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228,958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Real estate taxes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127,824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118,496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7.9 %</w:t>
            </w:r>
          </w:p>
        </w:tc>
      </w:tr>
      <w:tr>
        <w:trPr>
          <w:trHeight w:val="280"/>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property expenses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356,782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316,617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12.7 %</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Property operating income </w:t>
            </w: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717,596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634,607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13.1 %</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(302,409)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(279,976)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Gain on deconsolidation of VIE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70,374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real estate and change in control of interest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93,483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89,950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income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526,408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131,683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33.4 %</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Other interest income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32.5 %</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(136,989)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(127,698)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Income from partnerships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5,170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315.3 %</w:t>
            </w:r>
          </w:p>
        </w:tc>
      </w:tr>
      <w:tr>
        <w:trPr>
          <w:trHeight w:val="280"/>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other,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(130,747)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(125,644)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395,661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269,081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47.0 %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the Trust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385,491</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261,498</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47.4 %</w:t>
            </w: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8" w:lineRule="exact"/>
        <w:rPr>
          <w:sz w:val="20"/>
          <w:szCs w:val="20"/>
          <w:color w:val="auto"/>
        </w:rPr>
      </w:pPr>
    </w:p>
    <w:p>
      <w:pPr>
        <w:ind w:left="270" w:right="40" w:hanging="270"/>
        <w:spacing w:after="0" w:line="253" w:lineRule="auto"/>
        <w:tabs>
          <w:tab w:leader="none" w:pos="28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operating income is a non-GAAP measure that consists of rental income and mortgage interest income, less rental expenses and real estate taxes. This measure is used internally to evaluate the performance of property operations to the previous period and we consider it be a significant measure. We believe that property operating income is useful to investors in measuring the operating performance of our property portfolio because the definition excludes various items included in operating income that do not relate to, or are not indicative of, the operating performance of our properties, such as general and administrative expenses and depreciation and amortization, and allows us to isolate disparities in operating income caused by acquisitions, dispositions, and stabilization of properties. Property operating income may, therefore, provide a more consistent metric for comparing the operating performance of our real estate between periods. Property operating income should not be considered an alternative measure of operating results or cash flow from operations as determined in accordance with GAAP. The reconciliation of operating income to property operating income for 2022 and 2021 is as follows:</w:t>
      </w:r>
    </w:p>
    <w:p>
      <w:pPr>
        <w:spacing w:after="0" w:line="58"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77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20"/>
        </w:trPr>
        <w:tc>
          <w:tcPr>
            <w:tcW w:w="7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526,408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394,725</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52,636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49,856</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302,409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279,976</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Gain on deconsolidation of VIE</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real estate and change in control of interest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(93,483)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(89,950)</w:t>
            </w:r>
          </w:p>
        </w:tc>
      </w:tr>
      <w:tr>
        <w:trPr>
          <w:trHeight w:val="26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Property operating income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717,596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634,607</w:t>
            </w:r>
          </w:p>
        </w:tc>
      </w:tr>
      <w:tr>
        <w:trPr>
          <w:trHeight w:val="20"/>
        </w:trPr>
        <w:tc>
          <w:tcPr>
            <w:tcW w:w="7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Property Revenues</w:t>
      </w:r>
    </w:p>
    <w:p>
      <w:pPr>
        <w:spacing w:after="0" w:line="117"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auto"/>
        </w:rPr>
        <w:t>Total property revenue increased $123.2 million, or 12.9%, to $1.1 billion in 2022 compared to $951.2 million in 2021. The percentage occupied at our shopping centers was 92.8% at December 31, 2022 compared to 91.1% at December 31, 2021. The most significant driver of the increase in property revenues is the ongoing recovery from the initial impacts of COVID-19</w:t>
      </w:r>
    </w:p>
    <w:p>
      <w:pPr>
        <w:sectPr>
          <w:pgSz w:w="11880" w:h="15480" w:orient="portrait"/>
          <w:cols w:equalWidth="0" w:num="1">
            <w:col w:w="10270"/>
          </w:cols>
          <w:pgMar w:left="810" w:top="6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270"/>
          </w:cols>
          <w:pgMar w:left="810" w:top="646" w:right="800" w:bottom="0" w:gutter="0" w:footer="0" w:header="0"/>
          <w:type w:val="continuous"/>
        </w:sectPr>
      </w:pPr>
    </w:p>
    <w:bookmarkStart w:id="47" w:name="page48"/>
    <w:bookmarkEnd w:id="47"/>
    <w:p>
      <w:pPr>
        <w:ind w:right="60"/>
        <w:spacing w:after="0" w:line="281" w:lineRule="auto"/>
        <w:rPr>
          <w:sz w:val="20"/>
          <w:szCs w:val="20"/>
          <w:color w:val="auto"/>
        </w:rPr>
      </w:pPr>
      <w:r>
        <w:rPr>
          <w:rFonts w:ascii="Times New Roman" w:cs="Times New Roman" w:eastAsia="Times New Roman" w:hAnsi="Times New Roman"/>
          <w:sz w:val="20"/>
          <w:szCs w:val="20"/>
          <w:color w:val="auto"/>
        </w:rPr>
        <w:t>during 2022, as compared to 2021, when COVID-19 related restrictions were still in effect for a portion of the year. Changes in the components of property revenue are discussed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Rental Income</w:t>
      </w:r>
    </w:p>
    <w:p>
      <w:pPr>
        <w:spacing w:after="0" w:line="1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Rental income consists primarily of minimum rent, cost reimbursements from tenants and percentage rent, and is net of collectibility related adjustments. Rental income increased $124.5 million, or 13.1%, to $1.1 billion in 2022 compared to $948.8 million in 2021 due primarily to the following:</w:t>
      </w:r>
    </w:p>
    <w:p>
      <w:pPr>
        <w:spacing w:after="0" w:line="15" w:lineRule="exact"/>
        <w:rPr>
          <w:sz w:val="20"/>
          <w:szCs w:val="20"/>
          <w:color w:val="auto"/>
        </w:rPr>
      </w:pPr>
    </w:p>
    <w:p>
      <w:pPr>
        <w:ind w:left="1260" w:hanging="280"/>
        <w:spacing w:after="0"/>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$39.8 million from 2021 and 2022 acquisitions,</w:t>
      </w:r>
    </w:p>
    <w:p>
      <w:pPr>
        <w:spacing w:after="0" w:line="70" w:lineRule="exact"/>
        <w:rPr>
          <w:rFonts w:ascii="Times New Roman" w:cs="Times New Roman" w:eastAsia="Times New Roman" w:hAnsi="Times New Roman"/>
          <w:sz w:val="20"/>
          <w:szCs w:val="20"/>
          <w:color w:val="auto"/>
        </w:rPr>
      </w:pPr>
    </w:p>
    <w:p>
      <w:pPr>
        <w:ind w:left="1260" w:right="140" w:hanging="280"/>
        <w:spacing w:after="0" w:line="275" w:lineRule="auto"/>
        <w:tabs>
          <w:tab w:leader="none" w:pos="12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increase of $36.3 million from comparable properties primarily related to higher percentage rent, parking income, and specialty leasing of $10.7 million primarily the result of the gradual lifting of COVID-19 closures and restrictions during 2021, higher rental rates of $9.9 million, higher average occupancy of approximately $8.3 million, a $5.7 million increase in CAM recoveries on higher CAM costs, and a $3.2 million increase in tenant recoveries, partially offset by lower net termination fees and legal fee income of $2.5 million,</w:t>
      </w:r>
    </w:p>
    <w:p>
      <w:pPr>
        <w:spacing w:after="0" w:line="8" w:lineRule="exact"/>
        <w:rPr>
          <w:rFonts w:ascii="Times New Roman" w:cs="Times New Roman" w:eastAsia="Times New Roman" w:hAnsi="Times New Roman"/>
          <w:sz w:val="19"/>
          <w:szCs w:val="19"/>
          <w:color w:val="auto"/>
        </w:rPr>
      </w:pPr>
    </w:p>
    <w:p>
      <w:pPr>
        <w:ind w:left="1260" w:right="260" w:hanging="280"/>
        <w:spacing w:after="0" w:line="260"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$30.6 million from non-comparable properties primarily driven by the opening of Phase III at Assembly Row in 2021, redevelopment related occupancy increases at CocoWalk, and the 2021 and 2022 openings at the Phase III office building at Pike &amp; Rose, partially offset by redevelopment related occupancy decreases at Huntington Shopping Center,</w:t>
      </w:r>
    </w:p>
    <w:p>
      <w:pPr>
        <w:spacing w:after="0" w:line="23" w:lineRule="exact"/>
        <w:rPr>
          <w:rFonts w:ascii="Times New Roman" w:cs="Times New Roman" w:eastAsia="Times New Roman" w:hAnsi="Times New Roman"/>
          <w:sz w:val="20"/>
          <w:szCs w:val="20"/>
          <w:color w:val="auto"/>
        </w:rPr>
      </w:pPr>
    </w:p>
    <w:p>
      <w:pPr>
        <w:ind w:left="1260" w:right="120" w:hanging="280"/>
        <w:spacing w:after="0" w:line="266"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$28.0 million decrease in collectibility related impacts across all properties primarily due to higher collection rates and lower rent abatements in 2022 as tenants continue to recover from the initial impacts of COVID-19, and</w:t>
      </w:r>
    </w:p>
    <w:p>
      <w:pPr>
        <w:spacing w:after="0" w:line="15"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$4.2 million from improving demand at our Pike &amp; Rose hotel,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partially offset by</w:t>
      </w:r>
    </w:p>
    <w:p>
      <w:pPr>
        <w:spacing w:after="0" w:line="70" w:lineRule="exact"/>
        <w:rPr>
          <w:sz w:val="20"/>
          <w:szCs w:val="20"/>
          <w:color w:val="auto"/>
        </w:rPr>
      </w:pPr>
    </w:p>
    <w:p>
      <w:pPr>
        <w:ind w:left="1260" w:hanging="280"/>
        <w:spacing w:after="0"/>
        <w:tabs>
          <w:tab w:leader="none" w:pos="12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$11.4 million from property sales.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Mortgage Interest Income</w:t>
      </w:r>
    </w:p>
    <w:p>
      <w:pPr>
        <w:spacing w:after="0" w:line="11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Mortgage interest income decreased $1.3 million, or 54.4%, to $1.1 million in 2022 compared to $2.4 million in 2021 primarily due to the repayment of $31.1 million of mortgage notes receivable in May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property expenses increased $40.2 million, or 12.7%, to $356.8 million in 2022 compared to $316.6 million in 2021.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components of property expenses are discussed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Rental Expenses</w:t>
      </w:r>
    </w:p>
    <w:p>
      <w:pPr>
        <w:spacing w:after="0" w:line="114"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20"/>
          <w:szCs w:val="20"/>
          <w:color w:val="auto"/>
        </w:rPr>
        <w:t>Rental expenses increased $30.8 million, or 15.6%, to $229.0 million in 2022 compared to $198.1 million in 2021. This increase is primarily due to the following:</w:t>
      </w:r>
    </w:p>
    <w:p>
      <w:pPr>
        <w:spacing w:after="0" w:line="1" w:lineRule="exact"/>
        <w:rPr>
          <w:sz w:val="20"/>
          <w:szCs w:val="20"/>
          <w:color w:val="auto"/>
        </w:rPr>
      </w:pPr>
    </w:p>
    <w:p>
      <w:pPr>
        <w:ind w:left="1260" w:hanging="280"/>
        <w:spacing w:after="0" w:line="266" w:lineRule="auto"/>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$12.2 million from comparable properties due primarily to higher repairs and maintenance costs, utilities, and management fees, as 2021 had lower costs as a result of COVID-19 impacts, as well as inflationary impacts in 2022 and higher insurance costs,</w:t>
      </w:r>
    </w:p>
    <w:p>
      <w:pPr>
        <w:spacing w:after="0" w:line="15"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$7.7 million from 2021 and 2022 acquisitions,</w:t>
      </w:r>
    </w:p>
    <w:p>
      <w:pPr>
        <w:spacing w:after="0" w:line="70" w:lineRule="exact"/>
        <w:rPr>
          <w:rFonts w:ascii="Times New Roman" w:cs="Times New Roman" w:eastAsia="Times New Roman" w:hAnsi="Times New Roman"/>
          <w:sz w:val="20"/>
          <w:szCs w:val="20"/>
          <w:color w:val="auto"/>
        </w:rPr>
      </w:pPr>
    </w:p>
    <w:p>
      <w:pPr>
        <w:ind w:left="1260" w:right="180" w:hanging="280"/>
        <w:spacing w:after="0" w:line="266" w:lineRule="auto"/>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$6.9 million from non-comparable properties due primarily to the 2021 openings of Phase III at Assembly Row, the Phase III office building at Pike &amp; Rose, and CocoWalk, as well as increased costs associated with the redevelopment of Huntington Shopping Center, and</w:t>
      </w:r>
    </w:p>
    <w:p>
      <w:pPr>
        <w:spacing w:after="0" w:line="15" w:lineRule="exact"/>
        <w:rPr>
          <w:rFonts w:ascii="Times New Roman" w:cs="Times New Roman" w:eastAsia="Times New Roman" w:hAnsi="Times New Roman"/>
          <w:sz w:val="20"/>
          <w:szCs w:val="20"/>
          <w:color w:val="auto"/>
        </w:rPr>
      </w:pPr>
    </w:p>
    <w:p>
      <w:pPr>
        <w:ind w:left="1260" w:right="680" w:hanging="280"/>
        <w:spacing w:after="0" w:line="281" w:lineRule="auto"/>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$5.3 million from higher operating costs at our Pike &amp; Rose hotel largely due to lifting of COVID-19 restrictions,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partially offset by</w:t>
      </w:r>
    </w:p>
    <w:p>
      <w:pPr>
        <w:spacing w:after="0" w:line="70" w:lineRule="exact"/>
        <w:rPr>
          <w:sz w:val="20"/>
          <w:szCs w:val="20"/>
          <w:color w:val="auto"/>
        </w:rPr>
      </w:pPr>
    </w:p>
    <w:p>
      <w:pPr>
        <w:ind w:left="1260" w:hanging="28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$1.5 million from our property sales.</w:t>
      </w:r>
    </w:p>
    <w:p>
      <w:pPr>
        <w:spacing w:after="0" w:line="190" w:lineRule="exact"/>
        <w:rPr>
          <w:sz w:val="20"/>
          <w:szCs w:val="20"/>
          <w:color w:val="auto"/>
        </w:rPr>
      </w:pPr>
    </w:p>
    <w:p>
      <w:pPr>
        <w:ind w:right="360"/>
        <w:spacing w:after="0" w:line="309" w:lineRule="auto"/>
        <w:rPr>
          <w:sz w:val="20"/>
          <w:szCs w:val="20"/>
          <w:color w:val="auto"/>
        </w:rPr>
      </w:pPr>
      <w:r>
        <w:rPr>
          <w:rFonts w:ascii="Times New Roman" w:cs="Times New Roman" w:eastAsia="Times New Roman" w:hAnsi="Times New Roman"/>
          <w:sz w:val="19"/>
          <w:szCs w:val="19"/>
          <w:color w:val="auto"/>
        </w:rPr>
        <w:t>As a result of the changes in rental income and rental expenses as discussed above, rental expenses as a percentage of rental income increased to 21.3% for the year ended December 31, 2022 from 20.9% for the year ended December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Real Estate Taxes</w:t>
      </w:r>
    </w:p>
    <w:p>
      <w:pPr>
        <w:spacing w:after="0" w:line="11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Real estate tax expense increased $9.3 million, or 7.9% to $127.8 million in 2022 compared to $118.5 million in 2021 due primarily to the following:</w:t>
      </w:r>
    </w:p>
    <w:p>
      <w:pPr>
        <w:sectPr>
          <w:pgSz w:w="11880" w:h="15480" w:orient="portrait"/>
          <w:cols w:equalWidth="0" w:num="1">
            <w:col w:w="10240"/>
          </w:cols>
          <w:pgMar w:left="820" w:top="413" w:right="820" w:bottom="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240"/>
          </w:cols>
          <w:pgMar w:left="820" w:top="413" w:right="820" w:bottom="0" w:gutter="0" w:footer="0" w:header="0"/>
          <w:type w:val="continuous"/>
        </w:sectPr>
      </w:pPr>
    </w:p>
    <w:bookmarkStart w:id="48" w:name="page49"/>
    <w:bookmarkEnd w:id="48"/>
    <w:p>
      <w:pPr>
        <w:ind w:left="1260" w:hanging="280"/>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$5.6 million from 2021 and 2022 acquisitions,</w:t>
      </w:r>
    </w:p>
    <w:p>
      <w:pPr>
        <w:spacing w:after="0" w:line="70" w:lineRule="exact"/>
        <w:rPr>
          <w:rFonts w:ascii="Times New Roman" w:cs="Times New Roman" w:eastAsia="Times New Roman" w:hAnsi="Times New Roman"/>
          <w:sz w:val="20"/>
          <w:szCs w:val="20"/>
          <w:color w:val="auto"/>
        </w:rPr>
      </w:pPr>
    </w:p>
    <w:p>
      <w:pPr>
        <w:ind w:left="1260" w:right="660" w:hanging="280"/>
        <w:spacing w:after="0" w:line="281" w:lineRule="auto"/>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$2.6 million from non-comparable properties due primarily to the opening of Phase III at Assembly Row, and</w:t>
      </w:r>
    </w:p>
    <w:p>
      <w:pPr>
        <w:spacing w:after="0" w:line="1" w:lineRule="exact"/>
        <w:rPr>
          <w:rFonts w:ascii="Times New Roman" w:cs="Times New Roman" w:eastAsia="Times New Roman" w:hAnsi="Times New Roman"/>
          <w:sz w:val="20"/>
          <w:szCs w:val="20"/>
          <w:color w:val="auto"/>
        </w:rPr>
      </w:pPr>
    </w:p>
    <w:p>
      <w:pPr>
        <w:ind w:left="1260" w:right="720" w:hanging="280"/>
        <w:spacing w:after="0" w:line="281" w:lineRule="auto"/>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$2.1 million from comparable properties primarily due to a true-up in 2021 of prior year supplemental taxes at one of our properties and higher assessments,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partially offset by</w:t>
      </w:r>
    </w:p>
    <w:p>
      <w:pPr>
        <w:spacing w:after="0" w:line="70" w:lineRule="exact"/>
        <w:rPr>
          <w:sz w:val="20"/>
          <w:szCs w:val="20"/>
          <w:color w:val="auto"/>
        </w:rPr>
      </w:pPr>
    </w:p>
    <w:p>
      <w:pPr>
        <w:ind w:left="1260" w:hanging="280"/>
        <w:spacing w:after="0"/>
        <w:tabs>
          <w:tab w:leader="none" w:pos="12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$0.8 million from our property sales.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Operating Income</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Property operating income increased $83.0 million, or 13.1%, to $717.6 million in 2022 compared to $634.6 million in 2021. This increase is primarily driven by the ongoing recovery from the initial impacts of COVID-19, which resulted in lower collectibility related adjustments and higher percentage rent, specialty leasing, and parking income, compared to 2021 during which COVID-19 related restrictions were gradually being lifted. Also contributing to the increase were property acquisitions, higher occupancy and rental rates at comparable properties, and the opening of Phase III at Assembly Row in 2021, partially offset by property sales.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Operating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w:t>
      </w:r>
    </w:p>
    <w:p>
      <w:pPr>
        <w:spacing w:after="0" w:line="11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General and administrative expense increased $2.8 million, or 5.6%, to $52.6 million in 2022 from $49.9 million in 2021. This increase is due primarily to higher personnel related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Depreciation and amortization expense increased $22.4 million, or 8.0%, to $302.4 million in 2022 from $280.0 million in 2021. This increase is due primarily to property acquisitions, the openings of Phase III at Assembly Row, the Phase III office building at Pike &amp; Rose, and CocoWalk, partially offset by the net impact of accelerated depreciation related to 2021 and 2022 redevelopment activities and 2021 property sales.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 on Deconsolidation of VIE</w:t>
      </w:r>
    </w:p>
    <w:p>
      <w:pPr>
        <w:spacing w:after="0" w:line="1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The $70.4 million gain on deconsolidation of VIE for the year ended December 31, 2022 is the result of the deconsolidation of Escondido Promenade in connection with the execution of the related August 25, 2022 TIC agreement (see Note 3 for additional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 on Sale of Real Estate and Change in Control of Interest</w:t>
      </w:r>
    </w:p>
    <w:p>
      <w:pPr>
        <w:spacing w:after="0" w:line="1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$93.5 million gain on sale of real estate for the year ended December 31, 2022 is due primarily to a net gain of $84.1 million from the sale of two residential properties (including an adjacent retail pad), one retail property, and one parcel of land (see Note 3 for additional information), and a $9.3 million gain related to the reduction of our liability for estimated condemnation and transaction costs associated with the sale under threat of condemnation in December 2019 at San Antonio Center (see Note 7 for additional information).</w:t>
      </w:r>
    </w:p>
    <w:p>
      <w:pPr>
        <w:spacing w:after="0" w:line="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The $90.0 million gain on sale of real estate for the year ended December 31, 2021 is due to the sale of two properties and portions of three properties, as well as the $2.1 million gain relating to the acquisition of the previously unconsolidated Pike &amp; Rose hotel joint venture (see Note 3 to the consolidated financial statements for additional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Operating income increased $131.7 million, or 33.4%, to $526.4 million in 2022 compared to $394.7 million in 2021. This increase is primarily due to the gain on the deconsolidation of a VIE, and the ongoing recovery from the impacts of COVID-19 restrictions, which resulted in lower collectibility related adjustments and higher percentage rent, specialty leasing, and parking income, compared to 2021 during which COVID-19 related restrictions were gradually being lifted. Also contributing to the increase were property acquisitions, higher occupancy and rental rates at comparable properties, and the opening of Phase III at Assembly Row in 2021, partially offset by property sales and higher personnel related costs.</w:t>
      </w:r>
    </w:p>
    <w:p>
      <w:pPr>
        <w:sectPr>
          <w:pgSz w:w="11880" w:h="15480" w:orient="portrait"/>
          <w:cols w:equalWidth="0" w:num="1">
            <w:col w:w="10180"/>
          </w:cols>
          <w:pgMar w:left="820" w:top="41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180"/>
          </w:cols>
          <w:pgMar w:left="820" w:top="413" w:right="8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Other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1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Interest expense increased $9.3 million, or 7.3%, to $137.0 million in 2022 compared to $127.7 million in 2021. This increase is due primarily to the following:</w:t>
      </w:r>
    </w:p>
    <w:p>
      <w:pPr>
        <w:spacing w:after="0" w:line="1" w:lineRule="exact"/>
        <w:rPr>
          <w:sz w:val="20"/>
          <w:szCs w:val="20"/>
          <w:color w:val="auto"/>
        </w:rPr>
      </w:pPr>
    </w:p>
    <w:p>
      <w:pPr>
        <w:ind w:left="1260" w:hanging="28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$5.6 million due to a higher overall weighted average borrowing rate, and</w:t>
      </w:r>
    </w:p>
    <w:p>
      <w:pPr>
        <w:spacing w:after="0" w:line="70"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$4.0 million in capitalized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partially offset by</w:t>
      </w:r>
    </w:p>
    <w:p>
      <w:pPr>
        <w:spacing w:after="0" w:line="70" w:lineRule="exact"/>
        <w:rPr>
          <w:sz w:val="20"/>
          <w:szCs w:val="20"/>
          <w:color w:val="auto"/>
        </w:rPr>
      </w:pPr>
    </w:p>
    <w:p>
      <w:pPr>
        <w:ind w:left="1260" w:hanging="280"/>
        <w:spacing w:after="0"/>
        <w:tabs>
          <w:tab w:leader="none" w:pos="12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$0.2 million due to lower weighted average borrowings.</w:t>
      </w:r>
    </w:p>
    <w:p>
      <w:pPr>
        <w:spacing w:after="0" w:line="190"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20"/>
          <w:szCs w:val="20"/>
          <w:color w:val="auto"/>
        </w:rPr>
        <w:t>Gross interest costs were $155.7 million and $150.3 million in 2022 and 2021, respectively. Capitalized interest was $18.7 million and $22.6 million in 2022 and 2021,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Partnerships</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Income from partnerships increased $3.9 million or 315.3% to $5.2 million in 2022 compared to $1.2 million in 2021. This increase is due primarily to improved operating results at our Assembly Row hotel joint venture and our restaurant joint ventures, largely the result of the easing of COVID-19 closures and restrictions and the forgiveness of certain loans for some of our restaurants joint ventures and at our Assembly Row hotel joint venture.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Net income attributable to noncontrolling interests increased $2.6 million, or 34.1%, to $10.2 million in 2022 compared to $7.6 million in 2021. The increase is primarily due to 2021 acquisitions and higher income at our properties with third party partners.</w:t>
      </w:r>
    </w:p>
    <w:p>
      <w:pPr>
        <w:spacing w:after="0" w:line="19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Discussions of year-to-year comparisons between 2021 and 2020 can be found in “Management’s Discussion and Analysis of Financial Condition and Results of Operations” in Part II, Item 7 of our Annual Report on Form 10-K for the fiscal year ended December 31, 2021 filed with the Securities and Exchange Commission on February 10,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2022 were approximately $349.0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$1.25 billion revolving credit facility to fund short term cash flow needs and also look to the public and private debt and equity markets, joint venture relationships, and property dispositions to fund capital expenditures on a long-term basis.</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During 2022, we have continued to see improvements in overall cash collections from tenants with collection rates nearing pre-pandemic levels. We have also taken multiple steps over the past two years to strengthen our financial position, maximize liquidity, and to provide maximum flexibility during these uncertain times. On October 5, 2022, we amended our revolving credit facility increasing the borrowing capacity from $1.0 billion to $1.25 billion and extending the maturity date to April 5, 2027, plus two six-month extensions at our option. Additionally, we have an option (subject to bank approval) to increase the credit facility through an accordion feature to $1.75 billion. We also amended our unsecured term loan, borrowing an additional $300.0 million.</w:t>
      </w:r>
    </w:p>
    <w:p>
      <w:pPr>
        <w:spacing w:after="0" w:line="1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As of December 31, 2022, there is no balance outstanding on our $1.25 billion unsecured revolving credit facility and we had cash and cash equivalents of $85.6 million. For the year ended 2022, the weighted average amount of borrowings outstanding on our revolving credit facility was $80.3 million, and the weighted average interest rate, before amortization of debt fees, was 3.2%. We also have the capacity to issue up to $452.0 million in common shares under the ATM program. We have $275.0 million of debt maturing in 2023.</w:t>
      </w:r>
    </w:p>
    <w:p>
      <w:pPr>
        <w:spacing w:after="0" w:line="1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Our overall capital requirements during 2023 will be impacted by the overall economic environment including impacts of inflation, supply chain issues, and a potential recession, as well as acquisition opportunities and the level and general timing of our redevelopment and development activities. We currently have development and redevelopment projects in various stages of construction with remaining costs of $274 million. We expect to incur the majority of those costs in the next two years. We expect overall capital costs to be at levels consistent with 2022 or slightly reduced as we complete current redevelopment</w:t>
      </w:r>
    </w:p>
    <w:p>
      <w:pPr>
        <w:sectPr>
          <w:pgSz w:w="11880" w:h="15480" w:orient="portrait"/>
          <w:cols w:equalWidth="0" w:num="1">
            <w:col w:w="10220"/>
          </w:cols>
          <w:pgMar w:left="820" w:top="406" w:right="84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220"/>
          </w:cols>
          <w:pgMar w:left="820" w:top="406" w:right="840" w:bottom="0" w:gutter="0" w:footer="0" w:header="0"/>
          <w:type w:val="continuous"/>
        </w:sectPr>
      </w:pPr>
    </w:p>
    <w:bookmarkStart w:id="50" w:name="page51"/>
    <w:bookmarkEnd w:id="50"/>
    <w:p>
      <w:pPr>
        <w:ind w:right="220"/>
        <w:spacing w:after="0" w:line="281" w:lineRule="auto"/>
        <w:rPr>
          <w:sz w:val="20"/>
          <w:szCs w:val="20"/>
          <w:color w:val="auto"/>
        </w:rPr>
      </w:pPr>
      <w:r>
        <w:rPr>
          <w:rFonts w:ascii="Times New Roman" w:cs="Times New Roman" w:eastAsia="Times New Roman" w:hAnsi="Times New Roman"/>
          <w:sz w:val="20"/>
          <w:szCs w:val="20"/>
          <w:color w:val="auto"/>
        </w:rPr>
        <w:t>projects, prepare vacant space for new tenants, and complete the current phase and start on the next phase of our larger mixed use development projects.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We believe cash flow from operations, the cash on our balance sheet, and our $1.25 billion revolving credit facility will allow us to continue to operate our business in the short-term. 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While we have seen significant improvements from the initial negative impacts of the COVID-19 pandemic, it, along with the overall state of the economy continues to affect our overall business, and we expect it will continue to negatively impact our business in the short term. However,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03"/>
        </w:trPr>
        <w:tc>
          <w:tcPr>
            <w:tcW w:w="7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cash provided by operating activities </w:t>
            </w:r>
            <w:r>
              <w:rPr>
                <w:rFonts w:ascii="Times New Roman" w:cs="Times New Roman" w:eastAsia="Times New Roman" w:hAnsi="Times New Roman"/>
                <w:sz w:val="20"/>
                <w:szCs w:val="20"/>
                <w:color w:val="AEAEAE"/>
                <w:w w:val="99"/>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516,769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471,352</w:t>
            </w:r>
          </w:p>
        </w:tc>
      </w:tr>
      <w:tr>
        <w:trPr>
          <w:trHeight w:val="300"/>
        </w:trPr>
        <w:tc>
          <w:tcPr>
            <w:tcW w:w="7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used in investing activities</w:t>
            </w:r>
            <w:r>
              <w:rPr>
                <w:rFonts w:ascii="Times New Roman" w:cs="Times New Roman" w:eastAsia="Times New Roman" w:hAnsi="Times New Roman"/>
                <w:sz w:val="20"/>
                <w:szCs w:val="20"/>
                <w:color w:val="AEAEAE"/>
                <w:w w:val="99"/>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(785,998)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(660,118)</w:t>
            </w:r>
          </w:p>
        </w:tc>
      </w:tr>
      <w:tr>
        <w:trPr>
          <w:trHeight w:val="303"/>
        </w:trPr>
        <w:tc>
          <w:tcPr>
            <w:tcW w:w="7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cash provided by (used in) financing activities </w:t>
            </w:r>
            <w:r>
              <w:rPr>
                <w:rFonts w:ascii="Times New Roman" w:cs="Times New Roman" w:eastAsia="Times New Roman" w:hAnsi="Times New Roman"/>
                <w:sz w:val="20"/>
                <w:szCs w:val="20"/>
                <w:color w:val="AEAEAE"/>
                <w:w w:val="99"/>
              </w:rPr>
              <w: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190,414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(452,967)</w:t>
            </w:r>
          </w:p>
        </w:tc>
      </w:tr>
      <w:tr>
        <w:trPr>
          <w:trHeight w:val="277"/>
        </w:trPr>
        <w:tc>
          <w:tcPr>
            <w:tcW w:w="7680" w:type="dxa"/>
            <w:vAlign w:val="bottom"/>
          </w:tcPr>
          <w:p>
            <w:pPr>
              <w:jc w:val="right"/>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Decreaseincashandcashequivalents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(641,733)</w:t>
            </w:r>
          </w:p>
        </w:tc>
      </w:tr>
      <w:tr>
        <w:trPr>
          <w:trHeight w:val="303"/>
        </w:trPr>
        <w:tc>
          <w:tcPr>
            <w:tcW w:w="7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cash equivalents, and restricted cash, beginning of year</w:t>
            </w:r>
            <w:r>
              <w:rPr>
                <w:rFonts w:ascii="Times New Roman" w:cs="Times New Roman" w:eastAsia="Times New Roman" w:hAnsi="Times New Roman"/>
                <w:sz w:val="20"/>
                <w:szCs w:val="20"/>
                <w:color w:val="AEAEAE"/>
                <w:w w:val="99"/>
              </w:rPr>
              <w: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175,163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816,896</w:t>
            </w:r>
          </w:p>
        </w:tc>
      </w:tr>
      <w:tr>
        <w:trPr>
          <w:trHeight w:val="260"/>
        </w:trPr>
        <w:tc>
          <w:tcPr>
            <w:tcW w:w="7680" w:type="dxa"/>
            <w:vAlign w:val="bottom"/>
          </w:tcPr>
          <w:p>
            <w:pPr>
              <w:jc w:val="right"/>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Cash,cashequivalents,andrestrictedcash,endofyear</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96,348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175,163</w:t>
            </w: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color w:val="auto"/>
        </w:rPr>
        <w:t>Net cash provided by operating activities increased $45.4 million to $516.8 million during 2022 from $471.4 million during 2021. The increase was primarily attributable to higher net income before non-cash items and gains on sale of real estate, partially offset by the timing of collections of real estate tax reconciliation billings during 2021 and the timing of payments.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used in investing activities increased $125.9 million to $786.0 million during 2022 from $660.1 million during 2021.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increase was primarily attributable to:</w:t>
      </w:r>
    </w:p>
    <w:p>
      <w:pPr>
        <w:spacing w:after="0" w:line="50" w:lineRule="exact"/>
        <w:rPr>
          <w:sz w:val="20"/>
          <w:szCs w:val="20"/>
          <w:color w:val="auto"/>
        </w:rPr>
      </w:pPr>
    </w:p>
    <w:p>
      <w:pPr>
        <w:ind w:left="1260" w:right="180" w:hanging="280"/>
        <w:spacing w:after="0" w:line="296" w:lineRule="auto"/>
        <w:tabs>
          <w:tab w:leader="none" w:pos="12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$72.0 million increase in acquisition of real estate primarily due to 2022 property acquisitions (see Note 3 to the consolidated financial statements for additional information), as compared to 2021 property acquisitions,</w:t>
      </w:r>
    </w:p>
    <w:p>
      <w:pPr>
        <w:spacing w:after="0" w:line="1" w:lineRule="exact"/>
        <w:rPr>
          <w:rFonts w:ascii="Times New Roman" w:cs="Times New Roman" w:eastAsia="Times New Roman" w:hAnsi="Times New Roman"/>
          <w:sz w:val="19"/>
          <w:szCs w:val="19"/>
          <w:color w:val="auto"/>
        </w:rPr>
      </w:pPr>
    </w:p>
    <w:p>
      <w:pPr>
        <w:ind w:left="1260" w:hanging="280"/>
        <w:spacing w:after="0"/>
        <w:tabs>
          <w:tab w:leader="none" w:pos="1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$31.1 million payoff of two mortgage notes receivable in May 2021,</w:t>
      </w:r>
    </w:p>
    <w:p>
      <w:pPr>
        <w:spacing w:after="0" w:line="70" w:lineRule="exact"/>
        <w:rPr>
          <w:rFonts w:ascii="Times New Roman" w:cs="Times New Roman" w:eastAsia="Times New Roman" w:hAnsi="Times New Roman"/>
          <w:sz w:val="20"/>
          <w:szCs w:val="20"/>
          <w:color w:val="auto"/>
        </w:rPr>
      </w:pPr>
    </w:p>
    <w:p>
      <w:pPr>
        <w:jc w:val="both"/>
        <w:ind w:left="1260" w:right="540" w:hanging="280"/>
        <w:spacing w:after="0" w:line="266" w:lineRule="auto"/>
        <w:tabs>
          <w:tab w:leader="none" w:pos="1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$20.0 million increase in investment in partnerships, resulting from the 2022 acquisition of a 47.5% net interest in an unconsolidated joint venture that owns two shopping centers (see Note 3 to the consolidated financial statements for additional information), and</w:t>
      </w:r>
    </w:p>
    <w:p>
      <w:pPr>
        <w:spacing w:after="0" w:line="15" w:lineRule="exact"/>
        <w:rPr>
          <w:rFonts w:ascii="Times New Roman" w:cs="Times New Roman" w:eastAsia="Times New Roman" w:hAnsi="Times New Roman"/>
          <w:sz w:val="20"/>
          <w:szCs w:val="20"/>
          <w:color w:val="auto"/>
        </w:rPr>
      </w:pPr>
    </w:p>
    <w:p>
      <w:pPr>
        <w:ind w:left="1260" w:right="100" w:hanging="280"/>
        <w:spacing w:after="0" w:line="281" w:lineRule="auto"/>
        <w:tabs>
          <w:tab w:leader="none" w:pos="1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$18.0 million for net costs paid in 2022 relating to the partial sale under threat of condemnation at San Antonio Center in 2019,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partially offset by</w:t>
      </w:r>
    </w:p>
    <w:p>
      <w:pPr>
        <w:spacing w:after="0" w:line="70" w:lineRule="exact"/>
        <w:rPr>
          <w:sz w:val="20"/>
          <w:szCs w:val="20"/>
          <w:color w:val="auto"/>
        </w:rPr>
      </w:pPr>
    </w:p>
    <w:p>
      <w:pPr>
        <w:ind w:left="1260" w:hanging="280"/>
        <w:spacing w:after="0"/>
        <w:tabs>
          <w:tab w:leader="none" w:pos="12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$23.8 million decrease in net capital expenditures.</w:t>
      </w:r>
    </w:p>
    <w:p>
      <w:pPr>
        <w:spacing w:after="0" w:line="19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Net cash used in financing activities decreased $643.4 million to $190.4 million provided during 2022 from $453.0 million used during 2021. The decrease was primarily attributable to:</w:t>
      </w:r>
    </w:p>
    <w:p>
      <w:pPr>
        <w:spacing w:after="0" w:line="1" w:lineRule="exact"/>
        <w:rPr>
          <w:sz w:val="20"/>
          <w:szCs w:val="20"/>
          <w:color w:val="auto"/>
        </w:rPr>
      </w:pPr>
    </w:p>
    <w:p>
      <w:pPr>
        <w:ind w:left="1260" w:hanging="280"/>
        <w:spacing w:after="0"/>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$298.6 million in net proceeds from our unsecured term loan in October 2022,</w:t>
      </w:r>
    </w:p>
    <w:p>
      <w:pPr>
        <w:spacing w:after="0" w:line="70" w:lineRule="exact"/>
        <w:rPr>
          <w:rFonts w:ascii="Times New Roman" w:cs="Times New Roman" w:eastAsia="Times New Roman" w:hAnsi="Times New Roman"/>
          <w:sz w:val="20"/>
          <w:szCs w:val="20"/>
          <w:color w:val="auto"/>
        </w:rPr>
      </w:pPr>
    </w:p>
    <w:p>
      <w:pPr>
        <w:ind w:left="1260" w:right="200" w:hanging="280"/>
        <w:spacing w:after="0" w:line="258" w:lineRule="auto"/>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$258.2 million decrease in repayment of mortgages, finance leases, and notes payable primarily due to the $16.1 million mortgage loan repayment on one of the buildings at our Hoboken property in June 2022, as compared to the $140.9 million net repayments of four mortgage loans in 2021, the $100.0 million partial repayment of our $400.0 term loan which was amended in April 2021, and the $31.5 million repayment of the mortgage loan related to the Pike &amp; Rose hotel in January 2021, and</w:t>
      </w:r>
    </w:p>
    <w:p>
      <w:pPr>
        <w:spacing w:after="0" w:line="23" w:lineRule="exact"/>
        <w:rPr>
          <w:rFonts w:ascii="Times New Roman" w:cs="Times New Roman" w:eastAsia="Times New Roman" w:hAnsi="Times New Roman"/>
          <w:sz w:val="20"/>
          <w:szCs w:val="20"/>
          <w:color w:val="auto"/>
        </w:rPr>
      </w:pPr>
    </w:p>
    <w:p>
      <w:pPr>
        <w:ind w:left="1260" w:hanging="280"/>
        <w:spacing w:after="0" w:line="281" w:lineRule="auto"/>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$134.3 million increase in net proceeds from the issuance of common shares under our ATM equity program for net proceeds of $306.8 million and $172.7 million, respectively, during 2022 and 2021,</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240"/>
          </w:cols>
          <w:pgMar w:left="820" w:top="413" w:right="82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partially offset by,</w:t>
      </w:r>
    </w:p>
    <w:p>
      <w:pPr>
        <w:spacing w:after="0" w:line="70" w:lineRule="exact"/>
        <w:rPr>
          <w:sz w:val="20"/>
          <w:szCs w:val="20"/>
          <w:color w:val="auto"/>
        </w:rPr>
      </w:pPr>
    </w:p>
    <w:p>
      <w:pPr>
        <w:ind w:left="1260" w:right="180" w:hanging="280"/>
        <w:spacing w:after="0" w:line="266" w:lineRule="auto"/>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$27.6 million increase in distributions to and redemptions of noncontrolling interests primarily related to our acquisition of the redeemable noncontrolling interest in the partnership that owns the Plaza El Segundo shopping center for $23.6 million, and</w:t>
      </w:r>
    </w:p>
    <w:p>
      <w:pPr>
        <w:spacing w:after="0" w:line="15" w:lineRule="exact"/>
        <w:rPr>
          <w:rFonts w:ascii="Times New Roman" w:cs="Times New Roman" w:eastAsia="Times New Roman" w:hAnsi="Times New Roman"/>
          <w:sz w:val="20"/>
          <w:szCs w:val="20"/>
          <w:color w:val="auto"/>
        </w:rPr>
      </w:pPr>
    </w:p>
    <w:p>
      <w:pPr>
        <w:ind w:left="1260" w:right="340" w:hanging="280"/>
        <w:spacing w:after="0" w:line="281" w:lineRule="auto"/>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$11.6 million increase in dividends paid to shareholders due to an increase in the common share dividend rate and an increase in the number of common shares outstanding.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summary of material cash requirements comprising our fixed, noncancelable obligations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7"/>
          </w:tcPr>
          <w:p>
            <w:pPr>
              <w:jc w:val="center"/>
              <w:ind w:right="245"/>
              <w:spacing w:after="0"/>
              <w:rPr>
                <w:sz w:val="20"/>
                <w:szCs w:val="20"/>
                <w:color w:val="auto"/>
              </w:rPr>
            </w:pPr>
            <w:r>
              <w:rPr>
                <w:rFonts w:ascii="Times New Roman" w:cs="Times New Roman" w:eastAsia="Times New Roman" w:hAnsi="Times New Roman"/>
                <w:sz w:val="16"/>
                <w:szCs w:val="16"/>
                <w:b w:val="1"/>
                <w:bCs w:val="1"/>
                <w:color w:val="auto"/>
                <w:w w:val="99"/>
              </w:rPr>
              <w:t>Cash Requirements by Period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87"/>
              <w:spacing w:after="0" w:line="171" w:lineRule="exact"/>
              <w:rPr>
                <w:sz w:val="20"/>
                <w:szCs w:val="20"/>
                <w:color w:val="auto"/>
              </w:rPr>
            </w:pPr>
            <w:r>
              <w:rPr>
                <w:rFonts w:ascii="Times New Roman" w:cs="Times New Roman" w:eastAsia="Times New Roman" w:hAnsi="Times New Roman"/>
                <w:sz w:val="16"/>
                <w:szCs w:val="16"/>
                <w:b w:val="1"/>
                <w:bCs w:val="1"/>
                <w:color w:val="auto"/>
                <w:w w:val="98"/>
              </w:rPr>
              <w:t>Next Twelve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5"/>
              <w:spacing w:after="0" w:line="171" w:lineRule="exact"/>
              <w:rPr>
                <w:sz w:val="20"/>
                <w:szCs w:val="20"/>
                <w:color w:val="auto"/>
              </w:rPr>
            </w:pPr>
            <w:r>
              <w:rPr>
                <w:rFonts w:ascii="Times New Roman" w:cs="Times New Roman" w:eastAsia="Times New Roman" w:hAnsi="Times New Roman"/>
                <w:sz w:val="16"/>
                <w:szCs w:val="16"/>
                <w:b w:val="1"/>
                <w:bCs w:val="1"/>
                <w:color w:val="auto"/>
              </w:rPr>
              <w:t>Greater than</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8"/>
              </w:rPr>
              <w:t>Twelve Months</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Fixed and variable rate debt (principal only) (1)</w:t>
            </w:r>
            <w:r>
              <w:rPr>
                <w:rFonts w:ascii="Times New Roman" w:cs="Times New Roman" w:eastAsia="Times New Roman" w:hAnsi="Times New Roman"/>
                <w:sz w:val="20"/>
                <w:szCs w:val="20"/>
                <w:color w:val="AEAEAE"/>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4,344,474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4,065,581</w:t>
            </w:r>
          </w:p>
        </w:tc>
        <w:tc>
          <w:tcPr>
            <w:tcW w:w="0" w:type="dxa"/>
            <w:vAlign w:val="bottom"/>
          </w:tcPr>
          <w:p>
            <w:pPr>
              <w:spacing w:after="0"/>
              <w:rPr>
                <w:sz w:val="1"/>
                <w:szCs w:val="1"/>
                <w:color w:val="auto"/>
              </w:rPr>
            </w:pPr>
          </w:p>
        </w:tc>
      </w:tr>
      <w:tr>
        <w:trPr>
          <w:trHeight w:val="204"/>
        </w:trPr>
        <w:tc>
          <w:tcPr>
            <w:tcW w:w="58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Fixed and variable rate debt - our share of unconsolidated real estate</w:t>
            </w:r>
          </w:p>
        </w:tc>
        <w:tc>
          <w:tcPr>
            <w:tcW w:w="320" w:type="dxa"/>
            <w:vAlign w:val="bottom"/>
          </w:tcPr>
          <w:p>
            <w:pPr>
              <w:spacing w:after="0"/>
              <w:rPr>
                <w:sz w:val="17"/>
                <w:szCs w:val="17"/>
                <w:color w:val="auto"/>
              </w:rPr>
            </w:pPr>
          </w:p>
        </w:tc>
        <w:tc>
          <w:tcPr>
            <w:tcW w:w="108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64,183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20,248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43,935</w:t>
            </w:r>
          </w:p>
        </w:tc>
        <w:tc>
          <w:tcPr>
            <w:tcW w:w="0" w:type="dxa"/>
            <w:vAlign w:val="bottom"/>
          </w:tcPr>
          <w:p>
            <w:pPr>
              <w:spacing w:after="0"/>
              <w:rPr>
                <w:sz w:val="1"/>
                <w:szCs w:val="1"/>
                <w:color w:val="auto"/>
              </w:rPr>
            </w:pPr>
          </w:p>
        </w:tc>
      </w:tr>
      <w:tr>
        <w:trPr>
          <w:trHeight w:val="261"/>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partnerships (principal only)(2)</w:t>
            </w:r>
            <w:r>
              <w:rPr>
                <w:rFonts w:ascii="Times New Roman" w:cs="Times New Roman" w:eastAsia="Times New Roman" w:hAnsi="Times New Roman"/>
                <w:sz w:val="20"/>
                <w:szCs w:val="20"/>
                <w:color w:val="AEAEAE"/>
              </w:rPr>
              <w:t>..................................................................</w:t>
            </w:r>
          </w:p>
        </w:tc>
        <w:tc>
          <w:tcPr>
            <w:tcW w:w="3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Lease obligations (minimum rental payments) (3)(4)</w:t>
            </w:r>
            <w:r>
              <w:rPr>
                <w:rFonts w:ascii="Times New Roman" w:cs="Times New Roman" w:eastAsia="Times New Roman" w:hAnsi="Times New Roman"/>
                <w:sz w:val="20"/>
                <w:szCs w:val="20"/>
                <w:color w:val="AEAEAE"/>
              </w:rPr>
              <w:t>................................</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358,276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292,788</w:t>
            </w:r>
          </w:p>
        </w:tc>
        <w:tc>
          <w:tcPr>
            <w:tcW w:w="0" w:type="dxa"/>
            <w:vAlign w:val="bottom"/>
          </w:tcPr>
          <w:p>
            <w:pPr>
              <w:spacing w:after="0"/>
              <w:rPr>
                <w:sz w:val="1"/>
                <w:szCs w:val="1"/>
                <w:color w:val="auto"/>
              </w:rPr>
            </w:pP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Redevelopments/capital expenditure contracts </w:t>
            </w:r>
            <w:r>
              <w:rPr>
                <w:rFonts w:ascii="Times New Roman" w:cs="Times New Roman" w:eastAsia="Times New Roman" w:hAnsi="Times New Roman"/>
                <w:sz w:val="20"/>
                <w:szCs w:val="20"/>
                <w:color w:val="AEAEAE"/>
              </w:rPr>
              <w:t>..........................................</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262,081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17,985</w:t>
            </w:r>
          </w:p>
        </w:tc>
        <w:tc>
          <w:tcPr>
            <w:tcW w:w="0" w:type="dxa"/>
            <w:vAlign w:val="bottom"/>
          </w:tcPr>
          <w:p>
            <w:pPr>
              <w:spacing w:after="0"/>
              <w:rPr>
                <w:sz w:val="1"/>
                <w:szCs w:val="1"/>
                <w:color w:val="auto"/>
              </w:rPr>
            </w:pPr>
          </w:p>
        </w:tc>
      </w:tr>
      <w:tr>
        <w:trPr>
          <w:trHeight w:val="28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Real estate commitments (5)</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11,091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11,091</w:t>
            </w:r>
          </w:p>
        </w:tc>
        <w:tc>
          <w:tcPr>
            <w:tcW w:w="0" w:type="dxa"/>
            <w:vAlign w:val="bottom"/>
          </w:tcPr>
          <w:p>
            <w:pPr>
              <w:spacing w:after="0"/>
              <w:rPr>
                <w:sz w:val="1"/>
                <w:szCs w:val="1"/>
                <w:color w:val="auto"/>
              </w:rPr>
            </w:pPr>
          </w:p>
        </w:tc>
      </w:tr>
      <w:tr>
        <w:trPr>
          <w:trHeight w:val="24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Totalestimatedcashrequirements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5,040,105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608,725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4,431,380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88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00" w:hanging="350"/>
        <w:spacing w:after="0"/>
        <w:tabs>
          <w:tab w:leader="none" w:pos="7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interest rate on our fixed and variable rate debt is 3.7% as of December 31, 2022.</w:t>
      </w:r>
    </w:p>
    <w:p>
      <w:pPr>
        <w:spacing w:after="0" w:line="70" w:lineRule="exact"/>
        <w:rPr>
          <w:rFonts w:ascii="Times New Roman" w:cs="Times New Roman" w:eastAsia="Times New Roman" w:hAnsi="Times New Roman"/>
          <w:sz w:val="20"/>
          <w:szCs w:val="20"/>
          <w:color w:val="auto"/>
        </w:rPr>
      </w:pPr>
    </w:p>
    <w:p>
      <w:pPr>
        <w:ind w:left="720" w:right="780" w:hanging="370"/>
        <w:spacing w:after="0" w:line="28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interest rate on the fixed and variable rate debt related to our unconsolidated real estate partnerships is 4.05% as of December 31, 2022.</w:t>
      </w:r>
    </w:p>
    <w:p>
      <w:pPr>
        <w:spacing w:after="0" w:line="1" w:lineRule="exact"/>
        <w:rPr>
          <w:rFonts w:ascii="Times New Roman" w:cs="Times New Roman" w:eastAsia="Times New Roman" w:hAnsi="Times New Roman"/>
          <w:sz w:val="20"/>
          <w:szCs w:val="20"/>
          <w:color w:val="auto"/>
        </w:rPr>
      </w:pPr>
    </w:p>
    <w:p>
      <w:pPr>
        <w:ind w:left="700" w:hanging="350"/>
        <w:spacing w:after="0"/>
        <w:tabs>
          <w:tab w:leader="none" w:pos="7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includes minimum rental payments related to both finance and operating leases.</w:t>
      </w:r>
    </w:p>
    <w:p>
      <w:pPr>
        <w:spacing w:after="0" w:line="70" w:lineRule="exact"/>
        <w:rPr>
          <w:rFonts w:ascii="Times New Roman" w:cs="Times New Roman" w:eastAsia="Times New Roman" w:hAnsi="Times New Roman"/>
          <w:sz w:val="20"/>
          <w:szCs w:val="20"/>
          <w:color w:val="auto"/>
        </w:rPr>
      </w:pPr>
    </w:p>
    <w:p>
      <w:pPr>
        <w:ind w:left="720" w:right="340" w:hanging="370"/>
        <w:spacing w:after="0" w:line="28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obligations in the next twelve months include the $55 million fixed purchase price option for Mercer Mall as discussed in Note 7 to the consolidated financial statements.</w:t>
      </w:r>
    </w:p>
    <w:p>
      <w:pPr>
        <w:spacing w:after="0" w:line="1"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includes the liability related to the sale under threat of condemnation at San Antonio Center as further discussed in Note 7 to the consolidated financial statements.</w:t>
      </w:r>
    </w:p>
    <w:p>
      <w:pPr>
        <w:spacing w:after="0" w:line="12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In addition to the amounts set forth in the table above and other liquidity requirements previously discussed, the following potential commitments exist:</w:t>
      </w:r>
    </w:p>
    <w:p>
      <w:pPr>
        <w:spacing w:after="0" w:line="121" w:lineRule="exact"/>
        <w:rPr>
          <w:sz w:val="20"/>
          <w:szCs w:val="20"/>
          <w:color w:val="auto"/>
        </w:rPr>
      </w:pPr>
    </w:p>
    <w:p>
      <w:pPr>
        <w:ind w:right="60" w:firstLine="440"/>
        <w:spacing w:after="0" w:line="258"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2022, our estimated liability upon exercise of the put option would range from approximately $62 million to $65 million.</w:t>
      </w:r>
    </w:p>
    <w:p>
      <w:pPr>
        <w:spacing w:after="0" w:line="63" w:lineRule="exact"/>
        <w:rPr>
          <w:rFonts w:ascii="Times New Roman" w:cs="Times New Roman" w:eastAsia="Times New Roman" w:hAnsi="Times New Roman"/>
          <w:sz w:val="20"/>
          <w:szCs w:val="20"/>
          <w:color w:val="auto"/>
        </w:rPr>
      </w:pPr>
    </w:p>
    <w:p>
      <w:pPr>
        <w:jc w:val="both"/>
        <w:ind w:right="620" w:firstLine="440"/>
        <w:spacing w:after="0" w:line="266"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terms of various other partnership agreements, the partners have the right to exchange their operating partnership units for cash or the same number of our common shares, at our option. As of December 31, 2022, a total of 644,554 downREIT operating partnership units are outstanding.</w:t>
      </w:r>
    </w:p>
    <w:p>
      <w:pPr>
        <w:spacing w:after="0" w:line="55" w:lineRule="exact"/>
        <w:rPr>
          <w:rFonts w:ascii="Times New Roman" w:cs="Times New Roman" w:eastAsia="Times New Roman" w:hAnsi="Times New Roman"/>
          <w:sz w:val="20"/>
          <w:szCs w:val="20"/>
          <w:color w:val="auto"/>
        </w:rPr>
      </w:pPr>
    </w:p>
    <w:p>
      <w:pPr>
        <w:ind w:right="60" w:firstLine="440"/>
        <w:spacing w:after="0" w:line="26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2022, our estimated maximum liability upon exercise of the put option would range from $6 million to $7 million.</w:t>
      </w:r>
    </w:p>
    <w:p>
      <w:pPr>
        <w:spacing w:after="0" w:line="63" w:lineRule="exact"/>
        <w:rPr>
          <w:rFonts w:ascii="Times New Roman" w:cs="Times New Roman" w:eastAsia="Times New Roman" w:hAnsi="Times New Roman"/>
          <w:sz w:val="20"/>
          <w:szCs w:val="20"/>
          <w:color w:val="auto"/>
        </w:rPr>
      </w:pPr>
    </w:p>
    <w:p>
      <w:pPr>
        <w:ind w:right="140" w:firstLine="440"/>
        <w:spacing w:after="0" w:line="26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September 18, 2023, the other member in Hoboken has the right to require us to purchase all of its 10% ownership interest at the interest's then-current fair market value. Based on management's current estimate of fair market value as of December 31, 2022, our estimated maximum liability upon exercise of the put option would range from $8 million to $9 million.</w:t>
      </w:r>
    </w:p>
    <w:p>
      <w:pPr>
        <w:spacing w:after="0" w:line="63" w:lineRule="exact"/>
        <w:rPr>
          <w:rFonts w:ascii="Times New Roman" w:cs="Times New Roman" w:eastAsia="Times New Roman" w:hAnsi="Times New Roman"/>
          <w:sz w:val="20"/>
          <w:szCs w:val="20"/>
          <w:color w:val="auto"/>
        </w:rPr>
      </w:pPr>
    </w:p>
    <w:p>
      <w:pPr>
        <w:ind w:right="240" w:firstLine="440"/>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June 14, 2026, the other member in Camelback Colonnade and Hilton Village has the right to require us to purchase all of its 2.0% ownership interest at the interest's then-current fair market value. Based on management's current</w:t>
      </w:r>
    </w:p>
    <w:p>
      <w:pPr>
        <w:sectPr>
          <w:pgSz w:w="11880" w:h="15480" w:orient="portrait"/>
          <w:cols w:equalWidth="0" w:num="1">
            <w:col w:w="10260"/>
          </w:cols>
          <w:pgMar w:left="820" w:top="4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260"/>
          </w:cols>
          <w:pgMar w:left="820" w:top="413" w:right="800" w:bottom="0" w:gutter="0" w:footer="0" w:header="0"/>
          <w:type w:val="continuous"/>
        </w:sectPr>
      </w:pPr>
    </w:p>
    <w:bookmarkStart w:id="52" w:name="page53"/>
    <w:bookmarkEnd w:id="52"/>
    <w:p>
      <w:pPr>
        <w:ind w:right="120"/>
        <w:spacing w:after="0" w:line="281" w:lineRule="auto"/>
        <w:rPr>
          <w:sz w:val="20"/>
          <w:szCs w:val="20"/>
          <w:color w:val="auto"/>
        </w:rPr>
      </w:pPr>
      <w:r>
        <w:rPr>
          <w:rFonts w:ascii="Times New Roman" w:cs="Times New Roman" w:eastAsia="Times New Roman" w:hAnsi="Times New Roman"/>
          <w:sz w:val="20"/>
          <w:szCs w:val="20"/>
          <w:color w:val="auto"/>
        </w:rPr>
        <w:t>estimate of fair value as of December 31, 2022, our estimated maximum liability upon exercise of the put option would range from $4 million to $5 million.</w:t>
      </w:r>
    </w:p>
    <w:p>
      <w:pPr>
        <w:spacing w:after="0" w:line="41" w:lineRule="exact"/>
        <w:rPr>
          <w:sz w:val="20"/>
          <w:szCs w:val="20"/>
          <w:color w:val="auto"/>
        </w:rPr>
      </w:pPr>
    </w:p>
    <w:p>
      <w:pPr>
        <w:ind w:firstLine="440"/>
        <w:spacing w:after="0" w:line="26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2022, our estimated maximum liability upon exercise of the put option would range from $1 million and $2 million.</w:t>
      </w:r>
    </w:p>
    <w:p>
      <w:pPr>
        <w:spacing w:after="0" w:line="63" w:lineRule="exact"/>
        <w:rPr>
          <w:rFonts w:ascii="Times New Roman" w:cs="Times New Roman" w:eastAsia="Times New Roman" w:hAnsi="Times New Roman"/>
          <w:sz w:val="20"/>
          <w:szCs w:val="20"/>
          <w:color w:val="auto"/>
        </w:rPr>
      </w:pPr>
    </w:p>
    <w:p>
      <w:pPr>
        <w:jc w:val="both"/>
        <w:ind w:right="80" w:firstLine="440"/>
        <w:spacing w:after="0" w:line="26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June 1, 2029, the other member in Grossmont Center has the right to require us to purchase all of its 40.0% ownership interest at the interest's then-current fair market value. Based on management's current estimate of fair value as of December 31, 2022, our estimated maximum liability upon exercise of the put option would range from $68 million to $73 million.</w:t>
      </w:r>
    </w:p>
    <w:p>
      <w:pPr>
        <w:spacing w:after="0" w:line="63" w:lineRule="exact"/>
        <w:rPr>
          <w:rFonts w:ascii="Times New Roman" w:cs="Times New Roman" w:eastAsia="Times New Roman" w:hAnsi="Times New Roman"/>
          <w:sz w:val="20"/>
          <w:szCs w:val="20"/>
          <w:color w:val="auto"/>
        </w:rPr>
      </w:pPr>
    </w:p>
    <w:p>
      <w:pPr>
        <w:ind w:left="700" w:hanging="260"/>
        <w:spacing w:after="0"/>
        <w:tabs>
          <w:tab w:leader="none" w:pos="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December 31, 2022, we had letters of credit outstanding of approximately $6.7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Off-Balance Sheet Arrangements</w:t>
      </w:r>
    </w:p>
    <w:p>
      <w:pPr>
        <w:spacing w:after="0" w:line="114" w:lineRule="exact"/>
        <w:rPr>
          <w:sz w:val="20"/>
          <w:szCs w:val="20"/>
          <w:color w:val="auto"/>
        </w:rPr>
      </w:pPr>
    </w:p>
    <w:p>
      <w:pPr>
        <w:jc w:val="both"/>
        <w:ind w:right="540"/>
        <w:spacing w:after="0" w:line="309" w:lineRule="auto"/>
        <w:rPr>
          <w:sz w:val="20"/>
          <w:szCs w:val="20"/>
          <w:color w:val="auto"/>
        </w:rPr>
      </w:pPr>
      <w:r>
        <w:rPr>
          <w:rFonts w:ascii="Times New Roman" w:cs="Times New Roman" w:eastAsia="Times New Roman" w:hAnsi="Times New Roman"/>
          <w:sz w:val="19"/>
          <w:szCs w:val="19"/>
          <w:color w:val="auto"/>
        </w:rPr>
        <w:t>At December 31, 2022, we have four real estate related equity method investments with total debt outstanding of $154.1 million, of which our share is $63.8 million. Our investment in these ventures at December 31, 2022 was $34.0 million.</w:t>
      </w:r>
    </w:p>
    <w:p>
      <w:pPr>
        <w:spacing w:after="0" w:line="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Other than the items disclosed in the Cash Requirements table, we have no off-balance sheet arrangements as of December 31, 2022 that are reasonably likely to have a current or future material effect on our financial condition, changes in financial condition, revenues or expenses, results of operations, liquidity, cash requirements, or capital resources.</w:t>
      </w:r>
    </w:p>
    <w:p>
      <w:pPr>
        <w:sectPr>
          <w:pgSz w:w="11880" w:h="15480" w:orient="portrait"/>
          <w:cols w:equalWidth="0" w:num="1">
            <w:col w:w="10140"/>
          </w:cols>
          <w:pgMar w:left="820" w:top="41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140"/>
          </w:cols>
          <w:pgMar w:left="820" w:top="413" w:right="920" w:bottom="0" w:gutter="0" w:footer="0" w:header="0"/>
          <w:type w:val="continuous"/>
        </w:sectPr>
      </w:pPr>
    </w:p>
    <w:bookmarkStart w:id="53" w:name="page54"/>
    <w:bookmarkEnd w:id="53"/>
    <w:p>
      <w:pPr>
        <w:ind w:left="10"/>
        <w:spacing w:after="0"/>
        <w:rPr>
          <w:sz w:val="20"/>
          <w:szCs w:val="20"/>
          <w:color w:val="auto"/>
        </w:rPr>
      </w:pPr>
      <w:r>
        <w:rPr>
          <w:rFonts w:ascii="Times New Roman" w:cs="Times New Roman" w:eastAsia="Times New Roman" w:hAnsi="Times New Roman"/>
          <w:sz w:val="20"/>
          <w:szCs w:val="20"/>
          <w:i w:val="1"/>
          <w:iCs w:val="1"/>
          <w:color w:val="auto"/>
        </w:rPr>
        <w:t>Debt Financing Arrangements</w:t>
      </w:r>
    </w:p>
    <w:p>
      <w:pPr>
        <w:spacing w:after="0" w:line="1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is a summary of our total debt outstanding as of December 31, 2022:</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Balance as</w:t>
            </w:r>
          </w:p>
        </w:tc>
        <w:tc>
          <w:tcPr>
            <w:tcW w:w="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Stated Interest Rate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60" w:type="dxa"/>
            <w:vAlign w:val="bottom"/>
          </w:tcPr>
          <w:p>
            <w:pPr>
              <w:spacing w:after="0"/>
              <w:rPr>
                <w:sz w:val="13"/>
                <w:szCs w:val="13"/>
                <w:color w:val="auto"/>
              </w:rPr>
            </w:pPr>
          </w:p>
        </w:tc>
        <w:tc>
          <w:tcPr>
            <w:tcW w:w="1020" w:type="dxa"/>
            <w:vAlign w:val="bottom"/>
          </w:tcPr>
          <w:p>
            <w:pPr>
              <w:jc w:val="right"/>
              <w:ind w:right="255"/>
              <w:spacing w:after="0" w:line="160" w:lineRule="exact"/>
              <w:rPr>
                <w:sz w:val="20"/>
                <w:szCs w:val="20"/>
                <w:color w:val="auto"/>
              </w:rPr>
            </w:pPr>
            <w:r>
              <w:rPr>
                <w:rFonts w:ascii="Times New Roman" w:cs="Times New Roman" w:eastAsia="Times New Roman" w:hAnsi="Times New Roman"/>
                <w:sz w:val="16"/>
                <w:szCs w:val="16"/>
                <w:b w:val="1"/>
                <w:bCs w:val="1"/>
                <w:color w:val="auto"/>
              </w:rPr>
              <w:t>Debt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131"/>
              <w:spacing w:after="0" w:line="160" w:lineRule="exact"/>
              <w:rPr>
                <w:sz w:val="20"/>
                <w:szCs w:val="20"/>
                <w:color w:val="auto"/>
              </w:rPr>
            </w:pPr>
            <w:r>
              <w:rPr>
                <w:rFonts w:ascii="Times New Roman" w:cs="Times New Roman" w:eastAsia="Times New Roman" w:hAnsi="Times New Roman"/>
                <w:sz w:val="16"/>
                <w:szCs w:val="16"/>
                <w:b w:val="1"/>
                <w:bCs w:val="1"/>
                <w:color w:val="auto"/>
              </w:rPr>
              <w:t>of December 31,</w:t>
            </w:r>
          </w:p>
        </w:tc>
        <w:tc>
          <w:tcPr>
            <w:tcW w:w="8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80" w:type="dxa"/>
            <w:vAlign w:val="bottom"/>
          </w:tcPr>
          <w:p>
            <w:pPr>
              <w:spacing w:after="0"/>
              <w:rPr>
                <w:sz w:val="13"/>
                <w:szCs w:val="13"/>
                <w:color w:val="auto"/>
              </w:rPr>
            </w:pPr>
          </w:p>
        </w:tc>
        <w:tc>
          <w:tcPr>
            <w:tcW w:w="168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4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Pr>
          <w:p>
            <w:pPr>
              <w:spacing w:after="0"/>
              <w:rPr>
                <w:sz w:val="17"/>
                <w:szCs w:val="17"/>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Mortgages payable</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Secured fixed rate</w:t>
            </w:r>
          </w:p>
        </w:tc>
        <w:tc>
          <w:tcPr>
            <w:tcW w:w="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Acquired</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80" w:type="dxa"/>
            <w:vAlign w:val="bottom"/>
          </w:tcPr>
          <w:p>
            <w:pPr>
              <w:spacing w:after="0"/>
              <w:rPr>
                <w:sz w:val="19"/>
                <w:szCs w:val="19"/>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November 1, 2025</w:t>
            </w:r>
          </w:p>
        </w:tc>
        <w:tc>
          <w:tcPr>
            <w:tcW w:w="0" w:type="dxa"/>
            <w:vAlign w:val="bottom"/>
          </w:tcPr>
          <w:p>
            <w:pPr>
              <w:spacing w:after="0"/>
              <w:rPr>
                <w:sz w:val="1"/>
                <w:szCs w:val="1"/>
                <w:color w:val="auto"/>
              </w:rPr>
            </w:pPr>
          </w:p>
        </w:tc>
      </w:tr>
      <w:tr>
        <w:trPr>
          <w:trHeight w:val="204"/>
        </w:trPr>
        <w:tc>
          <w:tcPr>
            <w:tcW w:w="4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 xml:space="preserve">Azalea </w:t>
            </w:r>
            <w:r>
              <w:rPr>
                <w:rFonts w:ascii="Times New Roman" w:cs="Times New Roman" w:eastAsia="Times New Roman" w:hAnsi="Times New Roman"/>
                <w:sz w:val="18"/>
                <w:szCs w:val="18"/>
                <w:color w:val="AEAEAE"/>
              </w:rPr>
              <w:t>......................................................................</w:t>
            </w:r>
          </w:p>
        </w:tc>
        <w:tc>
          <w:tcPr>
            <w:tcW w:w="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Bell Gardens </w:t>
            </w:r>
            <w:r>
              <w:rPr>
                <w:rFonts w:ascii="Times New Roman" w:cs="Times New Roman" w:eastAsia="Times New Roman" w:hAnsi="Times New Roman"/>
                <w:sz w:val="18"/>
                <w:szCs w:val="18"/>
                <w:color w:val="AEAEAE"/>
              </w:rPr>
              <w:t>............................................................</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Acquired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 2026</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Plaza El Segundo</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5,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The Grove at Shrewsbury (East)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Brook 35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 2029</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Hoboken (24 Buildings) (1)</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LIBOR + 1.95%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 Hoboken (14 Buildings)</w:t>
            </w:r>
            <w:r>
              <w:rPr>
                <w:rFonts w:ascii="Times New Roman" w:cs="Times New Roman" w:eastAsia="Times New Roman" w:hAnsi="Times New Roman"/>
                <w:sz w:val="18"/>
                <w:szCs w:val="18"/>
                <w:color w:val="AEAEAE"/>
              </w:rPr>
              <w:t>.............................</w:t>
            </w:r>
          </w:p>
        </w:tc>
        <w:tc>
          <w:tcPr>
            <w:tcW w:w="60" w:type="dxa"/>
            <w:vAlign w:val="bottom"/>
          </w:tcPr>
          <w:p>
            <w:pPr>
              <w:spacing w:after="0"/>
              <w:rPr>
                <w:sz w:val="19"/>
                <w:szCs w:val="19"/>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Acquired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30,876</w:t>
            </w:r>
          </w:p>
        </w:tc>
        <w:tc>
          <w:tcPr>
            <w:tcW w:w="80" w:type="dxa"/>
            <w:vAlign w:val="bottom"/>
          </w:tcPr>
          <w:p>
            <w:pPr>
              <w:spacing w:after="0"/>
              <w:rPr>
                <w:sz w:val="19"/>
                <w:szCs w:val="19"/>
                <w:color w:val="auto"/>
              </w:rPr>
            </w:pP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Various (2)  Various through 2029</w:t>
            </w: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Chelsea</w:t>
            </w:r>
            <w:r>
              <w:rPr>
                <w:rFonts w:ascii="Times New Roman" w:cs="Times New Roman" w:eastAsia="Times New Roman" w:hAnsi="Times New Roman"/>
                <w:sz w:val="18"/>
                <w:szCs w:val="18"/>
                <w:color w:val="AEAEAE"/>
              </w:rPr>
              <w:t>.....................................................................</w:t>
            </w:r>
          </w:p>
        </w:tc>
        <w:tc>
          <w:tcPr>
            <w:tcW w:w="60" w:type="dxa"/>
            <w:vAlign w:val="bottom"/>
          </w:tcPr>
          <w:p>
            <w:pPr>
              <w:spacing w:after="0"/>
              <w:rPr>
                <w:sz w:val="20"/>
                <w:szCs w:val="20"/>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Acquired</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2031</w:t>
            </w:r>
          </w:p>
        </w:tc>
        <w:tc>
          <w:tcPr>
            <w:tcW w:w="0" w:type="dxa"/>
            <w:vAlign w:val="bottom"/>
          </w:tcPr>
          <w:p>
            <w:pPr>
              <w:spacing w:after="0"/>
              <w:rPr>
                <w:sz w:val="1"/>
                <w:szCs w:val="1"/>
                <w:color w:val="auto"/>
              </w:rPr>
            </w:pPr>
          </w:p>
        </w:tc>
      </w:tr>
      <w:tr>
        <w:trPr>
          <w:trHeight w:val="234"/>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EAEAE"/>
              </w:rPr>
              <w:t>............................................................</w:t>
            </w:r>
            <w:r>
              <w:rPr>
                <w:rFonts w:ascii="Times New Roman" w:cs="Times New Roman" w:eastAsia="Times New Roman" w:hAnsi="Times New Roman"/>
                <w:sz w:val="18"/>
                <w:szCs w:val="18"/>
                <w:color w:val="000000"/>
              </w:rPr>
              <w:t>Subtotal</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322,317</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Net unamortized debt issuance costs and</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premium</w:t>
            </w:r>
            <w:r>
              <w:rPr>
                <w:rFonts w:ascii="Times New Roman" w:cs="Times New Roman" w:eastAsia="Times New Roman" w:hAnsi="Times New Roman"/>
                <w:sz w:val="18"/>
                <w:szCs w:val="18"/>
                <w:color w:val="AEAEAE"/>
              </w:rPr>
              <w:t>......................................................</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EAEAE"/>
              </w:rPr>
              <w:t>...........................</w:t>
            </w:r>
            <w:r>
              <w:rPr>
                <w:rFonts w:ascii="Times New Roman" w:cs="Times New Roman" w:eastAsia="Times New Roman" w:hAnsi="Times New Roman"/>
                <w:sz w:val="18"/>
                <w:szCs w:val="18"/>
                <w:color w:val="000000"/>
              </w:rPr>
              <w:t>Totalmortgagespayable,net</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320,615</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SOFR + 0.85%</w:t>
            </w:r>
          </w:p>
        </w:tc>
        <w:tc>
          <w:tcPr>
            <w:tcW w:w="8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April 16, 2024</w:t>
            </w:r>
          </w:p>
        </w:tc>
        <w:tc>
          <w:tcPr>
            <w:tcW w:w="0" w:type="dxa"/>
            <w:vAlign w:val="bottom"/>
          </w:tcPr>
          <w:p>
            <w:pPr>
              <w:spacing w:after="0"/>
              <w:rPr>
                <w:sz w:val="1"/>
                <w:szCs w:val="1"/>
                <w:color w:val="auto"/>
              </w:rPr>
            </w:pPr>
          </w:p>
        </w:tc>
      </w:tr>
      <w:tr>
        <w:trPr>
          <w:trHeight w:val="204"/>
        </w:trPr>
        <w:tc>
          <w:tcPr>
            <w:tcW w:w="4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Term Loan (3)(5)</w:t>
            </w:r>
            <w:r>
              <w:rPr>
                <w:rFonts w:ascii="Times New Roman" w:cs="Times New Roman" w:eastAsia="Times New Roman" w:hAnsi="Times New Roman"/>
                <w:sz w:val="18"/>
                <w:szCs w:val="18"/>
                <w:color w:val="AEAEAE"/>
              </w:rPr>
              <w:t>.....................................................</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Revolving credit facility (3)(4)(5)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SOFR + 0.775%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5, 2027</w:t>
            </w: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80" w:type="dxa"/>
            <w:vAlign w:val="bottom"/>
          </w:tcPr>
          <w:p>
            <w:pPr>
              <w:spacing w:after="0"/>
              <w:rPr>
                <w:sz w:val="20"/>
                <w:szCs w:val="20"/>
                <w:color w:val="auto"/>
              </w:rPr>
            </w:pP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Various (6)  Various through 2059</w:t>
            </w:r>
          </w:p>
        </w:tc>
        <w:tc>
          <w:tcPr>
            <w:tcW w:w="0" w:type="dxa"/>
            <w:vAlign w:val="bottom"/>
          </w:tcPr>
          <w:p>
            <w:pPr>
              <w:spacing w:after="0"/>
              <w:rPr>
                <w:sz w:val="1"/>
                <w:szCs w:val="1"/>
                <w:color w:val="auto"/>
              </w:rPr>
            </w:pPr>
          </w:p>
        </w:tc>
      </w:tr>
      <w:tr>
        <w:trPr>
          <w:trHeight w:val="191"/>
        </w:trPr>
        <w:tc>
          <w:tcPr>
            <w:tcW w:w="4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EAEAE"/>
              </w:rPr>
              <w:t>............................................................</w:t>
            </w:r>
            <w:r>
              <w:rPr>
                <w:rFonts w:ascii="Times New Roman" w:cs="Times New Roman" w:eastAsia="Times New Roman" w:hAnsi="Times New Roman"/>
                <w:sz w:val="18"/>
                <w:szCs w:val="18"/>
                <w:color w:val="000000"/>
              </w:rPr>
              <w:t>Subtotal</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602,957</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unamortized debt issuance costs</w:t>
            </w:r>
            <w:r>
              <w:rPr>
                <w:rFonts w:ascii="Times New Roman" w:cs="Times New Roman" w:eastAsia="Times New Roman" w:hAnsi="Times New Roman"/>
                <w:sz w:val="18"/>
                <w:szCs w:val="18"/>
                <w:color w:val="AEAEAE"/>
              </w:rPr>
              <w:t>..........</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EAEAE"/>
              </w:rPr>
              <w:t>...................................</w:t>
            </w:r>
            <w:r>
              <w:rPr>
                <w:rFonts w:ascii="Times New Roman" w:cs="Times New Roman" w:eastAsia="Times New Roman" w:hAnsi="Times New Roman"/>
                <w:sz w:val="18"/>
                <w:szCs w:val="18"/>
                <w:color w:val="000000"/>
              </w:rPr>
              <w:t>Totalnotespayable,net</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601,077</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Senior notes and debentures</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Unsecured fixed rate</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80" w:type="dxa"/>
            <w:vAlign w:val="bottom"/>
          </w:tcPr>
          <w:p>
            <w:pPr>
              <w:spacing w:after="0"/>
              <w:rPr>
                <w:sz w:val="19"/>
                <w:szCs w:val="19"/>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June 1, 2023</w:t>
            </w:r>
          </w:p>
        </w:tc>
        <w:tc>
          <w:tcPr>
            <w:tcW w:w="0" w:type="dxa"/>
            <w:vAlign w:val="bottom"/>
          </w:tcPr>
          <w:p>
            <w:pPr>
              <w:spacing w:after="0"/>
              <w:rPr>
                <w:sz w:val="1"/>
                <w:szCs w:val="1"/>
                <w:color w:val="auto"/>
              </w:rPr>
            </w:pPr>
          </w:p>
        </w:tc>
      </w:tr>
      <w:tr>
        <w:trPr>
          <w:trHeight w:val="204"/>
        </w:trPr>
        <w:tc>
          <w:tcPr>
            <w:tcW w:w="4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 xml:space="preserve">2.75% notes </w:t>
            </w:r>
            <w:r>
              <w:rPr>
                <w:rFonts w:ascii="Times New Roman" w:cs="Times New Roman" w:eastAsia="Times New Roman" w:hAnsi="Times New Roman"/>
                <w:sz w:val="18"/>
                <w:szCs w:val="18"/>
                <w:color w:val="AEAEAE"/>
              </w:rPr>
              <w:t>.............................................................</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3.95% notes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2024</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1.25% notes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15, 2026</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debentures</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3.25% notes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medium term notes</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3.20% notes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2029</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3.50% notes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 2030</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4.50% notes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 2044</w:t>
            </w: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3.625% notes </w:t>
            </w:r>
            <w:r>
              <w:rPr>
                <w:rFonts w:ascii="Times New Roman" w:cs="Times New Roman" w:eastAsia="Times New Roman" w:hAnsi="Times New Roman"/>
                <w:sz w:val="18"/>
                <w:szCs w:val="18"/>
                <w:color w:val="AEAEAE"/>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3.625 %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 2046</w:t>
            </w:r>
          </w:p>
        </w:tc>
        <w:tc>
          <w:tcPr>
            <w:tcW w:w="0" w:type="dxa"/>
            <w:vAlign w:val="bottom"/>
          </w:tcPr>
          <w:p>
            <w:pPr>
              <w:spacing w:after="0"/>
              <w:rPr>
                <w:sz w:val="1"/>
                <w:szCs w:val="1"/>
                <w:color w:val="auto"/>
              </w:rPr>
            </w:pPr>
          </w:p>
        </w:tc>
      </w:tr>
      <w:tr>
        <w:trPr>
          <w:trHeight w:val="212"/>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EAEAE"/>
              </w:rPr>
              <w:t>............................................................</w:t>
            </w:r>
            <w:r>
              <w:rPr>
                <w:rFonts w:ascii="Times New Roman" w:cs="Times New Roman" w:eastAsia="Times New Roman" w:hAnsi="Times New Roman"/>
                <w:sz w:val="18"/>
                <w:szCs w:val="18"/>
                <w:color w:val="000000"/>
              </w:rPr>
              <w:t>Subtotal</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3,419,200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40" w:type="dxa"/>
            <w:vAlign w:val="bottom"/>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rPr>
              <w:t>Net unamortized debt issuance costs and</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premium</w:t>
            </w:r>
            <w:r>
              <w:rPr>
                <w:rFonts w:ascii="Times New Roman" w:cs="Times New Roman" w:eastAsia="Times New Roman" w:hAnsi="Times New Roman"/>
                <w:sz w:val="18"/>
                <w:szCs w:val="18"/>
                <w:color w:val="AEAEAE"/>
              </w:rPr>
              <w:t>......................................................</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EAEAE"/>
              </w:rPr>
              <w:t>.............</w:t>
            </w:r>
            <w:r>
              <w:rPr>
                <w:rFonts w:ascii="Times New Roman" w:cs="Times New Roman" w:eastAsia="Times New Roman" w:hAnsi="Times New Roman"/>
                <w:sz w:val="18"/>
                <w:szCs w:val="18"/>
                <w:color w:val="000000"/>
              </w:rPr>
              <w:t>Totalseniornotesanddebentures,net</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3,407,701</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debt, net</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4,329,393</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jc w:val="right"/>
              <w:ind w:right="1950"/>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1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30" w:right="260" w:hanging="730"/>
        <w:spacing w:after="0" w:line="281" w:lineRule="auto"/>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November 26, 2019, we entered into two interest rate swap agreements that fix the interest rate on the mortgage loan at 3.67%.</w:t>
      </w:r>
    </w:p>
    <w:p>
      <w:pPr>
        <w:spacing w:after="0" w:line="1" w:lineRule="exact"/>
        <w:rPr>
          <w:rFonts w:ascii="Times New Roman" w:cs="Times New Roman" w:eastAsia="Times New Roman" w:hAnsi="Times New Roman"/>
          <w:sz w:val="20"/>
          <w:szCs w:val="20"/>
          <w:color w:val="auto"/>
        </w:rPr>
      </w:pPr>
    </w:p>
    <w:p>
      <w:pPr>
        <w:ind w:left="710" w:hanging="710"/>
        <w:spacing w:after="0"/>
        <w:tabs>
          <w:tab w:leader="none" w:pos="71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rates on these mortgages range from 3.91% to 5.00%.</w:t>
      </w:r>
    </w:p>
    <w:p>
      <w:pPr>
        <w:spacing w:after="0" w:line="70" w:lineRule="exact"/>
        <w:rPr>
          <w:rFonts w:ascii="Times New Roman" w:cs="Times New Roman" w:eastAsia="Times New Roman" w:hAnsi="Times New Roman"/>
          <w:sz w:val="20"/>
          <w:szCs w:val="20"/>
          <w:color w:val="auto"/>
        </w:rPr>
      </w:pPr>
    </w:p>
    <w:p>
      <w:pPr>
        <w:ind w:left="730" w:right="220" w:hanging="730"/>
        <w:spacing w:after="0" w:line="266" w:lineRule="auto"/>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revolving credit facility SOFR loans bear interest at Daily Simple SOFR or Term SOFR as defined in the credit agreement and our term loan bears interest at Term SOFR, plus 0.10%, plus a spread, based on our current credit rating.</w:t>
      </w:r>
    </w:p>
    <w:p>
      <w:pPr>
        <w:spacing w:after="0" w:line="15" w:lineRule="exact"/>
        <w:rPr>
          <w:rFonts w:ascii="Times New Roman" w:cs="Times New Roman" w:eastAsia="Times New Roman" w:hAnsi="Times New Roman"/>
          <w:sz w:val="20"/>
          <w:szCs w:val="20"/>
          <w:color w:val="auto"/>
        </w:rPr>
      </w:pPr>
    </w:p>
    <w:p>
      <w:pPr>
        <w:ind w:left="730" w:right="100" w:hanging="730"/>
        <w:spacing w:after="0" w:line="266" w:lineRule="auto"/>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amount drawn under our revolving credit facility during 2022 was $330.0 million and the weighted average effective interest rate on borrowings under our revolving credit facility, before amortization of debt fees, was 3.2%.</w:t>
      </w:r>
    </w:p>
    <w:p>
      <w:pPr>
        <w:spacing w:after="0" w:line="15" w:lineRule="exact"/>
        <w:rPr>
          <w:rFonts w:ascii="Times New Roman" w:cs="Times New Roman" w:eastAsia="Times New Roman" w:hAnsi="Times New Roman"/>
          <w:sz w:val="20"/>
          <w:szCs w:val="20"/>
          <w:color w:val="auto"/>
        </w:rPr>
      </w:pPr>
    </w:p>
    <w:p>
      <w:pPr>
        <w:ind w:left="730" w:right="900" w:hanging="730"/>
        <w:spacing w:after="0" w:line="281" w:lineRule="auto"/>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Partnership is the obligor under our revolving credit facility, term loan, and senior notes and debentures.</w:t>
      </w:r>
    </w:p>
    <w:p>
      <w:pPr>
        <w:spacing w:after="0" w:line="1" w:lineRule="exact"/>
        <w:rPr>
          <w:rFonts w:ascii="Times New Roman" w:cs="Times New Roman" w:eastAsia="Times New Roman" w:hAnsi="Times New Roman"/>
          <w:sz w:val="20"/>
          <w:szCs w:val="20"/>
          <w:color w:val="auto"/>
        </w:rPr>
      </w:pPr>
    </w:p>
    <w:p>
      <w:pPr>
        <w:ind w:left="710" w:hanging="710"/>
        <w:spacing w:after="0"/>
        <w:tabs>
          <w:tab w:leader="none" w:pos="71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rates on these notes payable range from 3.00% to 11.31%.</w:t>
      </w:r>
    </w:p>
    <w:p>
      <w:pPr>
        <w:sectPr>
          <w:pgSz w:w="11880" w:h="15480" w:orient="portrait"/>
          <w:cols w:equalWidth="0" w:num="1">
            <w:col w:w="10210"/>
          </w:cols>
          <w:pgMar w:left="810" w:top="40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210"/>
          </w:cols>
          <w:pgMar w:left="810" w:top="409" w:right="860" w:bottom="0" w:gutter="0" w:footer="0" w:header="0"/>
          <w:type w:val="continuous"/>
        </w:sectPr>
      </w:pPr>
    </w:p>
    <w:bookmarkStart w:id="54" w:name="page55"/>
    <w:bookmarkEnd w:id="54"/>
    <w:p>
      <w:pPr>
        <w:ind w:left="10" w:right="20"/>
        <w:spacing w:after="0" w:line="253" w:lineRule="auto"/>
        <w:rPr>
          <w:sz w:val="20"/>
          <w:szCs w:val="20"/>
          <w:color w:val="auto"/>
        </w:rPr>
      </w:pPr>
      <w:r>
        <w:rPr>
          <w:rFonts w:ascii="Times New Roman" w:cs="Times New Roman" w:eastAsia="Times New Roman" w:hAnsi="Times New Roman"/>
          <w:sz w:val="20"/>
          <w:szCs w:val="20"/>
          <w:color w:val="auto"/>
        </w:rPr>
        <w:t>Our revolving credit facility, unsecured term loan, and other debt agreements include financial and other covenants that may limit our operating activities in the future. As of December 31, 2022,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is a summary of our scheduled principal repayments as of December 31, 2022:</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Unsecured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275,755</w:t>
            </w:r>
          </w:p>
        </w:tc>
        <w:tc>
          <w:tcPr>
            <w:tcW w:w="46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3,138</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278,893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1,200,671</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1,203,970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47,630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429,276</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455,516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515,037</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178,278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693,315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1,601,000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63,732</w:t>
            </w:r>
          </w:p>
        </w:tc>
        <w:tc>
          <w:tcPr>
            <w:tcW w:w="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1,664,732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4,022,157</w:t>
            </w:r>
          </w:p>
        </w:tc>
        <w:tc>
          <w:tcPr>
            <w:tcW w:w="4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322,317</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4,344,474  (3)</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8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10" w:hanging="710"/>
        <w:spacing w:after="0"/>
        <w:tabs>
          <w:tab w:leader="none" w:pos="71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$600.0 million term loan matures on April 16, 2024, plus two one-year extensions, at our option.</w:t>
      </w:r>
    </w:p>
    <w:p>
      <w:pPr>
        <w:spacing w:after="0" w:line="70" w:lineRule="exact"/>
        <w:rPr>
          <w:rFonts w:ascii="Times New Roman" w:cs="Times New Roman" w:eastAsia="Times New Roman" w:hAnsi="Times New Roman"/>
          <w:sz w:val="20"/>
          <w:szCs w:val="20"/>
          <w:color w:val="auto"/>
        </w:rPr>
      </w:pPr>
    </w:p>
    <w:p>
      <w:pPr>
        <w:ind w:left="730" w:right="180" w:hanging="730"/>
        <w:spacing w:after="0" w:line="281" w:lineRule="auto"/>
        <w:tabs>
          <w:tab w:leader="none" w:pos="73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$1.25 billion revolving credit facility matures on April 5, 2027, plus two six-month extensions, at our option. As of December 31, 2022, there was no outstanding balance under this credit facility.</w:t>
      </w:r>
    </w:p>
    <w:p>
      <w:pPr>
        <w:spacing w:after="0" w:line="1" w:lineRule="exact"/>
        <w:rPr>
          <w:rFonts w:ascii="Times New Roman" w:cs="Times New Roman" w:eastAsia="Times New Roman" w:hAnsi="Times New Roman"/>
          <w:sz w:val="20"/>
          <w:szCs w:val="20"/>
          <w:color w:val="auto"/>
        </w:rPr>
      </w:pPr>
    </w:p>
    <w:p>
      <w:pPr>
        <w:ind w:left="730" w:right="320" w:hanging="730"/>
        <w:spacing w:after="0" w:line="266" w:lineRule="auto"/>
        <w:tabs>
          <w:tab w:leader="none" w:pos="73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debt maturities differ from the total reported on the consolidated balance sheet due to the unamortized net debt issuance costs and premium/discount on mortgage loans, notes payable, and senior notes as of December 31, 2022.</w:t>
      </w:r>
    </w:p>
    <w:p>
      <w:pPr>
        <w:spacing w:after="0" w:line="1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Interest Rate Hedging</w:t>
      </w:r>
    </w:p>
    <w:p>
      <w:pPr>
        <w:spacing w:after="0" w:line="114"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43"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49"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auto"/>
        </w:rPr>
        <w:t>As of December 31, 2022, we have two interest rate swap agreements that effectively fix the interest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our earnings in 2022, 2021 and 2020.</w:t>
      </w:r>
    </w:p>
    <w:p>
      <w:pPr>
        <w:spacing w:after="0" w:line="1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REIT Qualification</w:t>
      </w:r>
    </w:p>
    <w:p>
      <w:pPr>
        <w:sectPr>
          <w:pgSz w:w="11880" w:h="15480" w:orient="portrait"/>
          <w:cols w:equalWidth="0" w:num="1">
            <w:col w:w="10250"/>
          </w:cols>
          <w:pgMar w:left="81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250"/>
          </w:cols>
          <w:pgMar w:left="810" w:top="413" w:right="820" w:bottom="0" w:gutter="0" w:footer="0" w:header="0"/>
          <w:type w:val="continuous"/>
        </w:sectPr>
      </w:pPr>
    </w:p>
    <w:bookmarkStart w:id="55" w:name="page56"/>
    <w:bookmarkEnd w:id="55"/>
    <w:p>
      <w:pPr>
        <w:ind w:right="360"/>
        <w:spacing w:after="0" w:line="286" w:lineRule="auto"/>
        <w:rPr>
          <w:sz w:val="20"/>
          <w:szCs w:val="20"/>
          <w:color w:val="auto"/>
        </w:rPr>
      </w:pPr>
      <w:r>
        <w:rPr>
          <w:rFonts w:ascii="Times New Roman" w:cs="Times New Roman" w:eastAsia="Times New Roman" w:hAnsi="Times New Roman"/>
          <w:sz w:val="19"/>
          <w:szCs w:val="19"/>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Funds From Operations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33" w:lineRule="exact"/>
        <w:rPr>
          <w:sz w:val="20"/>
          <w:szCs w:val="20"/>
          <w:color w:val="auto"/>
        </w:rPr>
      </w:pPr>
    </w:p>
    <w:p>
      <w:pPr>
        <w:jc w:val="both"/>
        <w:ind w:left="1880" w:right="160" w:hanging="900"/>
        <w:spacing w:after="0" w:line="281" w:lineRule="auto"/>
        <w:tabs>
          <w:tab w:leader="none" w:pos="18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20"/>
          <w:szCs w:val="20"/>
          <w:color w:val="auto"/>
        </w:rPr>
      </w:pPr>
    </w:p>
    <w:p>
      <w:pPr>
        <w:ind w:left="1880" w:hanging="900"/>
        <w:spacing w:after="0"/>
        <w:tabs>
          <w:tab w:leader="none" w:pos="18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not be considered an alternative to net income as an indication of our performance; and</w:t>
      </w:r>
    </w:p>
    <w:p>
      <w:pPr>
        <w:spacing w:after="0" w:line="70" w:lineRule="exact"/>
        <w:rPr>
          <w:rFonts w:ascii="Times New Roman" w:cs="Times New Roman" w:eastAsia="Times New Roman" w:hAnsi="Times New Roman"/>
          <w:sz w:val="20"/>
          <w:szCs w:val="20"/>
          <w:color w:val="auto"/>
        </w:rPr>
      </w:pPr>
    </w:p>
    <w:p>
      <w:pPr>
        <w:ind w:left="1880" w:right="740" w:hanging="900"/>
        <w:spacing w:after="0" w:line="281" w:lineRule="auto"/>
        <w:tabs>
          <w:tab w:leader="none" w:pos="18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necessarily indicative of cash flow as a measure of liquidity or ability to fund cash needs, including the payment of dividends.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net income to FFO available for common shareholders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7"/>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0" w:type="dxa"/>
            <w:vAlign w:val="bottom"/>
          </w:tcPr>
          <w:p>
            <w:pPr>
              <w:spacing w:after="0"/>
              <w:rPr>
                <w:sz w:val="1"/>
                <w:szCs w:val="1"/>
                <w:color w:val="auto"/>
              </w:rPr>
            </w:pPr>
          </w:p>
        </w:tc>
      </w:tr>
      <w:tr>
        <w:trPr>
          <w:trHeight w:val="303"/>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w:t>
            </w:r>
            <w:r>
              <w:rPr>
                <w:rFonts w:ascii="Times New Roman" w:cs="Times New Roman" w:eastAsia="Times New Roman" w:hAnsi="Times New Roman"/>
                <w:sz w:val="20"/>
                <w:szCs w:val="20"/>
                <w:color w:val="AEAEA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395,661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269,081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(4,182)</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Gain on deconsolidation of a VIE </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sale of real estate and change in control of interests, net</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(89,892)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(91,922)</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Impairment charge, net </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50,728</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of real estate assets</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266,741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228,850</w:t>
            </w:r>
          </w:p>
        </w:tc>
        <w:tc>
          <w:tcPr>
            <w:tcW w:w="0" w:type="dxa"/>
            <w:vAlign w:val="bottom"/>
          </w:tcPr>
          <w:p>
            <w:pPr>
              <w:spacing w:after="0"/>
              <w:rPr>
                <w:sz w:val="1"/>
                <w:szCs w:val="1"/>
                <w:color w:val="auto"/>
              </w:rPr>
            </w:pPr>
          </w:p>
        </w:tc>
      </w:tr>
      <w:tr>
        <w:trPr>
          <w:trHeight w:val="303"/>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Amortization of initial direct costs of leases </w:t>
            </w:r>
            <w:r>
              <w:rPr>
                <w:rFonts w:ascii="Times New Roman" w:cs="Times New Roman" w:eastAsia="Times New Roman" w:hAnsi="Times New Roman"/>
                <w:sz w:val="20"/>
                <w:szCs w:val="20"/>
                <w:color w:val="AEAEAE"/>
              </w:rPr>
              <w: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27,268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26,051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20,415</w:t>
            </w:r>
          </w:p>
        </w:tc>
        <w:tc>
          <w:tcPr>
            <w:tcW w:w="0" w:type="dxa"/>
            <w:vAlign w:val="bottom"/>
          </w:tcPr>
          <w:p>
            <w:pPr>
              <w:spacing w:after="0"/>
              <w:rPr>
                <w:sz w:val="1"/>
                <w:szCs w:val="1"/>
                <w:color w:val="auto"/>
              </w:rPr>
            </w:pPr>
          </w:p>
        </w:tc>
      </w:tr>
      <w:tr>
        <w:trPr>
          <w:trHeight w:val="277"/>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Fundsfromoperations</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515,643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441,368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339,777</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Dividends on preferred shares (1) </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attributable to operating partnership units </w:t>
            </w:r>
            <w:r>
              <w:rPr>
                <w:rFonts w:ascii="Times New Roman" w:cs="Times New Roman" w:eastAsia="Times New Roman" w:hAnsi="Times New Roman"/>
                <w:sz w:val="20"/>
                <w:szCs w:val="20"/>
                <w:color w:val="AEAEAE"/>
                <w:w w:val="99"/>
              </w:rPr>
              <w:t>.......................................................</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2,810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3,151</w:t>
            </w:r>
          </w:p>
        </w:tc>
        <w:tc>
          <w:tcPr>
            <w:tcW w:w="0" w:type="dxa"/>
            <w:vAlign w:val="bottom"/>
          </w:tcPr>
          <w:p>
            <w:pPr>
              <w:spacing w:after="0"/>
              <w:rPr>
                <w:sz w:val="1"/>
                <w:szCs w:val="1"/>
                <w:color w:val="auto"/>
              </w:rPr>
            </w:pPr>
          </w:p>
        </w:tc>
      </w:tr>
      <w:tr>
        <w:trPr>
          <w:trHeight w:val="303"/>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attributable to unvested shares</w:t>
            </w:r>
            <w:r>
              <w:rPr>
                <w:rFonts w:ascii="Times New Roman" w:cs="Times New Roman" w:eastAsia="Times New Roman" w:hAnsi="Times New Roman"/>
                <w:sz w:val="20"/>
                <w:szCs w:val="20"/>
                <w:color w:val="AEAEAE"/>
              </w:rPr>
              <w: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Fundsfromoperationsavailableforcommonshareholders(2)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509,156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434,743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333,849</w:t>
            </w:r>
          </w:p>
        </w:tc>
        <w:tc>
          <w:tcPr>
            <w:tcW w:w="0" w:type="dxa"/>
            <w:vAlign w:val="bottom"/>
          </w:tcPr>
          <w:p>
            <w:pPr>
              <w:spacing w:after="0"/>
              <w:rPr>
                <w:sz w:val="1"/>
                <w:szCs w:val="1"/>
                <w:color w:val="auto"/>
              </w:rPr>
            </w:pPr>
          </w:p>
        </w:tc>
      </w:tr>
      <w:tr>
        <w:trPr>
          <w:trHeight w:val="20"/>
        </w:trPr>
        <w:tc>
          <w:tcPr>
            <w:tcW w:w="6840" w:type="dxa"/>
            <w:vAlign w:val="bottom"/>
            <w:vMerge w:val="restart"/>
          </w:tcPr>
          <w:p>
            <w:pPr>
              <w:jc w:val="right"/>
              <w:ind w:right="1661"/>
              <w:spacing w:after="0"/>
              <w:rPr>
                <w:sz w:val="20"/>
                <w:szCs w:val="20"/>
                <w:color w:val="auto"/>
              </w:rPr>
            </w:pPr>
            <w:r>
              <w:rPr>
                <w:rFonts w:ascii="Times New Roman" w:cs="Times New Roman" w:eastAsia="Times New Roman" w:hAnsi="Times New Roman"/>
                <w:sz w:val="20"/>
                <w:szCs w:val="20"/>
                <w:color w:val="auto"/>
              </w:rPr>
              <w:t>Weighted average number of common shares, diluted (1)(2)(3)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84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8"/>
                <w:szCs w:val="18"/>
                <w:color w:val="AEAEAE"/>
              </w:rPr>
              <w: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80,603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78,072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76,261</w:t>
            </w:r>
          </w:p>
        </w:tc>
        <w:tc>
          <w:tcPr>
            <w:tcW w:w="0" w:type="dxa"/>
            <w:vAlign w:val="bottom"/>
          </w:tcPr>
          <w:p>
            <w:pPr>
              <w:spacing w:after="0"/>
              <w:rPr>
                <w:sz w:val="1"/>
                <w:szCs w:val="1"/>
                <w:color w:val="auto"/>
              </w:rPr>
            </w:pPr>
          </w:p>
        </w:tc>
      </w:tr>
      <w:tr>
        <w:trPr>
          <w:trHeight w:val="20"/>
        </w:trPr>
        <w:tc>
          <w:tcPr>
            <w:tcW w:w="6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xml:space="preserve">Funds from operations available for common shareholders, per diluted share (2) </w:t>
            </w:r>
            <w:r>
              <w:rPr>
                <w:rFonts w:ascii="Times New Roman" w:cs="Times New Roman" w:eastAsia="Times New Roman" w:hAnsi="Times New Roman"/>
                <w:sz w:val="20"/>
                <w:szCs w:val="20"/>
                <w:color w:val="AEAEAE"/>
              </w:rPr>
              <w:t>......</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840" w:type="dxa"/>
            <w:vAlign w:val="bottom"/>
            <w:vMerge w:val="continue"/>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6.32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0" w:type="dxa"/>
            <w:vAlign w:val="bottom"/>
          </w:tcPr>
          <w:p>
            <w:pPr>
              <w:spacing w:after="0"/>
              <w:rPr>
                <w:sz w:val="1"/>
                <w:szCs w:val="1"/>
                <w:color w:val="auto"/>
              </w:rPr>
            </w:pPr>
          </w:p>
        </w:tc>
      </w:tr>
      <w:tr>
        <w:trPr>
          <w:trHeight w:val="20"/>
        </w:trPr>
        <w:tc>
          <w:tcPr>
            <w:tcW w:w="6840" w:type="dxa"/>
            <w:vAlign w:val="bottom"/>
            <w:vMerge w:val="restart"/>
          </w:tcPr>
          <w:p>
            <w:pPr>
              <w:jc w:val="right"/>
              <w:ind w:right="464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84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240"/>
          </w:cols>
          <w:pgMar w:left="820" w:top="413" w:right="820" w:bottom="0" w:gutter="0" w:footer="0" w:header="0"/>
          <w:type w:val="continuous"/>
        </w:sectPr>
      </w:pPr>
    </w:p>
    <w:bookmarkStart w:id="56" w:name="page57"/>
    <w:bookmarkEnd w:id="56"/>
    <w:p>
      <w:pPr>
        <w:ind w:left="730" w:right="80" w:hanging="730"/>
        <w:spacing w:after="0" w:line="266" w:lineRule="auto"/>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2022, dividends on our Series 1 preferred stock were not deducted in the calculation of FFO available to common shareholders, as the related shares were dilutive and included in "weighted average common shares, diluted."</w:t>
      </w:r>
    </w:p>
    <w:p>
      <w:pPr>
        <w:spacing w:after="0" w:line="15" w:lineRule="exact"/>
        <w:rPr>
          <w:rFonts w:ascii="Times New Roman" w:cs="Times New Roman" w:eastAsia="Times New Roman" w:hAnsi="Times New Roman"/>
          <w:sz w:val="20"/>
          <w:szCs w:val="20"/>
          <w:color w:val="auto"/>
        </w:rPr>
      </w:pPr>
    </w:p>
    <w:p>
      <w:pPr>
        <w:ind w:left="730" w:hanging="730"/>
        <w:spacing w:after="0" w:line="260" w:lineRule="auto"/>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2020, FFO available for common shareholders includes an $11.2 million charge related to early extinguishment of debt. If this charge was excluded, our FFO available for common shareholders for 2020 would have been $345.0 million, and FFO available for common shareholders, per diluted share would have been $4.52.</w:t>
      </w:r>
    </w:p>
    <w:p>
      <w:pPr>
        <w:spacing w:after="0" w:line="23" w:lineRule="exact"/>
        <w:rPr>
          <w:rFonts w:ascii="Times New Roman" w:cs="Times New Roman" w:eastAsia="Times New Roman" w:hAnsi="Times New Roman"/>
          <w:sz w:val="20"/>
          <w:szCs w:val="20"/>
          <w:color w:val="auto"/>
        </w:rPr>
      </w:pPr>
    </w:p>
    <w:p>
      <w:pPr>
        <w:ind w:left="730" w:right="20" w:hanging="730"/>
        <w:spacing w:after="0" w:line="260" w:lineRule="auto"/>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2021 and 2020.</w:t>
      </w:r>
    </w:p>
    <w:p>
      <w:pPr>
        <w:spacing w:after="0" w:line="236"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auto"/>
        </w:rPr>
        <w:t>ITEM 7A.</w:t>
        <w:tab/>
        <w:t>QUANTITATIVE AND QUALITATIVE DISCLOSURES ABOUT MARKET RISK</w:t>
      </w:r>
    </w:p>
    <w:p>
      <w:pPr>
        <w:spacing w:after="0" w:line="11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44" w:lineRule="exact"/>
        <w:rPr>
          <w:sz w:val="20"/>
          <w:szCs w:val="20"/>
          <w:color w:val="auto"/>
        </w:rPr>
      </w:pPr>
    </w:p>
    <w:p>
      <w:pPr>
        <w:ind w:left="10" w:right="500"/>
        <w:spacing w:after="0" w:line="260" w:lineRule="auto"/>
        <w:rPr>
          <w:sz w:val="20"/>
          <w:szCs w:val="20"/>
          <w:color w:val="auto"/>
        </w:rPr>
      </w:pPr>
      <w:r>
        <w:rPr>
          <w:rFonts w:ascii="Times New Roman" w:cs="Times New Roman" w:eastAsia="Times New Roman" w:hAnsi="Times New Roman"/>
          <w:sz w:val="20"/>
          <w:szCs w:val="20"/>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17"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Fixed Interest Rate Debt</w:t>
      </w:r>
    </w:p>
    <w:p>
      <w:pPr>
        <w:spacing w:after="0" w:line="114" w:lineRule="exact"/>
        <w:rPr>
          <w:sz w:val="20"/>
          <w:szCs w:val="20"/>
          <w:color w:val="auto"/>
        </w:rPr>
      </w:pPr>
    </w:p>
    <w:p>
      <w:pPr>
        <w:ind w:left="10" w:right="100"/>
        <w:spacing w:after="0" w:line="254" w:lineRule="auto"/>
        <w:rPr>
          <w:sz w:val="20"/>
          <w:szCs w:val="20"/>
          <w:color w:val="auto"/>
        </w:rPr>
      </w:pPr>
      <w:r>
        <w:rPr>
          <w:rFonts w:ascii="Times New Roman" w:cs="Times New Roman" w:eastAsia="Times New Roman" w:hAnsi="Times New Roman"/>
          <w:sz w:val="20"/>
          <w:szCs w:val="20"/>
          <w:color w:val="auto"/>
        </w:rPr>
        <w:t>The majority of our outstanding debt obligations (maturing at various times through 2059) have fixed interest rates which limit the risk of fluctuating interest rates. However, interest rate fluctuations may affect the fair value of our fixed rate debt instruments. At December 31, 2022, we had $3.7 billion of fixed-rate debt outstanding, including $55.1 million in mortgage payables that are effectively fixed by two interest rate swap agreements. If market interest rates used to calculate the fair value on our fixed-rate debt instruments at December 31, 2022 had been 1.0% higher, the fair value of those debt instruments on that date would have decreased by approximately $164.6 million. If market interest rates used to calculate the fair value on our fixed-rate debt instruments at December 31, 2022 had been 1.0% lower, the fair value of those debt instruments on that date would have increased by approximately $184.6 million.</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Variable Interest Rate Debt</w:t>
      </w:r>
    </w:p>
    <w:p>
      <w:pPr>
        <w:spacing w:after="0" w:line="114" w:lineRule="exact"/>
        <w:rPr>
          <w:sz w:val="20"/>
          <w:szCs w:val="20"/>
          <w:color w:val="auto"/>
        </w:rPr>
      </w:pPr>
    </w:p>
    <w:p>
      <w:pPr>
        <w:ind w:left="10" w:right="220"/>
        <w:spacing w:after="0" w:line="256" w:lineRule="auto"/>
        <w:rPr>
          <w:sz w:val="20"/>
          <w:szCs w:val="20"/>
          <w:color w:val="auto"/>
        </w:rPr>
      </w:pPr>
      <w:r>
        <w:rPr>
          <w:rFonts w:ascii="Times New Roman" w:cs="Times New Roman" w:eastAsia="Times New Roman" w:hAnsi="Times New Roman"/>
          <w:sz w:val="20"/>
          <w:szCs w:val="20"/>
          <w:color w:val="auto"/>
        </w:rPr>
        <w:t>Generally, we believe that our primary interest rate risk is due to fluctuations in interest rates on our outstanding variable rate debt. At December 31, 2022, we had $600.0 million of variable rate debt outstanding (the principal balance on our unsecured term loan). Based upon this amount of variable rate debt and the specific terms, if market interest rates increased 1.0%, our annual interest expense would increase approximately $6.0 million with a corresponding decrease in our net income and cash flows for the year. Conversely, if market interest rates decreased 1.0%, our annual interest expense would decrease by approximately $6.0 million with a corresponding increase in our net income and cash flows for the year.</w:t>
      </w:r>
    </w:p>
    <w:p>
      <w:pPr>
        <w:spacing w:after="0" w:line="68"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While no amounts were outstanding at December 31, 2022, we have a $1.25 billion revolving credit facility that bears interest at a variable rate. If we increase our outstanding balance on the revolving credit facility in the future, additional decreases to future earnings and cash flows could occur.</w:t>
      </w:r>
    </w:p>
    <w:p>
      <w:pPr>
        <w:sectPr>
          <w:pgSz w:w="11880" w:h="15480" w:orient="portrait"/>
          <w:cols w:equalWidth="0" w:num="1">
            <w:col w:w="10250"/>
          </w:cols>
          <w:pgMar w:left="81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250"/>
          </w:cols>
          <w:pgMar w:left="810" w:top="413" w:right="820" w:bottom="0" w:gutter="0" w:footer="0" w:header="0"/>
          <w:type w:val="continuous"/>
        </w:sectPr>
      </w:pPr>
    </w:p>
    <w:bookmarkStart w:id="57" w:name="page58"/>
    <w:bookmarkEnd w:id="57"/>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and supplementary data are included as a separate section of this Annual Report on Form 10-K commencing on page F-1 and are incorporated herein by reference.</w:t>
      </w:r>
    </w:p>
    <w:p>
      <w:pPr>
        <w:spacing w:after="0" w:line="21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8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9A.</w:t>
        <w:tab/>
        <w:t>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Evaluations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Trust and the Operating Partnership maintain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 and the Operating Partnership's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management, with the participation of the Trust and the Operating Partnership’s Chief Executive Officer and Chief Financial Officer, evaluated the effectiveness of the design and operation of the Trust and the Operating Partnership’s disclosure controls and procedures as of December 31, 2022. Based on that evaluation, the Trust and the Operating Partnership’s Chief Executive Officer and Chief Financial Officer concluded that, as of December 31, 2022, the Trust and the Operating Partnership’s disclosure controls and procedures were effective at a reasonable assurance level.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Evaluations of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Trust and the Operating Partnership’s management is responsible for establishing and maintaining adequate internal control over financial reporting. Internal control over financial reporting is defined in Rule 13a-15(f) and 15d-15(f) under the Exchange Act as a process designed by, or under the supervision of, the Trust and the Operating Partnership’s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30" w:lineRule="exact"/>
        <w:rPr>
          <w:sz w:val="20"/>
          <w:szCs w:val="20"/>
          <w:color w:val="auto"/>
        </w:rPr>
      </w:pPr>
    </w:p>
    <w:p>
      <w:pPr>
        <w:ind w:left="720" w:right="720" w:hanging="370"/>
        <w:spacing w:after="0" w:line="260"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our transactions and disposition of our assets;</w:t>
      </w:r>
    </w:p>
    <w:p>
      <w:pPr>
        <w:spacing w:after="0" w:line="1" w:lineRule="exact"/>
        <w:rPr>
          <w:rFonts w:ascii="Times New Roman" w:cs="Times New Roman" w:eastAsia="Times New Roman" w:hAnsi="Times New Roman"/>
          <w:sz w:val="20"/>
          <w:szCs w:val="20"/>
          <w:color w:val="auto"/>
        </w:rPr>
      </w:pPr>
    </w:p>
    <w:p>
      <w:pPr>
        <w:ind w:left="720" w:right="180" w:hanging="370"/>
        <w:spacing w:after="0" w:line="250"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pacing w:after="0" w:line="1" w:lineRule="exact"/>
        <w:rPr>
          <w:rFonts w:ascii="Times New Roman" w:cs="Times New Roman" w:eastAsia="Times New Roman" w:hAnsi="Times New Roman"/>
          <w:sz w:val="20"/>
          <w:szCs w:val="20"/>
          <w:color w:val="auto"/>
        </w:rPr>
      </w:pPr>
    </w:p>
    <w:p>
      <w:pPr>
        <w:ind w:left="720" w:right="180" w:hanging="370"/>
        <w:spacing w:after="0" w:line="287" w:lineRule="auto"/>
        <w:tabs>
          <w:tab w:leader="none" w:pos="7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assessed the effectiveness of the Trust and the Operating Partnership’s internal control over financial reporting as of December 31, 2022. In making this assessment, we used the criteria set forth by the Committee of Sponsoring Organizations of the Treadway Commission (COSO) in </w:t>
      </w:r>
      <w:r>
        <w:rPr>
          <w:rFonts w:ascii="Times New Roman" w:cs="Times New Roman" w:eastAsia="Times New Roman" w:hAnsi="Times New Roman"/>
          <w:sz w:val="20"/>
          <w:szCs w:val="20"/>
          <w:i w:val="1"/>
          <w:iCs w:val="1"/>
          <w:color w:val="auto"/>
        </w:rPr>
        <w:t>Internal Control-Integrated Framework (2013)</w:t>
      </w:r>
      <w:r>
        <w:rPr>
          <w:rFonts w:ascii="Times New Roman" w:cs="Times New Roman" w:eastAsia="Times New Roman" w:hAnsi="Times New Roman"/>
          <w:sz w:val="20"/>
          <w:szCs w:val="20"/>
          <w:color w:val="auto"/>
        </w:rPr>
        <w:t>. Based on that assessment and criteria, management concluded that the Trust and the Operating Partnership's internal control over financial reporting was effective as of December 31, 2022.</w:t>
      </w:r>
    </w:p>
    <w:p>
      <w:pPr>
        <w:spacing w:after="0" w:line="8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Grant Thornton LLP, the independent registered public accounting firm that audited the Trust and the Operating Partnership's consolidated financial statements included in this Annual Report on Form 10-K, has issued an attestation report on the Trust and the Operating Partnership's internal control over financial reporting, which appears on page F-2 of this Annual Report on Form 10-K.</w:t>
      </w:r>
    </w:p>
    <w:p>
      <w:pPr>
        <w:sectPr>
          <w:pgSz w:w="11880" w:h="15480" w:orient="portrait"/>
          <w:cols w:equalWidth="0" w:num="1">
            <w:col w:w="10260"/>
          </w:cols>
          <w:pgMar w:left="820" w:top="4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260"/>
          </w:cols>
          <w:pgMar w:left="820" w:top="406" w:right="80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There was no change in our internal control over financial reporting during our fourth fiscal quarter of 2022 that materially affected, or is reasonably likely to materially affect, our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820"/>
          </w:cols>
          <w:pgMar w:left="820" w:top="406"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820"/>
          </w:cols>
          <w:pgMar w:left="820" w:top="406" w:right="1240" w:bottom="0" w:gutter="0" w:footer="0" w:header="0"/>
          <w:type w:val="continuous"/>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9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Certain information required in Part III is omitted from this Report but is incorporated herein by reference from our Proxy Statement for the 2023 Annual Meeting of Shareholders (as amended or supplemented, the “Proxy Statement”).</w:t>
      </w: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TRUSTEES, EXECUTIVE OFFICERS AND CORPORATE GOVERNANCE</w:t>
      </w:r>
    </w:p>
    <w:p>
      <w:pPr>
        <w:spacing w:after="0" w:line="11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20"/>
          <w:szCs w:val="20"/>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43" w:lineRule="exact"/>
        <w:rPr>
          <w:sz w:val="20"/>
          <w:szCs w:val="20"/>
          <w:color w:val="auto"/>
        </w:rPr>
      </w:pPr>
    </w:p>
    <w:p>
      <w:pPr>
        <w:jc w:val="both"/>
        <w:ind w:right="100"/>
        <w:spacing w:after="0" w:line="309" w:lineRule="auto"/>
        <w:rPr>
          <w:sz w:val="20"/>
          <w:szCs w:val="20"/>
          <w:color w:val="auto"/>
        </w:rPr>
      </w:pPr>
      <w:r>
        <w:rPr>
          <w:rFonts w:ascii="Times New Roman" w:cs="Times New Roman" w:eastAsia="Times New Roman" w:hAnsi="Times New Roman"/>
          <w:sz w:val="19"/>
          <w:szCs w:val="19"/>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Times New Roman" w:cs="Times New Roman" w:eastAsia="Times New Roman" w:hAnsi="Times New Roman"/>
          <w:sz w:val="19"/>
          <w:szCs w:val="19"/>
          <w:i w:val="1"/>
          <w:iCs w:val="1"/>
          <w:color w:val="auto"/>
        </w:rPr>
        <w:t>www.federalrealty.com</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11.</w:t>
        <w:tab/>
        <w:t>EXECUTIVE COMPENSATION</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1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SHAREHOLDER MATTERS</w:t>
      </w:r>
    </w:p>
    <w:p>
      <w:pPr>
        <w:spacing w:after="0" w:line="3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TRUSTEE INDEPENDENCE</w:t>
      </w:r>
    </w:p>
    <w:p>
      <w:pPr>
        <w:spacing w:after="0" w:line="117"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14.</w:t>
        <w:tab/>
        <w:t>PRINCIPAL ACCOUNTANT FEES AND SERVICES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8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(a)(1) Financial Statements</w:t>
      </w:r>
    </w:p>
    <w:p>
      <w:pPr>
        <w:spacing w:after="0" w:line="69" w:lineRule="exact"/>
        <w:rPr>
          <w:sz w:val="20"/>
          <w:szCs w:val="20"/>
          <w:color w:val="auto"/>
        </w:rPr>
      </w:pPr>
    </w:p>
    <w:p>
      <w:pPr>
        <w:ind w:left="60" w:right="140"/>
        <w:spacing w:after="0"/>
        <w:rPr>
          <w:sz w:val="20"/>
          <w:szCs w:val="20"/>
          <w:color w:val="auto"/>
        </w:rPr>
      </w:pPr>
      <w:r>
        <w:rPr>
          <w:rFonts w:ascii="Times New Roman" w:cs="Times New Roman" w:eastAsia="Times New Roman" w:hAnsi="Times New Roman"/>
          <w:sz w:val="20"/>
          <w:szCs w:val="20"/>
          <w:color w:val="auto"/>
        </w:rPr>
        <w:t xml:space="preserve">Our consolidated financial statements and notes thereto, together with Reports of Independent Registered Public Accounting Firm are included as a separate section of this Annual Report on Form 10-K commencing on page </w:t>
      </w:r>
      <w:r>
        <w:rPr>
          <w:rFonts w:ascii="Times New Roman" w:cs="Times New Roman" w:eastAsia="Times New Roman" w:hAnsi="Times New Roman"/>
          <w:sz w:val="20"/>
          <w:szCs w:val="20"/>
          <w:u w:val="single" w:color="auto"/>
          <w:color w:val="2D2D2D"/>
        </w:rPr>
        <w:t>F-</w:t>
      </w:r>
      <w:r>
        <w:rPr>
          <w:rFonts w:ascii="Times New Roman" w:cs="Times New Roman" w:eastAsia="Times New Roman" w:hAnsi="Times New Roman"/>
          <w:sz w:val="20"/>
          <w:szCs w:val="20"/>
          <w:color w:val="auto"/>
        </w:rPr>
        <w:t>1.</w:t>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(2) Financial Statement Schedules</w:t>
      </w:r>
    </w:p>
    <w:p>
      <w:pPr>
        <w:spacing w:after="0" w:line="108" w:lineRule="exact"/>
        <w:rPr>
          <w:sz w:val="20"/>
          <w:szCs w:val="20"/>
          <w:color w:val="auto"/>
        </w:rPr>
      </w:pPr>
    </w:p>
    <w:p>
      <w:pPr>
        <w:ind w:left="60" w:right="400"/>
        <w:spacing w:after="0"/>
        <w:rPr>
          <w:sz w:val="20"/>
          <w:szCs w:val="20"/>
          <w:color w:val="auto"/>
        </w:rPr>
      </w:pPr>
      <w:r>
        <w:rPr>
          <w:rFonts w:ascii="Times New Roman" w:cs="Times New Roman" w:eastAsia="Times New Roman" w:hAnsi="Times New Roman"/>
          <w:sz w:val="20"/>
          <w:szCs w:val="20"/>
          <w:color w:val="auto"/>
        </w:rPr>
        <w:t xml:space="preserve">Our financial statement schedules are included in a separate section of this Annual Report on Form 10-K commencing on page </w:t>
      </w:r>
      <w:r>
        <w:rPr>
          <w:rFonts w:ascii="Times New Roman" w:cs="Times New Roman" w:eastAsia="Times New Roman" w:hAnsi="Times New Roman"/>
          <w:sz w:val="20"/>
          <w:szCs w:val="20"/>
          <w:u w:val="single" w:color="auto"/>
          <w:color w:val="2D2D2D"/>
        </w:rPr>
        <w:t>F-</w:t>
      </w:r>
      <w:r>
        <w:rPr>
          <w:rFonts w:ascii="Times New Roman" w:cs="Times New Roman" w:eastAsia="Times New Roman" w:hAnsi="Times New Roman"/>
          <w:sz w:val="20"/>
          <w:szCs w:val="20"/>
          <w:color w:val="auto"/>
        </w:rPr>
        <w:t>40.</w:t>
      </w: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 The following documents are filed as exhibits are filed as part of, or incorporated by reference info, this report:</w:t>
      </w:r>
    </w:p>
    <w:p>
      <w:pPr>
        <w:sectPr>
          <w:pgSz w:w="11880" w:h="15480" w:orient="portrait"/>
          <w:cols w:equalWidth="0" w:num="1">
            <w:col w:w="10160"/>
          </w:cols>
          <w:pgMar w:left="820" w:top="40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160"/>
          </w:cols>
          <w:pgMar w:left="820" w:top="406" w:right="900" w:bottom="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p>
      <w:pPr>
        <w:ind w:left="220"/>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13970</wp:posOffset>
                </wp:positionV>
                <wp:extent cx="5048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1.1pt" to="37pt,1.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517525</wp:posOffset>
                </wp:positionH>
                <wp:positionV relativeFrom="paragraph">
                  <wp:posOffset>13970</wp:posOffset>
                </wp:positionV>
                <wp:extent cx="59436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5pt,1.1pt" to="508.75pt,1.1pt" o:allowincell="f" strokecolor="#000000" strokeweight="1pt"/>
            </w:pict>
          </mc:Fallback>
        </mc:AlternateContent>
      </w:r>
    </w:p>
    <w:p>
      <w:pPr>
        <w:spacing w:after="0" w:line="69" w:lineRule="exact"/>
        <w:rPr>
          <w:sz w:val="20"/>
          <w:szCs w:val="20"/>
          <w:color w:val="auto"/>
        </w:rPr>
      </w:pPr>
    </w:p>
    <w:p>
      <w:pPr>
        <w:ind w:left="86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Merger Agreement and Plan of Reorganization, dated December 2, 2021, by and among the Predecessor, the Parent Company, and Merger Sub (previously filed as Exhibit 2.1 to the Predecessor's Current Report on Form 8-K filed on December 2, 2021 and incorporated herein by reference) ‡</w:t>
      </w:r>
    </w:p>
    <w:p>
      <w:pPr>
        <w:spacing w:after="0" w:line="77" w:lineRule="exact"/>
        <w:rPr>
          <w:sz w:val="20"/>
          <w:szCs w:val="20"/>
          <w:color w:val="auto"/>
        </w:rPr>
      </w:pPr>
    </w:p>
    <w:p>
      <w:pPr>
        <w:ind w:left="860" w:right="180" w:hanging="869"/>
        <w:spacing w:after="0" w:line="224" w:lineRule="auto"/>
        <w:tabs>
          <w:tab w:leader="none" w:pos="8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Amended and Restated Declaration of Trust of the Parent Company dated January 1, 2022, as amended by the Articles of Amendment of Amended and Restated Declaration of Trust dated January 1, 2022 (previously filed as Exhibit 3.1 to the Trust's Annual Report on Form 10-K for the year ended December 31, 2021 and incorporated herein by reference)</w:t>
      </w:r>
    </w:p>
    <w:p>
      <w:pPr>
        <w:spacing w:after="0" w:line="56" w:lineRule="exact"/>
        <w:rPr>
          <w:sz w:val="20"/>
          <w:szCs w:val="20"/>
          <w:color w:val="auto"/>
        </w:rPr>
      </w:pPr>
    </w:p>
    <w:p>
      <w:pPr>
        <w:ind w:left="860" w:right="300" w:hanging="869"/>
        <w:spacing w:after="0"/>
        <w:tabs>
          <w:tab w:leader="none" w:pos="8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Amended and Restated Bylaws of the Parent Company dated January 1, 2022 (previously filed as Exhibit 3.3 to our Current Report on Form 8-K filed on January 3, 2022 and incorporated herein by reference)</w:t>
      </w:r>
    </w:p>
    <w:p>
      <w:pPr>
        <w:spacing w:after="0" w:line="80" w:lineRule="exact"/>
        <w:rPr>
          <w:sz w:val="20"/>
          <w:szCs w:val="20"/>
          <w:color w:val="auto"/>
        </w:rPr>
      </w:pPr>
    </w:p>
    <w:p>
      <w:pPr>
        <w:ind w:left="860" w:right="8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Articles of Merger, dated December 8, 2021, by and among Merger Sub and the Predecessor (previously filed as Exhibit 3.4 to the Parent Company's Current Report on Form 8-K filed on January 3, 2022 and incorporated herein by reference)</w:t>
      </w:r>
    </w:p>
    <w:p>
      <w:pPr>
        <w:spacing w:after="0" w:line="77" w:lineRule="exact"/>
        <w:rPr>
          <w:sz w:val="20"/>
          <w:szCs w:val="20"/>
          <w:color w:val="auto"/>
        </w:rPr>
      </w:pPr>
    </w:p>
    <w:p>
      <w:pPr>
        <w:ind w:left="860" w:right="220" w:hanging="869"/>
        <w:spacing w:after="0"/>
        <w:tabs>
          <w:tab w:leader="none" w:pos="8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Certificate of Limited Partnership of Federal Realty OP LP (previously filed as Exhibit 3.1 to our Current Report on Form 8-K filed on January 5, 2022 and incorporated herein by reference)</w:t>
      </w:r>
    </w:p>
    <w:p>
      <w:pPr>
        <w:spacing w:after="0" w:line="65" w:lineRule="exact"/>
        <w:rPr>
          <w:sz w:val="20"/>
          <w:szCs w:val="20"/>
          <w:color w:val="auto"/>
        </w:rPr>
      </w:pPr>
    </w:p>
    <w:p>
      <w:pPr>
        <w:jc w:val="both"/>
        <w:ind w:left="860" w:right="14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color w:val="auto"/>
        </w:rPr>
        <w:t>Agreement of Limited Partnership of Federal Realty OP LP, dated as of January 5, 2022, by and between Federal Realty GP LLC and the Parent Company (Previously filed as Exhibit 3.2 to our Current Report on Form 8-K filed on January 5, 2022 and incorporated herein by reference)</w:t>
      </w:r>
    </w:p>
    <w:p>
      <w:pPr>
        <w:spacing w:after="0" w:line="77" w:lineRule="exact"/>
        <w:rPr>
          <w:sz w:val="20"/>
          <w:szCs w:val="20"/>
          <w:color w:val="auto"/>
        </w:rPr>
      </w:pPr>
    </w:p>
    <w:p>
      <w:pPr>
        <w:ind w:left="860" w:right="620" w:hanging="869"/>
        <w:spacing w:after="0"/>
        <w:tabs>
          <w:tab w:leader="none" w:pos="8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Specimen Common Share certificate (previously filed as Exhibit 4(i) to the Predecessor’s Annual Report on Form 10-K for the year ended December 31, 1999 and incorporated herein by reference)</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 Indenture dated December 1, 1993 related to the Partnership’s 7.48% Debentures due August 15, 2026; and</w:t>
      </w:r>
    </w:p>
    <w:p>
      <w:pPr>
        <w:ind w:left="860"/>
        <w:spacing w:after="0" w:line="208" w:lineRule="auto"/>
        <w:rPr>
          <w:sz w:val="20"/>
          <w:szCs w:val="20"/>
          <w:color w:val="auto"/>
        </w:rPr>
      </w:pPr>
      <w:r>
        <w:rPr>
          <w:rFonts w:ascii="Times New Roman" w:cs="Times New Roman" w:eastAsia="Times New Roman" w:hAnsi="Times New Roman"/>
          <w:sz w:val="20"/>
          <w:szCs w:val="20"/>
          <w:color w:val="auto"/>
        </w:rPr>
        <w:t>6.82% Medium Term Notes due August 1, 2027; (previously filed as Exhibit 4(a) to the Predecessor’s Registration</w:t>
      </w:r>
    </w:p>
    <w:p>
      <w:pPr>
        <w:ind w:left="860"/>
        <w:spacing w:after="0" w:line="209" w:lineRule="auto"/>
        <w:rPr>
          <w:sz w:val="20"/>
          <w:szCs w:val="20"/>
          <w:color w:val="auto"/>
        </w:rPr>
      </w:pPr>
      <w:r>
        <w:rPr>
          <w:rFonts w:ascii="Times New Roman" w:cs="Times New Roman" w:eastAsia="Times New Roman" w:hAnsi="Times New Roman"/>
          <w:sz w:val="20"/>
          <w:szCs w:val="20"/>
          <w:color w:val="auto"/>
        </w:rPr>
        <w:t>Statement on Form S-3, and amended on Form S-3, filed on December 13, 1993 and incorporated herein by</w:t>
      </w:r>
    </w:p>
    <w:p>
      <w:pPr>
        <w:ind w:left="860"/>
        <w:spacing w:after="0"/>
        <w:rPr>
          <w:sz w:val="20"/>
          <w:szCs w:val="20"/>
          <w:color w:val="auto"/>
        </w:rPr>
      </w:pPr>
      <w:r>
        <w:rPr>
          <w:rFonts w:ascii="Times New Roman" w:cs="Times New Roman" w:eastAsia="Times New Roman" w:hAnsi="Times New Roman"/>
          <w:sz w:val="20"/>
          <w:szCs w:val="20"/>
          <w:color w:val="auto"/>
        </w:rPr>
        <w:t>reference) ‡</w:t>
      </w:r>
    </w:p>
    <w:p>
      <w:pPr>
        <w:spacing w:after="0" w:line="123" w:lineRule="exact"/>
        <w:rPr>
          <w:sz w:val="20"/>
          <w:szCs w:val="20"/>
          <w:color w:val="auto"/>
        </w:rPr>
      </w:pPr>
    </w:p>
    <w:p>
      <w:pPr>
        <w:ind w:left="860" w:right="80" w:hanging="869"/>
        <w:spacing w:after="0" w:line="224" w:lineRule="auto"/>
        <w:tabs>
          <w:tab w:leader="none" w:pos="8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 Indenture dated September 1, 1998 related to the Partnership’s 2.75% Notes due 2023; 3.95% Notes due 2024; 4.50% Notes due 2044; 2.55% Notes due 2021; 3.625% Notes due 2046; 3.25% Notes due 2027; 3.20% Notes due 2029; 3.50% Notes due 2030; 1.25% Notes due 2026 (previously filed as Exhibit 4(a) to the Predecessor’s Registration Statement on Form S-3 filed on September 17, 1998 and incorporated herein by reference) ‡</w:t>
      </w:r>
    </w:p>
    <w:p>
      <w:pPr>
        <w:spacing w:after="0" w:line="6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First Supplemental Indenture, dated as of January 5, 2022, by and between Federal Realty OP LP and U.S. Bank</w:t>
      </w:r>
    </w:p>
    <w:p>
      <w:pPr>
        <w:ind w:left="860" w:right="460"/>
        <w:spacing w:after="0" w:line="218" w:lineRule="auto"/>
        <w:rPr>
          <w:sz w:val="20"/>
          <w:szCs w:val="20"/>
          <w:color w:val="auto"/>
        </w:rPr>
      </w:pPr>
      <w:r>
        <w:rPr>
          <w:rFonts w:ascii="Times New Roman" w:cs="Times New Roman" w:eastAsia="Times New Roman" w:hAnsi="Times New Roman"/>
          <w:sz w:val="20"/>
          <w:szCs w:val="20"/>
          <w:color w:val="auto"/>
        </w:rPr>
        <w:t>National Association, with respect to the Partnership's Indenture dated December 1, 1993 related to the Partnership's 7.48% Debentures due August 15, 2026 and 6.82% Medium Term Notes due August 1, 2027 (previously filed as Exhibit 4.1 to our Current Report on Form 8-K filed on January 5, 2022 and incorporated herein by reference)</w:t>
      </w:r>
    </w:p>
    <w:p>
      <w:pPr>
        <w:spacing w:after="0" w:line="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 First Supplemental Indenture, dated as of January 5, 2022, by and between Federal Realty OP LP and U.S. Bank</w:t>
      </w:r>
    </w:p>
    <w:p>
      <w:pPr>
        <w:ind w:left="860" w:right="520"/>
        <w:spacing w:after="0" w:line="208" w:lineRule="auto"/>
        <w:rPr>
          <w:sz w:val="20"/>
          <w:szCs w:val="20"/>
          <w:color w:val="auto"/>
        </w:rPr>
      </w:pPr>
      <w:r>
        <w:rPr>
          <w:rFonts w:ascii="Times New Roman" w:cs="Times New Roman" w:eastAsia="Times New Roman" w:hAnsi="Times New Roman"/>
          <w:sz w:val="20"/>
          <w:szCs w:val="20"/>
          <w:color w:val="auto"/>
        </w:rPr>
        <w:t>National Association, with respect to the Partnership's Indenture dated September 1, 1998 related to the Partnership's 2.75% Notes due 2023; 3.95% Notes due 2024; 4.50% Notes due 2044; 2.55% Notes due 2021;</w:t>
      </w:r>
    </w:p>
    <w:p>
      <w:pPr>
        <w:spacing w:after="0" w:line="1" w:lineRule="exact"/>
        <w:rPr>
          <w:sz w:val="20"/>
          <w:szCs w:val="20"/>
          <w:color w:val="auto"/>
        </w:rPr>
      </w:pPr>
    </w:p>
    <w:p>
      <w:pPr>
        <w:jc w:val="both"/>
        <w:ind w:left="860" w:right="60"/>
        <w:spacing w:after="0" w:line="222" w:lineRule="auto"/>
        <w:rPr>
          <w:sz w:val="20"/>
          <w:szCs w:val="20"/>
          <w:color w:val="auto"/>
        </w:rPr>
      </w:pPr>
      <w:r>
        <w:rPr>
          <w:rFonts w:ascii="Times New Roman" w:cs="Times New Roman" w:eastAsia="Times New Roman" w:hAnsi="Times New Roman"/>
          <w:sz w:val="20"/>
          <w:szCs w:val="20"/>
          <w:color w:val="auto"/>
        </w:rPr>
        <w:t>3.625% Notes due 2046; 3.25% Notes due 2027; 3.20% Notes due 2029; 3.50% Notes due 2030; 1.25% Notes due 2026 (previously filed as Exhibit 4.2 to our Current Report on Form 8-K filed on January 5, 2022 and incorporated herein by reference)</w:t>
      </w:r>
    </w:p>
    <w:p>
      <w:pPr>
        <w:spacing w:after="0" w:line="60" w:lineRule="exact"/>
        <w:rPr>
          <w:sz w:val="20"/>
          <w:szCs w:val="20"/>
          <w:color w:val="auto"/>
        </w:rPr>
      </w:pPr>
    </w:p>
    <w:p>
      <w:pPr>
        <w:ind w:left="860" w:right="200" w:hanging="869"/>
        <w:spacing w:after="0" w:line="224" w:lineRule="auto"/>
        <w:tabs>
          <w:tab w:leader="none" w:pos="8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Deposit Agreement, dated as of September 29, 2017, by and among Federal Realty Investment Trust, American Stock Transfer and Trust Company, LLC, as Depositary, and all holders from time to time of Receipt (previously filed as Exhibit 4.1 to the Predecessor's Registration Statement on Form 8-A, filed on September 29, 2017 and incorporated herein by reference)</w:t>
      </w:r>
    </w:p>
    <w:p>
      <w:pPr>
        <w:spacing w:after="0" w:line="56" w:lineRule="exact"/>
        <w:rPr>
          <w:sz w:val="20"/>
          <w:szCs w:val="20"/>
          <w:color w:val="auto"/>
        </w:rPr>
      </w:pPr>
    </w:p>
    <w:p>
      <w:pPr>
        <w:ind w:left="860" w:right="58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color w:val="auto"/>
        </w:rPr>
        <w:t>Specimen certificate relating to the 5.000% Series C Cumulative Redeemable Preferred Shares of Beneficial Interest (previously filed as Exhibit 4.3 to the Predecessor's Registration Statement on Form 8-A, filed on September 29, 2017 and incorporated herein by reference)</w:t>
      </w:r>
    </w:p>
    <w:p>
      <w:pPr>
        <w:spacing w:after="0" w:line="62" w:lineRule="exact"/>
        <w:rPr>
          <w:sz w:val="20"/>
          <w:szCs w:val="20"/>
          <w:color w:val="auto"/>
        </w:rPr>
      </w:pPr>
    </w:p>
    <w:p>
      <w:pPr>
        <w:ind w:left="860" w:right="120" w:hanging="869"/>
        <w:spacing w:after="0"/>
        <w:tabs>
          <w:tab w:leader="none" w:pos="84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color w:val="auto"/>
        </w:rPr>
        <w:t>Description of Securities (previously filed as Exhibit 4.8 to the Predecessor's Annual Report on Form 10-K for the year ended December 31, 2019 and incorporated here by reference)</w:t>
      </w:r>
    </w:p>
    <w:p>
      <w:pPr>
        <w:spacing w:after="0" w:line="65" w:lineRule="exact"/>
        <w:rPr>
          <w:sz w:val="20"/>
          <w:szCs w:val="20"/>
          <w:color w:val="auto"/>
        </w:rPr>
      </w:pPr>
    </w:p>
    <w:p>
      <w:pPr>
        <w:ind w:left="860" w:right="24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 Severance Agreement between Federal Realty Investment Trust and Donald C. Wood dated February 22, 1999 (previously filed as a portion of Exhibit 10 to the Predecessor's Quarterly Report on Form 10-Q for the quarter ended March 31, 1999 (the "1999 1Q Form 10-Q") and incorporated herein by reference)</w:t>
      </w:r>
    </w:p>
    <w:p>
      <w:pPr>
        <w:spacing w:after="0" w:line="92" w:lineRule="exact"/>
        <w:rPr>
          <w:sz w:val="20"/>
          <w:szCs w:val="20"/>
          <w:color w:val="auto"/>
        </w:rPr>
      </w:pPr>
    </w:p>
    <w:p>
      <w:pPr>
        <w:jc w:val="both"/>
        <w:ind w:left="860" w:right="26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 Executive Agreement between Federal Realty Investment Trust and Donald C. Wood dated February 22, 1999 (previously filed as a portion of Exhibit 10 to the Predecessor's 1999 1Q Form 10-Q and incorporated herein by reference)</w:t>
      </w:r>
    </w:p>
    <w:p>
      <w:pPr>
        <w:sectPr>
          <w:pgSz w:w="11880" w:h="15480" w:orient="portrait"/>
          <w:cols w:equalWidth="0" w:num="1">
            <w:col w:w="10120"/>
          </w:cols>
          <w:pgMar w:left="880" w:top="40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120"/>
          </w:cols>
          <w:pgMar w:left="880" w:top="406" w:right="880" w:bottom="0" w:gutter="0" w:footer="0" w:header="0"/>
          <w:type w:val="continuous"/>
        </w:sectPr>
      </w:pPr>
    </w:p>
    <w:bookmarkStart w:id="61" w:name="page62"/>
    <w:bookmarkEnd w:id="61"/>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p>
      <w:pPr>
        <w:ind w:left="220"/>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13970</wp:posOffset>
                </wp:positionV>
                <wp:extent cx="5048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1.1pt" to="37pt,1.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517525</wp:posOffset>
                </wp:positionH>
                <wp:positionV relativeFrom="paragraph">
                  <wp:posOffset>13970</wp:posOffset>
                </wp:positionV>
                <wp:extent cx="59436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5pt,1.1pt" to="508.75pt,1.1pt" o:allowincell="f" strokecolor="#000000" strokeweight="1pt"/>
            </w:pict>
          </mc:Fallback>
        </mc:AlternateContent>
      </w:r>
    </w:p>
    <w:p>
      <w:pPr>
        <w:ind w:left="86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 Amendment to Executive Agreement between Federal Realty Investment Trust and Donald C. Wood dated February 16, 2005 (previously filed as Exhibit 10.12 to the Predecessor’s Annual Report on Form 10-K for the year ended December 31, 2004 (the “2004 Form 10-K”) and incorporated herein by reference)</w:t>
      </w:r>
    </w:p>
    <w:p>
      <w:pPr>
        <w:spacing w:after="0" w:line="47" w:lineRule="exact"/>
        <w:rPr>
          <w:sz w:val="20"/>
          <w:szCs w:val="20"/>
          <w:color w:val="auto"/>
        </w:rPr>
      </w:pPr>
    </w:p>
    <w:p>
      <w:pPr>
        <w:jc w:val="both"/>
        <w:ind w:left="860" w:right="8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 Health Coverage Continuation Agreement between Federal Realty Investment Trust and Donald C. Wood dated February 16, 2005 (previously filed as Exhibit 10.26 to the Predecessor's 2004 Form 10-K and incorporated herein by reference)</w:t>
      </w:r>
    </w:p>
    <w:p>
      <w:pPr>
        <w:spacing w:after="0" w:line="92" w:lineRule="exact"/>
        <w:rPr>
          <w:sz w:val="20"/>
          <w:szCs w:val="20"/>
          <w:color w:val="auto"/>
        </w:rPr>
      </w:pPr>
    </w:p>
    <w:p>
      <w:pPr>
        <w:ind w:left="860" w:right="180" w:hanging="869"/>
        <w:spacing w:after="0" w:line="265" w:lineRule="auto"/>
        <w:tabs>
          <w:tab w:leader="none" w:pos="8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color w:val="auto"/>
        </w:rPr>
        <w:t>* Severance Agreement between Federal Realty Investment Trust and Dawn M. Becker dated April 19, 2000 (previously filed as Exhibit 10.26 to the Predecessor’s 2005 2Q Form 10-Q and incorporated herein by reference)</w:t>
      </w:r>
    </w:p>
    <w:p>
      <w:pPr>
        <w:spacing w:after="0" w:line="88" w:lineRule="exact"/>
        <w:rPr>
          <w:sz w:val="20"/>
          <w:szCs w:val="20"/>
          <w:color w:val="auto"/>
        </w:rPr>
      </w:pPr>
    </w:p>
    <w:p>
      <w:pPr>
        <w:ind w:left="860" w:right="8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 Amendment to Severance Agreement between Federal Realty Investment Trust and Dawn M. Becker dated February 16, 2005 (previously filed as Exhibit 10.27 to the Predecessor's 2004 Form 10-K and incorporated herein by reference)</w:t>
      </w:r>
    </w:p>
    <w:p>
      <w:pPr>
        <w:spacing w:after="0" w:line="47" w:lineRule="exact"/>
        <w:rPr>
          <w:sz w:val="20"/>
          <w:szCs w:val="20"/>
          <w:color w:val="auto"/>
        </w:rPr>
      </w:pPr>
    </w:p>
    <w:p>
      <w:pPr>
        <w:ind w:left="860" w:right="6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Form of Restricted Share Award Agreement for long term vesting and retention awards for shares issued out of the 2010 Plan (previously filed as Exhibit 10.35 to the Predecessor's Annual Report on Form 10-K for the year ended December 31, 2010 (the "2010 Form 10-K") and incorporated herein by reference)</w:t>
      </w:r>
    </w:p>
    <w:p>
      <w:pPr>
        <w:spacing w:after="0" w:line="77" w:lineRule="exact"/>
        <w:rPr>
          <w:sz w:val="20"/>
          <w:szCs w:val="20"/>
          <w:color w:val="auto"/>
        </w:rPr>
      </w:pPr>
    </w:p>
    <w:p>
      <w:pPr>
        <w:ind w:left="860" w:right="20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 Amendment to Severance Agreement between Federal Realty Investment Trust and Donald C. Wood dated January 1, 2009 (previously filed as Exhibit 10.26 to the Predecessor’s Annual Report on Form 10-K for the year ended December 31, 2008 (“the 2008 Form 10-K”) and incorporated herein by reference)</w:t>
      </w:r>
    </w:p>
    <w:p>
      <w:pPr>
        <w:spacing w:after="0" w:line="77" w:lineRule="exact"/>
        <w:rPr>
          <w:sz w:val="20"/>
          <w:szCs w:val="20"/>
          <w:color w:val="auto"/>
        </w:rPr>
      </w:pPr>
    </w:p>
    <w:p>
      <w:pPr>
        <w:jc w:val="both"/>
        <w:ind w:left="860" w:right="32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 Second Amendment to Executive Agreement between Federal Realty Investment Trust and Donald C. Wood dated January 1, 2009 (previously filed as Exhibit 10.27 to the Predecessor’s 2008 Form 10-K and incorporated herein by reference)</w:t>
      </w:r>
    </w:p>
    <w:p>
      <w:pPr>
        <w:spacing w:after="0" w:line="47" w:lineRule="exact"/>
        <w:rPr>
          <w:sz w:val="20"/>
          <w:szCs w:val="20"/>
          <w:color w:val="auto"/>
        </w:rPr>
      </w:pPr>
    </w:p>
    <w:p>
      <w:pPr>
        <w:ind w:left="860" w:right="16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 Amendment to Health Coverage Continuation Agreement between Federal Realty Investment Trust and Donald C. Wood dated January 1, 2009 (previously filed as Exhibit 10.28 to the Predecessor’s 2008 Form 10-K and incorporated herein by reference)</w:t>
      </w:r>
    </w:p>
    <w:p>
      <w:pPr>
        <w:spacing w:after="0" w:line="77" w:lineRule="exact"/>
        <w:rPr>
          <w:sz w:val="20"/>
          <w:szCs w:val="20"/>
          <w:color w:val="auto"/>
        </w:rPr>
      </w:pPr>
    </w:p>
    <w:p>
      <w:pPr>
        <w:jc w:val="both"/>
        <w:ind w:left="860" w:right="32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 Second Amendment to Severance Agreement between Federal Realty Investment Trust and Dawn M. Becker dated January 1, 2009 (previously filed as Exhibit 10.30 to the Predecessor’s 2008 Form 10-K and incorporated herein by reference)</w:t>
      </w:r>
    </w:p>
    <w:p>
      <w:pPr>
        <w:spacing w:after="0" w:line="62" w:lineRule="exact"/>
        <w:rPr>
          <w:sz w:val="20"/>
          <w:szCs w:val="20"/>
          <w:color w:val="auto"/>
        </w:rPr>
      </w:pPr>
    </w:p>
    <w:p>
      <w:pPr>
        <w:jc w:val="both"/>
        <w:ind w:left="860" w:right="80" w:hanging="869"/>
        <w:spacing w:after="0"/>
        <w:tabs>
          <w:tab w:leader="none" w:pos="8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2010 Performance Incentive Plan (previously filed as Appendix A to the Predecessor’s Definitive Proxy Statement for the 2010 Annual Meeting of Shareholders and incorporated herein by reference)</w:t>
      </w:r>
    </w:p>
    <w:p>
      <w:pPr>
        <w:spacing w:after="0" w:line="65" w:lineRule="exact"/>
        <w:rPr>
          <w:sz w:val="20"/>
          <w:szCs w:val="20"/>
          <w:color w:val="auto"/>
        </w:rPr>
      </w:pPr>
    </w:p>
    <w:p>
      <w:pPr>
        <w:ind w:left="860" w:right="20" w:hanging="869"/>
        <w:spacing w:after="0"/>
        <w:tabs>
          <w:tab w:leader="none" w:pos="8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Amendment to 2010 Performance Incentive Plan (“the 2010 Plan”) (previously filed as Appendix A to the Predecessor’s Proxy Statement for the 2010 Annual Meeting of Shareholders and incorporated herein by reference)</w:t>
      </w:r>
    </w:p>
    <w:p>
      <w:pPr>
        <w:spacing w:after="0" w:line="65" w:lineRule="exact"/>
        <w:rPr>
          <w:sz w:val="20"/>
          <w:szCs w:val="20"/>
          <w:color w:val="auto"/>
        </w:rPr>
      </w:pPr>
    </w:p>
    <w:p>
      <w:pPr>
        <w:jc w:val="both"/>
        <w:ind w:left="860" w:right="80" w:hanging="869"/>
        <w:spacing w:after="0" w:line="224" w:lineRule="auto"/>
        <w:tabs>
          <w:tab w:leader="none" w:pos="8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Form of Restricted Share Award Agreement for awards made under Federal Realty Investment Trust’s Long-Term Incentive Award Program and the Trust’s Annual Incentive Bonus Program and basic awards with annual vesting for shares issued out of the 2010 Plan (previously filed as Exhibit 10.34 to the Predecessor’s 2010 Form 10-K and incorporated herein by reference)</w:t>
      </w:r>
    </w:p>
    <w:p>
      <w:pPr>
        <w:spacing w:after="0" w:line="56" w:lineRule="exact"/>
        <w:rPr>
          <w:sz w:val="20"/>
          <w:szCs w:val="20"/>
          <w:color w:val="auto"/>
        </w:rPr>
      </w:pPr>
    </w:p>
    <w:p>
      <w:pPr>
        <w:jc w:val="both"/>
        <w:ind w:left="860" w:right="4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Form of Option Award Agreement for awards made under Federal Realty Investment Trust’s Long-Term Incentive Award Program for shares issued out of the 2010 Plan (previously filed as Exhibit 10.38 to the Predecessor’s 2010 Form 10-K and incorporated herein by reference)</w:t>
      </w:r>
    </w:p>
    <w:p>
      <w:pPr>
        <w:spacing w:after="0" w:line="77" w:lineRule="exact"/>
        <w:rPr>
          <w:sz w:val="20"/>
          <w:szCs w:val="20"/>
          <w:color w:val="auto"/>
        </w:rPr>
      </w:pPr>
    </w:p>
    <w:p>
      <w:pPr>
        <w:ind w:left="860" w:right="240" w:hanging="869"/>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Form of Option Award Agreement for front loaded awards made under Federal Realty Investment Trust’s Long-Term Incentive Award Program for shares issued out of the 2010 Plan (previously filed as Exhibit 10.39 to the Predecessor’s 2010 Form 10-K and incorporated herein by reference)</w:t>
      </w:r>
    </w:p>
    <w:p>
      <w:pPr>
        <w:sectPr>
          <w:pgSz w:w="11880" w:h="15480" w:orient="portrait"/>
          <w:cols w:equalWidth="0" w:num="1">
            <w:col w:w="10120"/>
          </w:cols>
          <w:pgMar w:left="880" w:top="609" w:right="880" w:bottom="0"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10.17</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10.18</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20"/>
          <w:szCs w:val="20"/>
          <w:color w:val="auto"/>
        </w:rPr>
        <w:t>Form of Option Award Agreement for basic options awarded out of the 2010 Plan (previously filed as Exhibit 10.40 to the Predecessor’s 2010 Form 10-K and incorporated herein by reference)</w:t>
      </w:r>
    </w:p>
    <w:p>
      <w:pPr>
        <w:spacing w:after="0" w:line="8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color w:val="auto"/>
        </w:rPr>
        <w:t>Revised Form of Restricted Share Award Agreement for front loaded awards made under Federal Realty Investment Trust’s Long-Term Incentive Award Program for shares issued out of the 2010 Plan (previously filed as Exhibit 10.35 to the Predecessor's Annual Report on Form 10-K for the year ended December 31, 2012 (the "2012 Form 10-K") and incorporated herein by reference)</w:t>
      </w:r>
    </w:p>
    <w:p>
      <w:pPr>
        <w:spacing w:after="0" w:line="66" w:lineRule="exact"/>
        <w:rPr>
          <w:sz w:val="20"/>
          <w:szCs w:val="20"/>
          <w:color w:val="auto"/>
        </w:rPr>
      </w:pPr>
    </w:p>
    <w:p>
      <w:pPr>
        <w:sectPr>
          <w:pgSz w:w="11880" w:h="15480" w:orient="portrait"/>
          <w:cols w:equalWidth="0" w:num="2">
            <w:col w:w="440" w:space="420"/>
            <w:col w:w="9260"/>
          </w:cols>
          <w:pgMar w:left="880" w:top="609" w:right="880" w:bottom="0" w:gutter="0" w:footer="0" w:header="0"/>
          <w:type w:val="continuous"/>
        </w:sectPr>
      </w:pPr>
    </w:p>
    <w:p>
      <w:pPr>
        <w:ind w:left="860" w:right="380" w:hanging="86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19"/>
          <w:szCs w:val="19"/>
          <w:color w:val="auto"/>
        </w:rPr>
        <w:t>Revised Form of Restricted Share Award Agreement for long-term vesting and retention awards made under Federal Realty Investment Trust’s Long-Term Incentive Award Program for shares issued out of the 2010 Plan (previously filed as Exhibit 10.36 to the Predecessor's 2012 Form 10-K and incorporated herein by reference)</w:t>
      </w:r>
    </w:p>
    <w:p>
      <w:pPr>
        <w:spacing w:after="0" w:line="59" w:lineRule="exact"/>
        <w:rPr>
          <w:sz w:val="20"/>
          <w:szCs w:val="20"/>
          <w:color w:val="auto"/>
        </w:rPr>
      </w:pPr>
    </w:p>
    <w:p>
      <w:pPr>
        <w:ind w:left="860" w:right="200" w:hanging="869"/>
        <w:spacing w:after="0"/>
        <w:tabs>
          <w:tab w:leader="none" w:pos="84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Revised Form of Performance Share Award Agreement for shares awarded out of the 2010 Plan (previously filed as Exhibit 10.37 to the Predecessor's 2012 Form 10-K and incorporated herein by reference)</w:t>
      </w:r>
    </w:p>
    <w:p>
      <w:pPr>
        <w:spacing w:after="0" w:line="65" w:lineRule="exact"/>
        <w:rPr>
          <w:sz w:val="20"/>
          <w:szCs w:val="20"/>
          <w:color w:val="auto"/>
        </w:rPr>
      </w:pPr>
    </w:p>
    <w:p>
      <w:pPr>
        <w:ind w:left="860" w:right="240" w:hanging="869"/>
        <w:spacing w:after="0" w:line="224" w:lineRule="auto"/>
        <w:tabs>
          <w:tab w:leader="none" w:pos="8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Revised Form of Restricted Share Award Agreement for awards made under Federal Realty Investment Trust’s Long-Term Incentive Award Program and the Trust’s Annual Incentive Bonus Program and basic awards with annual vesting for shares issued out of the 2010 Plan (previously filed as Exhibit 10.38 to the Predecessor's 2012 Form 10-K and incorporated herein by reference)</w:t>
      </w:r>
    </w:p>
    <w:p>
      <w:pPr>
        <w:sectPr>
          <w:pgSz w:w="11880" w:h="15480" w:orient="portrait"/>
          <w:cols w:equalWidth="0" w:num="1">
            <w:col w:w="10120"/>
          </w:cols>
          <w:pgMar w:left="880" w:top="609"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120"/>
          </w:cols>
          <w:pgMar w:left="880" w:top="609" w:right="8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color w:val="auto"/>
        </w:rPr>
        <w:t>Exhibit</w:t>
      </w:r>
    </w:p>
    <w:p>
      <w:pPr>
        <w:ind w:left="140"/>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-85725</wp:posOffset>
                </wp:positionH>
                <wp:positionV relativeFrom="paragraph">
                  <wp:posOffset>13970</wp:posOffset>
                </wp:positionV>
                <wp:extent cx="5048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499pt,1.1pt" to="33pt,1.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466725</wp:posOffset>
                </wp:positionH>
                <wp:positionV relativeFrom="paragraph">
                  <wp:posOffset>13970</wp:posOffset>
                </wp:positionV>
                <wp:extent cx="59436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5pt,1.1pt" to="504.75pt,1.1pt" o:allowincell="f" strokecolor="#000000" strokeweight="1pt"/>
            </w:pict>
          </mc:Fallback>
        </mc:AlternateContent>
      </w:r>
    </w:p>
    <w:p>
      <w:pPr>
        <w:ind w:left="780" w:right="280" w:hanging="86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Severance Agreement between Federal Realty Investment Trust and Daniel Guglielmone dated August 15, 2016 (previously filed as Exhibit 10.36 to the Predecessor's Quarterly Report on Form 10-Q for the quarter ended September 30, 2016 and incorporated herein by reference)</w:t>
      </w:r>
    </w:p>
    <w:p>
      <w:pPr>
        <w:spacing w:after="0" w:line="77" w:lineRule="exact"/>
        <w:rPr>
          <w:sz w:val="20"/>
          <w:szCs w:val="20"/>
          <w:color w:val="auto"/>
        </w:rPr>
      </w:pPr>
    </w:p>
    <w:p>
      <w:pPr>
        <w:ind w:left="780" w:right="40" w:hanging="869"/>
        <w:spacing w:after="0" w:line="227" w:lineRule="auto"/>
        <w:tabs>
          <w:tab w:leader="none" w:pos="76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19"/>
          <w:szCs w:val="19"/>
          <w:color w:val="auto"/>
        </w:rPr>
        <w:t>Amended and Restated Credit Agreement, dated as of July 25, 2019, by and among the Predecessor, each of the Lenders party thereto, and PNC Bank, National Association, as Administrative Agent (previously filed as Exhibit 10.1 to the Predecessor's Current Report on Form 8-K, filed on July 29, 2019 and incorporated herein by reference)</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w:t>
      </w:r>
    </w:p>
    <w:p>
      <w:pPr>
        <w:spacing w:after="0" w:line="93" w:lineRule="exact"/>
        <w:rPr>
          <w:sz w:val="20"/>
          <w:szCs w:val="20"/>
          <w:color w:val="auto"/>
        </w:rPr>
      </w:pPr>
    </w:p>
    <w:p>
      <w:pPr>
        <w:ind w:left="780" w:right="80" w:hanging="869"/>
        <w:spacing w:after="0"/>
        <w:tabs>
          <w:tab w:leader="none" w:pos="76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2020 Performance Incentive Plan (previously filed as Appendix B to the Predecessor’s Definitive Proxy Statement for the 2020 Annual Meeting of Shareholders and incorporated herein by reference)</w:t>
      </w:r>
    </w:p>
    <w:p>
      <w:pPr>
        <w:spacing w:after="0" w:line="65" w:lineRule="exact"/>
        <w:rPr>
          <w:sz w:val="20"/>
          <w:szCs w:val="20"/>
          <w:color w:val="auto"/>
        </w:rPr>
      </w:pPr>
    </w:p>
    <w:p>
      <w:pPr>
        <w:ind w:left="780" w:right="60" w:hanging="869"/>
        <w:spacing w:after="0" w:line="230" w:lineRule="auto"/>
        <w:tabs>
          <w:tab w:leader="none" w:pos="76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19"/>
          <w:szCs w:val="19"/>
          <w:color w:val="auto"/>
        </w:rPr>
        <w:t>Term Loan Agreement dated as of May 6, 2020, by and among the Predecessor, as Borrower, the financial institutions party thereto and their permitted assignees under Section 12.6., as Lenders, PNC Bank, National Association, as Administrative Agent, Regions Bank, Truist Bank, and U.S. Bank National Bank Association as Co-Syndication Agents, PNC Capital Markets, LLC, Regions Capital Markets, Suntrust Robinson Humphrey, Inc., and U.S. Bank National Association, as Joint Lead Arrangers and Book Managers (previously filed as Exhibit 10.1 to the Predecessor's Current Report on Form 8-K, filed on May 6, 2020 and incorporated herein by reference) ‡</w:t>
      </w:r>
    </w:p>
    <w:p>
      <w:pPr>
        <w:spacing w:after="0" w:line="79" w:lineRule="exact"/>
        <w:rPr>
          <w:sz w:val="20"/>
          <w:szCs w:val="20"/>
          <w:color w:val="auto"/>
        </w:rPr>
      </w:pPr>
    </w:p>
    <w:p>
      <w:pPr>
        <w:jc w:val="both"/>
        <w:ind w:left="780" w:right="340" w:hanging="869"/>
        <w:spacing w:after="0" w:line="224" w:lineRule="auto"/>
        <w:tabs>
          <w:tab w:leader="none" w:pos="76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First Amendment to the Amended and Restated Credit Agreement, dated as of May 6, 2020, by and among the Predecessor, each of the Lenders party thereto, and Wells Fargo Bank, National Association, as Administrative Agent (previously filed as Exhibit 10.2 to the Predecessor's Current Report on Form 8-K, filed on May 6, 2020, and incorporated herein by reference) ‡</w:t>
      </w:r>
    </w:p>
    <w:p>
      <w:pPr>
        <w:spacing w:after="0" w:line="86" w:lineRule="exact"/>
        <w:rPr>
          <w:sz w:val="20"/>
          <w:szCs w:val="20"/>
          <w:color w:val="auto"/>
        </w:rPr>
      </w:pPr>
    </w:p>
    <w:p>
      <w:pPr>
        <w:ind w:left="780" w:right="80" w:hanging="869"/>
        <w:spacing w:after="0" w:line="224" w:lineRule="auto"/>
        <w:tabs>
          <w:tab w:leader="none" w:pos="76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Form of Restricted Share Award Agreement for awards made under Federal Realty Investment Trust’s Long-Term Incentive Award Program and the Trust’s Annual Incentive Bonus Program and basic awards with annual vesting for shares issued out of the 2020 Plan (previously filed as Exhibit 10.32 to the Predecessor's Annual Report on Form 10-K, filed on February 11, 2021, and incorporated herein by reference)</w:t>
      </w:r>
    </w:p>
    <w:p>
      <w:pPr>
        <w:spacing w:after="0" w:line="56" w:lineRule="exact"/>
        <w:rPr>
          <w:sz w:val="20"/>
          <w:szCs w:val="20"/>
          <w:color w:val="auto"/>
        </w:rPr>
      </w:pPr>
    </w:p>
    <w:p>
      <w:pPr>
        <w:ind w:left="780" w:right="40" w:hanging="86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Form of Option Award Agreement for awards made under Federal Realty Investment Trust’s Long-Term Incentive Award Program for shares issued out of the 2020 Plan (previously filed as Exhibit 10.33 to the Predecessor's Annual Report on Form 10-K, filed on February 11, 2021, and incorporated herein by reference)</w:t>
      </w:r>
    </w:p>
    <w:p>
      <w:pPr>
        <w:spacing w:after="0" w:line="47" w:lineRule="exact"/>
        <w:rPr>
          <w:sz w:val="20"/>
          <w:szCs w:val="20"/>
          <w:color w:val="auto"/>
        </w:rPr>
      </w:pPr>
    </w:p>
    <w:p>
      <w:pPr>
        <w:ind w:left="780" w:hanging="869"/>
        <w:spacing w:after="0" w:line="224" w:lineRule="auto"/>
        <w:tabs>
          <w:tab w:leader="none" w:pos="76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Form of Restricted Share Award Agreement for long-term vesting and retention awards made under Federal Realty Investment Trust’s Long-Term Incentive Award Program for shares issued out of the 2020 Plan (previously filed as Exhibit 10.34 to the Predecessor's Annual Report on Form 10-K, filed on February 11, 2021, and incorporated herein by reference)</w:t>
      </w:r>
    </w:p>
    <w:p>
      <w:pPr>
        <w:spacing w:after="0" w:line="56" w:lineRule="exact"/>
        <w:rPr>
          <w:sz w:val="20"/>
          <w:szCs w:val="20"/>
          <w:color w:val="auto"/>
        </w:rPr>
      </w:pPr>
    </w:p>
    <w:p>
      <w:pPr>
        <w:ind w:left="780" w:right="40" w:hanging="86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Form of Performance Share Award Agreement for shares awarded out of the 2020 Plan (previously filed as Exhibit 10.35 to the Predecessor's Annual Report on From 10-K, filed on February 11, 2021, and incorporated herein by reference)</w:t>
      </w:r>
    </w:p>
    <w:p>
      <w:pPr>
        <w:spacing w:after="0" w:line="62" w:lineRule="exact"/>
        <w:rPr>
          <w:sz w:val="20"/>
          <w:szCs w:val="20"/>
          <w:color w:val="auto"/>
        </w:rPr>
      </w:pPr>
    </w:p>
    <w:p>
      <w:pPr>
        <w:ind w:left="780" w:right="280" w:hanging="86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Form of Option Award Agreement for basic options awarded out of the 2020 Plan (previously filed as Exhibit 10.36 to the Predecessor's Annual Report on Form 10-K, filed on February 11, 2021, and incorporated herein by reference)</w:t>
      </w:r>
    </w:p>
    <w:p>
      <w:pPr>
        <w:spacing w:after="0" w:line="62" w:lineRule="exact"/>
        <w:rPr>
          <w:sz w:val="20"/>
          <w:szCs w:val="20"/>
          <w:color w:val="auto"/>
        </w:rPr>
      </w:pPr>
    </w:p>
    <w:p>
      <w:pPr>
        <w:ind w:left="780" w:hanging="86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Form of Performance Award Agreement for Jeffrey S. Berkes, dated February 10, 2021 (previously filed as Exhibit 10.1 to the Predecessor’s Current Report on Form 8-K, filed on February 12, 2021, and incorporated herein by reference)</w:t>
      </w:r>
    </w:p>
    <w:p>
      <w:pPr>
        <w:spacing w:after="0" w:line="77" w:lineRule="exact"/>
        <w:rPr>
          <w:sz w:val="20"/>
          <w:szCs w:val="20"/>
          <w:color w:val="auto"/>
        </w:rPr>
      </w:pPr>
    </w:p>
    <w:p>
      <w:pPr>
        <w:ind w:left="780" w:right="240" w:hanging="86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Amended and Restated Severance Agreement between Federal Realty Investment Trust and Jeffery S. Berkes, dated February 10, 2021 (previously filed as Exhibit 10.2 to the Predecessor's Current Report on Form 8-K, filed on February 12, 2021 and incorporated herein by reference)</w:t>
      </w:r>
    </w:p>
    <w:p>
      <w:pPr>
        <w:spacing w:after="0" w:line="62" w:lineRule="exact"/>
        <w:rPr>
          <w:sz w:val="20"/>
          <w:szCs w:val="20"/>
          <w:color w:val="auto"/>
        </w:rPr>
      </w:pPr>
    </w:p>
    <w:p>
      <w:pPr>
        <w:ind w:left="780" w:right="20" w:hanging="869"/>
        <w:spacing w:after="0" w:line="224" w:lineRule="auto"/>
        <w:tabs>
          <w:tab w:leader="none" w:pos="76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First Amendment to Term Loan Agreement, dated as of April 16, 2021, by and among the Predecessor, as borrower, the Lenders, New Lenders, Departing Lenders (as each such term is defined therein) and PNC Bank, National Association, as Administrative Agent (previously filed as Exhibit 10.1 to the Predecessor's Current Report on From 8-K, filed on April 19, 2021, and incorporated herein by reference) ‡</w:t>
      </w:r>
    </w:p>
    <w:p>
      <w:pPr>
        <w:spacing w:after="0" w:line="52" w:lineRule="exact"/>
        <w:rPr>
          <w:sz w:val="20"/>
          <w:szCs w:val="20"/>
          <w:color w:val="auto"/>
        </w:rPr>
      </w:pPr>
    </w:p>
    <w:p>
      <w:pPr>
        <w:ind w:left="780" w:right="40" w:hanging="86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color w:val="auto"/>
        </w:rPr>
        <w:t>Omnibus Assignment, Assumption and Amendment entered into between the Predecessor and the Parent Company (previously filed as Exhibit 10.1 to our Current Report on Form 8-K, filed on January 3, 2022 and incorporated herein by reference)</w:t>
      </w:r>
    </w:p>
    <w:p>
      <w:pPr>
        <w:spacing w:after="0" w:line="66" w:lineRule="exact"/>
        <w:rPr>
          <w:sz w:val="20"/>
          <w:szCs w:val="20"/>
          <w:color w:val="auto"/>
        </w:rPr>
      </w:pPr>
    </w:p>
    <w:p>
      <w:pPr>
        <w:ind w:left="780" w:right="20" w:hanging="869"/>
        <w:spacing w:after="0" w:line="224" w:lineRule="auto"/>
        <w:tabs>
          <w:tab w:leader="none" w:pos="76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20"/>
          <w:szCs w:val="20"/>
          <w:color w:val="auto"/>
        </w:rPr>
        <w:t>Second Amendment to Amended and Restated Credit Agreement and Consent, dated as of January 1, 2022, by and among the Predecessor, as borrower, each of the lenders party thereto and Wells Fargo Bank, National Association, as administrative agent (previously filed as Exhibit 10.2 to the Trust’s Current Report on Form 8-K filed on January 3, 2022 and incorporated herein by reference) ‡</w:t>
      </w:r>
    </w:p>
    <w:p>
      <w:pPr>
        <w:spacing w:after="0" w:line="86" w:lineRule="exact"/>
        <w:rPr>
          <w:sz w:val="20"/>
          <w:szCs w:val="20"/>
          <w:color w:val="auto"/>
        </w:rPr>
      </w:pPr>
    </w:p>
    <w:p>
      <w:pPr>
        <w:ind w:left="780" w:right="80" w:hanging="869"/>
        <w:spacing w:after="0" w:line="224" w:lineRule="auto"/>
        <w:tabs>
          <w:tab w:leader="none" w:pos="760" w:val="left"/>
        </w:tabs>
        <w:rPr>
          <w:sz w:val="20"/>
          <w:szCs w:val="20"/>
          <w:color w:val="auto"/>
        </w:rPr>
      </w:pPr>
      <w:r>
        <w:rPr>
          <w:rFonts w:ascii="Times New Roman" w:cs="Times New Roman" w:eastAsia="Times New Roman" w:hAnsi="Times New Roman"/>
          <w:sz w:val="20"/>
          <w:szCs w:val="20"/>
          <w:color w:val="auto"/>
        </w:rPr>
        <w:t>10.37</w:t>
      </w:r>
      <w:r>
        <w:rPr>
          <w:sz w:val="20"/>
          <w:szCs w:val="20"/>
          <w:color w:val="auto"/>
        </w:rPr>
        <w:tab/>
      </w:r>
      <w:r>
        <w:rPr>
          <w:rFonts w:ascii="Times New Roman" w:cs="Times New Roman" w:eastAsia="Times New Roman" w:hAnsi="Times New Roman"/>
          <w:sz w:val="20"/>
          <w:szCs w:val="20"/>
          <w:color w:val="auto"/>
        </w:rPr>
        <w:t>Second Amendment to Term Loan Agreement and Consent, dated as of January 1, 2022, by and among the Predecessor, as borrower, each of the lenders party thereto and PNC Bank, National Association, as administrative agent (previously filed as Exhibit 10.3 to the Trust’s Current Report on Form 8-K filed on January 3, 2022 and incorporated herein by reference) ‡</w:t>
      </w:r>
    </w:p>
    <w:p>
      <w:pPr>
        <w:sectPr>
          <w:pgSz w:w="11880" w:h="15480" w:orient="portrait"/>
          <w:cols w:equalWidth="0" w:num="1">
            <w:col w:w="10040"/>
          </w:cols>
          <w:pgMar w:left="960" w:top="48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040"/>
          </w:cols>
          <w:pgMar w:left="960" w:top="489" w:right="880" w:bottom="0" w:gutter="0" w:footer="0" w:header="0"/>
          <w:type w:val="continuous"/>
        </w:sectPr>
      </w:pPr>
    </w:p>
    <w:bookmarkStart w:id="63" w:name="page64"/>
    <w:bookmarkEnd w:id="63"/>
    <w:tbl>
      <w:tblPr>
        <w:tblLayout w:type="fixed"/>
        <w:tblInd w:w="50" w:type="dxa"/>
        <w:tblCellMar>
          <w:top w:w="0" w:type="dxa"/>
          <w:left w:w="0" w:type="dxa"/>
          <w:bottom w:w="0" w:type="dxa"/>
          <w:right w:w="0" w:type="dxa"/>
        </w:tblCellMar>
      </w:tblP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1"/>
        </w:trPr>
        <w:tc>
          <w:tcPr>
            <w:tcW w:w="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No.</w:t>
            </w:r>
          </w:p>
        </w:tc>
        <w:tc>
          <w:tcPr>
            <w:tcW w:w="9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10.38</w:t>
            </w:r>
          </w:p>
        </w:tc>
        <w:tc>
          <w:tcPr>
            <w:tcW w:w="9180" w:type="dxa"/>
            <w:vAlign w:val="bottom"/>
          </w:tcPr>
          <w:p>
            <w:pPr>
              <w:ind w:left="140"/>
              <w:spacing w:after="0" w:line="205" w:lineRule="exact"/>
              <w:rPr>
                <w:sz w:val="20"/>
                <w:szCs w:val="20"/>
                <w:color w:val="auto"/>
              </w:rPr>
            </w:pPr>
            <w:r>
              <w:rPr>
                <w:rFonts w:ascii="Times New Roman" w:cs="Times New Roman" w:eastAsia="Times New Roman" w:hAnsi="Times New Roman"/>
                <w:sz w:val="20"/>
                <w:szCs w:val="20"/>
                <w:color w:val="auto"/>
                <w:w w:val="99"/>
              </w:rPr>
              <w:t>Second Amended and Restated Credit Agreement, dated as of October 5, 2022, by and among the Partnership, as</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918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auto"/>
              </w:rPr>
              <w:t>borrower, each of the lenders party thereto and Wells Fargo Bank, National Association, as administrative agent</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918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auto"/>
              </w:rPr>
              <w:t>(previously filed as Exhibit 10.1 to the Trust’s Current Report on Form 8-K filed on October 11, 2022 and</w:t>
            </w: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incorporated herein by reference)</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Third Amendment to Term Loan Agreement, dated as of October 5, 2022, by and among the Partnership, as</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918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auto"/>
              </w:rPr>
              <w:t>borrower, each of the lenders party thereto and PNC Bank, National Association, as administrative agent</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918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auto"/>
              </w:rPr>
              <w:t>(previously filed as Exhibit 10.2 to the Trust’s Current Report on Form 8-K filed on October 11, 2022 and</w:t>
            </w: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incorporated herein by reference)</w:t>
            </w:r>
          </w:p>
        </w:tc>
        <w:tc>
          <w:tcPr>
            <w:tcW w:w="0" w:type="dxa"/>
            <w:vAlign w:val="bottom"/>
          </w:tcPr>
          <w:p>
            <w:pPr>
              <w:spacing w:after="0"/>
              <w:rPr>
                <w:sz w:val="1"/>
                <w:szCs w:val="1"/>
                <w:color w:val="auto"/>
              </w:rPr>
            </w:pPr>
          </w:p>
        </w:tc>
      </w:tr>
      <w:tr>
        <w:trPr>
          <w:trHeight w:val="39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Subsidiaries of Federal Realty Investment Trust and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Consent of Grant Thornton LLP (filed herewith)</w:t>
            </w:r>
          </w:p>
        </w:tc>
        <w:tc>
          <w:tcPr>
            <w:tcW w:w="0" w:type="dxa"/>
            <w:vAlign w:val="bottom"/>
          </w:tcPr>
          <w:p>
            <w:pPr>
              <w:spacing w:after="0"/>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Rule 13a-14(a) Certification of Chief Executive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Rule 13a-14(a) Certification of Chief Financial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31.3</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Rule 13a-14(a) Certification of Chief Executive Officer -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31.4</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Rule 13a-14(a) Certification of Chief Financial Officer -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Section 1350 Certification of Chief Executive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Section 1350 Certification of Chief Financial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32.3</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Section 1350 Certification of Chief Executive Officer -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32.4</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Section 1350 Certification of Chief Financial Officer - Federal Realty OP LP (filed herewith)</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930" w:right="40" w:hanging="877"/>
        <w:spacing w:after="0" w:line="221" w:lineRule="auto"/>
        <w:tabs>
          <w:tab w:leader="none" w:pos="9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materials from this Annual Report on Form 10-K for the year ended December 31, 2022,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41" w:lineRule="exact"/>
        <w:rPr>
          <w:sz w:val="20"/>
          <w:szCs w:val="20"/>
          <w:color w:val="auto"/>
        </w:rPr>
      </w:pPr>
    </w:p>
    <w:p>
      <w:pPr>
        <w:ind w:left="50"/>
        <w:spacing w:after="0"/>
        <w:tabs>
          <w:tab w:leader="none" w:pos="91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in Inline XBRL and contained in Exhibit 101)</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_____________________</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Management contract or compensatory plan required to be filed as an exhibit pursuant to Item 15(b) of Form 10-K.</w:t>
      </w:r>
    </w:p>
    <w:p>
      <w:pPr>
        <w:spacing w:after="0" w:line="10" w:lineRule="exact"/>
        <w:rPr>
          <w:sz w:val="20"/>
          <w:szCs w:val="20"/>
          <w:color w:val="auto"/>
        </w:rPr>
      </w:pPr>
    </w:p>
    <w:p>
      <w:pPr>
        <w:ind w:left="10" w:right="40" w:hanging="10"/>
        <w:spacing w:after="0" w:line="250" w:lineRule="auto"/>
        <w:tabs>
          <w:tab w:leader="none" w:pos="1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Regulation S-K Item 601(b)(4)(iii), the Trust and the Partnership by this filing agree, upon request, to furnish to the Securities and Exchange Commission a copy of other instruments defining the rights of holders of long-term debt of the Trust and the Partnership.</w:t>
      </w:r>
    </w:p>
    <w:p>
      <w:pPr>
        <w:spacing w:after="0" w:line="1" w:lineRule="exact"/>
        <w:rPr>
          <w:rFonts w:ascii="Times New Roman" w:cs="Times New Roman" w:eastAsia="Times New Roman" w:hAnsi="Times New Roman"/>
          <w:sz w:val="20"/>
          <w:szCs w:val="20"/>
          <w:color w:val="auto"/>
        </w:rPr>
      </w:pPr>
    </w:p>
    <w:p>
      <w:pPr>
        <w:ind w:left="10"/>
        <w:spacing w:after="0" w:line="27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In this Exhibit Index, the term "Predecessor" refers to Federal Realty Investment Trust before the effectiveness of our UPREIT conversion as described in our Current Reports on Form 8-K filed on January 3 and 5, 2022. Upon completion of the UPREIT conversion, the Partnership became the successor to the Predecessor's right and obligations under this instrument.</w:t>
      </w:r>
    </w:p>
    <w:p>
      <w:pPr>
        <w:spacing w:after="0" w:line="122" w:lineRule="exact"/>
        <w:rPr>
          <w:sz w:val="20"/>
          <w:szCs w:val="20"/>
          <w:color w:val="auto"/>
        </w:rPr>
      </w:pPr>
    </w:p>
    <w:p>
      <w:pPr>
        <w:ind w:left="10"/>
        <w:spacing w:after="0"/>
        <w:tabs>
          <w:tab w:leader="none" w:pos="101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090"/>
          </w:cols>
          <w:pgMar w:left="810" w:top="4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090"/>
          </w:cols>
          <w:pgMar w:left="810" w:top="486" w:right="980" w:bottom="0" w:gutter="0" w:footer="0" w:header="0"/>
          <w:type w:val="continuous"/>
        </w:sectPr>
      </w:pPr>
    </w:p>
    <w:bookmarkStart w:id="64" w:name="page65"/>
    <w:bookmarkEnd w:id="6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1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 this February 8,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Federal Realty Investment Trust</w:t>
      </w:r>
    </w:p>
    <w:p>
      <w:pPr>
        <w:spacing w:after="0" w:line="7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Federal Realty OP LP</w:t>
      </w:r>
    </w:p>
    <w:p>
      <w:pPr>
        <w:spacing w:after="0" w:line="334" w:lineRule="exact"/>
        <w:rPr>
          <w:sz w:val="20"/>
          <w:szCs w:val="20"/>
          <w:color w:val="auto"/>
        </w:rPr>
      </w:pPr>
    </w:p>
    <w:p>
      <w:pPr>
        <w:ind w:left="4440"/>
        <w:spacing w:after="0"/>
        <w:tabs>
          <w:tab w:leader="none" w:pos="5380" w:val="left"/>
          <w:tab w:leader="none" w:pos="5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w:t>
        <w:tab/>
        <w:t>D</w:t>
      </w:r>
      <w:r>
        <w:rPr>
          <w:rFonts w:ascii="Times New Roman" w:cs="Times New Roman" w:eastAsia="Times New Roman" w:hAnsi="Times New Roman"/>
          <w:sz w:val="16"/>
          <w:szCs w:val="16"/>
          <w:color w:val="auto"/>
        </w:rPr>
        <w:t>ONALD</w:t>
      </w:r>
      <w:r>
        <w:rPr>
          <w:rFonts w:ascii="Times New Roman" w:cs="Times New Roman" w:eastAsia="Times New Roman" w:hAnsi="Times New Roman"/>
          <w:sz w:val="20"/>
          <w:szCs w:val="20"/>
          <w:color w:val="auto"/>
        </w:rPr>
        <w:t xml:space="preserve"> C. W</w:t>
      </w:r>
      <w:r>
        <w:rPr>
          <w:rFonts w:ascii="Times New Roman" w:cs="Times New Roman" w:eastAsia="Times New Roman" w:hAnsi="Times New Roman"/>
          <w:sz w:val="16"/>
          <w:szCs w:val="16"/>
          <w:color w:val="auto"/>
        </w:rPr>
        <w:t>OOD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3041650</wp:posOffset>
                </wp:positionH>
                <wp:positionV relativeFrom="paragraph">
                  <wp:posOffset>40640</wp:posOffset>
                </wp:positionV>
                <wp:extent cx="22098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5pt,3.2pt" to="413.5pt,3.2pt" o:allowincell="f" strokecolor="#000000" strokeweight="1pt"/>
            </w:pict>
          </mc:Fallback>
        </mc:AlternateContent>
      </w:r>
    </w:p>
    <w:p>
      <w:pPr>
        <w:spacing w:after="0" w:line="58"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6"/>
          <w:szCs w:val="16"/>
          <w:b w:val="1"/>
          <w:bCs w:val="1"/>
          <w:color w:val="auto"/>
        </w:rPr>
        <w:t>Donald C. Wood</w:t>
      </w:r>
    </w:p>
    <w:p>
      <w:pPr>
        <w:jc w:val="center"/>
        <w:ind w:left="2820"/>
        <w:spacing w:after="0"/>
        <w:rPr>
          <w:sz w:val="20"/>
          <w:szCs w:val="20"/>
          <w:color w:val="auto"/>
        </w:rPr>
      </w:pPr>
      <w:r>
        <w:rPr>
          <w:rFonts w:ascii="Times New Roman" w:cs="Times New Roman" w:eastAsia="Times New Roman" w:hAnsi="Times New Roman"/>
          <w:sz w:val="16"/>
          <w:szCs w:val="16"/>
          <w:b w:val="1"/>
          <w:bCs w:val="1"/>
          <w:color w:val="auto"/>
        </w:rPr>
        <w:t>Chief Executive Officer and Trustee</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80" w:type="dxa"/>
            <w:vAlign w:val="bottom"/>
            <w:gridSpan w:val="2"/>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198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60" w:type="dxa"/>
            <w:vAlign w:val="bottom"/>
          </w:tcPr>
          <w:p>
            <w:pPr>
              <w:spacing w:after="0"/>
              <w:rPr>
                <w:sz w:val="16"/>
                <w:szCs w:val="16"/>
                <w:color w:val="auto"/>
              </w:rPr>
            </w:pPr>
          </w:p>
        </w:tc>
        <w:tc>
          <w:tcPr>
            <w:tcW w:w="84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0"/>
        </w:trPr>
        <w:tc>
          <w:tcPr>
            <w:tcW w:w="1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71"/>
        </w:trPr>
        <w:tc>
          <w:tcPr>
            <w:tcW w:w="12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16"/>
                <w:szCs w:val="16"/>
                <w:color w:val="auto"/>
                <w:w w:val="99"/>
              </w:rPr>
              <w:t>S</w:t>
            </w:r>
            <w:r>
              <w:rPr>
                <w:rFonts w:ascii="Times New Roman" w:cs="Times New Roman" w:eastAsia="Times New Roman" w:hAnsi="Times New Roman"/>
                <w:sz w:val="20"/>
                <w:szCs w:val="20"/>
                <w:color w:val="auto"/>
                <w:w w:val="99"/>
              </w:rPr>
              <w:t>/</w:t>
            </w:r>
          </w:p>
        </w:tc>
        <w:tc>
          <w:tcPr>
            <w:tcW w:w="2800" w:type="dxa"/>
            <w:vAlign w:val="bottom"/>
            <w:tcBorders>
              <w:bottom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6"/>
                <w:szCs w:val="16"/>
                <w:color w:val="auto"/>
              </w:rPr>
              <w:t>ONALD</w:t>
            </w:r>
            <w:r>
              <w:rPr>
                <w:rFonts w:ascii="Times New Roman" w:cs="Times New Roman" w:eastAsia="Times New Roman" w:hAnsi="Times New Roman"/>
                <w:sz w:val="20"/>
                <w:szCs w:val="20"/>
                <w:color w:val="auto"/>
              </w:rPr>
              <w:t xml:space="preserve"> C. W</w:t>
            </w:r>
            <w:r>
              <w:rPr>
                <w:rFonts w:ascii="Times New Roman" w:cs="Times New Roman" w:eastAsia="Times New Roman" w:hAnsi="Times New Roman"/>
                <w:sz w:val="16"/>
                <w:szCs w:val="16"/>
                <w:color w:val="auto"/>
              </w:rPr>
              <w:t>OOD</w:t>
            </w:r>
          </w:p>
        </w:tc>
        <w:tc>
          <w:tcPr>
            <w:tcW w:w="418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Chief Executive Officer and Trustee</w:t>
            </w:r>
          </w:p>
        </w:tc>
        <w:tc>
          <w:tcPr>
            <w:tcW w:w="1700" w:type="dxa"/>
            <w:vAlign w:val="bottom"/>
            <w:gridSpan w:val="3"/>
          </w:tcPr>
          <w:p>
            <w:pPr>
              <w:jc w:val="center"/>
              <w:ind w:left="240"/>
              <w:spacing w:after="0"/>
              <w:rPr>
                <w:sz w:val="20"/>
                <w:szCs w:val="20"/>
                <w:color w:val="auto"/>
              </w:rPr>
            </w:pPr>
            <w:r>
              <w:rPr>
                <w:rFonts w:ascii="Times New Roman" w:cs="Times New Roman" w:eastAsia="Times New Roman" w:hAnsi="Times New Roman"/>
                <w:sz w:val="20"/>
                <w:szCs w:val="20"/>
                <w:color w:val="auto"/>
                <w:w w:val="99"/>
              </w:rPr>
              <w:t>February 8, 2023</w:t>
            </w:r>
          </w:p>
        </w:tc>
      </w:tr>
      <w:tr>
        <w:trPr>
          <w:trHeight w:val="241"/>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3"/>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w w:val="99"/>
              </w:rPr>
              <w:t>Donald C. Wood</w:t>
            </w:r>
          </w:p>
        </w:tc>
        <w:tc>
          <w:tcPr>
            <w:tcW w:w="41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04"/>
        </w:trPr>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w:t>
            </w: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20"/>
                <w:szCs w:val="20"/>
                <w:color w:val="auto"/>
                <w:w w:val="99"/>
              </w:rPr>
              <w:t>D</w:t>
            </w:r>
            <w:r>
              <w:rPr>
                <w:rFonts w:ascii="Times New Roman" w:cs="Times New Roman" w:eastAsia="Times New Roman" w:hAnsi="Times New Roman"/>
                <w:sz w:val="16"/>
                <w:szCs w:val="16"/>
                <w:color w:val="auto"/>
                <w:w w:val="99"/>
              </w:rPr>
              <w:t>ANIEL</w:t>
            </w:r>
            <w:r>
              <w:rPr>
                <w:rFonts w:ascii="Times New Roman" w:cs="Times New Roman" w:eastAsia="Times New Roman" w:hAnsi="Times New Roman"/>
                <w:sz w:val="20"/>
                <w:szCs w:val="20"/>
                <w:color w:val="auto"/>
                <w:w w:val="99"/>
              </w:rPr>
              <w:t xml:space="preserve"> G</w:t>
            </w:r>
            <w:r>
              <w:rPr>
                <w:rFonts w:ascii="Times New Roman" w:cs="Times New Roman" w:eastAsia="Times New Roman" w:hAnsi="Times New Roman"/>
                <w:sz w:val="16"/>
                <w:szCs w:val="16"/>
                <w:color w:val="auto"/>
                <w:w w:val="99"/>
              </w:rPr>
              <w:t>UGLIELMONE</w:t>
            </w:r>
          </w:p>
        </w:tc>
        <w:tc>
          <w:tcPr>
            <w:tcW w:w="418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Executive Vice President - Chief Financial</w:t>
            </w:r>
          </w:p>
        </w:tc>
        <w:tc>
          <w:tcPr>
            <w:tcW w:w="1700" w:type="dxa"/>
            <w:vAlign w:val="bottom"/>
            <w:gridSpan w:val="3"/>
          </w:tcPr>
          <w:p>
            <w:pPr>
              <w:jc w:val="center"/>
              <w:ind w:left="240"/>
              <w:spacing w:after="0"/>
              <w:rPr>
                <w:sz w:val="20"/>
                <w:szCs w:val="20"/>
                <w:color w:val="auto"/>
              </w:rPr>
            </w:pPr>
            <w:r>
              <w:rPr>
                <w:rFonts w:ascii="Times New Roman" w:cs="Times New Roman" w:eastAsia="Times New Roman" w:hAnsi="Times New Roman"/>
                <w:sz w:val="20"/>
                <w:szCs w:val="20"/>
                <w:color w:val="auto"/>
                <w:w w:val="99"/>
              </w:rPr>
              <w:t>February 8, 2023</w:t>
            </w:r>
          </w:p>
        </w:tc>
      </w:tr>
      <w:tr>
        <w:trPr>
          <w:trHeight w:val="227"/>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3"/>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w w:val="98"/>
              </w:rPr>
              <w:t>Daniel Guglielmone</w:t>
            </w:r>
          </w:p>
        </w:tc>
        <w:tc>
          <w:tcPr>
            <w:tcW w:w="4180" w:type="dxa"/>
            <w:vAlign w:val="bottom"/>
            <w:gridSpan w:val="3"/>
          </w:tcPr>
          <w:p>
            <w:pPr>
              <w:ind w:left="640"/>
              <w:spacing w:after="0" w:line="227" w:lineRule="exact"/>
              <w:rPr>
                <w:sz w:val="20"/>
                <w:szCs w:val="20"/>
                <w:color w:val="auto"/>
              </w:rPr>
            </w:pPr>
            <w:r>
              <w:rPr>
                <w:rFonts w:ascii="Times New Roman" w:cs="Times New Roman" w:eastAsia="Times New Roman" w:hAnsi="Times New Roman"/>
                <w:sz w:val="20"/>
                <w:szCs w:val="20"/>
                <w:color w:val="auto"/>
              </w:rPr>
              <w:t>Officer and Treasurer (Principal</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60"/>
        </w:trPr>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1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Financial and Accounting Officer)</w:t>
            </w: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513"/>
        </w:trPr>
        <w:tc>
          <w:tcPr>
            <w:tcW w:w="12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16"/>
                <w:szCs w:val="16"/>
                <w:color w:val="auto"/>
                <w:w w:val="99"/>
              </w:rPr>
              <w:t>S</w:t>
            </w:r>
            <w:r>
              <w:rPr>
                <w:rFonts w:ascii="Times New Roman" w:cs="Times New Roman" w:eastAsia="Times New Roman" w:hAnsi="Times New Roman"/>
                <w:sz w:val="20"/>
                <w:szCs w:val="20"/>
                <w:color w:val="auto"/>
                <w:w w:val="99"/>
              </w:rPr>
              <w:t>/</w:t>
            </w:r>
          </w:p>
        </w:tc>
        <w:tc>
          <w:tcPr>
            <w:tcW w:w="2800" w:type="dxa"/>
            <w:vAlign w:val="bottom"/>
            <w:tcBorders>
              <w:bottom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20"/>
                <w:szCs w:val="20"/>
                <w:color w:val="auto"/>
              </w:rPr>
              <w:t xml:space="preserve"> W. F</w:t>
            </w:r>
            <w:r>
              <w:rPr>
                <w:rFonts w:ascii="Times New Roman" w:cs="Times New Roman" w:eastAsia="Times New Roman" w:hAnsi="Times New Roman"/>
                <w:sz w:val="16"/>
                <w:szCs w:val="16"/>
                <w:color w:val="auto"/>
              </w:rPr>
              <w:t>AEDER</w:t>
            </w:r>
          </w:p>
        </w:tc>
        <w:tc>
          <w:tcPr>
            <w:tcW w:w="418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Non -Executive Chairman</w:t>
            </w:r>
          </w:p>
        </w:tc>
        <w:tc>
          <w:tcPr>
            <w:tcW w:w="1700" w:type="dxa"/>
            <w:vAlign w:val="bottom"/>
            <w:gridSpan w:val="3"/>
          </w:tcPr>
          <w:p>
            <w:pPr>
              <w:jc w:val="center"/>
              <w:ind w:left="240"/>
              <w:spacing w:after="0"/>
              <w:rPr>
                <w:sz w:val="20"/>
                <w:szCs w:val="20"/>
                <w:color w:val="auto"/>
              </w:rPr>
            </w:pPr>
            <w:r>
              <w:rPr>
                <w:rFonts w:ascii="Times New Roman" w:cs="Times New Roman" w:eastAsia="Times New Roman" w:hAnsi="Times New Roman"/>
                <w:sz w:val="20"/>
                <w:szCs w:val="20"/>
                <w:color w:val="auto"/>
                <w:w w:val="99"/>
              </w:rPr>
              <w:t>February 8, 2023</w:t>
            </w:r>
          </w:p>
        </w:tc>
      </w:tr>
      <w:tr>
        <w:trPr>
          <w:trHeight w:val="211"/>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David W. Faeder</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579"/>
        </w:trPr>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/S/</w:t>
            </w:r>
          </w:p>
        </w:tc>
        <w:tc>
          <w:tcPr>
            <w:tcW w:w="2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6"/>
                <w:szCs w:val="16"/>
                <w:color w:val="auto"/>
              </w:rPr>
              <w:t>LIZABETH</w:t>
            </w:r>
            <w:r>
              <w:rPr>
                <w:rFonts w:ascii="Times New Roman" w:cs="Times New Roman" w:eastAsia="Times New Roman" w:hAnsi="Times New Roman"/>
                <w:sz w:val="20"/>
                <w:szCs w:val="20"/>
                <w:color w:val="auto"/>
              </w:rPr>
              <w:t xml:space="preserve"> I. H</w:t>
            </w:r>
            <w:r>
              <w:rPr>
                <w:rFonts w:ascii="Times New Roman" w:cs="Times New Roman" w:eastAsia="Times New Roman" w:hAnsi="Times New Roman"/>
                <w:sz w:val="16"/>
                <w:szCs w:val="16"/>
                <w:color w:val="auto"/>
              </w:rPr>
              <w:t>OLLAND</w:t>
            </w:r>
          </w:p>
        </w:tc>
        <w:tc>
          <w:tcPr>
            <w:tcW w:w="418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Trustee</w:t>
            </w:r>
          </w:p>
        </w:tc>
        <w:tc>
          <w:tcPr>
            <w:tcW w:w="1700" w:type="dxa"/>
            <w:vAlign w:val="bottom"/>
            <w:gridSpan w:val="3"/>
          </w:tcPr>
          <w:p>
            <w:pPr>
              <w:jc w:val="center"/>
              <w:ind w:left="240"/>
              <w:spacing w:after="0"/>
              <w:rPr>
                <w:sz w:val="20"/>
                <w:szCs w:val="20"/>
                <w:color w:val="auto"/>
              </w:rPr>
            </w:pPr>
            <w:r>
              <w:rPr>
                <w:rFonts w:ascii="Times New Roman" w:cs="Times New Roman" w:eastAsia="Times New Roman" w:hAnsi="Times New Roman"/>
                <w:sz w:val="20"/>
                <w:szCs w:val="20"/>
                <w:color w:val="auto"/>
                <w:w w:val="99"/>
              </w:rPr>
              <w:t>February 8, 2023</w:t>
            </w:r>
          </w:p>
        </w:tc>
      </w:tr>
      <w:tr>
        <w:trPr>
          <w:trHeight w:val="211"/>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w w:val="99"/>
              </w:rPr>
              <w:t>Elizabeth I. Holland</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534"/>
        </w:trPr>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/S/</w:t>
            </w:r>
          </w:p>
        </w:tc>
        <w:tc>
          <w:tcPr>
            <w:tcW w:w="2900" w:type="dxa"/>
            <w:vAlign w:val="bottom"/>
            <w:tcBorders>
              <w:bottom w:val="single" w:sz="8" w:color="auto"/>
            </w:tcBorders>
            <w:gridSpan w:val="4"/>
          </w:tcPr>
          <w:p>
            <w:pPr>
              <w:jc w:val="center"/>
              <w:ind w:right="84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6"/>
                <w:szCs w:val="16"/>
                <w:color w:val="auto"/>
              </w:rPr>
              <w:t>ICOLE</w:t>
            </w:r>
            <w:r>
              <w:rPr>
                <w:rFonts w:ascii="Times New Roman" w:cs="Times New Roman" w:eastAsia="Times New Roman" w:hAnsi="Times New Roman"/>
                <w:sz w:val="20"/>
                <w:szCs w:val="20"/>
                <w:color w:val="auto"/>
              </w:rPr>
              <w:t xml:space="preserve"> Y. L</w:t>
            </w:r>
            <w:r>
              <w:rPr>
                <w:rFonts w:ascii="Times New Roman" w:cs="Times New Roman" w:eastAsia="Times New Roman" w:hAnsi="Times New Roman"/>
                <w:sz w:val="16"/>
                <w:szCs w:val="16"/>
                <w:color w:val="auto"/>
              </w:rPr>
              <w:t>AMB-HALE</w:t>
            </w:r>
          </w:p>
        </w:tc>
        <w:tc>
          <w:tcPr>
            <w:tcW w:w="418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Trustee</w:t>
            </w:r>
          </w:p>
        </w:tc>
        <w:tc>
          <w:tcPr>
            <w:tcW w:w="1700" w:type="dxa"/>
            <w:vAlign w:val="bottom"/>
            <w:gridSpan w:val="3"/>
          </w:tcPr>
          <w:p>
            <w:pPr>
              <w:jc w:val="center"/>
              <w:ind w:left="240"/>
              <w:spacing w:after="0"/>
              <w:rPr>
                <w:sz w:val="20"/>
                <w:szCs w:val="20"/>
                <w:color w:val="auto"/>
              </w:rPr>
            </w:pPr>
            <w:r>
              <w:rPr>
                <w:rFonts w:ascii="Times New Roman" w:cs="Times New Roman" w:eastAsia="Times New Roman" w:hAnsi="Times New Roman"/>
                <w:sz w:val="20"/>
                <w:szCs w:val="20"/>
                <w:color w:val="auto"/>
                <w:w w:val="99"/>
              </w:rPr>
              <w:t>February 8, 2023</w:t>
            </w:r>
          </w:p>
        </w:tc>
      </w:tr>
      <w:tr>
        <w:trPr>
          <w:trHeight w:val="211"/>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Nicole Y. Lamb-Hale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200" w:lineRule="exact"/>
        <w:rPr>
          <w:sz w:val="20"/>
          <w:szCs w:val="20"/>
          <w:color w:val="auto"/>
        </w:rPr>
      </w:pPr>
    </w:p>
    <w:p>
      <w:pPr>
        <w:sectPr>
          <w:pgSz w:w="11880" w:h="15480" w:orient="portrait"/>
          <w:cols w:equalWidth="0" w:num="1">
            <w:col w:w="10180"/>
          </w:cols>
          <w:pgMar w:left="820" w:top="406" w:right="880" w:bottom="0" w:gutter="0" w:footer="0" w:header="0"/>
        </w:sectPr>
      </w:pPr>
    </w:p>
    <w:p>
      <w:pPr>
        <w:spacing w:after="0" w:line="119" w:lineRule="exact"/>
        <w:rPr>
          <w:sz w:val="20"/>
          <w:szCs w:val="20"/>
          <w:color w:val="auto"/>
        </w:rPr>
      </w:pPr>
    </w:p>
    <w:p>
      <w:pPr>
        <w:ind w:left="980"/>
        <w:spacing w:after="0"/>
        <w:tabs>
          <w:tab w:leader="none" w:pos="13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THOMAS A. MCEACHIN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25400</wp:posOffset>
                </wp:positionV>
                <wp:extent cx="25908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pt" to="203.5pt,2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tabs>
          <w:tab w:leader="none" w:pos="4080" w:val="left"/>
        </w:tabs>
        <w:rPr>
          <w:sz w:val="20"/>
          <w:szCs w:val="20"/>
          <w:color w:val="auto"/>
        </w:rPr>
      </w:pPr>
      <w:r>
        <w:rPr>
          <w:rFonts w:ascii="Times New Roman" w:cs="Times New Roman" w:eastAsia="Times New Roman" w:hAnsi="Times New Roman"/>
          <w:sz w:val="19"/>
          <w:szCs w:val="19"/>
          <w:color w:val="auto"/>
        </w:rPr>
        <w:t>Trustee</w:t>
      </w:r>
      <w:r>
        <w:rPr>
          <w:sz w:val="20"/>
          <w:szCs w:val="20"/>
          <w:color w:val="auto"/>
        </w:rPr>
        <w:tab/>
      </w:r>
      <w:r>
        <w:rPr>
          <w:rFonts w:ascii="Times New Roman" w:cs="Times New Roman" w:eastAsia="Times New Roman" w:hAnsi="Times New Roman"/>
          <w:sz w:val="19"/>
          <w:szCs w:val="19"/>
          <w:color w:val="auto"/>
        </w:rPr>
        <w:t>February 8, 2023</w:t>
      </w:r>
    </w:p>
    <w:p>
      <w:pPr>
        <w:spacing w:after="0" w:line="43" w:lineRule="exact"/>
        <w:rPr>
          <w:sz w:val="20"/>
          <w:szCs w:val="20"/>
          <w:color w:val="auto"/>
        </w:rPr>
      </w:pPr>
    </w:p>
    <w:p>
      <w:pPr>
        <w:sectPr>
          <w:pgSz w:w="11880" w:h="15480" w:orient="portrait"/>
          <w:cols w:equalWidth="0" w:num="2">
            <w:col w:w="3780" w:space="720"/>
            <w:col w:w="5680"/>
          </w:cols>
          <w:pgMar w:left="820" w:top="406" w:right="880" w:bottom="0" w:gutter="0" w:footer="0" w:header="0"/>
          <w:type w:val="continuous"/>
        </w:sectPr>
      </w:pPr>
    </w:p>
    <w:p>
      <w:pPr>
        <w:ind w:left="1280"/>
        <w:spacing w:after="0"/>
        <w:rPr>
          <w:sz w:val="20"/>
          <w:szCs w:val="20"/>
          <w:color w:val="auto"/>
        </w:rPr>
      </w:pPr>
      <w:r>
        <w:rPr>
          <w:rFonts w:ascii="Times New Roman" w:cs="Times New Roman" w:eastAsia="Times New Roman" w:hAnsi="Times New Roman"/>
          <w:sz w:val="16"/>
          <w:szCs w:val="16"/>
          <w:b w:val="1"/>
          <w:bCs w:val="1"/>
          <w:color w:val="auto"/>
        </w:rPr>
        <w:t>Thomas A. McEachin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20"/>
                <w:szCs w:val="20"/>
                <w:color w:val="auto"/>
              </w:rPr>
              <w:t>A</w:t>
            </w:r>
            <w:r>
              <w:rPr>
                <w:rFonts w:ascii="Times New Roman" w:cs="Times New Roman" w:eastAsia="Times New Roman" w:hAnsi="Times New Roman"/>
                <w:sz w:val="16"/>
                <w:szCs w:val="16"/>
                <w:color w:val="auto"/>
              </w:rPr>
              <w:t xml:space="preserve">NTHONY </w:t>
            </w:r>
            <w:r>
              <w:rPr>
                <w:rFonts w:ascii="Times New Roman" w:cs="Times New Roman" w:eastAsia="Times New Roman" w:hAnsi="Times New Roman"/>
                <w:sz w:val="20"/>
                <w:szCs w:val="20"/>
                <w:color w:val="auto"/>
              </w:rPr>
              <w:t>P. N</w:t>
            </w:r>
            <w:r>
              <w:rPr>
                <w:rFonts w:ascii="Times New Roman" w:cs="Times New Roman" w:eastAsia="Times New Roman" w:hAnsi="Times New Roman"/>
                <w:sz w:val="16"/>
                <w:szCs w:val="16"/>
                <w:color w:val="auto"/>
              </w:rPr>
              <w:t xml:space="preserve">ADER, </w:t>
            </w:r>
            <w:r>
              <w:rPr>
                <w:rFonts w:ascii="Times New Roman" w:cs="Times New Roman" w:eastAsia="Times New Roman" w:hAnsi="Times New Roman"/>
                <w:sz w:val="20"/>
                <w:szCs w:val="20"/>
                <w:color w:val="auto"/>
              </w:rPr>
              <w:t>III</w:t>
            </w:r>
          </w:p>
        </w:tc>
        <w:tc>
          <w:tcPr>
            <w:tcW w:w="27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Trustee</w:t>
            </w:r>
          </w:p>
        </w:tc>
        <w:tc>
          <w:tcPr>
            <w:tcW w:w="3120" w:type="dxa"/>
            <w:vAlign w:val="bottom"/>
          </w:tcPr>
          <w:p>
            <w:pPr>
              <w:ind w:left="1760"/>
              <w:spacing w:after="0"/>
              <w:rPr>
                <w:sz w:val="20"/>
                <w:szCs w:val="20"/>
                <w:color w:val="auto"/>
              </w:rPr>
            </w:pPr>
            <w:r>
              <w:rPr>
                <w:rFonts w:ascii="Times New Roman" w:cs="Times New Roman" w:eastAsia="Times New Roman" w:hAnsi="Times New Roman"/>
                <w:sz w:val="20"/>
                <w:szCs w:val="20"/>
                <w:color w:val="auto"/>
                <w:w w:val="97"/>
              </w:rPr>
              <w:t>February 8, 2023</w:t>
            </w:r>
          </w:p>
        </w:tc>
      </w:tr>
      <w:tr>
        <w:trPr>
          <w:trHeight w:val="211"/>
        </w:trPr>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Anthony P. Nader, III</w:t>
            </w:r>
          </w:p>
        </w:tc>
        <w:tc>
          <w:tcPr>
            <w:tcW w:w="276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534"/>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  G</w:t>
            </w:r>
            <w:r>
              <w:rPr>
                <w:rFonts w:ascii="Times New Roman" w:cs="Times New Roman" w:eastAsia="Times New Roman" w:hAnsi="Times New Roman"/>
                <w:sz w:val="16"/>
                <w:szCs w:val="16"/>
                <w:color w:val="auto"/>
              </w:rPr>
              <w:t>AIL</w:t>
            </w:r>
            <w:r>
              <w:rPr>
                <w:rFonts w:ascii="Times New Roman" w:cs="Times New Roman" w:eastAsia="Times New Roman" w:hAnsi="Times New Roman"/>
                <w:sz w:val="20"/>
                <w:szCs w:val="20"/>
                <w:color w:val="auto"/>
              </w:rPr>
              <w:t xml:space="preserve"> P. S</w:t>
            </w:r>
            <w:r>
              <w:rPr>
                <w:rFonts w:ascii="Times New Roman" w:cs="Times New Roman" w:eastAsia="Times New Roman" w:hAnsi="Times New Roman"/>
                <w:sz w:val="16"/>
                <w:szCs w:val="16"/>
                <w:color w:val="auto"/>
              </w:rPr>
              <w:t>TEINEL</w:t>
            </w:r>
          </w:p>
        </w:tc>
        <w:tc>
          <w:tcPr>
            <w:tcW w:w="27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Trustee</w:t>
            </w:r>
          </w:p>
        </w:tc>
        <w:tc>
          <w:tcPr>
            <w:tcW w:w="3120" w:type="dxa"/>
            <w:vAlign w:val="bottom"/>
          </w:tcPr>
          <w:p>
            <w:pPr>
              <w:ind w:left="1760"/>
              <w:spacing w:after="0"/>
              <w:rPr>
                <w:sz w:val="20"/>
                <w:szCs w:val="20"/>
                <w:color w:val="auto"/>
              </w:rPr>
            </w:pPr>
            <w:r>
              <w:rPr>
                <w:rFonts w:ascii="Times New Roman" w:cs="Times New Roman" w:eastAsia="Times New Roman" w:hAnsi="Times New Roman"/>
                <w:sz w:val="20"/>
                <w:szCs w:val="20"/>
                <w:color w:val="auto"/>
                <w:w w:val="97"/>
              </w:rPr>
              <w:t>February 8, 2023</w:t>
            </w:r>
          </w:p>
        </w:tc>
      </w:tr>
      <w:tr>
        <w:trPr>
          <w:trHeight w:val="211"/>
        </w:trPr>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Gail P. Steinel</w:t>
            </w:r>
          </w:p>
        </w:tc>
        <w:tc>
          <w:tcPr>
            <w:tcW w:w="2760" w:type="dxa"/>
            <w:vAlign w:val="bottom"/>
          </w:tcPr>
          <w:p>
            <w:pPr>
              <w:spacing w:after="0"/>
              <w:rPr>
                <w:sz w:val="18"/>
                <w:szCs w:val="18"/>
                <w:color w:val="auto"/>
              </w:rPr>
            </w:pPr>
          </w:p>
        </w:tc>
        <w:tc>
          <w:tcPr>
            <w:tcW w:w="3120" w:type="dxa"/>
            <w:vAlign w:val="bottom"/>
          </w:tcPr>
          <w:p>
            <w:pPr>
              <w:spacing w:after="0"/>
              <w:rPr>
                <w:sz w:val="18"/>
                <w:szCs w:val="18"/>
                <w:color w:val="auto"/>
              </w:rPr>
            </w:pPr>
          </w:p>
        </w:tc>
      </w:tr>
    </w:tbl>
    <w:p>
      <w:pPr>
        <w:spacing w:after="0" w:line="200" w:lineRule="exact"/>
        <w:rPr>
          <w:sz w:val="20"/>
          <w:szCs w:val="20"/>
          <w:color w:val="auto"/>
        </w:rPr>
      </w:pPr>
    </w:p>
    <w:p>
      <w:pPr>
        <w:sectPr>
          <w:pgSz w:w="11880" w:h="15480" w:orient="portrait"/>
          <w:cols w:equalWidth="0" w:num="1">
            <w:col w:w="10180"/>
          </w:cols>
          <w:pgMar w:left="820" w:top="406"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180"/>
          </w:cols>
          <w:pgMar w:left="820" w:top="406" w:right="880" w:bottom="0"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66" w:name="page67"/>
    <w:bookmarkEnd w:id="66"/>
    <w:p>
      <w:pPr>
        <w:jc w:val="center"/>
        <w:ind w:left="1440"/>
        <w:spacing w:after="0"/>
        <w:rPr>
          <w:sz w:val="20"/>
          <w:szCs w:val="20"/>
          <w:color w:val="auto"/>
        </w:rPr>
      </w:pPr>
      <w:r>
        <w:rPr>
          <w:rFonts w:ascii="Times New Roman" w:cs="Times New Roman" w:eastAsia="Times New Roman" w:hAnsi="Times New Roman"/>
          <w:sz w:val="20"/>
          <w:szCs w:val="20"/>
          <w:b w:val="1"/>
          <w:bCs w:val="1"/>
          <w:color w:val="auto"/>
        </w:rPr>
        <w:t>Item 8 and Item 15(a)(1) and (2)</w:t>
      </w:r>
    </w:p>
    <w:p>
      <w:pPr>
        <w:spacing w:after="0" w:line="34" w:lineRule="exact"/>
        <w:rPr>
          <w:sz w:val="20"/>
          <w:szCs w:val="20"/>
          <w:color w:val="auto"/>
        </w:rPr>
      </w:pPr>
    </w:p>
    <w:p>
      <w:pPr>
        <w:jc w:val="center"/>
        <w:ind w:left="144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Schedules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 PCAOB ID Number 248)</w:t>
      </w: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Consolidated Balance Sheets as of December 31, 2022 and 2021</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Consolidated Statements of Comprehensive Income for the Years Ended December 31, 2022, 2021, and 2020</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Consolidated Statements of Shareholders’ Equity for the Years Ended December 31, 2022, 2021, and 2020</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2021, and 2020</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Federal Realty OP LP:</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Consolidated Balance Sheets as of December 31, 2022 and 2021</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Consolidated Statements of Comprehensive Income for the Years Ended December 31, 2022, 2021, and 2020</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Consolidated Statements of Capital for the Years Ended December 31, 2022, 2021, and 2020</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2021, and 2020</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Financial Statement Schedules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Schedule III—Summary of Real Estate and Accumulated Depreciation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Schedule IV—Mortgage Loans on 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Page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-95250</wp:posOffset>
                </wp:positionH>
                <wp:positionV relativeFrom="paragraph">
                  <wp:posOffset>34290</wp:posOffset>
                </wp:positionV>
                <wp:extent cx="6477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999pt,2.7pt" to="43.5pt,2.7pt" o:allowincell="f" strokecolor="#000000" strokeweight="1pt"/>
            </w:pict>
          </mc:Fallback>
        </mc:AlternateConten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color w:val="2D2D2D"/>
        </w:rPr>
        <w:t>-</w:t>
      </w: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F-8</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F-9</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F-10</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F-11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F-12</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F-13</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F-14</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F-15</w:t>
      </w:r>
    </w:p>
    <w:p>
      <w:pPr>
        <w:spacing w:after="0" w:line="3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F-40</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F-48</w:t>
      </w:r>
    </w:p>
    <w:p>
      <w:pPr>
        <w:spacing w:after="0" w:line="162" w:lineRule="exact"/>
        <w:rPr>
          <w:sz w:val="20"/>
          <w:szCs w:val="20"/>
          <w:color w:val="auto"/>
        </w:rPr>
      </w:pPr>
    </w:p>
    <w:p>
      <w:pPr>
        <w:sectPr>
          <w:pgSz w:w="11880" w:h="15480" w:orient="portrait"/>
          <w:cols w:equalWidth="0" w:num="2">
            <w:col w:w="8800" w:space="580"/>
            <w:col w:w="720"/>
          </w:cols>
          <w:pgMar w:left="820" w:top="406" w:right="960" w:bottom="0" w:gutter="0" w:footer="0" w:header="0"/>
        </w:sect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All other schedules have been omitted either because the information is not applicable, not material, or is disclosed in our consolidated financial statements and related notes.</w:t>
      </w:r>
    </w:p>
    <w:p>
      <w:pPr>
        <w:sectPr>
          <w:pgSz w:w="11880" w:h="15480" w:orient="portrait"/>
          <w:cols w:equalWidth="0" w:num="1">
            <w:col w:w="10100"/>
          </w:cols>
          <w:pgMar w:left="820" w:top="406"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10100"/>
          </w:cols>
          <w:pgMar w:left="820" w:top="406" w:right="9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Trustees and Shareholders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1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Federal Realty Investment Trust (a Maryland real estate investment trust) and subsidiaries (collectively, the "Trust") as of December 31, 2022, based on criteria established in the 2013 </w:t>
      </w:r>
      <w:r>
        <w:rPr>
          <w:rFonts w:ascii="Times New Roman" w:cs="Times New Roman" w:eastAsia="Times New Roman" w:hAnsi="Times New Roman"/>
          <w:sz w:val="20"/>
          <w:szCs w:val="20"/>
          <w:i w:val="1"/>
          <w:iCs w:val="1"/>
          <w:color w:val="auto"/>
        </w:rPr>
        <w:t xml:space="preserve">Internal Control—Integrated Framework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("COSO"). In our opinion, the Trust maintained, in all material respects, effective internal control over financial reporting as of December 31, 2022, based on criteria established in the 2013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COSO.</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Trust as of and for the year ended December 31, 2022, and our report dated February 8, 2023 expressed an unqualified opinion on those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7"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0"/>
          <w:szCs w:val="20"/>
          <w:color w:val="auto"/>
        </w:rPr>
        <w:t>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17"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8, 2023</w:t>
      </w:r>
    </w:p>
    <w:p>
      <w:pPr>
        <w:sectPr>
          <w:pgSz w:w="11880" w:h="15480" w:orient="portrait"/>
          <w:cols w:equalWidth="0" w:num="1">
            <w:col w:w="10260"/>
          </w:cols>
          <w:pgMar w:left="820" w:top="4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260"/>
          </w:cols>
          <w:pgMar w:left="820" w:top="406" w:right="80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Trustees and Shareholders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Federal Realty Investment Trust (a Maryland real estate investment trust) and subsidiaries (collectively, the "Trust") as of December 31, 2022 and 2021, the related consolidated statements of comprehensive income, changes in shareholders’ equity, and cash flows for each of the three years in the period ended December 31, 2022, and the related notes and financial statement schedules included under Item 15(a)(2) (collectively referred to as the “financial statements”). In our opinion, the financial statements present fairly, in all material respects, the financial position of the Trust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Trust’s internal control over financial reporting as of December 31, 2022, based on criteria established in the 2013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(“COSO”), and our report dated February 8, 2023 expressed an unqualified opinion.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7"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color w:val="auto"/>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1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 Collectibility Assessment</w:t>
      </w:r>
    </w:p>
    <w:p>
      <w:pPr>
        <w:spacing w:after="0" w:line="8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In order to recognize rental revenue on an accrual basis, the Trust must determine whether substantially all the rents due under a lease arrangement are collectible. If the Trust reaches the conclusion that substantially all of the rents are not collectible for a specific lease, then rental revenue under that arrangement can only be recognized when cash payment from the tenant is received.</w:t>
      </w:r>
    </w:p>
    <w:p>
      <w:pPr>
        <w:spacing w:after="0" w:line="169" w:lineRule="exact"/>
        <w:rPr>
          <w:sz w:val="20"/>
          <w:szCs w:val="20"/>
          <w:color w:val="auto"/>
        </w:rPr>
      </w:pPr>
    </w:p>
    <w:p>
      <w:pPr>
        <w:ind w:right="1060"/>
        <w:spacing w:after="0" w:line="280" w:lineRule="auto"/>
        <w:rPr>
          <w:sz w:val="20"/>
          <w:szCs w:val="20"/>
          <w:color w:val="auto"/>
        </w:rPr>
      </w:pPr>
      <w:r>
        <w:rPr>
          <w:rFonts w:ascii="Times New Roman" w:cs="Times New Roman" w:eastAsia="Times New Roman" w:hAnsi="Times New Roman"/>
          <w:sz w:val="19"/>
          <w:szCs w:val="19"/>
          <w:color w:val="auto"/>
        </w:rPr>
        <w:t>Significant judgment is exercised by the Trust when making a collectibility assessment and includes the following considerations which require challenging and subjective auditor judgment in the execution of our audit procedures:</w:t>
      </w:r>
    </w:p>
    <w:p>
      <w:pPr>
        <w:spacing w:after="0" w:line="18" w:lineRule="exact"/>
        <w:rPr>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Creditworthiness of the tenant</w:t>
      </w:r>
    </w:p>
    <w:p>
      <w:pPr>
        <w:spacing w:after="0" w:line="6" w:lineRule="exact"/>
        <w:rPr>
          <w:rFonts w:ascii="Times New Roman" w:cs="Times New Roman" w:eastAsia="Times New Roman" w:hAnsi="Times New Roman"/>
          <w:sz w:val="20"/>
          <w:szCs w:val="20"/>
          <w:color w:val="auto"/>
        </w:rPr>
      </w:pPr>
    </w:p>
    <w:p>
      <w:pPr>
        <w:ind w:left="720" w:hanging="370"/>
        <w:spacing w:after="0" w:line="223"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economic conditions</w:t>
      </w: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Historical experience with the tenant and other tenants operating in the same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collectibility assessment included the following:</w:t>
      </w:r>
    </w:p>
    <w:p>
      <w:pPr>
        <w:spacing w:after="0" w:line="84" w:lineRule="exact"/>
        <w:rPr>
          <w:sz w:val="20"/>
          <w:szCs w:val="20"/>
          <w:color w:val="auto"/>
        </w:rPr>
      </w:pPr>
    </w:p>
    <w:p>
      <w:pPr>
        <w:ind w:left="720" w:right="840" w:hanging="370"/>
        <w:spacing w:after="0" w:line="254"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assessed the design and tested the operating effectiveness of internal controls relating to the collectibility assessment process.</w:t>
      </w:r>
    </w:p>
    <w:p>
      <w:pPr>
        <w:sectPr>
          <w:pgSz w:w="11880" w:h="15480" w:orient="portrait"/>
          <w:cols w:equalWidth="0" w:num="1">
            <w:col w:w="10260"/>
          </w:cols>
          <w:pgMar w:left="820" w:top="406" w:right="80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260"/>
          </w:cols>
          <w:pgMar w:left="820" w:top="406" w:right="800" w:bottom="0" w:gutter="0" w:footer="0" w:header="0"/>
          <w:type w:val="continuous"/>
        </w:sectPr>
      </w:pPr>
    </w:p>
    <w:bookmarkStart w:id="69" w:name="page70"/>
    <w:bookmarkEnd w:id="69"/>
    <w:p>
      <w:pPr>
        <w:ind w:left="720" w:hanging="370"/>
        <w:spacing w:after="0"/>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accounting policies related to this assessment.</w:t>
      </w:r>
    </w:p>
    <w:p>
      <w:pPr>
        <w:spacing w:after="0" w:line="6" w:lineRule="exact"/>
        <w:rPr>
          <w:rFonts w:ascii="Times New Roman" w:cs="Times New Roman" w:eastAsia="Times New Roman" w:hAnsi="Times New Roman"/>
          <w:sz w:val="20"/>
          <w:szCs w:val="20"/>
          <w:color w:val="auto"/>
        </w:rPr>
      </w:pPr>
    </w:p>
    <w:p>
      <w:pPr>
        <w:ind w:left="720" w:hanging="370"/>
        <w:spacing w:after="0" w:line="223"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verified the completeness of the population of tenants that management evaluated.</w:t>
      </w:r>
    </w:p>
    <w:p>
      <w:pPr>
        <w:ind w:left="720" w:hanging="370"/>
        <w:spacing w:after="0" w:line="223"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researched recent publicly available information such as bankruptcy filings, industry journals, and periodicals, and for any of the Trust’s tenants identified in our research, we evaluated whether such information was considered in management’s collectibility assessment.</w:t>
      </w:r>
    </w:p>
    <w:p>
      <w:pPr>
        <w:ind w:left="720" w:right="720" w:hanging="370"/>
        <w:spacing w:after="0" w:line="223"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selection of tenant receivables where collectibility was deemed as probable, we inspected and evaluated management’s documentation supporting the collectibility assessment.</w:t>
      </w:r>
    </w:p>
    <w:p>
      <w:pPr>
        <w:ind w:left="720" w:hanging="370"/>
        <w:spacing w:after="0" w:line="223"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recalculated the aging for a selection of tenant receivable balances using supporting documentation.</w:t>
      </w:r>
    </w:p>
    <w:p>
      <w:pPr>
        <w:ind w:left="720" w:hanging="370"/>
        <w:spacing w:after="0" w:line="223"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selection of leases, we evaluated the collectibility assessment conclusion reached by management and performed the following procedures for each selection:</w:t>
      </w:r>
    </w:p>
    <w:p>
      <w:pPr>
        <w:ind w:left="1440" w:hanging="370"/>
        <w:spacing w:after="0" w:line="223" w:lineRule="auto"/>
        <w:tabs>
          <w:tab w:leader="none" w:pos="14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Verified that management’s accounting policies related to the collectibility assessment were followed.</w:t>
      </w:r>
    </w:p>
    <w:p>
      <w:pPr>
        <w:ind w:left="1440" w:right="180" w:hanging="370"/>
        <w:spacing w:after="0" w:line="235" w:lineRule="auto"/>
        <w:tabs>
          <w:tab w:leader="none" w:pos="144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Obtained from management documentation such as tenant collection history and any direct correspondence and evaluated management’s considerations supporting the collectibility assessment conclusion reached.</w:t>
      </w:r>
    </w:p>
    <w:p>
      <w:pPr>
        <w:ind w:left="1440" w:right="720" w:hanging="370"/>
        <w:spacing w:after="0" w:line="235" w:lineRule="auto"/>
        <w:tabs>
          <w:tab w:leader="none" w:pos="14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Trust’s auditor since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8, 2023</w:t>
      </w:r>
    </w:p>
    <w:p>
      <w:pPr>
        <w:sectPr>
          <w:pgSz w:w="11880" w:h="15480" w:orient="portrait"/>
          <w:cols w:equalWidth="0" w:num="1">
            <w:col w:w="10200"/>
          </w:cols>
          <w:pgMar w:left="820" w:top="41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200"/>
          </w:cols>
          <w:pgMar w:left="820" w:top="413" w:right="8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Trustees and Unitholders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Realty OP LP</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Federal Realty OP LP (a Delaware limited partnership) and subsidiaries (collectively, the “Operating Partnership”) as of December 31, 2022, based on criteria established in the 2013 </w:t>
      </w:r>
      <w:r>
        <w:rPr>
          <w:rFonts w:ascii="Times New Roman" w:cs="Times New Roman" w:eastAsia="Times New Roman" w:hAnsi="Times New Roman"/>
          <w:sz w:val="20"/>
          <w:szCs w:val="20"/>
          <w:i w:val="1"/>
          <w:iCs w:val="1"/>
          <w:color w:val="auto"/>
        </w:rPr>
        <w:t xml:space="preserve">Internal Control-Integrated Framework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(“COSO”). In our opinion, the Operating Partnership maintained, in all material respects, effective internal control over financial reporting as of December 31, 2022, based on criteria established in the 2013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COSO.</w:t>
      </w:r>
    </w:p>
    <w:p>
      <w:pPr>
        <w:spacing w:after="0" w:line="2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Operating Partnership as of and for the year ended December 31, 2022, and our report dated February 8, 2023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The Operating Partnership’s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ind w:right="44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8, 2023</w:t>
      </w:r>
    </w:p>
    <w:p>
      <w:pPr>
        <w:sectPr>
          <w:pgSz w:w="11880" w:h="15480" w:orient="portrait"/>
          <w:cols w:equalWidth="0" w:num="1">
            <w:col w:w="10220"/>
          </w:cols>
          <w:pgMar w:left="820" w:top="4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220"/>
          </w:cols>
          <w:pgMar w:left="820" w:top="406" w:right="84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Trustees and Unitholders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Realty OP LP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Federal Realty OP LP (a Delaware limited partnership) and subsidiaries (collectively, the "Operating Partnership") as of December 31, 2022 and 2021, the related consolidated statements of comprehensive income, capital, and cash flows for each of the three years in the period ended December 31, 2022, and the related notes and financial statement schedules included under Item 15(a)(2) (collectively referred to as the “financial statements”). In our opinion, the financial statements present fairly, in all material respects, the financial position of the Operating Partnership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3" w:lineRule="exact"/>
        <w:rPr>
          <w:sz w:val="20"/>
          <w:szCs w:val="20"/>
          <w:color w:val="auto"/>
        </w:rPr>
      </w:pPr>
    </w:p>
    <w:p>
      <w:pPr>
        <w:jc w:val="both"/>
        <w:ind w:right="280"/>
        <w:spacing w:after="0" w:line="278" w:lineRule="auto"/>
        <w:rPr>
          <w:sz w:val="20"/>
          <w:szCs w:val="20"/>
          <w:color w:val="auto"/>
        </w:rPr>
      </w:pPr>
      <w:r>
        <w:rPr>
          <w:rFonts w:ascii="Times New Roman" w:cs="Times New Roman" w:eastAsia="Times New Roman" w:hAnsi="Times New Roman"/>
          <w:sz w:val="19"/>
          <w:szCs w:val="19"/>
          <w:color w:val="auto"/>
        </w:rPr>
        <w:t xml:space="preserve">We also have audited, in accordance with the standards of the Public Company Accounting Oversight Board (United States) (“PCAOB”), the Operating Partnership’s internal control over financial reporting as of December 31, 2022, based on criteria established in the 2013 </w:t>
      </w:r>
      <w:r>
        <w:rPr>
          <w:rFonts w:ascii="Times New Roman" w:cs="Times New Roman" w:eastAsia="Times New Roman" w:hAnsi="Times New Roman"/>
          <w:sz w:val="19"/>
          <w:szCs w:val="19"/>
          <w:i w:val="1"/>
          <w:iCs w:val="1"/>
          <w:color w:val="auto"/>
        </w:rPr>
        <w:t>Internal Control-Integrated Framework</w:t>
      </w:r>
      <w:r>
        <w:rPr>
          <w:rFonts w:ascii="Times New Roman" w:cs="Times New Roman" w:eastAsia="Times New Roman" w:hAnsi="Times New Roman"/>
          <w:sz w:val="19"/>
          <w:szCs w:val="19"/>
          <w:color w:val="auto"/>
        </w:rPr>
        <w:t xml:space="preserve"> issued by the Committee of Sponsoring Organizations of the Treadway Commission (“COSO”), and our report dated February 8, 2023 expressed an unqualified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auto"/>
        </w:rPr>
        <w:t>These financial statements are the responsibility of the Operating Partnership’s management. Our responsibility is to express an opinion on the Operating Partnership’s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 Collectibility Assessment</w:t>
      </w:r>
    </w:p>
    <w:p>
      <w:pPr>
        <w:spacing w:after="0" w:line="1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In order to recognize rental revenue on an accrual basis, the Operating Partnership must determine whether substantially all the rents due under a lease arrangement are collectible. If the Operating Partnership reaches the conclusion that substantially all of the rents are not collectible for a specific lease, then rental revenue under that arrangement can only be recognized when cash payment from the tenant is received.</w:t>
      </w:r>
    </w:p>
    <w:p>
      <w:pPr>
        <w:spacing w:after="0" w:line="20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9"/>
          <w:szCs w:val="19"/>
          <w:color w:val="auto"/>
        </w:rPr>
        <w:t>Significant judgment is exercised by the Operating Partnership when making a collectibility assessment and includes the following considerations which require challenging and subjective auditor judgment in the execution of our audit procedures:</w:t>
      </w:r>
    </w:p>
    <w:p>
      <w:pPr>
        <w:ind w:left="720" w:hanging="370"/>
        <w:spacing w:after="0" w:line="226"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Creditworthiness of the tenant</w:t>
      </w:r>
    </w:p>
    <w:p>
      <w:pPr>
        <w:ind w:left="720" w:hanging="370"/>
        <w:spacing w:after="0" w:line="223"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economic conditions</w:t>
      </w:r>
    </w:p>
    <w:p>
      <w:pPr>
        <w:ind w:left="720" w:hanging="370"/>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Historical experience with the tenant and other tenants operating in the same industry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collectibility assessment included the following:</w:t>
      </w:r>
    </w:p>
    <w:p>
      <w:pPr>
        <w:sectPr>
          <w:pgSz w:w="11880" w:h="15480" w:orient="portrait"/>
          <w:cols w:equalWidth="0" w:num="1">
            <w:col w:w="10240"/>
          </w:cols>
          <w:pgMar w:left="820" w:top="4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240"/>
          </w:cols>
          <w:pgMar w:left="820" w:top="406" w:right="820" w:bottom="0" w:gutter="0" w:footer="0" w:header="0"/>
          <w:type w:val="continuous"/>
        </w:sectPr>
      </w:pPr>
    </w:p>
    <w:bookmarkStart w:id="72" w:name="page73"/>
    <w:bookmarkEnd w:id="72"/>
    <w:p>
      <w:pPr>
        <w:ind w:left="720" w:right="780" w:hanging="370"/>
        <w:spacing w:after="0" w:line="234"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assessed the design and tested the operating effectiveness of internal controls relating to the collectibility assessment process.</w:t>
      </w:r>
    </w:p>
    <w:p>
      <w:pPr>
        <w:spacing w:after="0" w:line="1" w:lineRule="exact"/>
        <w:rPr>
          <w:rFonts w:ascii="Times New Roman" w:cs="Times New Roman" w:eastAsia="Times New Roman" w:hAnsi="Times New Roman"/>
          <w:sz w:val="20"/>
          <w:szCs w:val="20"/>
          <w:color w:val="auto"/>
        </w:rPr>
      </w:pPr>
    </w:p>
    <w:p>
      <w:pPr>
        <w:ind w:left="720" w:hanging="370"/>
        <w:spacing w:after="0" w:line="223"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accounting policies related to this assessment.</w:t>
      </w:r>
    </w:p>
    <w:p>
      <w:pPr>
        <w:ind w:left="720" w:hanging="370"/>
        <w:spacing w:after="0" w:line="223"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verified the completeness of the population of tenants that management evaluated.</w:t>
      </w:r>
    </w:p>
    <w:p>
      <w:pPr>
        <w:ind w:left="720" w:hanging="370"/>
        <w:spacing w:after="0" w:line="223"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researched recent publicly available information such as bankruptcy filings, industry journals, and periodicals, and for any of the Operating Partnership’s tenants identified in our research, we evaluated whether such information was considered in management’s collectibility assessment.</w:t>
      </w:r>
    </w:p>
    <w:p>
      <w:pPr>
        <w:ind w:left="720" w:right="720" w:hanging="370"/>
        <w:spacing w:after="0" w:line="223"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selection of tenant receivables where collectibility was deemed as probable, we inspected and evaluated management’s documentation supporting the collectibility assessment.</w:t>
      </w:r>
    </w:p>
    <w:p>
      <w:pPr>
        <w:ind w:left="720" w:hanging="370"/>
        <w:spacing w:after="0" w:line="223"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recalculated the aging for a selection of tenant receivable balances using supporting documentation.</w:t>
      </w:r>
    </w:p>
    <w:p>
      <w:pPr>
        <w:ind w:left="720" w:hanging="370"/>
        <w:spacing w:after="0" w:line="223"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selection of leases, we evaluated the collectibility assessment conclusion reached by management and performed the following procedures for each selection:</w:t>
      </w:r>
    </w:p>
    <w:p>
      <w:pPr>
        <w:ind w:left="1440" w:hanging="370"/>
        <w:spacing w:after="0" w:line="223" w:lineRule="auto"/>
        <w:tabs>
          <w:tab w:leader="none" w:pos="14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Verified that management’s accounting policies related to the collectibility assessment were followed.</w:t>
      </w:r>
    </w:p>
    <w:p>
      <w:pPr>
        <w:ind w:left="1440" w:right="180" w:hanging="370"/>
        <w:spacing w:after="0" w:line="235" w:lineRule="auto"/>
        <w:tabs>
          <w:tab w:leader="none" w:pos="144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Obtained from management documentation such as tenant collection history and any direct correspondence and evaluated management’s considerations supporting the collectibility assessment conclusion reached.</w:t>
      </w:r>
    </w:p>
    <w:p>
      <w:pPr>
        <w:ind w:left="1440" w:right="720" w:hanging="370"/>
        <w:spacing w:after="0" w:line="235" w:lineRule="auto"/>
        <w:tabs>
          <w:tab w:leader="none" w:pos="14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Operating Partnership's auditor since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8, 2023</w:t>
      </w:r>
    </w:p>
    <w:p>
      <w:pPr>
        <w:sectPr>
          <w:pgSz w:w="11880" w:h="15480" w:orient="portrait"/>
          <w:cols w:equalWidth="0" w:num="1">
            <w:col w:w="10200"/>
          </w:cols>
          <w:pgMar w:left="820" w:top="41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200"/>
          </w:cols>
          <w:pgMar w:left="820" w:top="413" w:right="860" w:bottom="0" w:gutter="0" w:footer="0" w:header="0"/>
          <w:type w:val="continuous"/>
        </w:sectPr>
      </w:pPr>
    </w:p>
    <w:bookmarkStart w:id="73" w:name="page74"/>
    <w:bookmarkEnd w:id="7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41"/>
        </w:trPr>
        <w:tc>
          <w:tcPr>
            <w:tcW w:w="7800" w:type="dxa"/>
            <w:vAlign w:val="bottom"/>
          </w:tcPr>
          <w:p>
            <w:pPr>
              <w:spacing w:after="0"/>
              <w:rPr>
                <w:sz w:val="12"/>
                <w:szCs w:val="12"/>
                <w:color w:val="auto"/>
              </w:rPr>
            </w:pPr>
          </w:p>
        </w:tc>
        <w:tc>
          <w:tcPr>
            <w:tcW w:w="11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gridSpan w:val="3"/>
          </w:tcPr>
          <w:p>
            <w:pPr>
              <w:jc w:val="right"/>
              <w:ind w:right="1"/>
              <w:spacing w:after="0" w:line="141" w:lineRule="exact"/>
              <w:rPr>
                <w:sz w:val="20"/>
                <w:szCs w:val="20"/>
                <w:color w:val="auto"/>
              </w:rPr>
            </w:pPr>
            <w:r>
              <w:rPr>
                <w:rFonts w:ascii="Times New Roman" w:cs="Times New Roman" w:eastAsia="Times New Roman" w:hAnsi="Times New Roman"/>
                <w:sz w:val="16"/>
                <w:szCs w:val="16"/>
                <w:b w:val="1"/>
                <w:bCs w:val="1"/>
                <w:color w:val="auto"/>
                <w:w w:val="95"/>
              </w:rPr>
              <w:t>except share and</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0" w:type="dxa"/>
            <w:vAlign w:val="bottom"/>
          </w:tcPr>
          <w:p>
            <w:pPr>
              <w:spacing w:after="0"/>
              <w:rPr>
                <w:sz w:val="1"/>
                <w:szCs w:val="1"/>
                <w:color w:val="auto"/>
              </w:rPr>
            </w:pP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at cost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auto"/>
              </w:rPr>
              <w:t>Operating (including $1,997,583 and $2,207,648 of consolidated variable interest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9,441,945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8,814,791</w:t>
            </w:r>
          </w:p>
        </w:tc>
        <w:tc>
          <w:tcPr>
            <w:tcW w:w="0" w:type="dxa"/>
            <w:vAlign w:val="bottom"/>
          </w:tcPr>
          <w:p>
            <w:pPr>
              <w:spacing w:after="0"/>
              <w:rPr>
                <w:sz w:val="1"/>
                <w:szCs w:val="1"/>
                <w:color w:val="auto"/>
              </w:rPr>
            </w:pPr>
          </w:p>
        </w:tc>
      </w:tr>
      <w:tr>
        <w:trPr>
          <w:trHeight w:val="26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720"/>
              <w:spacing w:after="0" w:line="204" w:lineRule="exact"/>
              <w:rPr>
                <w:sz w:val="20"/>
                <w:szCs w:val="20"/>
                <w:color w:val="auto"/>
              </w:rPr>
            </w:pPr>
            <w:r>
              <w:rPr>
                <w:rFonts w:ascii="Times New Roman" w:cs="Times New Roman" w:eastAsia="Times New Roman" w:hAnsi="Times New Roman"/>
                <w:sz w:val="20"/>
                <w:szCs w:val="20"/>
                <w:color w:val="auto"/>
              </w:rPr>
              <w:t>Construction-in-progress (including $8,477 and $18,752 of consolidated variable</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662,554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607,271</w:t>
            </w:r>
          </w:p>
        </w:tc>
        <w:tc>
          <w:tcPr>
            <w:tcW w:w="0" w:type="dxa"/>
            <w:vAlign w:val="bottom"/>
          </w:tcPr>
          <w:p>
            <w:pPr>
              <w:spacing w:after="0"/>
              <w:rPr>
                <w:sz w:val="1"/>
                <w:szCs w:val="1"/>
                <w:color w:val="auto"/>
              </w:rPr>
            </w:pPr>
          </w:p>
        </w:tc>
      </w:tr>
      <w:tr>
        <w:trPr>
          <w:trHeight w:val="264"/>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interest entities, respectively)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w w:val="99"/>
              </w:rPr>
              <w:t>10,104,499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9,422,062</w:t>
            </w: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auto"/>
              </w:rPr>
              <w:t>Less accumulated depreciation and amortization (including $362,921 and $389,950 of</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(2,715,817)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(2,531,095)</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consolidated variable interest entities, respectively)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00" w:type="dxa"/>
            <w:vAlign w:val="bottom"/>
          </w:tcPr>
          <w:p>
            <w:pPr>
              <w:ind w:left="360"/>
              <w:spacing w:after="0" w:line="212" w:lineRule="exact"/>
              <w:rPr>
                <w:sz w:val="20"/>
                <w:szCs w:val="20"/>
                <w:color w:val="auto"/>
              </w:rPr>
            </w:pPr>
            <w:r>
              <w:rPr>
                <w:rFonts w:ascii="Times New Roman" w:cs="Times New Roman" w:eastAsia="Times New Roman" w:hAnsi="Times New Roman"/>
                <w:sz w:val="20"/>
                <w:szCs w:val="20"/>
                <w:color w:val="auto"/>
              </w:rPr>
              <w:t>Net real estate</w:t>
            </w:r>
          </w:p>
        </w:tc>
        <w:tc>
          <w:tcPr>
            <w:tcW w:w="160" w:type="dxa"/>
            <w:vAlign w:val="bottom"/>
          </w:tcPr>
          <w:p>
            <w:pPr>
              <w:spacing w:after="0"/>
              <w:rPr>
                <w:sz w:val="18"/>
                <w:szCs w:val="18"/>
                <w:color w:val="auto"/>
              </w:rPr>
            </w:pPr>
          </w:p>
        </w:tc>
        <w:tc>
          <w:tcPr>
            <w:tcW w:w="10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7,388,682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6,890,967</w:t>
            </w:r>
          </w:p>
        </w:tc>
        <w:tc>
          <w:tcPr>
            <w:tcW w:w="0" w:type="dxa"/>
            <w:vAlign w:val="bottom"/>
          </w:tcPr>
          <w:p>
            <w:pPr>
              <w:spacing w:after="0"/>
              <w:rPr>
                <w:sz w:val="1"/>
                <w:szCs w:val="1"/>
                <w:color w:val="auto"/>
              </w:rPr>
            </w:pPr>
          </w:p>
        </w:tc>
      </w:tr>
      <w:tr>
        <w:trPr>
          <w:trHeight w:val="24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162,132</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and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197,648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169,007</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Mortgage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9,543</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partnerships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145,205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13,027</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94,569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90,743</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Finance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45,467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49,832</w:t>
            </w:r>
          </w:p>
        </w:tc>
        <w:tc>
          <w:tcPr>
            <w:tcW w:w="0" w:type="dxa"/>
            <w:vAlign w:val="bottom"/>
          </w:tcPr>
          <w:p>
            <w:pPr>
              <w:spacing w:after="0"/>
              <w:rPr>
                <w:sz w:val="1"/>
                <w:szCs w:val="1"/>
                <w:color w:val="auto"/>
              </w:rPr>
            </w:pPr>
          </w:p>
        </w:tc>
      </w:tr>
      <w:tr>
        <w:trPr>
          <w:trHeight w:val="263"/>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267,406</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237,069</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8,233,991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7,622,320</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Liabilities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auto"/>
              </w:rPr>
              <w:t>Mortgages payable, net (including $191,827 and $335,301 of consolidated variable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320,615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339,993</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interest 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Notes payable,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601,077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301,466</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Senior notes and debentures,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3,407,701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3,406,088</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235,168</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Dividends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90,263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86,538</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Security deposits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25,331</w:t>
            </w:r>
          </w:p>
        </w:tc>
        <w:tc>
          <w:tcPr>
            <w:tcW w:w="0" w:type="dxa"/>
            <w:vAlign w:val="bottom"/>
          </w:tcPr>
          <w:p>
            <w:pPr>
              <w:spacing w:after="0"/>
              <w:rPr>
                <w:sz w:val="1"/>
                <w:szCs w:val="1"/>
                <w:color w:val="auto"/>
              </w:rPr>
            </w:pPr>
          </w:p>
        </w:tc>
      </w:tr>
      <w:tr>
        <w:trPr>
          <w:trHeight w:val="24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72,661</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67,660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72,032</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liabilities and deferred credits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237,699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206,187</w:t>
            </w:r>
          </w:p>
        </w:tc>
        <w:tc>
          <w:tcPr>
            <w:tcW w:w="0" w:type="dxa"/>
            <w:vAlign w:val="bottom"/>
          </w:tcPr>
          <w:p>
            <w:pPr>
              <w:spacing w:after="0"/>
              <w:rPr>
                <w:sz w:val="1"/>
                <w:szCs w:val="1"/>
                <w:color w:val="auto"/>
              </w:rPr>
            </w:pPr>
          </w:p>
        </w:tc>
      </w:tr>
      <w:tr>
        <w:trPr>
          <w:trHeight w:val="221"/>
        </w:trPr>
        <w:tc>
          <w:tcPr>
            <w:tcW w:w="7800" w:type="dxa"/>
            <w:vAlign w:val="bottom"/>
          </w:tcPr>
          <w:p>
            <w:pPr>
              <w:ind w:left="360"/>
              <w:spacing w:after="0" w:line="221" w:lineRule="exact"/>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Pr>
          <w:p>
            <w:pPr>
              <w:spacing w:after="0"/>
              <w:rPr>
                <w:sz w:val="19"/>
                <w:szCs w:val="19"/>
                <w:color w:val="auto"/>
              </w:rPr>
            </w:pP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5,021,606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4,745,464</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Commitments and contingencies (Note 7)</w:t>
            </w:r>
          </w:p>
        </w:tc>
        <w:tc>
          <w:tcPr>
            <w:tcW w:w="16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178,370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213,708</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Redeemable noncontrolling interests</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Shareholders’ equity</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Preferred shares, authorized 15,000,000 shares, $0.01 par:</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860"/>
              <w:spacing w:after="0" w:line="205" w:lineRule="exact"/>
              <w:rPr>
                <w:sz w:val="20"/>
                <w:szCs w:val="20"/>
                <w:color w:val="auto"/>
              </w:rPr>
            </w:pPr>
            <w:r>
              <w:rPr>
                <w:rFonts w:ascii="Times New Roman" w:cs="Times New Roman" w:eastAsia="Times New Roman" w:hAnsi="Times New Roman"/>
                <w:sz w:val="20"/>
                <w:szCs w:val="20"/>
                <w:color w:val="auto"/>
              </w:rPr>
              <w:t>5.0% Series C Cumulative Redeemable Preferred Shares, (stated at liquidation</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61"/>
        </w:trPr>
        <w:tc>
          <w:tcPr>
            <w:tcW w:w="78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preference $25,000 per share), 6,000 shares issued and outstanding</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860"/>
              <w:spacing w:after="0" w:line="205" w:lineRule="exact"/>
              <w:rPr>
                <w:sz w:val="20"/>
                <w:szCs w:val="20"/>
                <w:color w:val="auto"/>
              </w:rPr>
            </w:pPr>
            <w:r>
              <w:rPr>
                <w:rFonts w:ascii="Times New Roman" w:cs="Times New Roman" w:eastAsia="Times New Roman" w:hAnsi="Times New Roman"/>
                <w:sz w:val="20"/>
                <w:szCs w:val="20"/>
                <w:color w:val="auto"/>
              </w:rPr>
              <w:t>5.417% Series 1 Cumulative Convertible Preferred Shares, (stated at liquidation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860"/>
              <w:spacing w:after="0" w:line="200" w:lineRule="exact"/>
              <w:rPr>
                <w:sz w:val="20"/>
                <w:szCs w:val="20"/>
                <w:color w:val="auto"/>
              </w:rPr>
            </w:pPr>
            <w:r>
              <w:rPr>
                <w:rFonts w:ascii="Times New Roman" w:cs="Times New Roman" w:eastAsia="Times New Roman" w:hAnsi="Times New Roman"/>
                <w:sz w:val="20"/>
                <w:szCs w:val="20"/>
                <w:color w:val="auto"/>
              </w:rPr>
              <w:t>preference $25 per share), 392,878 and 399,896 shares issued and outstanding,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78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respectively</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9,997</w:t>
            </w:r>
          </w:p>
        </w:tc>
        <w:tc>
          <w:tcPr>
            <w:tcW w:w="0" w:type="dxa"/>
            <w:vAlign w:val="bottom"/>
          </w:tcPr>
          <w:p>
            <w:pPr>
              <w:spacing w:after="0"/>
              <w:rPr>
                <w:sz w:val="1"/>
                <w:szCs w:val="1"/>
                <w:color w:val="auto"/>
              </w:rPr>
            </w:pPr>
          </w:p>
        </w:tc>
      </w:tr>
      <w:tr>
        <w:trPr>
          <w:trHeight w:val="205"/>
        </w:trPr>
        <w:tc>
          <w:tcPr>
            <w:tcW w:w="7800" w:type="dxa"/>
            <w:vAlign w:val="bottom"/>
          </w:tcPr>
          <w:p>
            <w:pPr>
              <w:ind w:left="720"/>
              <w:spacing w:after="0" w:line="205" w:lineRule="exact"/>
              <w:rPr>
                <w:sz w:val="20"/>
                <w:szCs w:val="20"/>
                <w:color w:val="auto"/>
              </w:rPr>
            </w:pPr>
            <w:r>
              <w:rPr>
                <w:rFonts w:ascii="Times New Roman" w:cs="Times New Roman" w:eastAsia="Times New Roman" w:hAnsi="Times New Roman"/>
                <w:sz w:val="20"/>
                <w:szCs w:val="20"/>
                <w:color w:val="auto"/>
              </w:rPr>
              <w:t>Common shares of beneficial interest, $0.01 par, 100,000,000 shares authorized,</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790</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81,342,959 and 78,603,305 shares issued and outstanding, respectively</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3,821,801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3,488,794</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Accumulated dividends in excess of net income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(1,034,186)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(1,066,932)</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(2,047)</w:t>
            </w:r>
          </w:p>
        </w:tc>
        <w:tc>
          <w:tcPr>
            <w:tcW w:w="0" w:type="dxa"/>
            <w:vAlign w:val="bottom"/>
          </w:tcPr>
          <w:p>
            <w:pPr>
              <w:spacing w:after="0"/>
              <w:rPr>
                <w:sz w:val="1"/>
                <w:szCs w:val="1"/>
                <w:color w:val="auto"/>
              </w:rPr>
            </w:pPr>
          </w:p>
        </w:tc>
      </w:tr>
      <w:tr>
        <w:trPr>
          <w:trHeight w:val="227"/>
        </w:trPr>
        <w:tc>
          <w:tcPr>
            <w:tcW w:w="780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auto"/>
              </w:rPr>
              <w:t>Total shareholders’ equity of the Trust</w:t>
            </w:r>
          </w:p>
        </w:tc>
        <w:tc>
          <w:tcPr>
            <w:tcW w:w="160" w:type="dxa"/>
            <w:vAlign w:val="bottom"/>
          </w:tcPr>
          <w:p>
            <w:pPr>
              <w:spacing w:after="0"/>
              <w:rPr>
                <w:sz w:val="19"/>
                <w:szCs w:val="19"/>
                <w:color w:val="auto"/>
              </w:rPr>
            </w:pPr>
          </w:p>
        </w:tc>
        <w:tc>
          <w:tcPr>
            <w:tcW w:w="10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2,954,012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2,580,602</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80,003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82,546</w:t>
            </w:r>
          </w:p>
        </w:tc>
        <w:tc>
          <w:tcPr>
            <w:tcW w:w="0" w:type="dxa"/>
            <w:vAlign w:val="bottom"/>
          </w:tcPr>
          <w:p>
            <w:pPr>
              <w:spacing w:after="0"/>
              <w:rPr>
                <w:sz w:val="1"/>
                <w:szCs w:val="1"/>
                <w:color w:val="auto"/>
              </w:rPr>
            </w:pPr>
          </w:p>
        </w:tc>
      </w:tr>
      <w:tr>
        <w:trPr>
          <w:trHeight w:val="23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3,034,015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2,663,148</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LIABILITIES AND SHAREHOLDERS’ EQUITY</w:t>
            </w: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8,233,991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7,622,320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statements.</w:t>
      </w:r>
    </w:p>
    <w:p>
      <w:pPr>
        <w:sectPr>
          <w:pgSz w:w="11880" w:h="15480" w:orient="portrait"/>
          <w:cols w:equalWidth="0" w:num="1">
            <w:col w:w="10180"/>
          </w:cols>
          <w:pgMar w:left="880" w:top="45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180"/>
          </w:cols>
          <w:pgMar w:left="880" w:top="451" w:right="82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(In thousands, except per share data)</w:t>
            </w:r>
          </w:p>
        </w:tc>
        <w:tc>
          <w:tcPr>
            <w:tcW w:w="0" w:type="dxa"/>
            <w:vAlign w:val="bottom"/>
          </w:tcPr>
          <w:p>
            <w:pPr>
              <w:spacing w:after="0"/>
              <w:rPr>
                <w:sz w:val="1"/>
                <w:szCs w:val="1"/>
                <w:color w:val="auto"/>
              </w:rPr>
            </w:pPr>
          </w:p>
        </w:tc>
      </w:tr>
      <w:tr>
        <w:trPr>
          <w:trHeight w:val="2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1,073,292</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948,842</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832,171</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income</w:t>
            </w:r>
          </w:p>
        </w:tc>
        <w:tc>
          <w:tcPr>
            <w:tcW w:w="2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Mortgage interest income</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3,323</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1,074,378</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951,224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835,494</w:t>
            </w:r>
          </w:p>
        </w:tc>
        <w:tc>
          <w:tcPr>
            <w:tcW w:w="0" w:type="dxa"/>
            <w:vAlign w:val="bottom"/>
          </w:tcPr>
          <w:p>
            <w:pPr>
              <w:spacing w:after="0"/>
              <w:rPr>
                <w:sz w:val="1"/>
                <w:szCs w:val="1"/>
                <w:color w:val="auto"/>
              </w:rPr>
            </w:pP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2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228,958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198,121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170,920</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expenses</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taxes</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119,242</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49,856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41,680</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302,409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279,976</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255,027</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711,827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646,449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586,869</w:t>
            </w:r>
          </w:p>
        </w:tc>
        <w:tc>
          <w:tcPr>
            <w:tcW w:w="0" w:type="dxa"/>
            <w:vAlign w:val="bottom"/>
          </w:tcPr>
          <w:p>
            <w:pPr>
              <w:spacing w:after="0"/>
              <w:rPr>
                <w:sz w:val="1"/>
                <w:szCs w:val="1"/>
                <w:color w:val="auto"/>
              </w:rPr>
            </w:pPr>
          </w:p>
        </w:tc>
      </w:tr>
      <w:tr>
        <w:trPr>
          <w:trHeight w:val="482"/>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Impairment charge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(57,218)</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Gain on deconsolidation of VIE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Gain on sale of real estate and change in control of interest, net of tax</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93,483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89,950</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98,117</w:t>
            </w:r>
          </w:p>
        </w:tc>
        <w:tc>
          <w:tcPr>
            <w:tcW w:w="0" w:type="dxa"/>
            <w:vAlign w:val="bottom"/>
          </w:tcPr>
          <w:p>
            <w:pPr>
              <w:spacing w:after="0"/>
              <w:rPr>
                <w:sz w:val="1"/>
                <w:szCs w:val="1"/>
                <w:color w:val="auto"/>
              </w:rPr>
            </w:pPr>
          </w:p>
        </w:tc>
      </w:tr>
      <w:tr>
        <w:trPr>
          <w:trHeight w:val="49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526,408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289,524</w:t>
            </w:r>
          </w:p>
        </w:tc>
        <w:tc>
          <w:tcPr>
            <w:tcW w:w="0" w:type="dxa"/>
            <w:vAlign w:val="bottom"/>
          </w:tcPr>
          <w:p>
            <w:pPr>
              <w:spacing w:after="0"/>
              <w:rPr>
                <w:sz w:val="1"/>
                <w:szCs w:val="1"/>
                <w:color w:val="auto"/>
              </w:rPr>
            </w:pPr>
          </w:p>
        </w:tc>
      </w:tr>
      <w:tr>
        <w:trPr>
          <w:trHeight w:val="50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INCOME/(EXPENSE)</w:t>
            </w:r>
          </w:p>
        </w:tc>
        <w:tc>
          <w:tcPr>
            <w:tcW w:w="2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1,894</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interest income</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(136,989)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(127,698)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(136,289)</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Early extinguishment of debt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(11,179)</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(loss) from partnerships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(8,062)</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395,661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269,081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(4,182)</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 ATTRIBUTABLE TO THE TRUST</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385,491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261,498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131,706</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Dividends on preferred shares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NET INCOME AVAILABLE FOR COMMON SHAREHOLDERS</w:t>
            </w: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377,457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253,456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123,664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 BASIC</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shareholders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Weighted average number of common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79,854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77,336</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 DILUTED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shareholders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Weighted average number of common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80,508</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77,368</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269,081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comprehensive income (loss) - change in value of interest rate swaps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8,569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3,917</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(5,302)</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COMPREHENSIVE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404,230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272,998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130,586</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(10,935)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(3,711)</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COMPREHENSIVE INCOME ATTRIBUTABLE TO THE TRUST</w:t>
            </w: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393,295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265,095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126,875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statements.</w:t>
      </w:r>
    </w:p>
    <w:p>
      <w:pPr>
        <w:sectPr>
          <w:pgSz w:w="11880" w:h="15480" w:orient="portrait"/>
          <w:cols w:equalWidth="0" w:num="1">
            <w:col w:w="10160"/>
          </w:cols>
          <w:pgMar w:left="860" w:top="4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160"/>
          </w:cols>
          <w:pgMar w:left="860" w:top="406" w:right="860" w:bottom="0"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40" w:type="dxa"/>
            <w:vAlign w:val="bottom"/>
            <w:textDirection w:val="tbRl"/>
          </w:tcPr>
          <w:p>
            <w:pPr>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 of Shareholders’ Equity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9"/>
          </w:tcPr>
          <w:p>
            <w:pPr>
              <w:ind w:left="620"/>
              <w:spacing w:after="0"/>
              <w:rPr>
                <w:sz w:val="20"/>
                <w:szCs w:val="20"/>
                <w:color w:val="auto"/>
              </w:rPr>
            </w:pPr>
            <w:r>
              <w:rPr>
                <w:rFonts w:ascii="Times New Roman" w:cs="Times New Roman" w:eastAsia="Times New Roman" w:hAnsi="Times New Roman"/>
                <w:sz w:val="16"/>
                <w:szCs w:val="16"/>
                <w:b w:val="1"/>
                <w:bCs w:val="1"/>
                <w:color w:val="auto"/>
                <w:w w:val="96"/>
              </w:rPr>
              <w:t>Shareholders’ Equity of the Trust</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4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500" w:type="dxa"/>
            <w:vAlign w:val="bottom"/>
            <w:gridSpan w:val="3"/>
            <w:vMerge w:val="restart"/>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Preferred Shares</w:t>
            </w:r>
          </w:p>
        </w:tc>
        <w:tc>
          <w:tcPr>
            <w:tcW w:w="80" w:type="dxa"/>
            <w:vAlign w:val="bottom"/>
          </w:tcPr>
          <w:p>
            <w:pPr>
              <w:spacing w:after="0"/>
              <w:rPr>
                <w:sz w:val="13"/>
                <w:szCs w:val="13"/>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restart"/>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0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6"/>
                <w:szCs w:val="16"/>
                <w:b w:val="1"/>
                <w:bCs w:val="1"/>
                <w:color w:val="auto"/>
                <w:w w:val="97"/>
              </w:rPr>
              <w:t>Dividends in</w:t>
            </w:r>
          </w:p>
        </w:tc>
        <w:tc>
          <w:tcPr>
            <w:tcW w:w="120" w:type="dxa"/>
            <w:vAlign w:val="bottom"/>
          </w:tcPr>
          <w:p>
            <w:pPr>
              <w:spacing w:after="0"/>
              <w:rPr>
                <w:sz w:val="13"/>
                <w:szCs w:val="13"/>
                <w:color w:val="auto"/>
              </w:rPr>
            </w:pPr>
          </w:p>
        </w:tc>
        <w:tc>
          <w:tcPr>
            <w:tcW w:w="1040" w:type="dxa"/>
            <w:vAlign w:val="bottom"/>
          </w:tcPr>
          <w:p>
            <w:pPr>
              <w:jc w:val="center"/>
              <w:ind w:right="47"/>
              <w:spacing w:after="0" w:line="156"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8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vMerge w:val="restart"/>
          </w:tcPr>
          <w:p>
            <w:pPr>
              <w:jc w:val="center"/>
              <w:ind w:right="203"/>
              <w:spacing w:after="0" w:line="156"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40" w:type="dxa"/>
            <w:vAlign w:val="bottom"/>
            <w:gridSpan w:val="3"/>
            <w:vMerge w:val="restart"/>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Excess of Net</w:t>
            </w:r>
          </w:p>
        </w:tc>
        <w:tc>
          <w:tcPr>
            <w:tcW w:w="1160" w:type="dxa"/>
            <w:vAlign w:val="bottom"/>
            <w:gridSpan w:val="2"/>
            <w:vMerge w:val="restart"/>
          </w:tcPr>
          <w:p>
            <w:pPr>
              <w:ind w:left="60"/>
              <w:spacing w:after="0" w:line="156"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vMerge w:val="restart"/>
          </w:tcPr>
          <w:p>
            <w:pPr>
              <w:spacing w:after="0"/>
              <w:rPr>
                <w:sz w:val="2"/>
                <w:szCs w:val="2"/>
                <w:color w:val="auto"/>
              </w:rPr>
            </w:pPr>
          </w:p>
        </w:tc>
        <w:tc>
          <w:tcPr>
            <w:tcW w:w="1120" w:type="dxa"/>
            <w:vAlign w:val="bottom"/>
            <w:gridSpan w:val="2"/>
            <w:vMerge w:val="restart"/>
          </w:tcPr>
          <w:p>
            <w:pPr>
              <w:ind w:left="60"/>
              <w:spacing w:after="0" w:line="156"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80" w:type="dxa"/>
            <w:vAlign w:val="bottom"/>
            <w:vMerge w:val="restart"/>
          </w:tcPr>
          <w:p>
            <w:pPr>
              <w:spacing w:after="0"/>
              <w:rPr>
                <w:sz w:val="2"/>
                <w:szCs w:val="2"/>
                <w:color w:val="auto"/>
              </w:rPr>
            </w:pPr>
          </w:p>
        </w:tc>
        <w:tc>
          <w:tcPr>
            <w:tcW w:w="1100" w:type="dxa"/>
            <w:vAlign w:val="bottom"/>
            <w:gridSpan w:val="2"/>
            <w:vMerge w:val="restart"/>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Shareholders'</w:t>
            </w:r>
          </w:p>
        </w:tc>
        <w:tc>
          <w:tcPr>
            <w:tcW w:w="0" w:type="dxa"/>
            <w:vAlign w:val="bottom"/>
          </w:tcPr>
          <w:p>
            <w:pPr>
              <w:spacing w:after="0"/>
              <w:rPr>
                <w:sz w:val="1"/>
                <w:szCs w:val="1"/>
                <w:color w:val="auto"/>
              </w:rPr>
            </w:pPr>
          </w:p>
        </w:tc>
      </w:tr>
      <w:tr>
        <w:trPr>
          <w:trHeight w:val="107"/>
        </w:trPr>
        <w:tc>
          <w:tcPr>
            <w:tcW w:w="4860" w:type="dxa"/>
            <w:vAlign w:val="bottom"/>
          </w:tcPr>
          <w:p>
            <w:pPr>
              <w:spacing w:after="0"/>
              <w:rPr>
                <w:sz w:val="9"/>
                <w:szCs w:val="9"/>
                <w:color w:val="auto"/>
              </w:rPr>
            </w:pP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9"/>
                <w:szCs w:val="9"/>
                <w:color w:val="auto"/>
              </w:rPr>
            </w:pPr>
          </w:p>
        </w:tc>
        <w:tc>
          <w:tcPr>
            <w:tcW w:w="880" w:type="dxa"/>
            <w:vAlign w:val="bottom"/>
            <w:vMerge w:val="restart"/>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9"/>
                <w:szCs w:val="9"/>
                <w:color w:val="auto"/>
              </w:rPr>
            </w:pPr>
          </w:p>
        </w:tc>
        <w:tc>
          <w:tcPr>
            <w:tcW w:w="74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107"/>
        </w:trPr>
        <w:tc>
          <w:tcPr>
            <w:tcW w:w="4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9"/>
                <w:szCs w:val="9"/>
                <w:color w:val="auto"/>
              </w:rPr>
            </w:pPr>
          </w:p>
        </w:tc>
        <w:tc>
          <w:tcPr>
            <w:tcW w:w="102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except share data)</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BALANCE AT DECEMBER 31, 2019</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405,896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$ 159,997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75,540,804</w:t>
            </w:r>
          </w:p>
        </w:tc>
        <w:tc>
          <w:tcPr>
            <w:tcW w:w="520" w:type="dxa"/>
            <w:vAlign w:val="bottom"/>
            <w:gridSpan w:val="2"/>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759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3,166,522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(791,124)</w:t>
            </w:r>
          </w:p>
        </w:tc>
        <w:tc>
          <w:tcPr>
            <w:tcW w:w="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100,791</w:t>
            </w:r>
          </w:p>
        </w:tc>
        <w:tc>
          <w:tcPr>
            <w:tcW w:w="30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2,636,132</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January 1, 2020 adoption of new accounting standard</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w w:val="99"/>
              </w:rPr>
              <w:t>Net income, excluding $2,228 attributable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131,706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133,660</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loss - change in value of interest rate swaps, excluding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(4,831)</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$471 attributable to 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Dividends declared to common shareholders ($4.22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(320,302)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(320,302)</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Dividends declared to preferred shareholders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noncontrolling interests, excluding $1,197 attributable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(8,874)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(8,874)</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to 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Common shares issued, net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1,080,882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98,828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98,839</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Shares issued under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24,491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2,072</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 net of forfeitures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114,251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13,243</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Shares withheld for employee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(33,034)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(4,052)</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Conversion and redemption of downREIT OP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(3,320)</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Contributions from noncontrolling interests, excluding $19,335 attributable to</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Purchase of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(7,321)</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Adjustment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21,933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21,933</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405,896</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$ 159,997</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76,727,394</w:t>
            </w:r>
          </w:p>
        </w:tc>
        <w:tc>
          <w:tcPr>
            <w:tcW w:w="80" w:type="dxa"/>
            <w:vAlign w:val="bottom"/>
          </w:tcPr>
          <w:p>
            <w:pPr>
              <w:spacing w:after="0"/>
              <w:rPr>
                <w:sz w:val="16"/>
                <w:szCs w:val="16"/>
                <w:color w:val="auto"/>
              </w:rPr>
            </w:pPr>
          </w:p>
        </w:tc>
        <w:tc>
          <w:tcPr>
            <w:tcW w:w="44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771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3,297,305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(988,272)</w:t>
            </w:r>
          </w:p>
        </w:tc>
        <w:tc>
          <w:tcPr>
            <w:tcW w:w="8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(5,644)</w:t>
            </w:r>
          </w:p>
        </w:tc>
        <w:tc>
          <w:tcPr>
            <w:tcW w:w="8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84,590</w:t>
            </w:r>
          </w:p>
        </w:tc>
        <w:tc>
          <w:tcPr>
            <w:tcW w:w="80" w:type="dxa"/>
            <w:vAlign w:val="bottom"/>
          </w:tcPr>
          <w:p>
            <w:pPr>
              <w:spacing w:after="0"/>
              <w:rPr>
                <w:sz w:val="16"/>
                <w:szCs w:val="16"/>
                <w:color w:val="auto"/>
              </w:rPr>
            </w:pP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2,548,747</w:t>
            </w:r>
          </w:p>
        </w:tc>
        <w:tc>
          <w:tcPr>
            <w:tcW w:w="0" w:type="dxa"/>
            <w:vAlign w:val="bottom"/>
          </w:tcPr>
          <w:p>
            <w:pPr>
              <w:spacing w:after="0"/>
              <w:rPr>
                <w:sz w:val="1"/>
                <w:szCs w:val="1"/>
                <w:color w:val="auto"/>
              </w:rPr>
            </w:pPr>
          </w:p>
        </w:tc>
      </w:tr>
      <w:tr>
        <w:trPr>
          <w:trHeight w:val="191"/>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w w:val="99"/>
              </w:rPr>
              <w:t>Net income, excluding $4,296 attributable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261,498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264,785</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 change in value of interest rate swaps, excluding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3,597</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$320 attributable to redeemable noncontrolling interest</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Dividends declared to common shareholders ($4.26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(332,116)</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Dividends declared to preferred shareholders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0" w:type="dxa"/>
            <w:vAlign w:val="bottom"/>
          </w:tcPr>
          <w:p>
            <w:pPr>
              <w:spacing w:after="0"/>
              <w:rPr>
                <w:sz w:val="1"/>
                <w:szCs w:val="1"/>
                <w:color w:val="auto"/>
              </w:rPr>
            </w:pPr>
          </w:p>
        </w:tc>
      </w:tr>
      <w:tr>
        <w:trPr>
          <w:trHeight w:val="197"/>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noncontrolling interests, excluding $5,268 attributable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(4,341)</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to 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Common shares issued, net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1,643,845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172,736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172,753</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Shares issued under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19,758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1,955</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 net of forfeitures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164,553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14,434</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Shares withheld for employee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(29,031)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(2,998)</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Conversion and redemption of downREIT OP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76,786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Contributions from noncontrolling interests, excluding $74,530 attributable to</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6,583</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Adjustment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405,896</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$ 159,997</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78,603,305</w:t>
            </w:r>
          </w:p>
        </w:tc>
        <w:tc>
          <w:tcPr>
            <w:tcW w:w="80" w:type="dxa"/>
            <w:vAlign w:val="bottom"/>
          </w:tcPr>
          <w:p>
            <w:pPr>
              <w:spacing w:after="0"/>
              <w:rPr>
                <w:sz w:val="16"/>
                <w:szCs w:val="16"/>
                <w:color w:val="auto"/>
              </w:rPr>
            </w:pPr>
          </w:p>
        </w:tc>
        <w:tc>
          <w:tcPr>
            <w:tcW w:w="44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790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3,488,794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(1,066,932)</w:t>
            </w:r>
          </w:p>
        </w:tc>
        <w:tc>
          <w:tcPr>
            <w:tcW w:w="8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(2,047)</w:t>
            </w:r>
          </w:p>
        </w:tc>
        <w:tc>
          <w:tcPr>
            <w:tcW w:w="8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82,546</w:t>
            </w:r>
          </w:p>
        </w:tc>
        <w:tc>
          <w:tcPr>
            <w:tcW w:w="80" w:type="dxa"/>
            <w:vAlign w:val="bottom"/>
          </w:tcPr>
          <w:p>
            <w:pPr>
              <w:spacing w:after="0"/>
              <w:rPr>
                <w:sz w:val="16"/>
                <w:szCs w:val="16"/>
                <w:color w:val="auto"/>
              </w:rPr>
            </w:pP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2,663,148</w:t>
            </w:r>
          </w:p>
        </w:tc>
        <w:tc>
          <w:tcPr>
            <w:tcW w:w="0" w:type="dxa"/>
            <w:vAlign w:val="bottom"/>
          </w:tcPr>
          <w:p>
            <w:pPr>
              <w:spacing w:after="0"/>
              <w:rPr>
                <w:sz w:val="1"/>
                <w:szCs w:val="1"/>
                <w:color w:val="auto"/>
              </w:rPr>
            </w:pPr>
          </w:p>
        </w:tc>
      </w:tr>
      <w:tr>
        <w:trPr>
          <w:trHeight w:val="191"/>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w w:val="99"/>
              </w:rPr>
              <w:t>Net income, excluding $6,613 attributable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385,491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389,048</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 change in value of interest rate swaps, excluding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7,804</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$765 attributable to redeemable noncontrolling interest</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Dividends declared to common shareholders ($4.30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(344,711)</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Dividends declared to preferred shareholders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(8,034)</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noncontrolling interests, excluding $8,090 attributable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(5,007)</w:t>
            </w:r>
          </w:p>
        </w:tc>
        <w:tc>
          <w:tcPr>
            <w:tcW w:w="0" w:type="dxa"/>
            <w:vAlign w:val="bottom"/>
          </w:tcPr>
          <w:p>
            <w:pPr>
              <w:spacing w:after="0"/>
              <w:rPr>
                <w:sz w:val="1"/>
                <w:szCs w:val="1"/>
                <w:color w:val="auto"/>
              </w:rPr>
            </w:pPr>
          </w:p>
        </w:tc>
      </w:tr>
      <w:tr>
        <w:trPr>
          <w:trHeight w:val="146"/>
        </w:trPr>
        <w:tc>
          <w:tcPr>
            <w:tcW w:w="48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to 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Common shares issued, net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2,634,223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306,828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306,854</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Shares issued under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19,502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2,104</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 net of forfeitures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110,395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15,018</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Shares withheld for employee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(41,105)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preferred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1,675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Conversion and redemption of downREIT OP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14,598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Deconsolidation of VIE</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972</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Adjustment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12,382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12,382</w:t>
            </w:r>
          </w:p>
        </w:tc>
        <w:tc>
          <w:tcPr>
            <w:tcW w:w="0" w:type="dxa"/>
            <w:vAlign w:val="bottom"/>
          </w:tcPr>
          <w:p>
            <w:pPr>
              <w:spacing w:after="0"/>
              <w:rPr>
                <w:sz w:val="1"/>
                <w:szCs w:val="1"/>
                <w:color w:val="auto"/>
              </w:rPr>
            </w:pPr>
          </w:p>
        </w:tc>
      </w:tr>
      <w:tr>
        <w:trPr>
          <w:trHeight w:val="151"/>
        </w:trPr>
        <w:tc>
          <w:tcPr>
            <w:tcW w:w="486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BALANCE AT DECEMBER 31, 2022</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398,878</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$ 159,822</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81,342,959</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46"/>
              <w:spacing w:after="0" w:line="151"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w w:val="97"/>
              </w:rPr>
              <w:t>818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3,821,801</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(1,034,186)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5,757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rPr>
              <w:t>80,003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26"/>
              <w:spacing w:after="0" w:line="151"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ind w:right="7"/>
              <w:spacing w:after="0" w:line="151" w:lineRule="exact"/>
              <w:rPr>
                <w:sz w:val="20"/>
                <w:szCs w:val="20"/>
                <w:color w:val="auto"/>
              </w:rPr>
            </w:pPr>
            <w:r>
              <w:rPr>
                <w:rFonts w:ascii="Times New Roman" w:cs="Times New Roman" w:eastAsia="Times New Roman" w:hAnsi="Times New Roman"/>
                <w:sz w:val="15"/>
                <w:szCs w:val="15"/>
                <w:color w:val="auto"/>
              </w:rPr>
              <w:t>3,034,015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7185025</wp:posOffset>
            </wp:positionH>
            <wp:positionV relativeFrom="paragraph">
              <wp:posOffset>-6554470</wp:posOffset>
            </wp:positionV>
            <wp:extent cx="45085" cy="12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
                      <a:extLst>
                        <a:ext uri="{28A0092B-C50C-407E-A947-70E740481C1C}"/>
                      </a:extLst>
                    </a:blip>
                    <a:srcRect/>
                    <a:stretch>
                      <a:fillRect/>
                    </a:stretch>
                  </pic:blipFill>
                  <pic:spPr bwMode="auto">
                    <a:xfrm>
                      <a:off x="0" y="0"/>
                      <a:ext cx="45085" cy="120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5216525</wp:posOffset>
                </wp:positionH>
                <wp:positionV relativeFrom="paragraph">
                  <wp:posOffset>-6139815</wp:posOffset>
                </wp:positionV>
                <wp:extent cx="6223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75pt,-483.4499pt" to="459.75pt,-483.4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5885180</wp:posOffset>
                </wp:positionH>
                <wp:positionV relativeFrom="paragraph">
                  <wp:posOffset>-6139815</wp:posOffset>
                </wp:positionV>
                <wp:extent cx="64071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4pt,-483.4499pt" to="513.85pt,-483.4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3079750</wp:posOffset>
                </wp:positionH>
                <wp:positionV relativeFrom="paragraph">
                  <wp:posOffset>-3956685</wp:posOffset>
                </wp:positionV>
                <wp:extent cx="45529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29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5pt,-311.5499pt" to="278.35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3581400</wp:posOffset>
                </wp:positionH>
                <wp:positionV relativeFrom="paragraph">
                  <wp:posOffset>-3956685</wp:posOffset>
                </wp:positionV>
                <wp:extent cx="45529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29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pt,-311.5499pt" to="317.85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4083050</wp:posOffset>
                </wp:positionH>
                <wp:positionV relativeFrom="paragraph">
                  <wp:posOffset>-3956685</wp:posOffset>
                </wp:positionV>
                <wp:extent cx="5664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64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5pt,-311.5499pt" to="366.1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-3956685</wp:posOffset>
                </wp:positionV>
                <wp:extent cx="47371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71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311.5499pt" to="407.05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5216525</wp:posOffset>
                </wp:positionH>
                <wp:positionV relativeFrom="paragraph">
                  <wp:posOffset>-3956685</wp:posOffset>
                </wp:positionV>
                <wp:extent cx="6223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75pt,-311.5499pt" to="459.75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5885180</wp:posOffset>
                </wp:positionH>
                <wp:positionV relativeFrom="paragraph">
                  <wp:posOffset>-3956685</wp:posOffset>
                </wp:positionV>
                <wp:extent cx="64071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4pt,-311.5499pt" to="513.85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6572250</wp:posOffset>
                </wp:positionH>
                <wp:positionV relativeFrom="paragraph">
                  <wp:posOffset>-3956685</wp:posOffset>
                </wp:positionV>
                <wp:extent cx="74358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358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5pt,-311.5499pt" to="576.05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7362190</wp:posOffset>
                </wp:positionH>
                <wp:positionV relativeFrom="paragraph">
                  <wp:posOffset>-3956685</wp:posOffset>
                </wp:positionV>
                <wp:extent cx="71501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01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7pt,-311.5499pt" to="636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8123555</wp:posOffset>
                </wp:positionH>
                <wp:positionV relativeFrom="paragraph">
                  <wp:posOffset>-3956685</wp:posOffset>
                </wp:positionV>
                <wp:extent cx="69659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659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9.65pt,-311.5499pt" to="694.5pt,-311.5499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3079750</wp:posOffset>
                </wp:positionH>
                <wp:positionV relativeFrom="paragraph">
                  <wp:posOffset>-2108200</wp:posOffset>
                </wp:positionV>
                <wp:extent cx="45529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29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5pt,-166pt" to="278.35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3581400</wp:posOffset>
                </wp:positionH>
                <wp:positionV relativeFrom="paragraph">
                  <wp:posOffset>-2108200</wp:posOffset>
                </wp:positionV>
                <wp:extent cx="45529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29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pt,-166pt" to="317.85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4083050</wp:posOffset>
                </wp:positionH>
                <wp:positionV relativeFrom="paragraph">
                  <wp:posOffset>-2108200</wp:posOffset>
                </wp:positionV>
                <wp:extent cx="56642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642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5pt,-166pt" to="366.1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4695825</wp:posOffset>
                </wp:positionH>
                <wp:positionV relativeFrom="paragraph">
                  <wp:posOffset>-2108200</wp:posOffset>
                </wp:positionV>
                <wp:extent cx="47371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71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75pt,-166pt" to="407.05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5216525</wp:posOffset>
                </wp:positionH>
                <wp:positionV relativeFrom="paragraph">
                  <wp:posOffset>-2108200</wp:posOffset>
                </wp:positionV>
                <wp:extent cx="6223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75pt,-166pt" to="459.75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5885180</wp:posOffset>
                </wp:positionH>
                <wp:positionV relativeFrom="paragraph">
                  <wp:posOffset>-2108200</wp:posOffset>
                </wp:positionV>
                <wp:extent cx="64071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4pt,-166pt" to="513.85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6572250</wp:posOffset>
                </wp:positionH>
                <wp:positionV relativeFrom="paragraph">
                  <wp:posOffset>-2108200</wp:posOffset>
                </wp:positionV>
                <wp:extent cx="74358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358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5pt,-166pt" to="576.05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7362190</wp:posOffset>
                </wp:positionH>
                <wp:positionV relativeFrom="paragraph">
                  <wp:posOffset>-2108200</wp:posOffset>
                </wp:positionV>
                <wp:extent cx="71501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01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7pt,-166pt" to="636pt,-166pt" o:allowincell="f" strokecolor="#000000" strokeweight="0.975pt"/>
            </w:pict>
          </mc:Fallback>
        </mc:AlternateContent>
        <mc:AlternateContent>
          <mc:Choice Requires="wps">
            <w:drawing>
              <wp:anchor simplePos="0" relativeHeight="251657728" behindDoc="1" locked="0" layoutInCell="0" allowOverlap="1">
                <wp:simplePos x="0" y="0"/>
                <wp:positionH relativeFrom="column">
                  <wp:posOffset>8123555</wp:posOffset>
                </wp:positionH>
                <wp:positionV relativeFrom="paragraph">
                  <wp:posOffset>-2108200</wp:posOffset>
                </wp:positionV>
                <wp:extent cx="69659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659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9.65pt,-166pt" to="694.5pt,-166pt" o:allowincell="f" strokecolor="#000000" strokeweight="0.975pt"/>
            </w:pict>
          </mc:Fallback>
        </mc:AlternateContent>
      </w:r>
    </w:p>
    <w:p>
      <w:pPr>
        <w:spacing w:after="0" w:line="1" w:lineRule="exact"/>
        <w:rPr>
          <w:sz w:val="20"/>
          <w:szCs w:val="20"/>
          <w:color w:val="auto"/>
        </w:rPr>
      </w:pPr>
    </w:p>
    <w:p>
      <w:pPr>
        <w:sectPr>
          <w:pgSz w:w="15480" w:h="11880" w:orient="landscape"/>
          <w:cols w:equalWidth="0" w:num="2">
            <w:col w:w="240" w:space="487"/>
            <w:col w:w="13900"/>
          </w:cols>
          <w:pgMar w:left="294" w:top="192" w:right="560" w:bottom="0" w:gutter="0" w:footer="0" w:header="0"/>
        </w:sectPr>
      </w:pPr>
    </w:p>
    <w:p>
      <w:pPr>
        <w:ind w:left="4906"/>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ectPr>
          <w:pgSz w:w="15480" w:h="11880" w:orient="landscape"/>
          <w:cols w:equalWidth="0" w:num="1">
            <w:col w:w="14626"/>
          </w:cols>
          <w:pgMar w:left="294" w:top="192" w:right="560" w:bottom="0" w:gutter="0" w:footer="0" w:header="0"/>
          <w:type w:val="continuous"/>
        </w:sectPr>
      </w:pPr>
    </w:p>
    <w:bookmarkStart w:id="76" w:name="page77"/>
    <w:bookmarkEnd w:id="7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0"/>
        </w:trPr>
        <w:tc>
          <w:tcPr>
            <w:tcW w:w="7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4"/>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395,661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269,081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 activities:</w:t>
            </w: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302,409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279,976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255,027</w:t>
            </w:r>
          </w:p>
        </w:tc>
        <w:tc>
          <w:tcPr>
            <w:tcW w:w="0" w:type="dxa"/>
            <w:vAlign w:val="bottom"/>
          </w:tcPr>
          <w:p>
            <w:pPr>
              <w:spacing w:after="0"/>
              <w:rPr>
                <w:sz w:val="1"/>
                <w:szCs w:val="1"/>
                <w:color w:val="auto"/>
              </w:rPr>
            </w:pPr>
          </w:p>
        </w:tc>
      </w:tr>
      <w:tr>
        <w:trPr>
          <w:trHeight w:val="25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Impairment charge</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57,218</w:t>
            </w:r>
          </w:p>
        </w:tc>
        <w:tc>
          <w:tcPr>
            <w:tcW w:w="0" w:type="dxa"/>
            <w:vAlign w:val="bottom"/>
          </w:tcPr>
          <w:p>
            <w:pPr>
              <w:spacing w:after="0"/>
              <w:rPr>
                <w:sz w:val="1"/>
                <w:szCs w:val="1"/>
                <w:color w:val="auto"/>
              </w:rPr>
            </w:pPr>
          </w:p>
        </w:tc>
      </w:tr>
      <w:tr>
        <w:trPr>
          <w:trHeight w:val="25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Gain on deconsolidation of VIE</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Gain on sale of real estate and change in control of interest, net of tax</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(93,483)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(89,950)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(98,117)</w:t>
            </w:r>
          </w:p>
        </w:tc>
        <w:tc>
          <w:tcPr>
            <w:tcW w:w="0" w:type="dxa"/>
            <w:vAlign w:val="bottom"/>
          </w:tcPr>
          <w:p>
            <w:pPr>
              <w:spacing w:after="0"/>
              <w:rPr>
                <w:sz w:val="1"/>
                <w:szCs w:val="1"/>
                <w:color w:val="auto"/>
              </w:rPr>
            </w:pPr>
          </w:p>
        </w:tc>
      </w:tr>
      <w:tr>
        <w:trPr>
          <w:trHeight w:val="281"/>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Early extinguishment of debt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11,179</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(Income) loss from partnerships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8,062</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Straight-line rent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11,924</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net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0" w:type="dxa"/>
            <w:vAlign w:val="bottom"/>
          </w:tcPr>
          <w:p>
            <w:pPr>
              <w:spacing w:after="0"/>
              <w:rPr>
                <w:sz w:val="1"/>
                <w:szCs w:val="1"/>
                <w:color w:val="auto"/>
              </w:rPr>
            </w:pPr>
          </w:p>
        </w:tc>
      </w:tr>
      <w:tr>
        <w:trPr>
          <w:trHeight w:val="264"/>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Changes in assets and liabilities, net of effects of acquisitions and dispositions:</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decrease in accounts receivable, net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(6,032)</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in prepaid expenses and other assets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(3,260)</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in accounts payable and accrued expenses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5,621</w:t>
            </w:r>
          </w:p>
        </w:tc>
        <w:tc>
          <w:tcPr>
            <w:tcW w:w="0" w:type="dxa"/>
            <w:vAlign w:val="bottom"/>
          </w:tcPr>
          <w:p>
            <w:pPr>
              <w:spacing w:after="0"/>
              <w:rPr>
                <w:sz w:val="1"/>
                <w:szCs w:val="1"/>
                <w:color w:val="auto"/>
              </w:rPr>
            </w:pPr>
          </w:p>
        </w:tc>
      </w:tr>
      <w:tr>
        <w:trPr>
          <w:trHeight w:val="288"/>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(decrease) in security deposits and other liabilities</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10,712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471,352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369,929</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Acquisition of real estate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(438,494)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(366,466)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(9,589)</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expenditures - development and redevelopment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(309,046)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(368,786)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(433,872)</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expenditures - other</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(107,655)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(68,064)</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Costs associated with property sold under threat of condemnation, net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(12,924)</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sale of real estate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183,461</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 in cash from deconsolidation of VIE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partnerships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(3,348)</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Distribution from partnerships in excess of earnings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Leasing costs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(22,541)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(21,990)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(15,080)</w:t>
            </w:r>
          </w:p>
        </w:tc>
        <w:tc>
          <w:tcPr>
            <w:tcW w:w="0" w:type="dxa"/>
            <w:vAlign w:val="bottom"/>
          </w:tcPr>
          <w:p>
            <w:pPr>
              <w:spacing w:after="0"/>
              <w:rPr>
                <w:sz w:val="1"/>
                <w:szCs w:val="1"/>
                <w:color w:val="auto"/>
              </w:rPr>
            </w:pPr>
          </w:p>
        </w:tc>
      </w:tr>
      <w:tr>
        <w:trPr>
          <w:trHeight w:val="288"/>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repayment of mortgage and other notes receivable, net</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(10,268)</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(785,998)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(660,118)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(368,383)</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0" w:type="dxa"/>
            <w:vAlign w:val="bottom"/>
          </w:tcPr>
          <w:p>
            <w:pPr>
              <w:spacing w:after="0"/>
              <w:rPr>
                <w:sz w:val="1"/>
                <w:szCs w:val="1"/>
                <w:color w:val="auto"/>
              </w:rPr>
            </w:pPr>
          </w:p>
        </w:tc>
      </w:tr>
      <w:tr>
        <w:trPr>
          <w:trHeight w:val="246"/>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Costs to amend revolving credit facility</w:t>
            </w: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of senior notes, net of costs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1,094,283</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Redemption and retirement of senior notes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(510,360)</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of notes payable, net of costs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298,568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398,722</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Repayment of mortgages, finance leases, and notes payable</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(277,643)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(70,237)</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of common shares, net of costs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307,275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172,981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99,177</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Dividends paid to common and preferred shareholders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(347,284)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(335,656)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(324,596)</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Shares withheld for employee taxes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(4,052)</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Contributions from noncontrolling interests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Distributions to and redemptions of noncontrolling interests</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(37,427)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(9,784)</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(20,563)</w:t>
            </w:r>
          </w:p>
        </w:tc>
        <w:tc>
          <w:tcPr>
            <w:tcW w:w="0" w:type="dxa"/>
            <w:vAlign w:val="bottom"/>
          </w:tcPr>
          <w:p>
            <w:pPr>
              <w:spacing w:after="0"/>
              <w:rPr>
                <w:sz w:val="1"/>
                <w:szCs w:val="1"/>
                <w:color w:val="auto"/>
              </w:rPr>
            </w:pPr>
          </w:p>
        </w:tc>
      </w:tr>
      <w:tr>
        <w:trPr>
          <w:trHeight w:val="26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190,414</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(452,967)</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661,736</w:t>
            </w:r>
          </w:p>
        </w:tc>
        <w:tc>
          <w:tcPr>
            <w:tcW w:w="0" w:type="dxa"/>
            <w:vAlign w:val="bottom"/>
          </w:tcPr>
          <w:p>
            <w:pPr>
              <w:spacing w:after="0"/>
              <w:rPr>
                <w:sz w:val="1"/>
                <w:szCs w:val="1"/>
                <w:color w:val="auto"/>
              </w:rPr>
            </w:pPr>
          </w:p>
        </w:tc>
      </w:tr>
      <w:tr>
        <w:trPr>
          <w:trHeight w:val="227"/>
        </w:trPr>
        <w:tc>
          <w:tcPr>
            <w:tcW w:w="70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(Decrease) increase in cash, cash equivalents, and restricted cash</w:t>
            </w:r>
          </w:p>
        </w:tc>
        <w:tc>
          <w:tcPr>
            <w:tcW w:w="180" w:type="dxa"/>
            <w:vAlign w:val="bottom"/>
          </w:tcPr>
          <w:p>
            <w:pPr>
              <w:spacing w:after="0"/>
              <w:rPr>
                <w:sz w:val="19"/>
                <w:szCs w:val="19"/>
                <w:color w:val="auto"/>
              </w:rPr>
            </w:pPr>
          </w:p>
        </w:tc>
        <w:tc>
          <w:tcPr>
            <w:tcW w:w="8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(78,815)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99"/>
              </w:rPr>
              <w:t>(641,733)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663,282</w:t>
            </w:r>
          </w:p>
        </w:tc>
        <w:tc>
          <w:tcPr>
            <w:tcW w:w="0" w:type="dxa"/>
            <w:vAlign w:val="bottom"/>
          </w:tcPr>
          <w:p>
            <w:pPr>
              <w:spacing w:after="0"/>
              <w:rPr>
                <w:sz w:val="1"/>
                <w:szCs w:val="1"/>
                <w:color w:val="auto"/>
              </w:rPr>
            </w:pPr>
          </w:p>
        </w:tc>
      </w:tr>
      <w:tr>
        <w:trPr>
          <w:trHeight w:val="263"/>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year</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175,163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816,896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153,614</w:t>
            </w:r>
          </w:p>
        </w:tc>
        <w:tc>
          <w:tcPr>
            <w:tcW w:w="0" w:type="dxa"/>
            <w:vAlign w:val="bottom"/>
          </w:tcPr>
          <w:p>
            <w:pPr>
              <w:spacing w:after="0"/>
              <w:rPr>
                <w:sz w:val="1"/>
                <w:szCs w:val="1"/>
                <w:color w:val="auto"/>
              </w:rPr>
            </w:pPr>
          </w:p>
        </w:tc>
      </w:tr>
      <w:tr>
        <w:trPr>
          <w:trHeight w:val="215"/>
        </w:trPr>
        <w:tc>
          <w:tcPr>
            <w:tcW w:w="70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Cash, cash equivalents, and restricted cash at end of year</w:t>
            </w: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96,348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175,163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816,896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statements.</w:t>
      </w:r>
    </w:p>
    <w:p>
      <w:pPr>
        <w:sectPr>
          <w:pgSz w:w="11880" w:h="15480" w:orient="portrait"/>
          <w:cols w:equalWidth="0" w:num="1">
            <w:col w:w="10180"/>
          </w:cols>
          <w:pgMar w:left="880" w:top="406" w:right="82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10180"/>
          </w:cols>
          <w:pgMar w:left="880" w:top="406" w:right="820" w:bottom="0" w:gutter="0" w:footer="0" w:header="0"/>
          <w:type w:val="continuous"/>
        </w:sectPr>
      </w:pPr>
    </w:p>
    <w:bookmarkStart w:id="77" w:name="page78"/>
    <w:bookmarkEnd w:id="7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49"/>
        </w:trPr>
        <w:tc>
          <w:tcPr>
            <w:tcW w:w="7800" w:type="dxa"/>
            <w:vAlign w:val="bottom"/>
          </w:tcPr>
          <w:p>
            <w:pPr>
              <w:spacing w:after="0"/>
              <w:rPr>
                <w:sz w:val="24"/>
                <w:szCs w:val="24"/>
                <w:color w:val="auto"/>
              </w:rPr>
            </w:pPr>
          </w:p>
        </w:tc>
        <w:tc>
          <w:tcPr>
            <w:tcW w:w="2380" w:type="dxa"/>
            <w:vAlign w:val="bottom"/>
            <w:gridSpan w:val="5"/>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tc>
        <w:tc>
          <w:tcPr>
            <w:tcW w:w="0" w:type="dxa"/>
            <w:vAlign w:val="bottom"/>
          </w:tcPr>
          <w:p>
            <w:pPr>
              <w:spacing w:after="0"/>
              <w:rPr>
                <w:sz w:val="1"/>
                <w:szCs w:val="1"/>
                <w:color w:val="auto"/>
              </w:rPr>
            </w:pPr>
          </w:p>
        </w:tc>
      </w:tr>
      <w:tr>
        <w:trPr>
          <w:trHeight w:val="262"/>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at cost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auto"/>
              </w:rPr>
              <w:t>Operating (including $1,997,583 and $2,207,648 of consolidated variable interest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9,441,945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8,814,791</w:t>
            </w:r>
          </w:p>
        </w:tc>
        <w:tc>
          <w:tcPr>
            <w:tcW w:w="0" w:type="dxa"/>
            <w:vAlign w:val="bottom"/>
          </w:tcPr>
          <w:p>
            <w:pPr>
              <w:spacing w:after="0"/>
              <w:rPr>
                <w:sz w:val="1"/>
                <w:szCs w:val="1"/>
                <w:color w:val="auto"/>
              </w:rPr>
            </w:pPr>
          </w:p>
        </w:tc>
      </w:tr>
      <w:tr>
        <w:trPr>
          <w:trHeight w:val="26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720"/>
              <w:spacing w:after="0" w:line="204" w:lineRule="exact"/>
              <w:rPr>
                <w:sz w:val="20"/>
                <w:szCs w:val="20"/>
                <w:color w:val="auto"/>
              </w:rPr>
            </w:pPr>
            <w:r>
              <w:rPr>
                <w:rFonts w:ascii="Times New Roman" w:cs="Times New Roman" w:eastAsia="Times New Roman" w:hAnsi="Times New Roman"/>
                <w:sz w:val="20"/>
                <w:szCs w:val="20"/>
                <w:color w:val="auto"/>
              </w:rPr>
              <w:t>Construction-in-progress (including $8,477 and $18,752 of consolidated variable</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662,554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607,271</w:t>
            </w:r>
          </w:p>
        </w:tc>
        <w:tc>
          <w:tcPr>
            <w:tcW w:w="0" w:type="dxa"/>
            <w:vAlign w:val="bottom"/>
          </w:tcPr>
          <w:p>
            <w:pPr>
              <w:spacing w:after="0"/>
              <w:rPr>
                <w:sz w:val="1"/>
                <w:szCs w:val="1"/>
                <w:color w:val="auto"/>
              </w:rPr>
            </w:pPr>
          </w:p>
        </w:tc>
      </w:tr>
      <w:tr>
        <w:trPr>
          <w:trHeight w:val="264"/>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interest entities, respectively)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w w:val="99"/>
              </w:rPr>
              <w:t>10,104,499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9,422,062</w:t>
            </w: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auto"/>
              </w:rPr>
              <w:t>Less accumulated depreciation and amortization (including $362,921 and $389,950 of</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(2,715,817)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(2,531,095)</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consolidated variable interest entities, respectively)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00" w:type="dxa"/>
            <w:vAlign w:val="bottom"/>
          </w:tcPr>
          <w:p>
            <w:pPr>
              <w:ind w:left="360"/>
              <w:spacing w:after="0" w:line="212" w:lineRule="exact"/>
              <w:rPr>
                <w:sz w:val="20"/>
                <w:szCs w:val="20"/>
                <w:color w:val="auto"/>
              </w:rPr>
            </w:pPr>
            <w:r>
              <w:rPr>
                <w:rFonts w:ascii="Times New Roman" w:cs="Times New Roman" w:eastAsia="Times New Roman" w:hAnsi="Times New Roman"/>
                <w:sz w:val="20"/>
                <w:szCs w:val="20"/>
                <w:color w:val="auto"/>
              </w:rPr>
              <w:t>Net real estate</w:t>
            </w:r>
          </w:p>
        </w:tc>
        <w:tc>
          <w:tcPr>
            <w:tcW w:w="160" w:type="dxa"/>
            <w:vAlign w:val="bottom"/>
          </w:tcPr>
          <w:p>
            <w:pPr>
              <w:spacing w:after="0"/>
              <w:rPr>
                <w:sz w:val="18"/>
                <w:szCs w:val="18"/>
                <w:color w:val="auto"/>
              </w:rPr>
            </w:pPr>
          </w:p>
        </w:tc>
        <w:tc>
          <w:tcPr>
            <w:tcW w:w="10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7,388,682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6,890,967</w:t>
            </w:r>
          </w:p>
        </w:tc>
        <w:tc>
          <w:tcPr>
            <w:tcW w:w="0" w:type="dxa"/>
            <w:vAlign w:val="bottom"/>
          </w:tcPr>
          <w:p>
            <w:pPr>
              <w:spacing w:after="0"/>
              <w:rPr>
                <w:sz w:val="1"/>
                <w:szCs w:val="1"/>
                <w:color w:val="auto"/>
              </w:rPr>
            </w:pPr>
          </w:p>
        </w:tc>
      </w:tr>
      <w:tr>
        <w:trPr>
          <w:trHeight w:val="24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162,132</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and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197,648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169,007</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Mortgage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9,543</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partnerships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145,205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13,027</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94,569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90,743</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Finance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45,467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49,832</w:t>
            </w:r>
          </w:p>
        </w:tc>
        <w:tc>
          <w:tcPr>
            <w:tcW w:w="0" w:type="dxa"/>
            <w:vAlign w:val="bottom"/>
          </w:tcPr>
          <w:p>
            <w:pPr>
              <w:spacing w:after="0"/>
              <w:rPr>
                <w:sz w:val="1"/>
                <w:szCs w:val="1"/>
                <w:color w:val="auto"/>
              </w:rPr>
            </w:pPr>
          </w:p>
        </w:tc>
      </w:tr>
      <w:tr>
        <w:trPr>
          <w:trHeight w:val="263"/>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267,406</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237,069</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8,233,991</w:t>
            </w:r>
          </w:p>
        </w:tc>
        <w:tc>
          <w:tcPr>
            <w:tcW w:w="240" w:type="dxa"/>
            <w:vAlign w:val="bottom"/>
            <w:tcBorders>
              <w:bottom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7,622,320</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 AND CAPITAL</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Liabilities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auto"/>
              </w:rPr>
              <w:t>Mortgages payable, net (including $191,827 and $335,301 of consolidated variable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320,615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339,993</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interest 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Notes payable,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601,077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301,466</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Senior notes and debentures,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3,407,701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3,406,088</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235,168</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Dividends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90,263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86,538</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Security deposits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25,331</w:t>
            </w:r>
          </w:p>
        </w:tc>
        <w:tc>
          <w:tcPr>
            <w:tcW w:w="0" w:type="dxa"/>
            <w:vAlign w:val="bottom"/>
          </w:tcPr>
          <w:p>
            <w:pPr>
              <w:spacing w:after="0"/>
              <w:rPr>
                <w:sz w:val="1"/>
                <w:szCs w:val="1"/>
                <w:color w:val="auto"/>
              </w:rPr>
            </w:pPr>
          </w:p>
        </w:tc>
      </w:tr>
      <w:tr>
        <w:trPr>
          <w:trHeight w:val="24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72,661</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67,660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72,032</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liabilities and deferred credits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237,699</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206,187</w:t>
            </w:r>
          </w:p>
        </w:tc>
        <w:tc>
          <w:tcPr>
            <w:tcW w:w="0" w:type="dxa"/>
            <w:vAlign w:val="bottom"/>
          </w:tcPr>
          <w:p>
            <w:pPr>
              <w:spacing w:after="0"/>
              <w:rPr>
                <w:sz w:val="1"/>
                <w:szCs w:val="1"/>
                <w:color w:val="auto"/>
              </w:rPr>
            </w:pPr>
          </w:p>
        </w:tc>
      </w:tr>
      <w:tr>
        <w:trPr>
          <w:trHeight w:val="221"/>
        </w:trPr>
        <w:tc>
          <w:tcPr>
            <w:tcW w:w="7800" w:type="dxa"/>
            <w:vAlign w:val="bottom"/>
          </w:tcPr>
          <w:p>
            <w:pPr>
              <w:ind w:left="360"/>
              <w:spacing w:after="0" w:line="221" w:lineRule="exact"/>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Pr>
          <w:p>
            <w:pPr>
              <w:spacing w:after="0"/>
              <w:rPr>
                <w:sz w:val="19"/>
                <w:szCs w:val="19"/>
                <w:color w:val="auto"/>
              </w:rPr>
            </w:pP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5,021,606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4,745,464</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Commitments and contingencies (Note 7)</w:t>
            </w:r>
          </w:p>
        </w:tc>
        <w:tc>
          <w:tcPr>
            <w:tcW w:w="16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178,370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213,708</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Redeemable noncontrolling interests</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Partner capital</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Preferred units, 398,878 and 405,896 units issued and outstanding, respectively</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154,788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154,963</w:t>
            </w:r>
          </w:p>
        </w:tc>
        <w:tc>
          <w:tcPr>
            <w:tcW w:w="0" w:type="dxa"/>
            <w:vAlign w:val="bottom"/>
          </w:tcPr>
          <w:p>
            <w:pPr>
              <w:spacing w:after="0"/>
              <w:rPr>
                <w:sz w:val="1"/>
                <w:szCs w:val="1"/>
                <w:color w:val="auto"/>
              </w:rPr>
            </w:pPr>
          </w:p>
        </w:tc>
      </w:tr>
      <w:tr>
        <w:trPr>
          <w:trHeight w:val="28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Common units, 81,342,959 and 78,603,305 units issued and outstanding, respectively</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2,793,467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2,427,686</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(2,047)</w:t>
            </w:r>
          </w:p>
        </w:tc>
        <w:tc>
          <w:tcPr>
            <w:tcW w:w="0" w:type="dxa"/>
            <w:vAlign w:val="bottom"/>
          </w:tcPr>
          <w:p>
            <w:pPr>
              <w:spacing w:after="0"/>
              <w:rPr>
                <w:sz w:val="1"/>
                <w:szCs w:val="1"/>
                <w:color w:val="auto"/>
              </w:rPr>
            </w:pPr>
          </w:p>
        </w:tc>
      </w:tr>
      <w:tr>
        <w:trPr>
          <w:trHeight w:val="227"/>
        </w:trPr>
        <w:tc>
          <w:tcPr>
            <w:tcW w:w="780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auto"/>
              </w:rPr>
              <w:t>Total partner capital</w:t>
            </w:r>
          </w:p>
        </w:tc>
        <w:tc>
          <w:tcPr>
            <w:tcW w:w="160" w:type="dxa"/>
            <w:vAlign w:val="bottom"/>
          </w:tcPr>
          <w:p>
            <w:pPr>
              <w:spacing w:after="0"/>
              <w:rPr>
                <w:sz w:val="19"/>
                <w:szCs w:val="19"/>
                <w:color w:val="auto"/>
              </w:rPr>
            </w:pPr>
          </w:p>
        </w:tc>
        <w:tc>
          <w:tcPr>
            <w:tcW w:w="10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2,954,012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2,580,602</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Noncontrolling interests in consolidated partnerships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80,003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82,546</w:t>
            </w:r>
          </w:p>
        </w:tc>
        <w:tc>
          <w:tcPr>
            <w:tcW w:w="0" w:type="dxa"/>
            <w:vAlign w:val="bottom"/>
          </w:tcPr>
          <w:p>
            <w:pPr>
              <w:spacing w:after="0"/>
              <w:rPr>
                <w:sz w:val="1"/>
                <w:szCs w:val="1"/>
                <w:color w:val="auto"/>
              </w:rPr>
            </w:pPr>
          </w:p>
        </w:tc>
      </w:tr>
      <w:tr>
        <w:trPr>
          <w:trHeight w:val="23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capital</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3,034,015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2,663,148</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LIABILITIES AND CAPITAL</w:t>
            </w: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8,233,991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7,622,320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statements.</w:t>
      </w:r>
    </w:p>
    <w:p>
      <w:pPr>
        <w:sectPr>
          <w:pgSz w:w="11880" w:h="15480" w:orient="portrait"/>
          <w:cols w:equalWidth="0" w:num="1">
            <w:col w:w="10180"/>
          </w:cols>
          <w:pgMar w:left="880" w:top="6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10180"/>
          </w:cols>
          <w:pgMar w:left="880" w:top="646" w:right="82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OP LP</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(In thousands, except per unit data)</w:t>
            </w:r>
          </w:p>
        </w:tc>
        <w:tc>
          <w:tcPr>
            <w:tcW w:w="0" w:type="dxa"/>
            <w:vAlign w:val="bottom"/>
          </w:tcPr>
          <w:p>
            <w:pPr>
              <w:spacing w:after="0"/>
              <w:rPr>
                <w:sz w:val="1"/>
                <w:szCs w:val="1"/>
                <w:color w:val="auto"/>
              </w:rPr>
            </w:pPr>
          </w:p>
        </w:tc>
      </w:tr>
      <w:tr>
        <w:trPr>
          <w:trHeight w:val="2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1,073,292</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948,842</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832,171</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income</w:t>
            </w:r>
          </w:p>
        </w:tc>
        <w:tc>
          <w:tcPr>
            <w:tcW w:w="2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Mortgage interest income</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1,086</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2,382</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3,323</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1,074,378</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951,224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835,494</w:t>
            </w:r>
          </w:p>
        </w:tc>
        <w:tc>
          <w:tcPr>
            <w:tcW w:w="0" w:type="dxa"/>
            <w:vAlign w:val="bottom"/>
          </w:tcPr>
          <w:p>
            <w:pPr>
              <w:spacing w:after="0"/>
              <w:rPr>
                <w:sz w:val="1"/>
                <w:szCs w:val="1"/>
                <w:color w:val="auto"/>
              </w:rPr>
            </w:pP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2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228,958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198,121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170,920</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expenses</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taxes</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119,242</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49,856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41,680</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302,409</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279,976</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255,027</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711,827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646,449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586,869</w:t>
            </w:r>
          </w:p>
        </w:tc>
        <w:tc>
          <w:tcPr>
            <w:tcW w:w="0" w:type="dxa"/>
            <w:vAlign w:val="bottom"/>
          </w:tcPr>
          <w:p>
            <w:pPr>
              <w:spacing w:after="0"/>
              <w:rPr>
                <w:sz w:val="1"/>
                <w:szCs w:val="1"/>
                <w:color w:val="auto"/>
              </w:rPr>
            </w:pPr>
          </w:p>
        </w:tc>
      </w:tr>
      <w:tr>
        <w:trPr>
          <w:trHeight w:val="482"/>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Impairment charge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(57,218)</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Gain on deconsolidation of VIE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Gain on sale of real estate and change in control of interest, net of tax</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93,483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89,950</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98,117</w:t>
            </w:r>
          </w:p>
        </w:tc>
        <w:tc>
          <w:tcPr>
            <w:tcW w:w="0" w:type="dxa"/>
            <w:vAlign w:val="bottom"/>
          </w:tcPr>
          <w:p>
            <w:pPr>
              <w:spacing w:after="0"/>
              <w:rPr>
                <w:sz w:val="1"/>
                <w:szCs w:val="1"/>
                <w:color w:val="auto"/>
              </w:rPr>
            </w:pPr>
          </w:p>
        </w:tc>
      </w:tr>
      <w:tr>
        <w:trPr>
          <w:trHeight w:val="49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526,408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289,524</w:t>
            </w:r>
          </w:p>
        </w:tc>
        <w:tc>
          <w:tcPr>
            <w:tcW w:w="0" w:type="dxa"/>
            <w:vAlign w:val="bottom"/>
          </w:tcPr>
          <w:p>
            <w:pPr>
              <w:spacing w:after="0"/>
              <w:rPr>
                <w:sz w:val="1"/>
                <w:szCs w:val="1"/>
                <w:color w:val="auto"/>
              </w:rPr>
            </w:pPr>
          </w:p>
        </w:tc>
      </w:tr>
      <w:tr>
        <w:trPr>
          <w:trHeight w:val="50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INCOME/(EXPENSE)</w:t>
            </w:r>
          </w:p>
        </w:tc>
        <w:tc>
          <w:tcPr>
            <w:tcW w:w="2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1,894</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interest income</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(136,989)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(127,698)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(136,289)</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Early extinguishment of debt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(11,179)</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(loss) from partnerships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(8,062)</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395,661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269,081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(4,182)</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 ATTRIBUTABLE TO THE PARTNERSHIP</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385,491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261,498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131,706</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Dividends on preferred units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NET INCOME AVAILABLE FOR COMMON UNIT HOLDERS</w:t>
            </w: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377,457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253,456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123,664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UNIT, BASIC</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unit 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Weighted average number of common units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79,854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77,336</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UNIT, DILUTED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unit 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Weighted average number of common units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80,508</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77,368</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269,081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comprehensive income (loss) - change in value of interest rate swaps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8,569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3,917</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(5,302)</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COMPREHENSIVE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404,230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272,998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130,586</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(10,935)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(3,711)</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COMPREHENSIVE INCOME ATTRIBUTABLE TO THE PARTNERSHIP</w:t>
            </w: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393,295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265,095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126,875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statements.</w:t>
      </w:r>
    </w:p>
    <w:p>
      <w:pPr>
        <w:sectPr>
          <w:pgSz w:w="11880" w:h="15480" w:orient="portrait"/>
          <w:cols w:equalWidth="0" w:num="1">
            <w:col w:w="10160"/>
          </w:cols>
          <w:pgMar w:left="860" w:top="4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10160"/>
          </w:cols>
          <w:pgMar w:left="860" w:top="406" w:right="860" w:bottom="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F-14</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Federal Realty OP LP</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Capital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9"/>
              </w:rPr>
              <w:t>Noncontrolling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Total Partner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5"/>
                <w:szCs w:val="15"/>
                <w:b w:val="1"/>
                <w:bCs w:val="1"/>
                <w:color w:val="auto"/>
                <w:w w:val="99"/>
              </w:rPr>
              <w:t>Interests in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w w:val="97"/>
              </w:rPr>
              <w:t>Preferred Units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w w:val="98"/>
              </w:rPr>
              <w:t>Common Units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Consolidated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Total Capital</w:t>
            </w:r>
          </w:p>
        </w:tc>
        <w:tc>
          <w:tcPr>
            <w:tcW w:w="0" w:type="dxa"/>
            <w:vAlign w:val="bottom"/>
          </w:tcPr>
          <w:p>
            <w:pPr>
              <w:spacing w:after="0"/>
              <w:rPr>
                <w:sz w:val="1"/>
                <w:szCs w:val="1"/>
                <w:color w:val="auto"/>
              </w:rPr>
            </w:pPr>
          </w:p>
        </w:tc>
      </w:tr>
      <w:tr>
        <w:trPr>
          <w:trHeight w:val="200"/>
        </w:trPr>
        <w:tc>
          <w:tcPr>
            <w:tcW w:w="6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7"/>
              </w:rPr>
              <w:t>Income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w w:val="99"/>
              </w:rPr>
              <w:t>Partnerships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BALANCE AT DECEMBER 31,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2,381,191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2,535,341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100,791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2,636,132</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January 1, 2020 adoption of new accounting standard</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Net income, excluding $2,228 attributable to redeemable noncontrolling interests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131,706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133,660</w:t>
            </w:r>
          </w:p>
        </w:tc>
        <w:tc>
          <w:tcPr>
            <w:tcW w:w="0" w:type="dxa"/>
            <w:vAlign w:val="bottom"/>
          </w:tcPr>
          <w:p>
            <w:pPr>
              <w:spacing w:after="0"/>
              <w:rPr>
                <w:sz w:val="1"/>
                <w:szCs w:val="1"/>
                <w:color w:val="auto"/>
              </w:rPr>
            </w:pPr>
          </w:p>
        </w:tc>
      </w:tr>
      <w:tr>
        <w:trPr>
          <w:trHeight w:val="17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loss - change in fair value of interest rate swaps, excluding $471 attributable</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(4,831)</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to redeemable noncontrolling interests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common unit holders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(320,302)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(320,302)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(320,302)</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preferred unit holders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0" w:type="dxa"/>
            <w:vAlign w:val="bottom"/>
          </w:tcPr>
          <w:p>
            <w:pPr>
              <w:spacing w:after="0"/>
              <w:rPr>
                <w:sz w:val="1"/>
                <w:szCs w:val="1"/>
                <w:color w:val="auto"/>
              </w:rPr>
            </w:pPr>
          </w:p>
        </w:tc>
      </w:tr>
      <w:tr>
        <w:trPr>
          <w:trHeight w:val="17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noncontrolling interests in consolidated partnerships, excluding $1,197</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(8,874)</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attributable to redeemable noncontrolling interests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issued as a result of common stock issued by Parent Company, net of issuance costs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98,839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98,839</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issued under dividend reinvestment plan</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2,072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 net of forfeitures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13,243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13,243</w:t>
            </w:r>
          </w:p>
        </w:tc>
        <w:tc>
          <w:tcPr>
            <w:tcW w:w="0" w:type="dxa"/>
            <w:vAlign w:val="bottom"/>
          </w:tcPr>
          <w:p>
            <w:pPr>
              <w:spacing w:after="0"/>
              <w:rPr>
                <w:sz w:val="1"/>
                <w:szCs w:val="1"/>
                <w:color w:val="auto"/>
              </w:rPr>
            </w:pPr>
          </w:p>
        </w:tc>
      </w:tr>
      <w:tr>
        <w:trPr>
          <w:trHeight w:val="19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withheld for employee taxes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(4,052)</w:t>
            </w:r>
          </w:p>
        </w:tc>
        <w:tc>
          <w:tcPr>
            <w:tcW w:w="0" w:type="dxa"/>
            <w:vAlign w:val="bottom"/>
          </w:tcPr>
          <w:p>
            <w:pPr>
              <w:spacing w:after="0"/>
              <w:rPr>
                <w:sz w:val="1"/>
                <w:szCs w:val="1"/>
                <w:color w:val="auto"/>
              </w:rPr>
            </w:pPr>
          </w:p>
        </w:tc>
      </w:tr>
      <w:tr>
        <w:trPr>
          <w:trHeight w:val="21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Conversion and redemption of downREIT OP units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(3,320)</w:t>
            </w:r>
          </w:p>
        </w:tc>
        <w:tc>
          <w:tcPr>
            <w:tcW w:w="0" w:type="dxa"/>
            <w:vAlign w:val="bottom"/>
          </w:tcPr>
          <w:p>
            <w:pPr>
              <w:spacing w:after="0"/>
              <w:rPr>
                <w:sz w:val="1"/>
                <w:szCs w:val="1"/>
                <w:color w:val="auto"/>
              </w:rPr>
            </w:pPr>
          </w:p>
        </w:tc>
      </w:tr>
      <w:tr>
        <w:trPr>
          <w:trHeight w:val="17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Contributions from noncontrolling interests, excluding $19,335 attributable to redeemable</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noncontrolling interests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Purchase of noncontrolling interest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(7,321)</w:t>
            </w: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Adjustment to redeemable noncontrolling interests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21,933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21,933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21,933</w:t>
            </w:r>
          </w:p>
        </w:tc>
        <w:tc>
          <w:tcPr>
            <w:tcW w:w="0" w:type="dxa"/>
            <w:vAlign w:val="bottom"/>
          </w:tcPr>
          <w:p>
            <w:pPr>
              <w:spacing w:after="0"/>
              <w:rPr>
                <w:sz w:val="1"/>
                <w:szCs w:val="1"/>
                <w:color w:val="auto"/>
              </w:rPr>
            </w:pPr>
          </w:p>
        </w:tc>
      </w:tr>
      <w:tr>
        <w:trPr>
          <w:trHeight w:val="145"/>
        </w:trPr>
        <w:tc>
          <w:tcPr>
            <w:tcW w:w="61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BALANCE AT DECEMBER 31, 2020</w:t>
            </w:r>
          </w:p>
        </w:tc>
        <w:tc>
          <w:tcPr>
            <w:tcW w:w="14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154,963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2,314,838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(5,644)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6"/>
              <w:spacing w:after="0" w:line="146" w:lineRule="exact"/>
              <w:rPr>
                <w:sz w:val="20"/>
                <w:szCs w:val="20"/>
                <w:color w:val="auto"/>
              </w:rPr>
            </w:pPr>
            <w:r>
              <w:rPr>
                <w:rFonts w:ascii="Times New Roman" w:cs="Times New Roman" w:eastAsia="Times New Roman" w:hAnsi="Times New Roman"/>
                <w:sz w:val="15"/>
                <w:szCs w:val="15"/>
                <w:color w:val="auto"/>
              </w:rPr>
              <w:t>2,464,157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84,590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2,548,747</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Net income, excluding $4,296 attributable to redeemable noncontrolling interests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253,456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261,498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264,785</w:t>
            </w:r>
          </w:p>
        </w:tc>
        <w:tc>
          <w:tcPr>
            <w:tcW w:w="0" w:type="dxa"/>
            <w:vAlign w:val="bottom"/>
          </w:tcPr>
          <w:p>
            <w:pPr>
              <w:spacing w:after="0"/>
              <w:rPr>
                <w:sz w:val="1"/>
                <w:szCs w:val="1"/>
                <w:color w:val="auto"/>
              </w:rPr>
            </w:pPr>
          </w:p>
        </w:tc>
      </w:tr>
      <w:tr>
        <w:trPr>
          <w:trHeight w:val="17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 change in fair value of interest rate swaps, excluding $320</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3,597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3,597</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attributable to redeemable noncontrolling interest</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common unit holders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(332,116)</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preferred unit holders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(8,042)</w:t>
            </w:r>
          </w:p>
        </w:tc>
        <w:tc>
          <w:tcPr>
            <w:tcW w:w="0" w:type="dxa"/>
            <w:vAlign w:val="bottom"/>
          </w:tcPr>
          <w:p>
            <w:pPr>
              <w:spacing w:after="0"/>
              <w:rPr>
                <w:sz w:val="1"/>
                <w:szCs w:val="1"/>
                <w:color w:val="auto"/>
              </w:rPr>
            </w:pPr>
          </w:p>
        </w:tc>
      </w:tr>
      <w:tr>
        <w:trPr>
          <w:trHeight w:val="17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noncontrolling interests in consolidated partnerships, excluding $5,268</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(4,341)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(4,341)</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attributable to redeemable noncontrolling interests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issued as a result of common stock issued by Parent Company, net of issuance costs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172,753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172,753</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issued under dividend reinvestment plan</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1,955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1,955</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 net of forfeitures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14,434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14,434</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withheld for employee taxes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(2,998)</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downREIT OP units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7,474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0" w:type="dxa"/>
            <w:vAlign w:val="bottom"/>
          </w:tcPr>
          <w:p>
            <w:pPr>
              <w:spacing w:after="0"/>
              <w:rPr>
                <w:sz w:val="1"/>
                <w:szCs w:val="1"/>
                <w:color w:val="auto"/>
              </w:rPr>
            </w:pPr>
          </w:p>
        </w:tc>
      </w:tr>
      <w:tr>
        <w:trPr>
          <w:trHeight w:val="17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Contributions from noncontrolling interests, excluding $74,530 attributable to redeemable</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6,583</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noncontrolling interests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Adjustment to redeemable noncontrolling interests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0" w:type="dxa"/>
            <w:vAlign w:val="bottom"/>
          </w:tcPr>
          <w:p>
            <w:pPr>
              <w:spacing w:after="0"/>
              <w:rPr>
                <w:sz w:val="1"/>
                <w:szCs w:val="1"/>
                <w:color w:val="auto"/>
              </w:rPr>
            </w:pPr>
          </w:p>
        </w:tc>
      </w:tr>
      <w:tr>
        <w:trPr>
          <w:trHeight w:val="192"/>
        </w:trPr>
        <w:tc>
          <w:tcPr>
            <w:tcW w:w="61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BALANCE AT DECEMBER 31, 2021</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154,963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2,427,686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2,580,602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2,663,148</w:t>
            </w:r>
          </w:p>
        </w:tc>
        <w:tc>
          <w:tcPr>
            <w:tcW w:w="0" w:type="dxa"/>
            <w:vAlign w:val="bottom"/>
          </w:tcPr>
          <w:p>
            <w:pPr>
              <w:spacing w:after="0"/>
              <w:rPr>
                <w:sz w:val="1"/>
                <w:szCs w:val="1"/>
                <w:color w:val="auto"/>
              </w:rPr>
            </w:pPr>
          </w:p>
        </w:tc>
      </w:tr>
      <w:tr>
        <w:trPr>
          <w:trHeight w:val="198"/>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Net income, excluding $6,613 attributable to redeemable noncontrolling interests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377,457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385,491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389,048</w:t>
            </w:r>
          </w:p>
        </w:tc>
        <w:tc>
          <w:tcPr>
            <w:tcW w:w="0" w:type="dxa"/>
            <w:vAlign w:val="bottom"/>
          </w:tcPr>
          <w:p>
            <w:pPr>
              <w:spacing w:after="0"/>
              <w:rPr>
                <w:sz w:val="1"/>
                <w:szCs w:val="1"/>
                <w:color w:val="auto"/>
              </w:rPr>
            </w:pPr>
          </w:p>
        </w:tc>
      </w:tr>
      <w:tr>
        <w:trPr>
          <w:trHeight w:val="201"/>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 change in fair value of interest rate swaps, excluding $765</w:t>
            </w:r>
          </w:p>
        </w:tc>
        <w:tc>
          <w:tcPr>
            <w:tcW w:w="1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7,804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7,804</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attributable to redeemable noncontrolling interest</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common unit holders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(344,711)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(344,711)</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preferred unit holders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(8,034)</w:t>
            </w:r>
          </w:p>
        </w:tc>
        <w:tc>
          <w:tcPr>
            <w:tcW w:w="0" w:type="dxa"/>
            <w:vAlign w:val="bottom"/>
          </w:tcPr>
          <w:p>
            <w:pPr>
              <w:spacing w:after="0"/>
              <w:rPr>
                <w:sz w:val="1"/>
                <w:szCs w:val="1"/>
                <w:color w:val="auto"/>
              </w:rPr>
            </w:pPr>
          </w:p>
        </w:tc>
      </w:tr>
      <w:tr>
        <w:trPr>
          <w:trHeight w:val="17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 to noncontrolling interests in consolidated partnerships, excluding $8,090</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(5,007)</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attributable to redeemable noncontrolling interests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issued as a result of common stock issued by Parent Company, net of issuance costs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306,854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306,854</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issued under dividend reinvestment plan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2,104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2,104</w:t>
            </w:r>
          </w:p>
        </w:tc>
        <w:tc>
          <w:tcPr>
            <w:tcW w:w="0" w:type="dxa"/>
            <w:vAlign w:val="bottom"/>
          </w:tcPr>
          <w:p>
            <w:pPr>
              <w:spacing w:after="0"/>
              <w:rPr>
                <w:sz w:val="1"/>
                <w:szCs w:val="1"/>
                <w:color w:val="auto"/>
              </w:rPr>
            </w:pPr>
          </w:p>
        </w:tc>
      </w:tr>
      <w:tr>
        <w:trPr>
          <w:trHeight w:val="19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 net of forfeitures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15,018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15,018</w:t>
            </w:r>
          </w:p>
        </w:tc>
        <w:tc>
          <w:tcPr>
            <w:tcW w:w="0" w:type="dxa"/>
            <w:vAlign w:val="bottom"/>
          </w:tcPr>
          <w:p>
            <w:pPr>
              <w:spacing w:after="0"/>
              <w:rPr>
                <w:sz w:val="1"/>
                <w:szCs w:val="1"/>
                <w:color w:val="auto"/>
              </w:rPr>
            </w:pPr>
          </w:p>
        </w:tc>
      </w:tr>
      <w:tr>
        <w:trPr>
          <w:trHeight w:val="201"/>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Common units withheld for employee taxes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preferred units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Conversion and redemption of downREIT OP units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1,367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Deconsolidation of VIE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0" w:type="dxa"/>
            <w:vAlign w:val="bottom"/>
          </w:tcPr>
          <w:p>
            <w:pPr>
              <w:spacing w:after="0"/>
              <w:rPr>
                <w:sz w:val="1"/>
                <w:szCs w:val="1"/>
                <w:color w:val="auto"/>
              </w:rPr>
            </w:pPr>
          </w:p>
        </w:tc>
      </w:tr>
      <w:tr>
        <w:trPr>
          <w:trHeight w:val="205"/>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Adjustment to redeemable noncontrolling interests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12,382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12,382</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12,382</w:t>
            </w:r>
          </w:p>
        </w:tc>
        <w:tc>
          <w:tcPr>
            <w:tcW w:w="0" w:type="dxa"/>
            <w:vAlign w:val="bottom"/>
          </w:tcPr>
          <w:p>
            <w:pPr>
              <w:spacing w:after="0"/>
              <w:rPr>
                <w:sz w:val="1"/>
                <w:szCs w:val="1"/>
                <w:color w:val="auto"/>
              </w:rPr>
            </w:pPr>
          </w:p>
        </w:tc>
      </w:tr>
      <w:tr>
        <w:trPr>
          <w:trHeight w:val="192"/>
        </w:trPr>
        <w:tc>
          <w:tcPr>
            <w:tcW w:w="61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BALANCE AT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154,788</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2,793,467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2,954,012</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80,003</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3,034,015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5480" w:h="11880" w:orient="landscape"/>
          <w:cols w:equalWidth="0" w:num="2">
            <w:col w:w="218" w:space="329"/>
            <w:col w:w="14200"/>
          </w:cols>
          <w:pgMar w:left="313" w:top="218" w:right="420" w:bottom="0" w:gutter="0" w:footer="0" w:header="0"/>
        </w:sectPr>
      </w:pPr>
    </w:p>
    <w:p>
      <w:pPr>
        <w:ind w:left="4847"/>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ectPr>
          <w:pgSz w:w="15480" w:h="11880" w:orient="landscape"/>
          <w:cols w:equalWidth="0" w:num="1">
            <w:col w:w="14747"/>
          </w:cols>
          <w:pgMar w:left="313" w:top="218" w:right="420" w:bottom="0" w:gutter="0" w:footer="0" w:header="0"/>
          <w:type w:val="continuous"/>
        </w:sectPr>
      </w:pPr>
    </w:p>
    <w:bookmarkStart w:id="80" w:name="page81"/>
    <w:bookmarkEnd w:id="8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ectPr>
          <w:pgSz w:w="11880" w:h="15480" w:orient="portrait"/>
          <w:cols w:equalWidth="0" w:num="1">
            <w:col w:w="10180"/>
          </w:cols>
          <w:pgMar w:left="880" w:top="4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ACTIVITIES</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income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Adjustments to reconcile net income to net cash provided by operating activities: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wp:posOffset>
                </wp:positionH>
                <wp:positionV relativeFrom="paragraph">
                  <wp:posOffset>26670</wp:posOffset>
                </wp:positionV>
                <wp:extent cx="200914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9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99pt,2.1pt" to="155.1pt,2.1pt" o:allowincell="f" strokecolor="#000000" strokeweight="1pt"/>
            </w:pict>
          </mc:Fallback>
        </mc:AlternateContent>
      </w:r>
    </w:p>
    <w:p>
      <w:pPr>
        <w:spacing w:after="0" w:line="36" w:lineRule="exact"/>
        <w:rPr>
          <w:sz w:val="20"/>
          <w:szCs w:val="20"/>
          <w:color w:val="auto"/>
        </w:rPr>
      </w:pPr>
    </w:p>
    <w:p>
      <w:pPr>
        <w:ind w:left="280"/>
        <w:spacing w:after="0"/>
        <w:tabs>
          <w:tab w:leader="none" w:pos="1340" w:val="left"/>
          <w:tab w:leader="none" w:pos="24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wp:posOffset>
                </wp:positionH>
                <wp:positionV relativeFrom="paragraph">
                  <wp:posOffset>26670</wp:posOffset>
                </wp:positionV>
                <wp:extent cx="63754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99pt,2.1pt" to="47.1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645795</wp:posOffset>
                </wp:positionH>
                <wp:positionV relativeFrom="paragraph">
                  <wp:posOffset>26670</wp:posOffset>
                </wp:positionV>
                <wp:extent cx="6381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5pt,2.1pt" to="101.1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1331595</wp:posOffset>
                </wp:positionH>
                <wp:positionV relativeFrom="paragraph">
                  <wp:posOffset>26670</wp:posOffset>
                </wp:positionV>
                <wp:extent cx="6381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85pt,2.1pt" to="155.1pt,2.1pt" o:allowincell="f" strokecolor="#000000" strokeweight="1pt"/>
            </w:pict>
          </mc:Fallback>
        </mc:AlternateConten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0" w:lineRule="exact"/>
        <w:rPr>
          <w:sz w:val="20"/>
          <w:szCs w:val="20"/>
          <w:color w:val="auto"/>
        </w:rPr>
      </w:pPr>
    </w:p>
    <w:p>
      <w:pPr>
        <w:spacing w:after="0"/>
        <w:tabs>
          <w:tab w:leader="none" w:pos="1060" w:val="left"/>
          <w:tab w:leader="none" w:pos="2140" w:val="left"/>
        </w:tabs>
        <w:rPr>
          <w:sz w:val="20"/>
          <w:szCs w:val="20"/>
          <w:color w:val="auto"/>
        </w:rPr>
      </w:pPr>
      <w:r>
        <w:rPr>
          <w:rFonts w:ascii="Times New Roman" w:cs="Times New Roman" w:eastAsia="Times New Roman" w:hAnsi="Times New Roman"/>
          <w:sz w:val="20"/>
          <w:szCs w:val="20"/>
          <w:color w:val="auto"/>
        </w:rPr>
        <w:t>$ 395,661</w:t>
        <w:tab/>
        <w:t>$ 269,081</w:t>
        <w:tab/>
        <w:t>$ 135,888</w:t>
      </w:r>
    </w:p>
    <w:p>
      <w:pPr>
        <w:spacing w:after="0" w:line="309" w:lineRule="exact"/>
        <w:rPr>
          <w:sz w:val="20"/>
          <w:szCs w:val="20"/>
          <w:color w:val="auto"/>
        </w:rPr>
      </w:pPr>
    </w:p>
    <w:p>
      <w:pPr>
        <w:sectPr>
          <w:pgSz w:w="11880" w:h="15480" w:orient="portrait"/>
          <w:cols w:equalWidth="0" w:num="2">
            <w:col w:w="6820" w:space="260"/>
            <w:col w:w="3100"/>
          </w:cols>
          <w:pgMar w:left="880" w:top="406" w:right="820" w:bottom="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302,409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279,976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255,027</w:t>
            </w:r>
          </w:p>
        </w:tc>
        <w:tc>
          <w:tcPr>
            <w:tcW w:w="0" w:type="dxa"/>
            <w:vAlign w:val="bottom"/>
          </w:tcPr>
          <w:p>
            <w:pPr>
              <w:spacing w:after="0"/>
              <w:rPr>
                <w:sz w:val="1"/>
                <w:szCs w:val="1"/>
                <w:color w:val="auto"/>
              </w:rPr>
            </w:pPr>
          </w:p>
        </w:tc>
      </w:tr>
      <w:tr>
        <w:trPr>
          <w:trHeight w:val="276"/>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Impairment charge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57,218</w:t>
            </w:r>
          </w:p>
        </w:tc>
        <w:tc>
          <w:tcPr>
            <w:tcW w:w="0" w:type="dxa"/>
            <w:vAlign w:val="bottom"/>
          </w:tcPr>
          <w:p>
            <w:pPr>
              <w:spacing w:after="0"/>
              <w:rPr>
                <w:sz w:val="1"/>
                <w:szCs w:val="1"/>
                <w:color w:val="auto"/>
              </w:rPr>
            </w:pPr>
          </w:p>
        </w:tc>
      </w:tr>
      <w:tr>
        <w:trPr>
          <w:trHeight w:val="25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Gain on deconsolidation of VIE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(70,374)</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Gain on sale of real estate and change in control of interest, net of tax</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(89,950)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(98,117)</w:t>
            </w:r>
          </w:p>
        </w:tc>
        <w:tc>
          <w:tcPr>
            <w:tcW w:w="0" w:type="dxa"/>
            <w:vAlign w:val="bottom"/>
          </w:tcPr>
          <w:p>
            <w:pPr>
              <w:spacing w:after="0"/>
              <w:rPr>
                <w:sz w:val="1"/>
                <w:szCs w:val="1"/>
                <w:color w:val="auto"/>
              </w:rPr>
            </w:pPr>
          </w:p>
        </w:tc>
      </w:tr>
      <w:tr>
        <w:trPr>
          <w:trHeight w:val="281"/>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Early extinguishment of debt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11,179</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(Income) loss from partnerships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8,062</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Straight-line rent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(4,492)</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11,924</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net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0" w:type="dxa"/>
            <w:vAlign w:val="bottom"/>
          </w:tcPr>
          <w:p>
            <w:pPr>
              <w:spacing w:after="0"/>
              <w:rPr>
                <w:sz w:val="1"/>
                <w:szCs w:val="1"/>
                <w:color w:val="auto"/>
              </w:rPr>
            </w:pPr>
          </w:p>
        </w:tc>
      </w:tr>
      <w:tr>
        <w:trPr>
          <w:trHeight w:val="264"/>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Changes in assets and liabilities, net of effects of acquisitions and dispositions:</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decrease in accounts receivable, net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(6,032)</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in prepaid expenses and other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(3,260)</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in accounts payable and accrued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5,621</w:t>
            </w:r>
          </w:p>
        </w:tc>
        <w:tc>
          <w:tcPr>
            <w:tcW w:w="0" w:type="dxa"/>
            <w:vAlign w:val="bottom"/>
          </w:tcPr>
          <w:p>
            <w:pPr>
              <w:spacing w:after="0"/>
              <w:rPr>
                <w:sz w:val="1"/>
                <w:szCs w:val="1"/>
                <w:color w:val="auto"/>
              </w:rPr>
            </w:pPr>
          </w:p>
        </w:tc>
      </w:tr>
      <w:tr>
        <w:trPr>
          <w:trHeight w:val="288"/>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Increase (decrease) in security deposits and other liabilities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10,373</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10,712</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471,352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369,929</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Acquisition of real estate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(438,494)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(366,466)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(9,589)</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expenditures - development and redevelopment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(309,046)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(368,786)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(433,872)</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expenditures - 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(71,728)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(68,064)</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Costs associated with property sold under threat of condemnation, net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(12,924)</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sale of real estate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137,868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183,461</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 in cash from deconsolidation of VIE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partnerships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(3,348)</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Distribution from partnerships in excess of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1,301</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Leasing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(15,080)</w:t>
            </w:r>
          </w:p>
        </w:tc>
        <w:tc>
          <w:tcPr>
            <w:tcW w:w="0" w:type="dxa"/>
            <w:vAlign w:val="bottom"/>
          </w:tcPr>
          <w:p>
            <w:pPr>
              <w:spacing w:after="0"/>
              <w:rPr>
                <w:sz w:val="1"/>
                <w:szCs w:val="1"/>
                <w:color w:val="auto"/>
              </w:rPr>
            </w:pPr>
          </w:p>
        </w:tc>
      </w:tr>
      <w:tr>
        <w:trPr>
          <w:trHeight w:val="288"/>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repayment of mortgage and other notes receivable, net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(10,268)</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(785,998)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(660,118)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(368,383)</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0" w:type="dxa"/>
            <w:vAlign w:val="bottom"/>
          </w:tcPr>
          <w:p>
            <w:pPr>
              <w:spacing w:after="0"/>
              <w:rPr>
                <w:sz w:val="1"/>
                <w:szCs w:val="1"/>
                <w:color w:val="auto"/>
              </w:rPr>
            </w:pPr>
          </w:p>
        </w:tc>
      </w:tr>
      <w:tr>
        <w:trPr>
          <w:trHeight w:val="246"/>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Costs to amend revolving credit facility</w:t>
            </w: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of senior notes,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1,094,283</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Redemption and retirement of senior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(510,360)</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of notes payable,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298,568</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398,722</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Repayment of mortgages, finance leases, and notes payable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(277,643)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(70,237)</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Issuance of common units,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172,981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99,177</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Dividends paid to common and preferred unit holders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(335,656)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(324,596)</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Shares withheld for 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(4,052)</w:t>
            </w:r>
          </w:p>
        </w:tc>
        <w:tc>
          <w:tcPr>
            <w:tcW w:w="0" w:type="dxa"/>
            <w:vAlign w:val="bottom"/>
          </w:tcPr>
          <w:p>
            <w:pPr>
              <w:spacing w:after="0"/>
              <w:rPr>
                <w:sz w:val="1"/>
                <w:szCs w:val="1"/>
                <w:color w:val="auto"/>
              </w:rPr>
            </w:pPr>
          </w:p>
        </w:tc>
      </w:tr>
      <w:tr>
        <w:trPr>
          <w:trHeight w:val="264"/>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Contributions from noncontrolling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4"/>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Distributions to and redemptions of noncontrolling interests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(37,427)</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(9,784)</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(20,563)</w:t>
            </w:r>
          </w:p>
        </w:tc>
        <w:tc>
          <w:tcPr>
            <w:tcW w:w="0" w:type="dxa"/>
            <w:vAlign w:val="bottom"/>
          </w:tcPr>
          <w:p>
            <w:pPr>
              <w:spacing w:after="0"/>
              <w:rPr>
                <w:sz w:val="1"/>
                <w:szCs w:val="1"/>
                <w:color w:val="auto"/>
              </w:rPr>
            </w:pPr>
          </w:p>
        </w:tc>
      </w:tr>
      <w:tr>
        <w:trPr>
          <w:trHeight w:val="26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190,414</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(452,967)</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661,736</w:t>
            </w:r>
          </w:p>
        </w:tc>
        <w:tc>
          <w:tcPr>
            <w:tcW w:w="0" w:type="dxa"/>
            <w:vAlign w:val="bottom"/>
          </w:tcPr>
          <w:p>
            <w:pPr>
              <w:spacing w:after="0"/>
              <w:rPr>
                <w:sz w:val="1"/>
                <w:szCs w:val="1"/>
                <w:color w:val="auto"/>
              </w:rPr>
            </w:pPr>
          </w:p>
        </w:tc>
      </w:tr>
      <w:tr>
        <w:trPr>
          <w:trHeight w:val="262"/>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(Decrease) increase in cash, cash equivalents, and restricted cash</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(641,733)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663,282</w:t>
            </w:r>
          </w:p>
        </w:tc>
        <w:tc>
          <w:tcPr>
            <w:tcW w:w="0" w:type="dxa"/>
            <w:vAlign w:val="bottom"/>
          </w:tcPr>
          <w:p>
            <w:pPr>
              <w:spacing w:after="0"/>
              <w:rPr>
                <w:sz w:val="1"/>
                <w:szCs w:val="1"/>
                <w:color w:val="auto"/>
              </w:rPr>
            </w:pP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year</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175,163</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816,896</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153,614</w:t>
            </w:r>
          </w:p>
        </w:tc>
        <w:tc>
          <w:tcPr>
            <w:tcW w:w="0" w:type="dxa"/>
            <w:vAlign w:val="bottom"/>
          </w:tcPr>
          <w:p>
            <w:pPr>
              <w:spacing w:after="0"/>
              <w:rPr>
                <w:sz w:val="1"/>
                <w:szCs w:val="1"/>
                <w:color w:val="auto"/>
              </w:rPr>
            </w:pPr>
          </w:p>
        </w:tc>
      </w:tr>
      <w:tr>
        <w:trPr>
          <w:trHeight w:val="245"/>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end of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96,348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$ 175,163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$ 816,896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statements.</w:t>
      </w:r>
    </w:p>
    <w:p>
      <w:pPr>
        <w:sectPr>
          <w:pgSz w:w="11880" w:h="15480" w:orient="portrait"/>
          <w:cols w:equalWidth="0" w:num="1">
            <w:col w:w="10180"/>
          </w:cols>
          <w:pgMar w:left="880" w:top="406"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10180"/>
          </w:cols>
          <w:pgMar w:left="880" w:top="406" w:right="82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OP LP</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2022, 2021 and 2020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1—BUSINESS AND ORGANIZATION</w:t>
      </w:r>
    </w:p>
    <w:p>
      <w:pPr>
        <w:spacing w:after="0" w:line="11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Federal Realty Investment Trust (the “Parent Company” and "Trust") is an equity real estate investment trust (“REIT”). Federal Realty OP LP (the "Operating Partnership") is the entity through which the Parent Company conducts substantially all of its operating and owns all of its assets. The Parent Company owns 100% of the limited liability company interests of, is sole member of, and exercises control over Federal Realty GP LLC (the "General Partner"), which in turn, is the sole general partner of the Operating Partnership. The Parent Company specializes in the ownership, management, and redevelopment of retail and mixed-use properties through the Operating Partnership. Our properties are located primarily in communities where we believe retail demand exceeds supply, in strategically selected metropolitan markets in the Mid-Atlantic and Northeast regions of the United States, California, and South Florida. As of December 31, 2022, we owned or had a majority interest in community and neighborhood shopping centers and mixed-use properties which are operated as 103 predominantly retail real estate projects.</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Impacts of COVID-19 Pandemic and General Economic Conditions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Given the ongoing workforce shortages, global supply chain bottlenecks and shortages, higher levels of inflation, and rising interest rates, we continue to monitor and address risks related to the global COVID-19 pandemic and the state of the economy. The extent of the future effects of COVID-19 and potentially worsening economic conditions on our business, results of operations, cash flows, and growth prospects is highly uncertain and will ultimately depend on future developments, none of which can be predicted with any certainty.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2—SUMMARY OF SIGNIFICANT ACCOUNTING POLICIES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January 2022, we completed a reorganization into an umbrella partnership real estate investment trust, or "UPREIT." For additional information on our UPREIT reorganization, please see our Current Reports on Form 8-K filed with the SEC on January 3, 2022 and January 5, 2022, as well our 2021 Annual Report on Form 10-K filed on February 10, 2022.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 Certain 2021, 2020, and 2019 amounts have been reclassified to conform to current period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As discussed in the Explanatory Note, we have combined the Annual Reports on Form 10-K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the primary beneficiary of a variable interest entity (“VIE”). The Parent Company's consolidated financial statements include the accounts of the Operating Partnership and its subsidiaries as the Parent, and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w:t>
      </w:r>
    </w:p>
    <w:p>
      <w:pPr>
        <w:sectPr>
          <w:pgSz w:w="11880" w:h="15480" w:orient="portrait"/>
          <w:cols w:equalWidth="0" w:num="1">
            <w:col w:w="10240"/>
          </w:cols>
          <w:pgMar w:left="820" w:top="406" w:right="82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10240"/>
          </w:cols>
          <w:pgMar w:left="820" w:top="406" w:right="820" w:bottom="0" w:gutter="0" w:footer="0" w:header="0"/>
          <w:type w:val="continuous"/>
        </w:sectPr>
      </w:pPr>
    </w:p>
    <w:bookmarkStart w:id="82" w:name="page83"/>
    <w:bookmarkEnd w:id="82"/>
    <w:p>
      <w:pPr>
        <w:ind w:right="280"/>
        <w:spacing w:after="0" w:line="281" w:lineRule="auto"/>
        <w:rPr>
          <w:sz w:val="20"/>
          <w:szCs w:val="20"/>
          <w:color w:val="auto"/>
        </w:rPr>
      </w:pPr>
      <w:r>
        <w:rPr>
          <w:rFonts w:ascii="Times New Roman" w:cs="Times New Roman" w:eastAsia="Times New Roman" w:hAnsi="Times New Roman"/>
          <w:sz w:val="20"/>
          <w:szCs w:val="20"/>
          <w:color w:val="auto"/>
        </w:rPr>
        <w:t>estimates are prepared using management’s best judgment, after considering past, current and expected events and economic conditions. Actual results could differ from these estimates.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 and Accounts Receivable</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(unrelated to the COVID-19 pandemic)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December 31, 2022, we executed rent deferral agreements related to the COVID-19 pandemic representing approximately $48 million of rent. We have subsequently collected approximately $35 million of those amounts previously deferred. As of December 31, 2022, we have entered into rent abatement agreements related to the COVID-19 pandemic totaling $4 million, $26 million, and $48 million of rents due in 2022, 2021, and 2020 respectively.</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Our collection of rents has continued to improve from the initial impacts of COVID-19, including collecting rents related to prior periods. As a result, our collectibility related adjustments for the year ended December 31, 2022 resulted in an increase to rental income of $4.1 million, as compared to a $24.0 million and $106.6 million decrease to rental income during the years ended December 31, 2021 and 2020, respectively, which reflected lower levels of cash collections and elevated levels of rent abatements and disputes directly related to COVID-19. This includes changes in our collectibility assessments from probable to not probable, disputed rents, and any rent abatements directly related to COVID-19. As of December 31, 2022 and 2021, the revenue from approximately 31% and 34% of our tenants (based on total commercial leases), respectively, is being recognized on a cash basis. As of December 31, 2022 and 2021, our straight-line rent receivables balance was $126.6 million and $110.7 million, respectively, and is included in "accounts and notes receivable, net" on our consolidated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 recognition policies</w:t>
      </w:r>
    </w:p>
    <w:p>
      <w:pPr>
        <w:spacing w:after="0" w:line="11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Sales of real estate are recognized upon the transfer of control, which usually occurs when the real estate is legally sold. When we enter into a transaction to sell a property or a portion of a property, we evaluate the recognition of the sale under ASC</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610-20, "Other Income - Gains and Losses from the Derecognition of Nonfinancial Assets." In accordance with ASC 610-20, we apply the guidance in ASC 606, "Revenue from Contracts with Customers," to determine whether and when control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1880" w:h="15480" w:orient="portrait"/>
          <w:cols w:equalWidth="0" w:num="1">
            <w:col w:w="10240"/>
          </w:cols>
          <w:pgMar w:left="820" w:top="413" w:right="820" w:bottom="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20"/>
          <w:szCs w:val="20"/>
          <w:color w:val="auto"/>
        </w:rPr>
        <w:t>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Real Estate</w:t>
      </w:r>
    </w:p>
    <w:p>
      <w:pPr>
        <w:spacing w:after="0" w:line="11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2022, 2021 and 2020, real estate depreciation expense was $265.7 million, $245.1 million and $227.9 million, respectively, including amounts from real estate sold.</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current assets acquired and current liabilities assumed,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Long-Lived Assets and Impairment</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10240"/>
          </w:cols>
          <w:pgMar w:left="820" w:top="413" w:right="82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1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2022, we had $113.2 million in excess of the FDIC insured limit.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Prepaid Expenses and Other Assets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 See the "Leases" section in this note for further discussion regarding the change in accounting for lease costs.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At December 31, 2022, we have two interest rate swap agreements that effectively fix the interest rate on a mortgage payable associated with our Hoboken property at 3.67%. Both swaps were designated and qualify for cash flow hedge accounting. As of December 31, 2022, our Assembly Row hotel joint venture is a party to two interest rate swap agreements that effectively fix the interest rate on the joint venture's mortgage debt at 5.206%. Both swaps were designated and qualify as cash flow hedges. Hedge ineffectiveness has not impacted earnings in 2022, 2021 and 2020.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Notes Receivable</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spacing w:after="0" w:line="14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Mortgage notes receivable are recorded at cost, net of any valuation adjustments. Effective January 1, 2020, (upon the adoption of ASU 2016-13, "Financial Instruments - Credit Losses," as amended and interpreted), we account for mortgage notes receivable using the "expected credit loss" model, and accordingly impairment losses are estimated and recorded for the entire</w:t>
      </w: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F-19</w:t>
      </w:r>
    </w:p>
    <w:p>
      <w:pPr>
        <w:sectPr>
          <w:pgSz w:w="11880" w:h="15480" w:orient="portrait"/>
          <w:cols w:equalWidth="0" w:num="1">
            <w:col w:w="10260"/>
          </w:cols>
          <w:pgMar w:left="820" w:top="406" w:right="800" w:bottom="0" w:gutter="0" w:footer="0" w:header="0"/>
        </w:sectPr>
      </w:pPr>
    </w:p>
    <w:bookmarkStart w:id="85" w:name="page86"/>
    <w:bookmarkEnd w:id="85"/>
    <w:p>
      <w:pPr>
        <w:ind w:right="20"/>
        <w:spacing w:after="0" w:line="254" w:lineRule="auto"/>
        <w:rPr>
          <w:sz w:val="20"/>
          <w:szCs w:val="20"/>
          <w:color w:val="auto"/>
        </w:rPr>
      </w:pPr>
      <w:r>
        <w:rPr>
          <w:rFonts w:ascii="Times New Roman" w:cs="Times New Roman" w:eastAsia="Times New Roman" w:hAnsi="Times New Roman"/>
          <w:sz w:val="20"/>
          <w:szCs w:val="20"/>
          <w:color w:val="auto"/>
        </w:rPr>
        <w:t>life of the loan. Prior to the implementation of ASC 326, we recognized impairment losses as incurred.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 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spacing w:after="0" w:line="69" w:lineRule="exact"/>
        <w:rPr>
          <w:sz w:val="20"/>
          <w:szCs w:val="20"/>
          <w:color w:val="auto"/>
        </w:rPr>
      </w:pPr>
    </w:p>
    <w:p>
      <w:pPr>
        <w:ind w:right="980"/>
        <w:spacing w:after="0" w:line="281" w:lineRule="auto"/>
        <w:rPr>
          <w:sz w:val="20"/>
          <w:szCs w:val="20"/>
          <w:color w:val="auto"/>
        </w:rPr>
      </w:pPr>
      <w:r>
        <w:rPr>
          <w:rFonts w:ascii="Times New Roman" w:cs="Times New Roman" w:eastAsia="Times New Roman" w:hAnsi="Times New Roman"/>
          <w:sz w:val="20"/>
          <w:szCs w:val="20"/>
          <w:color w:val="auto"/>
        </w:rPr>
        <w:t>At December 31, 2022, we had three mortgage notes receivable with an aggregate carrying amount, net of valuation adjustments of $9.5 million, and a weighted average interest rate of 10.9%.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Based Compensation</w:t>
      </w:r>
    </w:p>
    <w:p>
      <w:pPr>
        <w:spacing w:after="0" w:line="11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for further discussion regarding our share based compensation plans and policies.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Interest Entities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4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equity method investments in the Assembly Row hotel joint venture, the La Alameda shopping center, the Chandler Festival and Chandler Gateway shopping centers, and our mortgage notes receivable are considered variable interests in a VIE (see Note 3 to the consolidated financial statements for additional information on the Chandler Festival and Chandler Gateway shopping centers). As we do not control the activities that most significantly impact the economic performance of our equity method joint ventures or the borrower entities related to our mortgage notes receivable, we are not the primary beneficiary and do not consolidate. As of December 31, 2022 and 2021, our investment in the equity method joint ventures and maximum exposure to loss was $34.0 million and $8.9 million, respectively. As of December 31, 2022 and 2021, our investment in mortgage notes receivable and maximum exposure to loss was $9.5 million for both periods. We also own a 77.7% tenancy in common ("TIC") interest in Escondido Promenade which is recorded as an equity method investment and included in investments in partnerships" on our December 31, 2022 consolidated balance sheets. Our TIC interest in Escondido Promenade is not considered a variable interest in a variable interest entity. See Note 3 to the consolidated financial statements for additional information.</w:t>
      </w:r>
    </w:p>
    <w:p>
      <w:pPr>
        <w:spacing w:after="0" w:line="1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In addition, we have 19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$1.6 billion and $1.8 billion as of December 31, 2022 and 2021, respectively, and mortgages related to VIEs included in our consolidated balance sheets were approximately $191.8 million and $335.3 million, as of December 31, 2022 and 2021,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1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240"/>
          </w:cols>
          <w:pgMar w:left="820" w:top="413" w:right="82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The following table provides a rollforward of the redeemable noncontrolling interests:</w:t>
      </w:r>
    </w:p>
    <w:p>
      <w:pPr>
        <w:spacing w:after="0" w:line="200" w:lineRule="exact"/>
        <w:rPr>
          <w:sz w:val="20"/>
          <w:szCs w:val="20"/>
          <w:color w:val="auto"/>
        </w:rPr>
      </w:pP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40" w:type="dxa"/>
            <w:vAlign w:val="bottom"/>
          </w:tcPr>
          <w:p>
            <w:pPr>
              <w:spacing w:after="0"/>
              <w:rPr>
                <w:sz w:val="18"/>
                <w:szCs w:val="18"/>
                <w:color w:val="auto"/>
              </w:rPr>
            </w:pPr>
          </w:p>
        </w:tc>
      </w:tr>
      <w:tr>
        <w:trPr>
          <w:trHeight w:val="261"/>
        </w:trPr>
        <w:tc>
          <w:tcPr>
            <w:tcW w:w="7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5"/>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9"/>
        </w:trPr>
        <w:tc>
          <w:tcPr>
            <w:tcW w:w="7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4"/>
          </w:tcPr>
          <w:p>
            <w:pPr>
              <w:jc w:val="right"/>
              <w:ind w:right="603"/>
              <w:spacing w:after="0"/>
              <w:rPr>
                <w:sz w:val="20"/>
                <w:szCs w:val="20"/>
                <w:color w:val="auto"/>
              </w:rPr>
            </w:pPr>
            <w:r>
              <w:rPr>
                <w:rFonts w:ascii="Times New Roman" w:cs="Times New Roman" w:eastAsia="Times New Roman" w:hAnsi="Times New Roman"/>
                <w:sz w:val="16"/>
                <w:szCs w:val="16"/>
                <w:color w:val="auto"/>
              </w:rPr>
              <w:t>(In thousands)</w:t>
            </w:r>
          </w:p>
        </w:tc>
      </w:tr>
      <w:tr>
        <w:trPr>
          <w:trHeight w:val="303"/>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Beginning balance</w:t>
            </w:r>
            <w:r>
              <w:rPr>
                <w:rFonts w:ascii="Times New Roman" w:cs="Times New Roman" w:eastAsia="Times New Roman" w:hAnsi="Times New Roman"/>
                <w:sz w:val="20"/>
                <w:szCs w:val="20"/>
                <w:color w:val="AEAEAE"/>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213,708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137,720</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w:t>
            </w:r>
            <w:r>
              <w:rPr>
                <w:rFonts w:ascii="Times New Roman" w:cs="Times New Roman" w:eastAsia="Times New Roman" w:hAnsi="Times New Roman"/>
                <w:sz w:val="20"/>
                <w:szCs w:val="20"/>
                <w:color w:val="AEAEAE"/>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4,296</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Contributions </w:t>
            </w:r>
            <w:r>
              <w:rPr>
                <w:rFonts w:ascii="Times New Roman" w:cs="Times New Roman" w:eastAsia="Times New Roman" w:hAnsi="Times New Roman"/>
                <w:sz w:val="20"/>
                <w:szCs w:val="20"/>
                <w:color w:val="AEAEAE"/>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74,530</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comprehensive income - change in value of interest rate swaps </w:t>
            </w:r>
            <w:r>
              <w:rPr>
                <w:rFonts w:ascii="Times New Roman" w:cs="Times New Roman" w:eastAsia="Times New Roman" w:hAnsi="Times New Roman"/>
                <w:sz w:val="20"/>
                <w:szCs w:val="20"/>
                <w:color w:val="AEAEAE"/>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&amp; redemptions</w:t>
            </w:r>
            <w:r>
              <w:rPr>
                <w:rFonts w:ascii="Times New Roman" w:cs="Times New Roman" w:eastAsia="Times New Roman" w:hAnsi="Times New Roman"/>
                <w:sz w:val="20"/>
                <w:szCs w:val="20"/>
                <w:color w:val="AEAEAE"/>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(32,445)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(5,268)</w:t>
            </w:r>
          </w:p>
        </w:tc>
      </w:tr>
      <w:tr>
        <w:trPr>
          <w:trHeight w:val="303"/>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Change in redemption value </w:t>
            </w:r>
            <w:r>
              <w:rPr>
                <w:rFonts w:ascii="Times New Roman" w:cs="Times New Roman" w:eastAsia="Times New Roman" w:hAnsi="Times New Roman"/>
                <w:sz w:val="20"/>
                <w:szCs w:val="20"/>
                <w:color w:val="AEAEAE"/>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(12,382)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2,110</w:t>
            </w:r>
          </w:p>
        </w:tc>
      </w:tr>
      <w:tr>
        <w:trPr>
          <w:trHeight w:val="26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Ending balance </w:t>
            </w:r>
            <w:r>
              <w:rPr>
                <w:rFonts w:ascii="Times New Roman" w:cs="Times New Roman" w:eastAsia="Times New Roman" w:hAnsi="Times New Roman"/>
                <w:sz w:val="20"/>
                <w:szCs w:val="20"/>
                <w:color w:val="AEAEAE"/>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178,370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213,708</w:t>
            </w: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On July 13, 2022, we acquired the 21.8% redeemable noncontrolling interest in the partnership that owns our Plaza El Segundo shopping center for $23.6 million, bringing our ownership interest to 100%.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1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We have ground leases at 11 properties which are accounted for as operating leases. The operating lease right of use ("ROU") assets and related liabilities are shown separately on the face of our consolidated balance sheet and reflect the present value of the minimum lease payments. A key input in the calculation is the discount rate. As the rate implied in the lease agreements is not readily determinable, we utilize our incremental borrowing rate that corresponds to the remaining term of the lease, our credit spread, and an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do not record an ROU asset or lease liability for leases with terms of less than 12 months.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4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With few exceptions, we are no longer subject to U.S. federal, state, and local tax examinations by tax authorities for years before 2018. As of December 31, 2022 and 2021, we had no material unrecognized tax benefits. While we currently have no material unrecognized tax benefits, as a policy, we recognize penalties and interest accrued related to unrecognized tax benefits as income tax expense.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and mortgage interest income, less rental expenses and real estate taxes. 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ectPr>
          <w:pgSz w:w="11880" w:h="15480" w:orient="portrait"/>
          <w:cols w:equalWidth="0" w:num="1">
            <w:col w:w="10260"/>
          </w:cols>
          <w:pgMar w:left="820" w:top="4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10260"/>
          </w:cols>
          <w:pgMar w:left="820" w:top="413" w:right="8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Forward Equity Sales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at-the-market (“ATM”) equity program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method to determine the dilution, if any, from the forward sales contracts during the period of time prior to settlement. See Note 8 to the consolidated financial statements for details of our forward sales transactions.</w:t>
      </w:r>
    </w:p>
    <w:p>
      <w:pPr>
        <w:sectPr>
          <w:pgSz w:w="11880" w:h="15480" w:orient="portrait"/>
          <w:cols w:equalWidth="0" w:num="1">
            <w:col w:w="10120"/>
          </w:cols>
          <w:pgMar w:left="820" w:top="40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10120"/>
          </w:cols>
          <w:pgMar w:left="820" w:top="406" w:right="94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9"/>
          <w:szCs w:val="19"/>
          <w:b w:val="1"/>
          <w:bCs w:val="1"/>
          <w:color w:val="auto"/>
        </w:rPr>
        <w:t>Recent Accounting Pronouncements</w:t>
      </w:r>
    </w:p>
    <w:p>
      <w:pPr>
        <w:sectPr>
          <w:pgSz w:w="11880" w:h="15480" w:orient="portrait"/>
          <w:cols w:equalWidth="0" w:num="1">
            <w:col w:w="10160"/>
          </w:cols>
          <w:pgMar w:left="820" w:top="40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Standard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29210</wp:posOffset>
                </wp:positionV>
                <wp:extent cx="15240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pt" to="119.5pt,2.3pt" o:allowincell="f" strokecolor="#000000" strokeweight="1pt"/>
            </w:pict>
          </mc:Fallback>
        </mc:AlternateConten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Adopted on January 1, 2022:</w:t>
      </w:r>
    </w:p>
    <w:p>
      <w:pPr>
        <w:spacing w:after="0" w:line="118" w:lineRule="exact"/>
        <w:rPr>
          <w:sz w:val="20"/>
          <w:szCs w:val="20"/>
          <w:color w:val="auto"/>
        </w:rPr>
      </w:pPr>
    </w:p>
    <w:p>
      <w:pPr>
        <w:ind w:left="40"/>
        <w:spacing w:after="0" w:line="228" w:lineRule="auto"/>
        <w:rPr>
          <w:sz w:val="20"/>
          <w:szCs w:val="20"/>
          <w:color w:val="auto"/>
        </w:rPr>
      </w:pPr>
      <w:r>
        <w:rPr>
          <w:rFonts w:ascii="Times New Roman" w:cs="Times New Roman" w:eastAsia="Times New Roman" w:hAnsi="Times New Roman"/>
          <w:sz w:val="17"/>
          <w:szCs w:val="17"/>
          <w:color w:val="auto"/>
        </w:rPr>
        <w:t xml:space="preserve">ASU 2020-06, August 2020, </w:t>
      </w:r>
      <w:r>
        <w:rPr>
          <w:rFonts w:ascii="Times New Roman" w:cs="Times New Roman" w:eastAsia="Times New Roman" w:hAnsi="Times New Roman"/>
          <w:sz w:val="17"/>
          <w:szCs w:val="17"/>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right="120"/>
        <w:spacing w:after="0" w:line="224" w:lineRule="auto"/>
        <w:rPr>
          <w:sz w:val="20"/>
          <w:szCs w:val="20"/>
          <w:color w:val="auto"/>
        </w:rPr>
      </w:pPr>
      <w:r>
        <w:rPr>
          <w:rFonts w:ascii="Times New Roman" w:cs="Times New Roman" w:eastAsia="Times New Roman" w:hAnsi="Times New Roman"/>
          <w:sz w:val="18"/>
          <w:szCs w:val="18"/>
          <w:color w:val="auto"/>
        </w:rPr>
        <w:t xml:space="preserve">ASU 2021-05, July 2021, </w:t>
      </w:r>
      <w:r>
        <w:rPr>
          <w:rFonts w:ascii="Times New Roman" w:cs="Times New Roman" w:eastAsia="Times New Roman" w:hAnsi="Times New Roman"/>
          <w:sz w:val="18"/>
          <w:szCs w:val="18"/>
          <w:i w:val="1"/>
          <w:iCs w:val="1"/>
          <w:color w:val="auto"/>
        </w:rPr>
        <w:t>Lessors - Certain Leases with Variable Lease Payments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Issued in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29210</wp:posOffset>
                </wp:positionV>
                <wp:extent cx="265747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7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2.3pt" to="206.5pt,2.3pt" o:allowincell="f" strokecolor="#000000" strokeweight="1pt"/>
            </w:pict>
          </mc:Fallback>
        </mc:AlternateContent>
      </w:r>
    </w:p>
    <w:p>
      <w:pPr>
        <w:spacing w:after="0" w:line="398"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This ASU simplifies the accounting for convertible instruments by removing the requirements to separately present certain conversion features in equity, simplifying the settlement assessment that entities are required to perform to determine whether a contract qualifies for equity classification, and generally requiring the use of the if-converted method for all convertible instruments in the diluted EPS calculation and include the effect of potential share settlement (if the effect is more dilutive). The guidance is effective for annual period beginning after December 15, 2021, and interim periods therein.</w:t>
      </w:r>
    </w:p>
    <w:p>
      <w:pPr>
        <w:spacing w:after="0" w:line="9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This ASU amends the lessor lease classification in ASC 842 for leases that include variable lease payments that are not based on an index or rate. Under the amended guidance, lessors will classify a lease with variable payments that do not depend on an index or rate as an operating lease if the lease would have been classified as a sales-type lease or a direct financing lease under the previous ASU 842 classification criteria, and sales- type or direct financing lease classification would result in a Day 1 loss.</w:t>
      </w:r>
    </w:p>
    <w:p>
      <w:pPr>
        <w:spacing w:after="0" w:line="12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This guidance is effective for annual periods beginning after December 15, 2021, and interim periods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600"/>
        <w:spacing w:after="0" w:line="245"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6350</wp:posOffset>
                </wp:positionV>
                <wp:extent cx="22383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8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0.5pt" to="173.5pt,0.5pt" o:allowincell="f" strokecolor="#000000" strokeweight="1pt"/>
            </w:pict>
          </mc:Fallback>
        </mc:AlternateContent>
      </w:r>
    </w:p>
    <w:p>
      <w:pPr>
        <w:spacing w:after="0" w:line="363"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The adoption of this standard did not have an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The adoption of this standard did not have an impact to our consolidated financial statements.</w:t>
      </w:r>
    </w:p>
    <w:p>
      <w:pPr>
        <w:spacing w:after="0" w:line="2088" w:lineRule="exact"/>
        <w:rPr>
          <w:sz w:val="20"/>
          <w:szCs w:val="20"/>
          <w:color w:val="auto"/>
        </w:rPr>
      </w:pPr>
    </w:p>
    <w:p>
      <w:pPr>
        <w:sectPr>
          <w:pgSz w:w="11880" w:h="15480" w:orient="portrait"/>
          <w:cols w:equalWidth="0" w:num="3">
            <w:col w:w="2300" w:space="220"/>
            <w:col w:w="4060" w:space="200"/>
            <w:col w:w="3380"/>
          </w:cols>
          <w:pgMar w:left="820" w:top="406" w:right="900" w:bottom="0" w:gutter="0" w:footer="0" w:header="0"/>
          <w:type w:val="continuous"/>
        </w:sectPr>
      </w:pPr>
    </w:p>
    <w:p>
      <w:pPr>
        <w:ind w:left="40"/>
        <w:spacing w:after="0" w:line="221" w:lineRule="auto"/>
        <w:rPr>
          <w:sz w:val="20"/>
          <w:szCs w:val="20"/>
          <w:color w:val="auto"/>
        </w:rPr>
      </w:pPr>
      <w:r>
        <w:rPr>
          <w:rFonts w:ascii="Times New Roman" w:cs="Times New Roman" w:eastAsia="Times New Roman" w:hAnsi="Times New Roman"/>
          <w:sz w:val="19"/>
          <w:szCs w:val="19"/>
          <w:color w:val="auto"/>
        </w:rPr>
        <w:t xml:space="preserve">ASU 2022-03, June 2022, </w:t>
      </w:r>
      <w:r>
        <w:rPr>
          <w:rFonts w:ascii="Times New Roman" w:cs="Times New Roman" w:eastAsia="Times New Roman" w:hAnsi="Times New Roman"/>
          <w:sz w:val="19"/>
          <w:szCs w:val="19"/>
          <w:i w:val="1"/>
          <w:iCs w:val="1"/>
          <w:color w:val="auto"/>
        </w:rPr>
        <w:t>Fair Value Measurement of Equity Securities Subject to Contractual Sale Restrictions (Topic 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Issued in 2020:</w:t>
      </w:r>
    </w:p>
    <w:p>
      <w:pPr>
        <w:spacing w:after="0" w:line="43" w:lineRule="exact"/>
        <w:rPr>
          <w:sz w:val="20"/>
          <w:szCs w:val="20"/>
          <w:color w:val="auto"/>
        </w:rPr>
      </w:pPr>
    </w:p>
    <w:p>
      <w:pPr>
        <w:ind w:left="40" w:right="40"/>
        <w:spacing w:after="0" w:line="268" w:lineRule="auto"/>
        <w:rPr>
          <w:sz w:val="20"/>
          <w:szCs w:val="20"/>
          <w:color w:val="auto"/>
        </w:rPr>
      </w:pPr>
      <w:r>
        <w:rPr>
          <w:rFonts w:ascii="Times New Roman" w:cs="Times New Roman" w:eastAsia="Times New Roman" w:hAnsi="Times New Roman"/>
          <w:sz w:val="17"/>
          <w:szCs w:val="17"/>
          <w:color w:val="auto"/>
        </w:rPr>
        <w:t>Reference Rate Reform (Topic 848) and related update:</w:t>
      </w:r>
    </w:p>
    <w:p>
      <w:pPr>
        <w:spacing w:after="0" w:line="103" w:lineRule="exact"/>
        <w:rPr>
          <w:sz w:val="20"/>
          <w:szCs w:val="20"/>
          <w:color w:val="auto"/>
        </w:rPr>
      </w:pPr>
    </w:p>
    <w:p>
      <w:pPr>
        <w:ind w:left="180" w:right="100"/>
        <w:spacing w:after="0" w:line="229" w:lineRule="auto"/>
        <w:rPr>
          <w:sz w:val="20"/>
          <w:szCs w:val="20"/>
          <w:color w:val="auto"/>
        </w:rPr>
      </w:pPr>
      <w:r>
        <w:rPr>
          <w:rFonts w:ascii="Times New Roman" w:cs="Times New Roman" w:eastAsia="Times New Roman" w:hAnsi="Times New Roman"/>
          <w:sz w:val="18"/>
          <w:szCs w:val="18"/>
          <w:color w:val="auto"/>
        </w:rPr>
        <w:t xml:space="preserve">ASU 2020-04, March 2020, </w:t>
      </w:r>
      <w:r>
        <w:rPr>
          <w:rFonts w:ascii="Times New Roman" w:cs="Times New Roman" w:eastAsia="Times New Roman" w:hAnsi="Times New Roman"/>
          <w:sz w:val="18"/>
          <w:szCs w:val="18"/>
          <w:i w:val="1"/>
          <w:iCs w:val="1"/>
          <w:color w:val="auto"/>
        </w:rPr>
        <w:t>Reference Rate Reform (Topic 848)</w:t>
      </w:r>
    </w:p>
    <w:p>
      <w:pPr>
        <w:spacing w:after="0" w:line="126" w:lineRule="exact"/>
        <w:rPr>
          <w:sz w:val="20"/>
          <w:szCs w:val="20"/>
          <w:color w:val="auto"/>
        </w:rPr>
      </w:pPr>
    </w:p>
    <w:p>
      <w:pPr>
        <w:ind w:left="180" w:right="80"/>
        <w:spacing w:after="0" w:line="230" w:lineRule="auto"/>
        <w:rPr>
          <w:sz w:val="20"/>
          <w:szCs w:val="20"/>
          <w:color w:val="auto"/>
        </w:rPr>
      </w:pPr>
      <w:r>
        <w:rPr>
          <w:rFonts w:ascii="Times New Roman" w:cs="Times New Roman" w:eastAsia="Times New Roman" w:hAnsi="Times New Roman"/>
          <w:sz w:val="18"/>
          <w:szCs w:val="18"/>
          <w:color w:val="auto"/>
        </w:rPr>
        <w:t>ASU 2022-06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December 2022, </w:t>
      </w:r>
      <w:r>
        <w:rPr>
          <w:rFonts w:ascii="Times New Roman" w:cs="Times New Roman" w:eastAsia="Times New Roman" w:hAnsi="Times New Roman"/>
          <w:sz w:val="18"/>
          <w:szCs w:val="18"/>
          <w:i w:val="1"/>
          <w:iCs w:val="1"/>
          <w:color w:val="auto"/>
        </w:rPr>
        <w:t>Deferral of the Sunset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p>
    <w:p>
      <w:pPr>
        <w:spacing w:after="0" w:line="20" w:lineRule="exact"/>
        <w:rPr>
          <w:sz w:val="20"/>
          <w:szCs w:val="20"/>
          <w:color w:val="auto"/>
        </w:rPr>
      </w:pPr>
      <w:r>
        <w:rPr>
          <w:sz w:val="20"/>
          <w:szCs w:val="20"/>
          <w:color w:val="auto"/>
        </w:rPr>
        <w:br w:type="column"/>
      </w:r>
    </w:p>
    <w:p>
      <w:pPr>
        <w:spacing w:after="0" w:line="214" w:lineRule="auto"/>
        <w:rPr>
          <w:sz w:val="20"/>
          <w:szCs w:val="20"/>
          <w:color w:val="auto"/>
        </w:rPr>
      </w:pPr>
      <w:r>
        <w:rPr>
          <w:rFonts w:ascii="Times New Roman" w:cs="Times New Roman" w:eastAsia="Times New Roman" w:hAnsi="Times New Roman"/>
          <w:sz w:val="19"/>
          <w:szCs w:val="19"/>
          <w:color w:val="auto"/>
        </w:rPr>
        <w:t>This ASU clarifies that contractual sale restrictions are not considered in measuring the fair value of equity securities, and requires specific disclosures for all entities with equity securities subject to a contractual sale restriction including (1) the fair value of such equity securities reflected in the balance sheet, (2) the nature and remaining duration of the corresponding restrictions, and (3) any circumstances that could cause a lapse in the restrictions. In addition, the ASU prohibits an entity from recognizing a contractual sale as a separate unit of account.</w:t>
      </w:r>
    </w:p>
    <w:p>
      <w:pPr>
        <w:spacing w:after="0" w:line="13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9"/>
          <w:szCs w:val="19"/>
          <w:color w:val="auto"/>
        </w:rPr>
        <w:t>This guidance is effective in fiscal years beginning after December 15, 2023, and interim periods within those fiscal years, with early adoption permitted.</w:t>
      </w:r>
    </w:p>
    <w:p>
      <w:pPr>
        <w:spacing w:after="0" w:line="34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w:t>
      </w:r>
    </w:p>
    <w:p>
      <w:pPr>
        <w:spacing w:after="0" w:line="13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ASU 2022-06 extended the period for which this guidance can be immediately applied through December 31, 2024.</w:t>
      </w:r>
    </w:p>
    <w:p>
      <w:pPr>
        <w:spacing w:after="0" w:line="20" w:lineRule="exact"/>
        <w:rPr>
          <w:sz w:val="20"/>
          <w:szCs w:val="20"/>
          <w:color w:val="auto"/>
        </w:rPr>
      </w:pPr>
      <w:r>
        <w:rPr>
          <w:sz w:val="20"/>
          <w:szCs w:val="20"/>
          <w:color w:val="auto"/>
        </w:rPr>
        <w:br w:type="column"/>
      </w:r>
    </w:p>
    <w:p>
      <w:pPr>
        <w:ind w:right="40"/>
        <w:spacing w:after="0" w:line="230" w:lineRule="auto"/>
        <w:rPr>
          <w:sz w:val="20"/>
          <w:szCs w:val="20"/>
          <w:color w:val="auto"/>
        </w:rPr>
      </w:pPr>
      <w:r>
        <w:rPr>
          <w:rFonts w:ascii="Times New Roman" w:cs="Times New Roman" w:eastAsia="Times New Roman" w:hAnsi="Times New Roman"/>
          <w:sz w:val="19"/>
          <w:szCs w:val="19"/>
          <w:color w:val="auto"/>
        </w:rPr>
        <w:t>We are assessing the impact of this ASU on OP units issued as consideration in future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We expect to apply some of the practical expedients, as we are in the process of transitioning the $ 55.1 million mortgage loan on Hoboken and the $38.2 million mortgage loan related to the unconsolidated Assembly Row hotel (of which our share is $19.1 million) from LIBOR to alternative interest rates. We do not expect a significant impact to our financial results, financial position, or cash flows from this transition.</w:t>
      </w:r>
    </w:p>
    <w:p>
      <w:pPr>
        <w:spacing w:after="0" w:line="1278" w:lineRule="exact"/>
        <w:rPr>
          <w:sz w:val="20"/>
          <w:szCs w:val="20"/>
          <w:color w:val="auto"/>
        </w:rPr>
      </w:pPr>
    </w:p>
    <w:p>
      <w:pPr>
        <w:sectPr>
          <w:pgSz w:w="11880" w:h="15480" w:orient="portrait"/>
          <w:cols w:equalWidth="0" w:num="3">
            <w:col w:w="2300" w:space="220"/>
            <w:col w:w="4060" w:space="200"/>
            <w:col w:w="3380"/>
          </w:cols>
          <w:pgMar w:left="820" w:top="406"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10160"/>
          </w:cols>
          <w:pgMar w:left="820" w:top="406" w:right="900" w:bottom="0" w:gutter="0" w:footer="0" w:header="0"/>
          <w:type w:val="continuous"/>
        </w:sectPr>
      </w:pPr>
    </w:p>
    <w:bookmarkStart w:id="89" w:name="page90"/>
    <w:bookmarkEnd w:id="89"/>
    <w:p>
      <w:pPr>
        <w:ind w:left="1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Flows—Supplemental Disclosures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provides supplemental disclosures related to the Consolidated Statements of Cash Flows:</w:t>
      </w:r>
    </w:p>
    <w:p>
      <w:pPr>
        <w:spacing w:after="0" w:line="1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4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DISCLOSURES: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interest costs incurred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155,659</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150,324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159,718</w:t>
            </w:r>
          </w:p>
        </w:tc>
        <w:tc>
          <w:tcPr>
            <w:tcW w:w="0" w:type="dxa"/>
            <w:vAlign w:val="bottom"/>
          </w:tcPr>
          <w:p>
            <w:pPr>
              <w:spacing w:after="0"/>
              <w:rPr>
                <w:sz w:val="1"/>
                <w:szCs w:val="1"/>
                <w:color w:val="auto"/>
              </w:rPr>
            </w:pPr>
          </w:p>
        </w:tc>
      </w:tr>
      <w:tr>
        <w:trPr>
          <w:trHeight w:val="303"/>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capitalized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(22,626)</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(23,429)</w:t>
            </w:r>
          </w:p>
        </w:tc>
        <w:tc>
          <w:tcPr>
            <w:tcW w:w="0" w:type="dxa"/>
            <w:vAlign w:val="bottom"/>
          </w:tcPr>
          <w:p>
            <w:pPr>
              <w:spacing w:after="0"/>
              <w:rPr>
                <w:sz w:val="1"/>
                <w:szCs w:val="1"/>
                <w:color w:val="auto"/>
              </w:rPr>
            </w:pPr>
          </w:p>
        </w:tc>
      </w:tr>
      <w:tr>
        <w:trPr>
          <w:trHeight w:val="260"/>
        </w:trPr>
        <w:tc>
          <w:tcPr>
            <w:tcW w:w="64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136,989</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127,698</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136,289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Cash paid for interest, net of amounts capitalized</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vMerge w:val="continue"/>
          </w:tcPr>
          <w:p>
            <w:pPr>
              <w:spacing w:after="0"/>
              <w:rPr>
                <w:sz w:val="20"/>
                <w:szCs w:val="20"/>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130,912</w:t>
            </w: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123,585</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130,248</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vMerge w:val="continue"/>
          </w:tcPr>
          <w:p>
            <w:pPr>
              <w:spacing w:after="0"/>
              <w:rPr>
                <w:sz w:val="20"/>
                <w:szCs w:val="20"/>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624</w:t>
            </w: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NON-CASH INVESTING AND FINANCING TRANSACTIONS: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DownREIT operating partnership units issued with acquisition</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18,920</w:t>
            </w:r>
          </w:p>
        </w:tc>
        <w:tc>
          <w:tcPr>
            <w:tcW w:w="0" w:type="dxa"/>
            <w:vAlign w:val="bottom"/>
          </w:tcPr>
          <w:p>
            <w:pPr>
              <w:spacing w:after="0"/>
              <w:rPr>
                <w:sz w:val="1"/>
                <w:szCs w:val="1"/>
                <w:color w:val="auto"/>
              </w:rPr>
            </w:pPr>
          </w:p>
        </w:tc>
      </w:tr>
      <w:tr>
        <w:trPr>
          <w:trHeight w:val="300"/>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Mortgage loans assumed with acquisition (1)</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8,903</w:t>
            </w:r>
          </w:p>
        </w:tc>
        <w:tc>
          <w:tcPr>
            <w:tcW w:w="0" w:type="dxa"/>
            <w:vAlign w:val="bottom"/>
          </w:tcPr>
          <w:p>
            <w:pPr>
              <w:spacing w:after="0"/>
              <w:rPr>
                <w:sz w:val="1"/>
                <w:szCs w:val="1"/>
                <w:color w:val="auto"/>
              </w:rPr>
            </w:pPr>
          </w:p>
        </w:tc>
      </w:tr>
      <w:tr>
        <w:trPr>
          <w:trHeight w:val="300"/>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DownREIT operating partnership units redeemed for common shares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1,385</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Shares issued under dividend reinvestment plan</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1,718</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w:t>
            </w:r>
          </w:p>
        </w:tc>
        <w:tc>
          <w:tcPr>
            <w:tcW w:w="0" w:type="dxa"/>
            <w:vAlign w:val="bottom"/>
          </w:tcPr>
          <w:p>
            <w:pPr>
              <w:spacing w:after="0"/>
              <w:rPr>
                <w:sz w:val="1"/>
                <w:szCs w:val="1"/>
                <w:color w:val="auto"/>
              </w:rPr>
            </w:pPr>
          </w:p>
        </w:tc>
      </w:tr>
      <w:tr>
        <w:trPr>
          <w:trHeight w:val="204"/>
        </w:trPr>
        <w:tc>
          <w:tcPr>
            <w:tcW w:w="644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5.417% Series 1 Cumulative Convertible Preferred Shares redeemed for</w:t>
            </w: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175</w:t>
            </w:r>
          </w:p>
        </w:tc>
        <w:tc>
          <w:tcPr>
            <w:tcW w:w="36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common shares</w:t>
            </w:r>
          </w:p>
        </w:tc>
        <w:tc>
          <w:tcPr>
            <w:tcW w:w="28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70" w:right="560" w:hanging="270"/>
        <w:spacing w:after="0" w:line="281" w:lineRule="auto"/>
        <w:tabs>
          <w:tab w:leader="none" w:pos="28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our Annual Report on Form 10-K for the year ended December 31, 2020 for additional disclosures relating to the mortgages entered into and assumed as a result of the Hoboken acquisition.</w:t>
      </w:r>
    </w:p>
    <w:p>
      <w:pPr>
        <w:spacing w:after="0" w:line="211"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8"/>
                <w:szCs w:val="18"/>
                <w:color w:val="auto"/>
              </w:rPr>
            </w:pPr>
          </w:p>
        </w:tc>
      </w:tr>
      <w:tr>
        <w:trPr>
          <w:trHeight w:val="261"/>
        </w:trPr>
        <w:tc>
          <w:tcPr>
            <w:tcW w:w="7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9"/>
        </w:trPr>
        <w:tc>
          <w:tcPr>
            <w:tcW w:w="7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4"/>
          </w:tcPr>
          <w:p>
            <w:pPr>
              <w:jc w:val="right"/>
              <w:ind w:right="645"/>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2"/>
        </w:trPr>
        <w:tc>
          <w:tcPr>
            <w:tcW w:w="770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w w:val="99"/>
              </w:rPr>
              <w:t>RECONCILIATION OF CASH, CASH EQUIVALENTS, AND RESTRICTED CASH:</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96"/>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AEAEAE"/>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85,558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162,132</w:t>
            </w:r>
          </w:p>
        </w:tc>
      </w:tr>
      <w:tr>
        <w:trPr>
          <w:trHeight w:val="303"/>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Restricted cash (1) </w:t>
            </w:r>
            <w:r>
              <w:rPr>
                <w:rFonts w:ascii="Times New Roman" w:cs="Times New Roman" w:eastAsia="Times New Roman" w:hAnsi="Times New Roman"/>
                <w:sz w:val="20"/>
                <w:szCs w:val="20"/>
                <w:color w:val="AEAEAE"/>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10,790</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13,031</w:t>
            </w:r>
          </w:p>
        </w:tc>
      </w:tr>
      <w:tr>
        <w:trPr>
          <w:trHeight w:val="260"/>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Totalcash,cashequivalents,andrestrictedcash</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96,348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175,163</w:t>
            </w:r>
          </w:p>
        </w:tc>
      </w:tr>
      <w:tr>
        <w:trPr>
          <w:trHeight w:val="20"/>
        </w:trPr>
        <w:tc>
          <w:tcPr>
            <w:tcW w:w="7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 Restricted cash balances are included in "prepaid expenses and other assets" on our consolidated balance sheets.</w:t>
      </w:r>
    </w:p>
    <w:p>
      <w:pPr>
        <w:spacing w:after="0" w:line="200" w:lineRule="exact"/>
        <w:rPr>
          <w:sz w:val="20"/>
          <w:szCs w:val="20"/>
          <w:color w:val="auto"/>
        </w:rPr>
      </w:pPr>
    </w:p>
    <w:p>
      <w:pPr>
        <w:spacing w:after="0" w:line="2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3—REAL ESTATE</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2022 Property Acquisitions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During the year ended December 31, 2022, we acquired the following properties: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Date Acquired</w:t>
            </w:r>
          </w:p>
        </w:tc>
        <w:tc>
          <w:tcPr>
            <w:tcW w:w="60" w:type="dxa"/>
            <w:vAlign w:val="bottom"/>
          </w:tcPr>
          <w:p>
            <w:pPr>
              <w:spacing w:after="0"/>
              <w:rPr>
                <w:sz w:val="19"/>
                <w:szCs w:val="19"/>
                <w:color w:val="auto"/>
              </w:rPr>
            </w:pPr>
          </w:p>
        </w:tc>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6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City/State</w:t>
            </w:r>
          </w:p>
        </w:tc>
        <w:tc>
          <w:tcPr>
            <w:tcW w:w="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Gross Leasable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rPr>
              <w:t>Purchase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Area (GLA)</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40"/>
              <w:spacing w:after="0" w:line="206" w:lineRule="exact"/>
              <w:rPr>
                <w:sz w:val="20"/>
                <w:szCs w:val="20"/>
                <w:color w:val="auto"/>
              </w:rPr>
            </w:pPr>
            <w:r>
              <w:rPr>
                <w:rFonts w:ascii="Times New Roman" w:cs="Times New Roman" w:eastAsia="Times New Roman" w:hAnsi="Times New Roman"/>
                <w:sz w:val="20"/>
                <w:szCs w:val="20"/>
                <w:color w:val="auto"/>
              </w:rPr>
              <w:t>April 20, 2022 &amp;</w:t>
            </w:r>
          </w:p>
        </w:tc>
        <w:tc>
          <w:tcPr>
            <w:tcW w:w="60" w:type="dxa"/>
            <w:vAlign w:val="bottom"/>
          </w:tcPr>
          <w:p>
            <w:pPr>
              <w:spacing w:after="0"/>
              <w:rPr>
                <w:sz w:val="17"/>
                <w:szCs w:val="17"/>
                <w:color w:val="auto"/>
              </w:rPr>
            </w:pPr>
          </w:p>
        </w:tc>
        <w:tc>
          <w:tcPr>
            <w:tcW w:w="2740" w:type="dxa"/>
            <w:vAlign w:val="bottom"/>
          </w:tcPr>
          <w:p>
            <w:pPr>
              <w:ind w:left="40"/>
              <w:spacing w:after="0" w:line="206" w:lineRule="exact"/>
              <w:rPr>
                <w:sz w:val="20"/>
                <w:szCs w:val="20"/>
                <w:color w:val="auto"/>
              </w:rPr>
            </w:pPr>
            <w:r>
              <w:rPr>
                <w:rFonts w:ascii="Times New Roman" w:cs="Times New Roman" w:eastAsia="Times New Roman" w:hAnsi="Times New Roman"/>
                <w:sz w:val="20"/>
                <w:szCs w:val="20"/>
                <w:color w:val="auto"/>
              </w:rPr>
              <w:t>Kingstowne Towne Center</w:t>
            </w:r>
          </w:p>
        </w:tc>
        <w:tc>
          <w:tcPr>
            <w:tcW w:w="60" w:type="dxa"/>
            <w:vAlign w:val="bottom"/>
          </w:tcPr>
          <w:p>
            <w:pPr>
              <w:spacing w:after="0"/>
              <w:rPr>
                <w:sz w:val="17"/>
                <w:szCs w:val="17"/>
                <w:color w:val="auto"/>
              </w:rPr>
            </w:pPr>
          </w:p>
        </w:tc>
        <w:tc>
          <w:tcPr>
            <w:tcW w:w="2080" w:type="dxa"/>
            <w:vAlign w:val="bottom"/>
          </w:tcPr>
          <w:p>
            <w:pPr>
              <w:ind w:left="60"/>
              <w:spacing w:after="0" w:line="206" w:lineRule="exact"/>
              <w:rPr>
                <w:sz w:val="20"/>
                <w:szCs w:val="20"/>
                <w:color w:val="auto"/>
              </w:rPr>
            </w:pPr>
            <w:r>
              <w:rPr>
                <w:rFonts w:ascii="Times New Roman" w:cs="Times New Roman" w:eastAsia="Times New Roman" w:hAnsi="Times New Roman"/>
                <w:sz w:val="20"/>
                <w:szCs w:val="20"/>
                <w:color w:val="auto"/>
              </w:rPr>
              <w:t>Kingstowne, Virginia</w:t>
            </w:r>
          </w:p>
        </w:tc>
        <w:tc>
          <w:tcPr>
            <w:tcW w:w="18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410,000</w:t>
            </w:r>
          </w:p>
        </w:tc>
        <w:tc>
          <w:tcPr>
            <w:tcW w:w="24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200.0</w:t>
            </w:r>
          </w:p>
        </w:tc>
        <w:tc>
          <w:tcPr>
            <w:tcW w:w="3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27, 2022</w:t>
            </w:r>
          </w:p>
        </w:tc>
        <w:tc>
          <w:tcPr>
            <w:tcW w:w="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18, 2022</w:t>
            </w:r>
          </w:p>
        </w:tc>
        <w:tc>
          <w:tcPr>
            <w:tcW w:w="6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Hilton Village (office building)</w:t>
            </w:r>
          </w:p>
        </w:tc>
        <w:tc>
          <w:tcPr>
            <w:tcW w:w="6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Scottsdale, Arizona</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8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27, 2022</w:t>
            </w:r>
          </w:p>
        </w:tc>
        <w:tc>
          <w:tcPr>
            <w:tcW w:w="6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Shops at Pembroke Gardens</w:t>
            </w:r>
          </w:p>
        </w:tc>
        <w:tc>
          <w:tcPr>
            <w:tcW w:w="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Pembroke Pines, Florida</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180.5</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1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18, 2022</w:t>
            </w:r>
          </w:p>
        </w:tc>
        <w:tc>
          <w:tcPr>
            <w:tcW w:w="6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Hoboken (301 Washington St.)</w:t>
            </w:r>
          </w:p>
        </w:tc>
        <w:tc>
          <w:tcPr>
            <w:tcW w:w="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Hoboken, New Jersey</w:t>
            </w:r>
          </w:p>
        </w:tc>
        <w:tc>
          <w:tcPr>
            <w:tcW w:w="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370" w:right="180" w:hanging="370"/>
        <w:spacing w:after="0" w:line="257" w:lineRule="auto"/>
        <w:tabs>
          <w:tab w:leader="none" w:pos="37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$11.3 million and $0.3 million of net assets were allocated to other assets for "acquired lease costs" and "above market leases," respectively, and $20.2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auto"/>
        </w:rPr>
      </w:pPr>
    </w:p>
    <w:p>
      <w:pPr>
        <w:ind w:left="370" w:right="20" w:hanging="370"/>
        <w:spacing w:after="0" w:line="253" w:lineRule="auto"/>
        <w:tabs>
          <w:tab w:leader="none" w:pos="37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w:t>
      </w:r>
    </w:p>
    <w:p>
      <w:pPr>
        <w:sectPr>
          <w:pgSz w:w="11880" w:h="15480" w:orient="portrait"/>
          <w:cols w:equalWidth="0" w:num="1">
            <w:col w:w="10230"/>
          </w:cols>
          <w:pgMar w:left="810" w:top="406" w:right="84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10230"/>
          </w:cols>
          <w:pgMar w:left="810" w:top="406" w:right="840" w:bottom="0" w:gutter="0" w:footer="0" w:header="0"/>
          <w:type w:val="continuous"/>
        </w:sectPr>
      </w:pPr>
    </w:p>
    <w:bookmarkStart w:id="90" w:name="page91"/>
    <w:bookmarkEnd w:id="90"/>
    <w:p>
      <w:pPr>
        <w:ind w:left="370" w:right="260" w:hanging="370"/>
        <w:spacing w:after="0" w:line="257" w:lineRule="auto"/>
        <w:tabs>
          <w:tab w:leader="none" w:pos="37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$16.3 million and $1.6 million of net assets acquired were allocated to other assets for "acquired lease costs" and "above market leases," respectively, and $18.4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auto"/>
        </w:rPr>
      </w:pPr>
    </w:p>
    <w:p>
      <w:pPr>
        <w:ind w:left="370" w:right="420" w:hanging="370"/>
        <w:spacing w:after="0" w:line="281" w:lineRule="auto"/>
        <w:tabs>
          <w:tab w:leader="none" w:pos="37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property, that we own a 90% ownership interest in, was acquired through our Hoboken joint venture, and is in the beginning stages of redevelopment.</w:t>
      </w:r>
    </w:p>
    <w:p>
      <w:pPr>
        <w:spacing w:after="0" w:line="221" w:lineRule="exact"/>
        <w:rPr>
          <w:sz w:val="20"/>
          <w:szCs w:val="20"/>
          <w:color w:val="auto"/>
        </w:rPr>
      </w:pPr>
    </w:p>
    <w:p>
      <w:pPr>
        <w:ind w:left="10" w:right="200"/>
        <w:spacing w:after="0" w:line="275" w:lineRule="auto"/>
        <w:rPr>
          <w:sz w:val="20"/>
          <w:szCs w:val="20"/>
          <w:color w:val="auto"/>
        </w:rPr>
      </w:pPr>
      <w:r>
        <w:rPr>
          <w:rFonts w:ascii="Times New Roman" w:cs="Times New Roman" w:eastAsia="Times New Roman" w:hAnsi="Times New Roman"/>
          <w:sz w:val="19"/>
          <w:szCs w:val="19"/>
          <w:color w:val="auto"/>
        </w:rPr>
        <w:t>On October 6, 2022, we acquired a 47.5% net interest in an unconsolidated joint venture that owns two shopping centers for a combined price of $58.9 million. On the date of acquisition, the properties had combined mortgage debt of $76.1 million, of which, our share is approximately $36.2 million. Approximately $8.0 million and $2.0 million of net assets acquired were allocated to other assets for "acquired lease costs" and "above market leases," respectively, and $17.1 million of net assets acquired were allocated to other liabilities for "below market leases." Additional information on the properties is listed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60" w:type="dxa"/>
            <w:vAlign w:val="bottom"/>
          </w:tcPr>
          <w:p>
            <w:pPr>
              <w:spacing w:after="0"/>
              <w:rPr>
                <w:sz w:val="19"/>
                <w:szCs w:val="19"/>
                <w:color w:val="auto"/>
              </w:rPr>
            </w:pPr>
          </w:p>
        </w:tc>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City/State</w:t>
            </w:r>
          </w:p>
        </w:tc>
        <w:tc>
          <w:tcPr>
            <w:tcW w:w="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Gross Leasable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rPr>
              <w:t>Purchase Price</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Area (GLA)</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8"/>
              </w:rPr>
              <w:t>(our share)</w:t>
            </w:r>
          </w:p>
        </w:tc>
        <w:tc>
          <w:tcPr>
            <w:tcW w:w="0" w:type="dxa"/>
            <w:vAlign w:val="bottom"/>
          </w:tcPr>
          <w:p>
            <w:pPr>
              <w:spacing w:after="0"/>
              <w:rPr>
                <w:sz w:val="1"/>
                <w:szCs w:val="1"/>
                <w:color w:val="auto"/>
              </w:rPr>
            </w:pPr>
          </w:p>
        </w:tc>
      </w:tr>
      <w:tr>
        <w:trPr>
          <w:trHeight w:val="290"/>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61"/>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Festival</w:t>
            </w:r>
          </w:p>
        </w:tc>
        <w:tc>
          <w:tcPr>
            <w:tcW w:w="60" w:type="dxa"/>
            <w:vAlign w:val="bottom"/>
          </w:tcPr>
          <w:p>
            <w:pPr>
              <w:spacing w:after="0"/>
              <w:rPr>
                <w:sz w:val="22"/>
                <w:szCs w:val="22"/>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Arizona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40.8</w:t>
            </w:r>
          </w:p>
        </w:tc>
        <w:tc>
          <w:tcPr>
            <w:tcW w:w="0" w:type="dxa"/>
            <w:vAlign w:val="bottom"/>
          </w:tcPr>
          <w:p>
            <w:pPr>
              <w:spacing w:after="0"/>
              <w:rPr>
                <w:sz w:val="1"/>
                <w:szCs w:val="1"/>
                <w:color w:val="auto"/>
              </w:rPr>
            </w:pPr>
          </w:p>
        </w:tc>
      </w:tr>
      <w:tr>
        <w:trPr>
          <w:trHeight w:val="26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Gateway</w:t>
            </w:r>
          </w:p>
        </w:tc>
        <w:tc>
          <w:tcPr>
            <w:tcW w:w="60" w:type="dxa"/>
            <w:vAlign w:val="bottom"/>
          </w:tcPr>
          <w:p>
            <w:pPr>
              <w:spacing w:after="0"/>
              <w:rPr>
                <w:sz w:val="22"/>
                <w:szCs w:val="22"/>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Chandler, Arizona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2022 Property Dispositions</w:t>
      </w:r>
    </w:p>
    <w:p>
      <w:pPr>
        <w:spacing w:after="0" w:line="117"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2022, we sold two residential properties (one included an adjacent retail pad), one retail property, one parcel of land, and one portion of a property for sales prices totaling $136.2 million, resulting in net gains totaling approximately $84.1 million.</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Other Transaction</w:t>
      </w:r>
    </w:p>
    <w:p>
      <w:pPr>
        <w:spacing w:after="0" w:line="117"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The transaction is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December 31, 2022. As a part of this transaction, we made a $3.5 million loan to our co-owner, which is included in "accounts and notes receivable, net" on our consolidated balance sheet at December 31, 2022. In addition, we entered into a purchase option agreement to acquire the TIC interest from our co-owner, which was secured through an option payment of $1.5 million, and allows us to exercise our option at any time between February 1, 2023 and March 15, 2023.</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2021 Property Acquisitions</w:t>
      </w:r>
    </w:p>
    <w:p>
      <w:pPr>
        <w:spacing w:after="0" w:line="117"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this asset. We also recognized a gain on acquisition of the controlling interest of $2.1 million related to the difference between the carrying value and fair value of the previously held equity interest.</w:t>
      </w:r>
    </w:p>
    <w:p>
      <w:pPr>
        <w:spacing w:after="0" w:line="64" w:lineRule="exact"/>
        <w:rPr>
          <w:sz w:val="20"/>
          <w:szCs w:val="20"/>
          <w:color w:val="auto"/>
        </w:rPr>
      </w:pPr>
    </w:p>
    <w:p>
      <w:pPr>
        <w:ind w:left="10" w:right="660"/>
        <w:spacing w:after="0" w:line="266" w:lineRule="auto"/>
        <w:rPr>
          <w:sz w:val="20"/>
          <w:szCs w:val="20"/>
          <w:color w:val="auto"/>
        </w:rPr>
      </w:pPr>
      <w:r>
        <w:rPr>
          <w:rFonts w:ascii="Times New Roman" w:cs="Times New Roman" w:eastAsia="Times New Roman" w:hAnsi="Times New Roman"/>
          <w:sz w:val="20"/>
          <w:szCs w:val="20"/>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ectPr>
          <w:pgSz w:w="11880" w:h="15480" w:orient="portrait"/>
          <w:cols w:equalWidth="0" w:num="1">
            <w:col w:w="10270"/>
          </w:cols>
          <w:pgMar w:left="810" w:top="4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10270"/>
          </w:cols>
          <w:pgMar w:left="810" w:top="413" w:right="800" w:bottom="0" w:gutter="0" w:footer="0" w:header="0"/>
          <w:type w:val="continuous"/>
        </w:sectPr>
      </w:pPr>
    </w:p>
    <w:bookmarkStart w:id="91" w:name="page92"/>
    <w:bookmarkEnd w:id="91"/>
    <w:p>
      <w:pPr>
        <w:ind w:left="10"/>
        <w:spacing w:after="0"/>
        <w:rPr>
          <w:sz w:val="20"/>
          <w:szCs w:val="20"/>
          <w:color w:val="auto"/>
        </w:rPr>
      </w:pPr>
      <w:r>
        <w:rPr>
          <w:rFonts w:ascii="Times New Roman" w:cs="Times New Roman" w:eastAsia="Times New Roman" w:hAnsi="Times New Roman"/>
          <w:sz w:val="20"/>
          <w:szCs w:val="20"/>
          <w:color w:val="auto"/>
        </w:rPr>
        <w:t>During the year ended December 31, 2021, we acquired the following properties: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7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Date Acquired</w:t>
            </w:r>
          </w:p>
        </w:tc>
        <w:tc>
          <w:tcPr>
            <w:tcW w:w="60" w:type="dxa"/>
            <w:vAlign w:val="bottom"/>
          </w:tcPr>
          <w:p>
            <w:pPr>
              <w:spacing w:after="0"/>
              <w:rPr>
                <w:sz w:val="17"/>
                <w:szCs w:val="17"/>
                <w:color w:val="auto"/>
              </w:rPr>
            </w:pPr>
          </w:p>
        </w:tc>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60" w:type="dxa"/>
            <w:vAlign w:val="bottom"/>
          </w:tcPr>
          <w:p>
            <w:pPr>
              <w:spacing w:after="0"/>
              <w:rPr>
                <w:sz w:val="17"/>
                <w:szCs w:val="17"/>
                <w:color w:val="auto"/>
              </w:rPr>
            </w:pPr>
          </w:p>
        </w:tc>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City/State</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Leasable Area</w:t>
            </w:r>
          </w:p>
        </w:tc>
        <w:tc>
          <w:tcPr>
            <w:tcW w:w="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Gross Value</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(GLA)</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6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April 30, 2021</w:t>
            </w:r>
          </w:p>
        </w:tc>
        <w:tc>
          <w:tcPr>
            <w:tcW w:w="60" w:type="dxa"/>
            <w:vAlign w:val="bottom"/>
          </w:tcPr>
          <w:p>
            <w:pPr>
              <w:spacing w:after="0"/>
              <w:rPr>
                <w:sz w:val="23"/>
                <w:szCs w:val="23"/>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Chesterbrook (1)</w:t>
            </w:r>
          </w:p>
        </w:tc>
        <w:tc>
          <w:tcPr>
            <w:tcW w:w="60" w:type="dxa"/>
            <w:vAlign w:val="bottom"/>
          </w:tcPr>
          <w:p>
            <w:pPr>
              <w:spacing w:after="0"/>
              <w:rPr>
                <w:sz w:val="23"/>
                <w:szCs w:val="23"/>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McLean, Virginia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1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1, 2021</w:t>
            </w:r>
          </w:p>
        </w:tc>
        <w:tc>
          <w:tcPr>
            <w:tcW w:w="6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Grossmont Center (1)</w:t>
            </w:r>
          </w:p>
        </w:tc>
        <w:tc>
          <w:tcPr>
            <w:tcW w:w="6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 Mesa, California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933,000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1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14, 2021</w:t>
            </w:r>
          </w:p>
        </w:tc>
        <w:tc>
          <w:tcPr>
            <w:tcW w:w="6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Camelback Colonnade (1)</w:t>
            </w:r>
          </w:p>
        </w:tc>
        <w:tc>
          <w:tcPr>
            <w:tcW w:w="6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Phoenix, Arizona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642,000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1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14, 2021</w:t>
            </w:r>
          </w:p>
        </w:tc>
        <w:tc>
          <w:tcPr>
            <w:tcW w:w="6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Hilton Village (1)</w:t>
            </w:r>
          </w:p>
        </w:tc>
        <w:tc>
          <w:tcPr>
            <w:tcW w:w="6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Scottsdale, Arizona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1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2, 2021</w:t>
            </w:r>
          </w:p>
        </w:tc>
        <w:tc>
          <w:tcPr>
            <w:tcW w:w="6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Twinbrooke Shopping Centre</w:t>
            </w:r>
          </w:p>
        </w:tc>
        <w:tc>
          <w:tcPr>
            <w:tcW w:w="6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Fairfax, Virginia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70" w:right="220" w:hanging="370"/>
        <w:spacing w:after="0" w:line="260" w:lineRule="auto"/>
        <w:tabs>
          <w:tab w:leader="none" w:pos="3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acquisitions were completed through newly formed joint ventures, for which we own the controlling interest listed above, and therefore, these properties are consolidated in our financial statements.</w:t>
      </w:r>
    </w:p>
    <w:p>
      <w:pPr>
        <w:spacing w:after="0" w:line="1" w:lineRule="exact"/>
        <w:rPr>
          <w:rFonts w:ascii="Times New Roman" w:cs="Times New Roman" w:eastAsia="Times New Roman" w:hAnsi="Times New Roman"/>
          <w:sz w:val="20"/>
          <w:szCs w:val="20"/>
          <w:color w:val="auto"/>
        </w:rPr>
      </w:pPr>
    </w:p>
    <w:p>
      <w:pPr>
        <w:ind w:left="370" w:right="40" w:hanging="370"/>
        <w:spacing w:after="0" w:line="250" w:lineRule="auto"/>
        <w:tabs>
          <w:tab w:leader="none" w:pos="3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auto"/>
        </w:rPr>
      </w:pPr>
    </w:p>
    <w:p>
      <w:pPr>
        <w:ind w:left="370" w:right="240" w:hanging="370"/>
        <w:spacing w:after="0" w:line="257" w:lineRule="auto"/>
        <w:tabs>
          <w:tab w:leader="none" w:pos="3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auto"/>
        </w:rPr>
      </w:pPr>
    </w:p>
    <w:p>
      <w:pPr>
        <w:ind w:left="370" w:right="480" w:hanging="370"/>
        <w:spacing w:after="0" w:line="260" w:lineRule="auto"/>
        <w:tabs>
          <w:tab w:leader="none" w:pos="3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$11.6 million of net assets acquired were allocated to other assets for "acquired lease costs" and $28.3 million were allocated to other liabilities for "below market leases."</w:t>
      </w:r>
    </w:p>
    <w:p>
      <w:pPr>
        <w:spacing w:after="0" w:line="1" w:lineRule="exact"/>
        <w:rPr>
          <w:rFonts w:ascii="Times New Roman" w:cs="Times New Roman" w:eastAsia="Times New Roman" w:hAnsi="Times New Roman"/>
          <w:sz w:val="20"/>
          <w:szCs w:val="20"/>
          <w:color w:val="auto"/>
        </w:rPr>
      </w:pPr>
    </w:p>
    <w:p>
      <w:pPr>
        <w:ind w:left="370" w:hanging="370"/>
        <w:spacing w:after="0" w:line="254" w:lineRule="auto"/>
        <w:tabs>
          <w:tab w:leader="none" w:pos="3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 for "acquired lease costs" and "above market leases," respectively, and $3.6 million were allocated to other liabilities for "below market leases."</w:t>
      </w:r>
    </w:p>
    <w:p>
      <w:pPr>
        <w:spacing w:after="0" w:line="3" w:lineRule="exact"/>
        <w:rPr>
          <w:rFonts w:ascii="Times New Roman" w:cs="Times New Roman" w:eastAsia="Times New Roman" w:hAnsi="Times New Roman"/>
          <w:sz w:val="20"/>
          <w:szCs w:val="20"/>
          <w:color w:val="auto"/>
        </w:rPr>
      </w:pPr>
    </w:p>
    <w:p>
      <w:pPr>
        <w:ind w:left="370" w:right="40" w:hanging="370"/>
        <w:spacing w:after="0" w:line="266" w:lineRule="auto"/>
        <w:tabs>
          <w:tab w:leader="none" w:pos="3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$1.2 million and $0.3 million of net assets acquired were allocated to other assets for "acquired lease costs" and "above market leases," respectively, and $2.7 million of net assets acquired were allocated to other liabilities for "below market leases."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2021 Property Dispositions</w:t>
      </w:r>
    </w:p>
    <w:p>
      <w:pPr>
        <w:spacing w:after="0" w:line="117" w:lineRule="exact"/>
        <w:rPr>
          <w:sz w:val="20"/>
          <w:szCs w:val="20"/>
          <w:color w:val="auto"/>
        </w:rPr>
      </w:pPr>
    </w:p>
    <w:p>
      <w:pPr>
        <w:ind w:left="10" w:right="38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2021, we sold two properties and a portion of three properties for a total sales price of $141.6 million, which resulted in a net gain of $88.3 million.</w:t>
      </w:r>
    </w:p>
    <w:p>
      <w:pPr>
        <w:spacing w:after="0" w:line="3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4—ACQUIRED LEASES</w:t>
      </w:r>
    </w:p>
    <w:p>
      <w:pPr>
        <w:spacing w:after="0" w:line="117"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Acquired lease assets comprise of above market leases where we are the lessor and below market leases where we are the lessee. Acquired lease liabilities comprise of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p>
      <w:pPr>
        <w:spacing w:after="0" w:line="258"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788"/>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right"/>
              <w:ind w:right="188"/>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vMerge w:val="restart"/>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186"/>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Above market leases, lessor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(33,892)</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(33,617)</w:t>
            </w:r>
          </w:p>
        </w:tc>
        <w:tc>
          <w:tcPr>
            <w:tcW w:w="0" w:type="dxa"/>
            <w:vAlign w:val="bottom"/>
          </w:tcPr>
          <w:p>
            <w:pPr>
              <w:spacing w:after="0"/>
              <w:rPr>
                <w:sz w:val="1"/>
                <w:szCs w:val="1"/>
                <w:color w:val="auto"/>
              </w:rPr>
            </w:pPr>
          </w:p>
        </w:tc>
      </w:tr>
      <w:tr>
        <w:trPr>
          <w:trHeight w:val="288"/>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Below market leases, lessee</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34,604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(5,847)</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34,604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(5,019)</w:t>
            </w:r>
          </w:p>
        </w:tc>
        <w:tc>
          <w:tcPr>
            <w:tcW w:w="0" w:type="dxa"/>
            <w:vAlign w:val="bottom"/>
          </w:tcPr>
          <w:p>
            <w:pPr>
              <w:spacing w:after="0"/>
              <w:rPr>
                <w:sz w:val="1"/>
                <w:szCs w:val="1"/>
                <w:color w:val="auto"/>
              </w:rPr>
            </w:pPr>
          </w:p>
        </w:tc>
      </w:tr>
      <w:tr>
        <w:trPr>
          <w:trHeight w:val="245"/>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80,341</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(39,739)</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81,555</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Below market leases, lessor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(267,910)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91,989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78,327</w:t>
            </w:r>
          </w:p>
        </w:tc>
        <w:tc>
          <w:tcPr>
            <w:tcW w:w="0" w:type="dxa"/>
            <w:vAlign w:val="bottom"/>
          </w:tcPr>
          <w:p>
            <w:pPr>
              <w:spacing w:after="0"/>
              <w:rPr>
                <w:sz w:val="1"/>
                <w:szCs w:val="1"/>
                <w:color w:val="auto"/>
              </w:rPr>
            </w:pPr>
          </w:p>
        </w:tc>
      </w:tr>
      <w:tr>
        <w:trPr>
          <w:trHeight w:val="288"/>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Above market leases, lessee</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(11,127)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3,208</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(10,347)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2,654</w:t>
            </w:r>
          </w:p>
        </w:tc>
        <w:tc>
          <w:tcPr>
            <w:tcW w:w="0" w:type="dxa"/>
            <w:vAlign w:val="bottom"/>
          </w:tcPr>
          <w:p>
            <w:pPr>
              <w:spacing w:after="0"/>
              <w:rPr>
                <w:sz w:val="1"/>
                <w:szCs w:val="1"/>
                <w:color w:val="auto"/>
              </w:rPr>
            </w:pPr>
          </w:p>
        </w:tc>
      </w:tr>
      <w:tr>
        <w:trPr>
          <w:trHeight w:val="245"/>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95,197</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80,981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50"/>
          </w:cols>
          <w:pgMar w:left="81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10250"/>
          </w:cols>
          <w:pgMar w:left="810" w:top="413" w:right="820" w:bottom="0" w:gutter="0" w:footer="0" w:header="0"/>
          <w:type w:val="continuous"/>
        </w:sectPr>
      </w:pPr>
    </w:p>
    <w:bookmarkStart w:id="92" w:name="page93"/>
    <w:bookmarkEnd w:id="92"/>
    <w:p>
      <w:pPr>
        <w:ind w:right="120"/>
        <w:spacing w:after="0" w:line="258" w:lineRule="auto"/>
        <w:rPr>
          <w:sz w:val="20"/>
          <w:szCs w:val="20"/>
          <w:color w:val="auto"/>
        </w:rPr>
      </w:pPr>
      <w:r>
        <w:rPr>
          <w:rFonts w:ascii="Times New Roman" w:cs="Times New Roman" w:eastAsia="Times New Roman" w:hAnsi="Times New Roman"/>
          <w:sz w:val="20"/>
          <w:szCs w:val="20"/>
          <w:color w:val="auto"/>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80"/>
        </w:trPr>
        <w:tc>
          <w:tcPr>
            <w:tcW w:w="50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7"/>
        </w:trPr>
        <w:tc>
          <w:tcPr>
            <w:tcW w:w="5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above market leases, lessor</w:t>
            </w:r>
          </w:p>
        </w:tc>
        <w:tc>
          <w:tcPr>
            <w:tcW w:w="1020" w:type="dxa"/>
            <w:vAlign w:val="bottom"/>
          </w:tcPr>
          <w:p>
            <w:pPr>
              <w:jc w:val="right"/>
              <w:ind w:right="78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(3,150)</w:t>
            </w:r>
          </w:p>
        </w:tc>
        <w:tc>
          <w:tcPr>
            <w:tcW w:w="80" w:type="dxa"/>
            <w:vAlign w:val="bottom"/>
          </w:tcPr>
          <w:p>
            <w:pPr>
              <w:spacing w:after="0"/>
              <w:rPr>
                <w:sz w:val="22"/>
                <w:szCs w:val="22"/>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(4,060)</w:t>
            </w:r>
          </w:p>
        </w:tc>
      </w:tr>
      <w:tr>
        <w:trPr>
          <w:trHeight w:val="28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below market leases, lessor</w:t>
            </w: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14,543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11,897</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8,406</w:t>
            </w:r>
          </w:p>
        </w:tc>
      </w:tr>
      <w:tr>
        <w:trPr>
          <w:trHeight w:val="245"/>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increase in rental income</w:t>
            </w:r>
          </w:p>
        </w:tc>
        <w:tc>
          <w:tcPr>
            <w:tcW w:w="102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11,106</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8,747</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4,346</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0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below market leases, lessee</w:t>
            </w:r>
          </w:p>
        </w:tc>
        <w:tc>
          <w:tcPr>
            <w:tcW w:w="1020" w:type="dxa"/>
            <w:vAlign w:val="bottom"/>
          </w:tcPr>
          <w:p>
            <w:pPr>
              <w:jc w:val="right"/>
              <w:ind w:right="78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80" w:type="dxa"/>
            <w:vAlign w:val="bottom"/>
          </w:tcPr>
          <w:p>
            <w:pPr>
              <w:spacing w:after="0"/>
              <w:rPr>
                <w:sz w:val="24"/>
                <w:szCs w:val="24"/>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r>
      <w:tr>
        <w:trPr>
          <w:trHeight w:val="28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above market leases, lessee</w:t>
            </w: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w:t>
            </w:r>
          </w:p>
        </w:tc>
      </w:tr>
      <w:tr>
        <w:trPr>
          <w:trHeight w:val="245"/>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increase in rental expense</w:t>
            </w:r>
          </w:p>
        </w:tc>
        <w:tc>
          <w:tcPr>
            <w:tcW w:w="1020" w:type="dxa"/>
            <w:vAlign w:val="bottom"/>
          </w:tcPr>
          <w:p>
            <w:pPr>
              <w:jc w:val="right"/>
              <w:ind w:right="78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80" w:type="dxa"/>
            <w:vAlign w:val="bottom"/>
          </w:tcPr>
          <w:p>
            <w:pPr>
              <w:spacing w:after="0"/>
              <w:rPr>
                <w:sz w:val="21"/>
                <w:szCs w:val="21"/>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r>
      <w:tr>
        <w:trPr>
          <w:trHeight w:val="20"/>
        </w:trPr>
        <w:tc>
          <w:tcPr>
            <w:tcW w:w="5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The following is a summary of the remaining weighted average amortization period for our acquired lease assets and acquired lease liabilities: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500" w:type="dxa"/>
            <w:vAlign w:val="bottom"/>
          </w:tcPr>
          <w:p>
            <w:pPr>
              <w:spacing w:after="0"/>
              <w:rPr>
                <w:sz w:val="18"/>
                <w:szCs w:val="18"/>
                <w:color w:val="auto"/>
              </w:rPr>
            </w:pPr>
          </w:p>
        </w:tc>
        <w:tc>
          <w:tcPr>
            <w:tcW w:w="16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352"/>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Above market leases, lessor</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 years</w:t>
            </w:r>
          </w:p>
        </w:tc>
      </w:tr>
      <w:tr>
        <w:trPr>
          <w:trHeight w:val="30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Below market leases, lessee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 years</w:t>
            </w:r>
          </w:p>
        </w:tc>
      </w:tr>
      <w:tr>
        <w:trPr>
          <w:trHeight w:val="30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Below market leases, lessor</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 years</w:t>
            </w:r>
          </w:p>
        </w:tc>
      </w:tr>
      <w:tr>
        <w:trPr>
          <w:trHeight w:val="30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Above market leases, lessee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 years</w:t>
            </w:r>
          </w:p>
        </w:tc>
      </w:tr>
    </w:tbl>
    <w:p>
      <w:pPr>
        <w:spacing w:after="0" w:line="13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20"/>
          <w:szCs w:val="20"/>
          <w:color w:val="auto"/>
        </w:rPr>
        <w:t>The amortization for acquired leases during the next five years and thereafter, assuming no early lease terminations, is as follows: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Acquired Lease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Acquired Lease</w:t>
            </w:r>
          </w:p>
        </w:tc>
      </w:tr>
      <w:tr>
        <w:trPr>
          <w:trHeight w:val="214"/>
        </w:trPr>
        <w:tc>
          <w:tcPr>
            <w:tcW w:w="6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214"/>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4"/>
          </w:tcPr>
          <w:p>
            <w:pPr>
              <w:jc w:val="right"/>
              <w:ind w:right="1084"/>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8"/>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06"/>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15,555</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15,005</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11,507</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11,074</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10,601</w:t>
            </w:r>
          </w:p>
        </w:tc>
      </w:tr>
      <w:tr>
        <w:trPr>
          <w:trHeight w:val="288"/>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27,387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120,098</w:t>
            </w:r>
          </w:p>
        </w:tc>
      </w:tr>
      <w:tr>
        <w:trPr>
          <w:trHeight w:val="245"/>
        </w:trPr>
        <w:tc>
          <w:tcPr>
            <w:tcW w:w="6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183,840</w:t>
            </w: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20"/>
          </w:cols>
          <w:pgMar w:left="820" w:top="41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10220"/>
          </w:cols>
          <w:pgMar w:left="820" w:top="413" w:right="840" w:bottom="0" w:gutter="0" w:footer="0" w:header="0"/>
          <w:type w:val="continuous"/>
        </w:sectPr>
      </w:pPr>
    </w:p>
    <w:bookmarkStart w:id="93" w:name="page94"/>
    <w:bookmarkEnd w:id="93"/>
    <w:p>
      <w:pPr>
        <w:ind w:left="10"/>
        <w:spacing w:after="0"/>
        <w:rPr>
          <w:sz w:val="20"/>
          <w:szCs w:val="20"/>
          <w:color w:val="auto"/>
        </w:rPr>
      </w:pPr>
      <w:r>
        <w:rPr>
          <w:rFonts w:ascii="Times New Roman" w:cs="Times New Roman" w:eastAsia="Times New Roman" w:hAnsi="Times New Roman"/>
          <w:sz w:val="20"/>
          <w:szCs w:val="20"/>
          <w:b w:val="1"/>
          <w:bCs w:val="1"/>
          <w:color w:val="auto"/>
        </w:rPr>
        <w:t>NOTE 5—DEBT</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is a summary of our total debt outstanding as of December 31, 2022 and 2021:</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Principal Balance as of</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Stated Interest</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Stated Maturity Date</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Rate as of</w:t>
            </w: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as of</w:t>
            </w:r>
          </w:p>
        </w:tc>
        <w:tc>
          <w:tcPr>
            <w:tcW w:w="0" w:type="dxa"/>
            <w:vAlign w:val="bottom"/>
          </w:tcPr>
          <w:p>
            <w:pPr>
              <w:spacing w:after="0"/>
              <w:rPr>
                <w:sz w:val="1"/>
                <w:szCs w:val="1"/>
                <w:color w:val="auto"/>
              </w:rPr>
            </w:pPr>
          </w:p>
        </w:tc>
      </w:tr>
      <w:tr>
        <w:trPr>
          <w:trHeight w:val="211"/>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8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4"/>
        </w:trPr>
        <w:tc>
          <w:tcPr>
            <w:tcW w:w="4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Mortgages payable</w:t>
            </w:r>
          </w:p>
        </w:tc>
        <w:tc>
          <w:tcPr>
            <w:tcW w:w="4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w:t>
            </w:r>
          </w:p>
        </w:tc>
        <w:tc>
          <w:tcPr>
            <w:tcW w:w="6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3"/>
              </w:rPr>
              <w:t>thousands)</w:t>
            </w:r>
          </w:p>
        </w:tc>
        <w:tc>
          <w:tcPr>
            <w:tcW w:w="8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Azalea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 2025</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Bell Gardens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 2026</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Plaza El Segundo</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5,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Grove at Shrewsbury (East)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Brook 35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 2029</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Hoboken (24 Buildings) (1)</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LIBOR + 1.95%</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Various Hoboken (14 Buildings)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31,817</w:t>
            </w:r>
          </w:p>
        </w:tc>
        <w:tc>
          <w:tcPr>
            <w:tcW w:w="80" w:type="dxa"/>
            <w:vAlign w:val="bottom"/>
          </w:tcPr>
          <w:p>
            <w:pPr>
              <w:spacing w:after="0"/>
              <w:rPr>
                <w:sz w:val="20"/>
                <w:szCs w:val="20"/>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Various (2)   Various through 2029</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Chelsea</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2031</w:t>
            </w:r>
          </w:p>
        </w:tc>
        <w:tc>
          <w:tcPr>
            <w:tcW w:w="0" w:type="dxa"/>
            <w:vAlign w:val="bottom"/>
          </w:tcPr>
          <w:p>
            <w:pPr>
              <w:spacing w:after="0"/>
              <w:rPr>
                <w:sz w:val="1"/>
                <w:szCs w:val="1"/>
                <w:color w:val="auto"/>
              </w:rPr>
            </w:pPr>
          </w:p>
        </w:tc>
      </w:tr>
      <w:tr>
        <w:trPr>
          <w:trHeight w:val="239"/>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Hoboken (1 Building)</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 2042</w:t>
            </w:r>
          </w:p>
        </w:tc>
        <w:tc>
          <w:tcPr>
            <w:tcW w:w="0" w:type="dxa"/>
            <w:vAlign w:val="bottom"/>
          </w:tcPr>
          <w:p>
            <w:pPr>
              <w:spacing w:after="0"/>
              <w:rPr>
                <w:sz w:val="1"/>
                <w:szCs w:val="1"/>
                <w:color w:val="auto"/>
              </w:rPr>
            </w:pPr>
          </w:p>
        </w:tc>
      </w:tr>
      <w:tr>
        <w:trPr>
          <w:trHeight w:val="227"/>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341,579</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800" w:type="dxa"/>
            <w:vAlign w:val="bottom"/>
            <w:gridSpan w:val="2"/>
          </w:tcPr>
          <w:p>
            <w:pPr>
              <w:ind w:left="980"/>
              <w:spacing w:after="0" w:line="181" w:lineRule="exact"/>
              <w:rPr>
                <w:sz w:val="20"/>
                <w:szCs w:val="20"/>
                <w:color w:val="auto"/>
              </w:rPr>
            </w:pPr>
            <w:r>
              <w:rPr>
                <w:rFonts w:ascii="Times New Roman" w:cs="Times New Roman" w:eastAsia="Times New Roman" w:hAnsi="Times New Roman"/>
                <w:sz w:val="18"/>
                <w:szCs w:val="18"/>
                <w:color w:val="auto"/>
              </w:rPr>
              <w:t>Net unamortized debt issuance costs and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premium</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Total mortgages payable, net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320,615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339,993</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SOFR + 0.85%</w:t>
            </w:r>
          </w:p>
        </w:tc>
        <w:tc>
          <w:tcPr>
            <w:tcW w:w="8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April 16, 2024</w:t>
            </w:r>
          </w:p>
        </w:tc>
        <w:tc>
          <w:tcPr>
            <w:tcW w:w="0" w:type="dxa"/>
            <w:vAlign w:val="bottom"/>
          </w:tcPr>
          <w:p>
            <w:pPr>
              <w:spacing w:after="0"/>
              <w:rPr>
                <w:sz w:val="1"/>
                <w:szCs w:val="1"/>
                <w:color w:val="auto"/>
              </w:rPr>
            </w:pPr>
          </w:p>
        </w:tc>
      </w:tr>
      <w:tr>
        <w:trPr>
          <w:trHeight w:val="242"/>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Term Loan (3)(5)</w:t>
            </w: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Revolving credit facility (3)(4)(5)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SOFR + 0.775%</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5, 2027</w:t>
            </w:r>
          </w:p>
        </w:tc>
        <w:tc>
          <w:tcPr>
            <w:tcW w:w="0" w:type="dxa"/>
            <w:vAlign w:val="bottom"/>
          </w:tcPr>
          <w:p>
            <w:pPr>
              <w:spacing w:after="0"/>
              <w:rPr>
                <w:sz w:val="1"/>
                <w:szCs w:val="1"/>
                <w:color w:val="auto"/>
              </w:rPr>
            </w:pPr>
          </w:p>
        </w:tc>
      </w:tr>
      <w:tr>
        <w:trPr>
          <w:trHeight w:val="239"/>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Various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20"/>
                <w:szCs w:val="20"/>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Various (6)   Various through 2059</w:t>
            </w:r>
          </w:p>
        </w:tc>
        <w:tc>
          <w:tcPr>
            <w:tcW w:w="0" w:type="dxa"/>
            <w:vAlign w:val="bottom"/>
          </w:tcPr>
          <w:p>
            <w:pPr>
              <w:spacing w:after="0"/>
              <w:rPr>
                <w:sz w:val="1"/>
                <w:szCs w:val="1"/>
                <w:color w:val="auto"/>
              </w:rPr>
            </w:pPr>
          </w:p>
        </w:tc>
      </w:tr>
      <w:tr>
        <w:trPr>
          <w:trHeight w:val="221"/>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602,957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302,635</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Net unamortized debt issuance costs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Total notes payable, net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601,077</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Senior notes and debentures</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8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June 1, 2023</w:t>
            </w:r>
          </w:p>
        </w:tc>
        <w:tc>
          <w:tcPr>
            <w:tcW w:w="0" w:type="dxa"/>
            <w:vAlign w:val="bottom"/>
          </w:tcPr>
          <w:p>
            <w:pPr>
              <w:spacing w:after="0"/>
              <w:rPr>
                <w:sz w:val="1"/>
                <w:szCs w:val="1"/>
                <w:color w:val="auto"/>
              </w:rPr>
            </w:pPr>
          </w:p>
        </w:tc>
      </w:tr>
      <w:tr>
        <w:trPr>
          <w:trHeight w:val="242"/>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2.75% notes</w:t>
            </w: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3.95%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2024</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1.25%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15, 2026</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7.48% debentures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3.25%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6.82% medium term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3.20%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2029</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3.50%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 2030</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4.50%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 2044</w:t>
            </w:r>
          </w:p>
        </w:tc>
        <w:tc>
          <w:tcPr>
            <w:tcW w:w="0" w:type="dxa"/>
            <w:vAlign w:val="bottom"/>
          </w:tcPr>
          <w:p>
            <w:pPr>
              <w:spacing w:after="0"/>
              <w:rPr>
                <w:sz w:val="1"/>
                <w:szCs w:val="1"/>
                <w:color w:val="auto"/>
              </w:rPr>
            </w:pPr>
          </w:p>
        </w:tc>
      </w:tr>
      <w:tr>
        <w:trPr>
          <w:trHeight w:val="239"/>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3.625% notes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 2046</w:t>
            </w:r>
          </w:p>
        </w:tc>
        <w:tc>
          <w:tcPr>
            <w:tcW w:w="0" w:type="dxa"/>
            <w:vAlign w:val="bottom"/>
          </w:tcPr>
          <w:p>
            <w:pPr>
              <w:spacing w:after="0"/>
              <w:rPr>
                <w:sz w:val="1"/>
                <w:szCs w:val="1"/>
                <w:color w:val="auto"/>
              </w:rPr>
            </w:pPr>
          </w:p>
        </w:tc>
      </w:tr>
      <w:tr>
        <w:trPr>
          <w:trHeight w:val="227"/>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3,419,200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3,419,200</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800" w:type="dxa"/>
            <w:vAlign w:val="bottom"/>
            <w:gridSpan w:val="2"/>
          </w:tcPr>
          <w:p>
            <w:pPr>
              <w:ind w:left="980"/>
              <w:spacing w:after="0" w:line="181" w:lineRule="exact"/>
              <w:rPr>
                <w:sz w:val="20"/>
                <w:szCs w:val="20"/>
                <w:color w:val="auto"/>
              </w:rPr>
            </w:pPr>
            <w:r>
              <w:rPr>
                <w:rFonts w:ascii="Times New Roman" w:cs="Times New Roman" w:eastAsia="Times New Roman" w:hAnsi="Times New Roman"/>
                <w:sz w:val="18"/>
                <w:szCs w:val="18"/>
                <w:color w:val="auto"/>
              </w:rPr>
              <w:t>Net unamortized debt issuance costs and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premium</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Total senior notes and debentures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3,407,701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3,406,088</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4,329,393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4,047,547</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w:t>
            </w: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32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30" w:right="280" w:hanging="730"/>
        <w:spacing w:after="0" w:line="281" w:lineRule="auto"/>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November 26, 2019, we entered into two interest rate swap agreements that fix the interest rate on the mortgage loan at 3.67%.</w:t>
      </w:r>
    </w:p>
    <w:p>
      <w:pPr>
        <w:spacing w:after="0" w:line="1" w:lineRule="exact"/>
        <w:rPr>
          <w:rFonts w:ascii="Times New Roman" w:cs="Times New Roman" w:eastAsia="Times New Roman" w:hAnsi="Times New Roman"/>
          <w:sz w:val="20"/>
          <w:szCs w:val="20"/>
          <w:color w:val="auto"/>
        </w:rPr>
      </w:pPr>
    </w:p>
    <w:p>
      <w:pPr>
        <w:ind w:left="710" w:hanging="710"/>
        <w:spacing w:after="0"/>
        <w:tabs>
          <w:tab w:leader="none" w:pos="71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rates on these mortgages range from 3.91% to 5.00%.</w:t>
      </w:r>
    </w:p>
    <w:p>
      <w:pPr>
        <w:spacing w:after="0" w:line="70" w:lineRule="exact"/>
        <w:rPr>
          <w:rFonts w:ascii="Times New Roman" w:cs="Times New Roman" w:eastAsia="Times New Roman" w:hAnsi="Times New Roman"/>
          <w:sz w:val="20"/>
          <w:szCs w:val="20"/>
          <w:color w:val="auto"/>
        </w:rPr>
      </w:pPr>
    </w:p>
    <w:p>
      <w:pPr>
        <w:ind w:left="730" w:right="240" w:hanging="730"/>
        <w:spacing w:after="0" w:line="266" w:lineRule="auto"/>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revolving credit facility SOFR loans bear interest at Daily Simple SOFR or Term SOFR as defined in the credit agreement and our term loan bears interest at Term SOFR, plus 0.10%, plus a spread, based on our current credit rating.</w:t>
      </w:r>
    </w:p>
    <w:p>
      <w:pPr>
        <w:spacing w:after="0" w:line="15" w:lineRule="exact"/>
        <w:rPr>
          <w:rFonts w:ascii="Times New Roman" w:cs="Times New Roman" w:eastAsia="Times New Roman" w:hAnsi="Times New Roman"/>
          <w:sz w:val="20"/>
          <w:szCs w:val="20"/>
          <w:color w:val="auto"/>
        </w:rPr>
      </w:pPr>
    </w:p>
    <w:p>
      <w:pPr>
        <w:jc w:val="both"/>
        <w:ind w:left="730" w:hanging="730"/>
        <w:spacing w:after="0" w:line="266" w:lineRule="auto"/>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amount drawn under our revolving credit facility during the year ended December 31, 2022 was $330.0 million and the weighted average interest rate on borrowings under our revolving credit facility, before amortization of debt fees, was 3.2%.</w:t>
      </w:r>
    </w:p>
    <w:p>
      <w:pPr>
        <w:spacing w:after="0" w:line="15" w:lineRule="exact"/>
        <w:rPr>
          <w:rFonts w:ascii="Times New Roman" w:cs="Times New Roman" w:eastAsia="Times New Roman" w:hAnsi="Times New Roman"/>
          <w:sz w:val="20"/>
          <w:szCs w:val="20"/>
          <w:color w:val="auto"/>
        </w:rPr>
      </w:pPr>
    </w:p>
    <w:p>
      <w:pPr>
        <w:ind w:left="730" w:right="920" w:hanging="730"/>
        <w:spacing w:after="0" w:line="281" w:lineRule="auto"/>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Partnership is the obligor under our revolving credit facility, term loan, and senior notes and debentures.</w:t>
      </w:r>
    </w:p>
    <w:p>
      <w:pPr>
        <w:spacing w:after="0" w:line="1" w:lineRule="exact"/>
        <w:rPr>
          <w:rFonts w:ascii="Times New Roman" w:cs="Times New Roman" w:eastAsia="Times New Roman" w:hAnsi="Times New Roman"/>
          <w:sz w:val="20"/>
          <w:szCs w:val="20"/>
          <w:color w:val="auto"/>
        </w:rPr>
      </w:pPr>
    </w:p>
    <w:p>
      <w:pPr>
        <w:ind w:left="710" w:hanging="710"/>
        <w:spacing w:after="0"/>
        <w:tabs>
          <w:tab w:leader="none" w:pos="71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rates on these notes payable range from 3.00% to 11.31%.</w:t>
      </w:r>
    </w:p>
    <w:p>
      <w:pPr>
        <w:sectPr>
          <w:pgSz w:w="11880" w:h="15480" w:orient="portrait"/>
          <w:cols w:equalWidth="0" w:num="1">
            <w:col w:w="10230"/>
          </w:cols>
          <w:pgMar w:left="810" w:top="4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10230"/>
          </w:cols>
          <w:pgMar w:left="810" w:top="406" w:right="84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On June 29, 2022, we repaid the $16.1 million mortgage loan on one of the buildings at our Hoboken property, at par.</w:t>
      </w:r>
    </w:p>
    <w:p>
      <w:pPr>
        <w:spacing w:after="0" w:line="1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On October 5, 2022, we amended our revolving credit facility, increasing the borrowing capacity from $1.0 billion to $1.25 billion, extending the maturity date to April 5, 2027, plus two six-month extension options, transitioning the interest rate provisions from LIBOR to the secured overnight financing rate ("SOFR"), and adjusting the spread for SOFR based loans. Our SOFR based loans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During 2022, 2021 and 2020, the maximum amount of borrowings outstanding under our revolving credit facility was $330.0 million, $150.0 million and $990.0 million, respectively. The weighted average amount of borrowings outstanding was $80.3 million, $19.6 million and $138.5 million, respectively, and the weighted average interest rate, before amortization of debt fees, was 3.2%, 0.9% and 1.5%, respectively. The revolving credit facility requires an annual facility fee which is $1.9 million under the amended credit agreement. At December 31, 2022 and December 31, 2021, our revolving credit facility had no balance outstanding.</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On October 5, 2022, we also amended our unsecured term loan and borrowed an additional $300.0 million, bringing the total outstanding to $600.0 million. The term loan amendment also transitioned the interest rate provisions from LIBOR to SOFR. This SOFR based loan bears interest at Term SOFR as defined in the agreement, plus 0.10%, plus a 85 basis point spread, based on our current credit rating. The net proceeds from the term loan after underwriting fees and other costs were $298.5 million, and were used to repay the $267.0 million outstanding balance on the revolving credit facility and for general corporate purposes.</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Our revolving credit facility, term loan, and certain notes require us to comply with various financial covenants, including the maintenance of minimum shareholders’ equity and debt coverage ratios and a maximum ratio of debt to net worth. As of December 31, 2022, we were in compliance with all default related debt covenants.</w:t>
      </w:r>
    </w:p>
    <w:p>
      <w:pPr>
        <w:spacing w:after="0" w:line="13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Scheduled principal payments on mortgages payable, notes payable, senior notes and debentures as of December 31, 2022 are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Mortgages</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Notes</w:t>
            </w:r>
          </w:p>
        </w:tc>
        <w:tc>
          <w:tcPr>
            <w:tcW w:w="6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Senior Notes and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Payable</w:t>
            </w:r>
          </w:p>
        </w:tc>
        <w:tc>
          <w:tcPr>
            <w:tcW w:w="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Payable</w:t>
            </w: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Debentures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755</w:t>
            </w:r>
          </w:p>
        </w:tc>
        <w:tc>
          <w:tcPr>
            <w:tcW w:w="6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278,893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600,671</w:t>
            </w:r>
          </w:p>
        </w:tc>
        <w:tc>
          <w:tcPr>
            <w:tcW w:w="6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1,203,970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47,630</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418</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26,240</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429,200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455,516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178,278</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37</w:t>
            </w:r>
          </w:p>
        </w:tc>
        <w:tc>
          <w:tcPr>
            <w:tcW w:w="6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693,315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63,732</w:t>
            </w: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1,000</w:t>
            </w:r>
          </w:p>
        </w:tc>
        <w:tc>
          <w:tcPr>
            <w:tcW w:w="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1,600,000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1,664,732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1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322,317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602,957</w:t>
            </w:r>
          </w:p>
        </w:tc>
        <w:tc>
          <w:tcPr>
            <w:tcW w:w="6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3,419,200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4,344,474</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700" w:hanging="350"/>
        <w:spacing w:after="0"/>
        <w:tabs>
          <w:tab w:leader="none" w:pos="7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$600.0 million term loan matures on April 16, 2024 plus two one-year extensions, at our option.</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$1.25 billion revolving credit facility matures on April 5, 2027 plus two six-month extensions, at our option. As of December 31, 2022, there was no balance outstanding under this credit facility.</w:t>
      </w:r>
    </w:p>
    <w:p>
      <w:pPr>
        <w:ind w:left="720" w:right="320" w:hanging="370"/>
        <w:spacing w:after="0" w:line="255"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debt maturities differ from the total reported on the consolidated balance sheet due to the unamortized net debt issuance costs and premium/discount on mortgage loans, notes payable, and senior notes as of December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6—FAIR VALUE OF FINANCIAL INSTRUMENTS</w:t>
      </w:r>
    </w:p>
    <w:p>
      <w:pPr>
        <w:spacing w:after="0" w:line="11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A fair value measurement is based on the assumptions that market participants would use in pricing an asset or liability in an orderly transaction. The hierarchy for inputs used in measuring fair value are as follows:</w:t>
      </w:r>
    </w:p>
    <w:p>
      <w:pPr>
        <w:spacing w:after="0" w:line="94" w:lineRule="exact"/>
        <w:rPr>
          <w:sz w:val="20"/>
          <w:szCs w:val="20"/>
          <w:color w:val="auto"/>
        </w:rPr>
      </w:pPr>
    </w:p>
    <w:p>
      <w:pPr>
        <w:ind w:left="640" w:hanging="597"/>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Inputs—quoted prices in active markets for identical assets or liabilities</w:t>
      </w:r>
    </w:p>
    <w:p>
      <w:pPr>
        <w:spacing w:after="0" w:line="170" w:lineRule="exact"/>
        <w:rPr>
          <w:rFonts w:ascii="Times New Roman" w:cs="Times New Roman" w:eastAsia="Times New Roman" w:hAnsi="Times New Roman"/>
          <w:sz w:val="20"/>
          <w:szCs w:val="20"/>
          <w:color w:val="auto"/>
        </w:rPr>
      </w:pPr>
    </w:p>
    <w:p>
      <w:pPr>
        <w:ind w:left="640" w:hanging="597"/>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Inputs—observable inputs other than quoted prices in active markets for identical assets and liabilities</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10240"/>
          </w:cols>
          <w:pgMar w:left="820" w:top="413" w:right="820" w:bottom="0" w:gutter="0" w:footer="0" w:header="0"/>
          <w:type w:val="continuous"/>
        </w:sectPr>
      </w:pPr>
    </w:p>
    <w:bookmarkStart w:id="95" w:name="page96"/>
    <w:bookmarkEnd w:id="95"/>
    <w:p>
      <w:pPr>
        <w:ind w:left="640" w:right="1080" w:hanging="597"/>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Inputs—prices or valuation techniques that require inputs that are both significant to the fair value measurement and unobservable</w:t>
      </w:r>
    </w:p>
    <w:p>
      <w:pPr>
        <w:spacing w:after="0" w:line="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Mortgages and notes payable</w:t>
            </w:r>
            <w:r>
              <w:rPr>
                <w:rFonts w:ascii="Times New Roman" w:cs="Times New Roman" w:eastAsia="Times New Roman" w:hAnsi="Times New Roman"/>
                <w:sz w:val="20"/>
                <w:szCs w:val="20"/>
                <w:color w:val="AEAEAE"/>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921,692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895,654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641,459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655,864</w:t>
            </w:r>
          </w:p>
        </w:tc>
        <w:tc>
          <w:tcPr>
            <w:tcW w:w="0" w:type="dxa"/>
            <w:vAlign w:val="bottom"/>
          </w:tcPr>
          <w:p>
            <w:pPr>
              <w:spacing w:after="0"/>
              <w:rPr>
                <w:sz w:val="1"/>
                <w:szCs w:val="1"/>
                <w:color w:val="auto"/>
              </w:rPr>
            </w:pPr>
          </w:p>
        </w:tc>
      </w:tr>
      <w:tr>
        <w:trPr>
          <w:trHeight w:val="30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Senior notes and debentures</w:t>
            </w:r>
            <w:r>
              <w:rPr>
                <w:rFonts w:ascii="Times New Roman" w:cs="Times New Roman" w:eastAsia="Times New Roman" w:hAnsi="Times New Roman"/>
                <w:sz w:val="20"/>
                <w:szCs w:val="20"/>
                <w:color w:val="AEAEAE"/>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3,407,701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3,048,456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3,406,088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3,649,776</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 of December 31, 2022, we have two interest rate swap agreements with notional amounts of $55.1 million that are measured at fair value on a recurring basis. The interest rate swap agreements fix the interest rate on $55.1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2022 was an asset of $6.1 million and is included in "prepaid expenses and other assets" on our consolidated balance sheet. During 2022, the value of our interest rate swaps increased $7.7 million (including less than $0.1 million reclassified from other comprehensive income as an increase to interest expense). A summary of our financial assets (liabilities) that are measured at fair value on a recurring basis, by level within the fair value hierarchy is as follows:</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5"/>
        </w:trPr>
        <w:tc>
          <w:tcPr>
            <w:tcW w:w="2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9"/>
        </w:trPr>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3"/>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Interest rate swaps </w:t>
            </w:r>
            <w:r>
              <w:rPr>
                <w:rFonts w:ascii="Times New Roman" w:cs="Times New Roman" w:eastAsia="Times New Roman" w:hAnsi="Times New Roman"/>
                <w:sz w:val="20"/>
                <w:szCs w:val="20"/>
                <w:color w:val="AEAEAE"/>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6,144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6,144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(1,511)</w:t>
            </w:r>
          </w:p>
        </w:tc>
      </w:tr>
    </w:tbl>
    <w:p>
      <w:pPr>
        <w:spacing w:after="0" w:line="1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One of our equity method investees has two interest rate swaps which qualify as cash flow hedges. At December 31, 2022 and December 31, 2021, our share of the change in fair value of the related swaps included in "accumulated other comprehensive income (loss)" was an increase of $0.9 million and $0.7 million,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7—COMMITMENTS AND CONTINGENCIES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56"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color w:val="auto"/>
        </w:rPr>
        <w:t>We are self-insured for general liability costs up to predetermined retained amounts per claim, and we believe that we maintain adequate accruals to cover our retained liability. We currently do not maintain third party stop-loss insurance policies to cover</w:t>
      </w:r>
    </w:p>
    <w:p>
      <w:pPr>
        <w:sectPr>
          <w:pgSz w:w="11880" w:h="15480" w:orient="portrait"/>
          <w:cols w:equalWidth="0" w:num="1">
            <w:col w:w="10220"/>
          </w:cols>
          <w:pgMar w:left="820" w:top="466" w:right="84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220"/>
          </w:cols>
          <w:pgMar w:left="820" w:top="466" w:right="840" w:bottom="0" w:gutter="0" w:footer="0" w:header="0"/>
          <w:type w:val="continuous"/>
        </w:sectPr>
      </w:pPr>
    </w:p>
    <w:bookmarkStart w:id="96" w:name="page97"/>
    <w:bookmarkEnd w:id="96"/>
    <w:p>
      <w:pPr>
        <w:ind w:right="100"/>
        <w:spacing w:after="0" w:line="260" w:lineRule="auto"/>
        <w:rPr>
          <w:sz w:val="20"/>
          <w:szCs w:val="20"/>
          <w:color w:val="auto"/>
        </w:rPr>
      </w:pPr>
      <w:r>
        <w:rPr>
          <w:rFonts w:ascii="Times New Roman" w:cs="Times New Roman" w:eastAsia="Times New Roman" w:hAnsi="Times New Roman"/>
          <w:sz w:val="20"/>
          <w:szCs w:val="20"/>
          <w:color w:val="auto"/>
        </w:rPr>
        <w:t>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w:t>
      </w:r>
    </w:p>
    <w:p>
      <w:pPr>
        <w:spacing w:after="0" w:line="14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At December 31, 2022 and 2021, our reserves for general liability costs were $3.3 million and $5.2 million, respectively, and are included in “accounts payable and accrued expenses” in our consolidated balance sheets. Any potential losses which exceed our estimates would result in a decrease in our net income. During 2022 and 2021, we made payments from these reserves of $2.3 million and $1.5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4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On July 13, 2022, we acquired the 21.8% redeemable noncontrolling interest in the partnership that owns our Plaza El Segundo shopping center for $23.6 million, bringing our ownership interest to 100%.</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On December 11, 2019, we received proceeds related to the sale under the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During 2022, we recorded a net reduction to our liability for condemnation and transaction costs to reflect the impact of a recent tenant settlement agreement and our current estimate of remaining costs. As a result, for the year ended December 31, 2022, we have recognized a gain of $9.3 million, which is included in our consolidated statements of operations. Additionally, during 2022, we incurred $18.0 million of payments to tenants, and consequently, at December 31, 2022, we have a liability of $5.0 million to reflect our estimate of the remaining consideration.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2022, we had letters of credit outstanding of approximately $6.7 million.</w:t>
      </w:r>
    </w:p>
    <w:p>
      <w:pPr>
        <w:spacing w:after="0" w:line="190"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20"/>
          <w:szCs w:val="20"/>
          <w:color w:val="auto"/>
        </w:rPr>
        <w:t>As of December 31, 2022 in connection with capital improvement, development, and redevelopment projects, we have contractual obligations of approximately $262.1 million.</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We are obligated under operating lease agreements on several shopping centers and one office lease requiring minimum annual payments as follows, as of December 31, 2022:</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90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6"/>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5,775</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5,815</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5,451</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5,037</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198,973</w:t>
            </w:r>
          </w:p>
        </w:tc>
      </w:tr>
      <w:tr>
        <w:trPr>
          <w:trHeight w:val="262"/>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minimum operating lease payments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227,000</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Less amount representing interest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(149,257)</w:t>
            </w:r>
          </w:p>
        </w:tc>
      </w:tr>
      <w:tr>
        <w:trPr>
          <w:trHeight w:val="24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77,743</w:t>
            </w:r>
          </w:p>
        </w:tc>
      </w:tr>
      <w:tr>
        <w:trPr>
          <w:trHeight w:val="20"/>
        </w:trPr>
        <w:tc>
          <w:tcPr>
            <w:tcW w:w="9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Future minimum lease payments and their present value for properties under finance leases as of December 31, 2022, are as follows:</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10240"/>
          </w:cols>
          <w:pgMar w:left="820" w:top="413" w:right="820" w:bottom="0" w:gutter="0" w:footer="0" w:header="0"/>
          <w:type w:val="continuous"/>
        </w:sectPr>
      </w:pPr>
    </w:p>
    <w:bookmarkStart w:id="97" w:name="page98"/>
    <w:bookmarkEnd w:id="97"/>
    <w:tbl>
      <w:tblPr>
        <w:tblLayout w:type="fixed"/>
        <w:tblInd w:w="40" w:type="dxa"/>
        <w:tblCellMar>
          <w:top w:w="0" w:type="dxa"/>
          <w:left w:w="0" w:type="dxa"/>
          <w:bottom w:w="0" w:type="dxa"/>
          <w:right w:w="0" w:type="dxa"/>
        </w:tblCellMar>
      </w:tblPr>
      <w:tr>
        <w:trPr>
          <w:trHeight w:val="211"/>
        </w:trPr>
        <w:tc>
          <w:tcPr>
            <w:tcW w:w="90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06"/>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59,713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68,676</w:t>
            </w:r>
          </w:p>
        </w:tc>
      </w:tr>
      <w:tr>
        <w:trPr>
          <w:trHeight w:val="262"/>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minimum finance lease payments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131,276</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Less amount representing interest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(63,616)</w:t>
            </w:r>
          </w:p>
        </w:tc>
      </w:tr>
      <w:tr>
        <w:trPr>
          <w:trHeight w:val="24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67,660</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A master lease for Mercer Mall includes a fixed purchase price option for $55 million in 2023. During 2022, we exercised our option to purchase the fee interest, which is expected to close in the second half of 2023.</w:t>
      </w:r>
    </w:p>
    <w:p>
      <w:pPr>
        <w:spacing w:after="0" w:line="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2022, our estimated maximum liability upon exercise of the put option would range from approximately $62 million to $65 million.</w:t>
      </w:r>
    </w:p>
    <w:p>
      <w:pPr>
        <w:spacing w:after="0" w:line="64"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20"/>
          <w:szCs w:val="20"/>
          <w:color w:val="auto"/>
        </w:rPr>
        <w:t>A master lease for Melville Mall, as amended on October 14, 2021, includes a fixed price put option at any time prior to June 30, 2025, requiring us to purchase Melville Mall for approximately $3.6 million. Additionally, we have the right to purchase Melville Mall in 2026 for approximately $3.6 million. The consideration is net of a contract amendment fee to be paid by the landlord.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other member in The Grove at Shrewsbury and Brook 35 has the right to require us to purchase all of its approximately</w:t>
      </w:r>
    </w:p>
    <w:p>
      <w:pPr>
        <w:spacing w:after="0" w:line="3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0"/>
          <w:szCs w:val="20"/>
          <w:color w:val="auto"/>
        </w:rPr>
        <w:t>4.1% interest in The Grove at Shrewsbury and approximately 6.5% interest in Brook 35 at the interests' then-current fair market value. Based on management's current estimate of fair market value as of December 31, 2022, our estimated maximum liability upon exercise of the put option would range from $6 million to $7 million.</w:t>
      </w:r>
    </w:p>
    <w:p>
      <w:pPr>
        <w:spacing w:after="0" w:line="6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Effective September 18, 2023, the other member in Hoboken has the right to require us to purchase all of its 10.0% ownership interest at the interest's then-current fair market value. Based on management's current estimate of fair market value as of December 31, 2022, our estimated maximum liability upon exercise of the put option would range from $8 million to $9 million.</w:t>
      </w:r>
    </w:p>
    <w:p>
      <w:pPr>
        <w:spacing w:after="0" w:line="6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2022, our estimated maximum liability upon exercise of the put option would range from $4 million to $5 million.</w:t>
      </w:r>
    </w:p>
    <w:p>
      <w:pPr>
        <w:spacing w:after="0" w:line="6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2022, our estimated maximum liability upon exercise of the put option would range from $1 million and $2 million.</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Effective June 1, 2029, the other member in Grossmont Center has the right to require us to purchase all of its 40.0% ownership interest at the interest's then-current fair market value. Based on management's current estimate of fair value as of December 31, 2022, our estimated maximum liability upon exercise of the put option would range from $68 million to $73 million.</w:t>
      </w:r>
    </w:p>
    <w:p>
      <w:pPr>
        <w:spacing w:after="0" w:line="5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Under the terms of certain partnership agreements, the partners have the right to exchange their operating partnership units for cash or the same number of our common shares, at our option. A total of 644,554 downREIT operating partnership units are outstanding which have a total fair value of $65.1 million, based on our closing stock price on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8—SHAREHOLDERS’ EQUITY</w:t>
      </w:r>
    </w:p>
    <w:p>
      <w:pPr>
        <w:spacing w:after="0" w:line="11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0"/>
          <w:szCs w:val="20"/>
          <w:color w:val="auto"/>
        </w:rPr>
        <w:t>We have a Dividend Reinvestment Plan (the “Plan”), whereby shareholders may use their dividends and optional cash payments to purchase shares. In 2022, 2021 and 2020, 19,502 shares, 19,758 shares, and 24,491 shares, respectively, were issued under the Plan.</w:t>
      </w:r>
    </w:p>
    <w:p>
      <w:pPr>
        <w:spacing w:after="0" w:line="55"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9"/>
          <w:szCs w:val="19"/>
          <w:color w:val="auto"/>
        </w:rPr>
        <w:t>As of December 31, 2022, 2021, and 2020, we had 6,000,000 Depositary Shares outstanding, each representing 1/1000th interest of 5.0% Series C Cumulative Redeemable Preferred Share, par value $0.01 per share ("Series C Preferred Shares"), at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F-32</w:t>
      </w:r>
    </w:p>
    <w:p>
      <w:pPr>
        <w:sectPr>
          <w:pgSz w:w="11880" w:h="15480" w:orient="portrait"/>
          <w:cols w:equalWidth="0" w:num="1">
            <w:col w:w="10240"/>
          </w:cols>
          <w:pgMar w:left="820" w:top="788" w:right="820" w:bottom="0" w:gutter="0" w:footer="0" w:header="0"/>
        </w:sectPr>
      </w:pPr>
    </w:p>
    <w:bookmarkStart w:id="98" w:name="page99"/>
    <w:bookmarkEnd w:id="98"/>
    <w:p>
      <w:pPr>
        <w:ind w:right="460"/>
        <w:spacing w:after="0" w:line="260" w:lineRule="auto"/>
        <w:rPr>
          <w:sz w:val="20"/>
          <w:szCs w:val="20"/>
          <w:color w:val="auto"/>
        </w:rPr>
      </w:pPr>
      <w:r>
        <w:rPr>
          <w:rFonts w:ascii="Times New Roman" w:cs="Times New Roman" w:eastAsia="Times New Roman" w:hAnsi="Times New Roman"/>
          <w:sz w:val="20"/>
          <w:szCs w:val="20"/>
          <w:color w:val="auto"/>
        </w:rPr>
        <w:t>the liquidation preference of $25.00 per depositary share (or $25,000 per Series C Preferred share). The Series C Preferred Shares accrue dividends at a rate of 5.0% of the $25,000 liquidation preference per year and are redeemable at our option. Additionally, they are not convertible and holders of these shares generally have no voting rights, unless we fail to pay dividends for six or more quarters.</w:t>
      </w:r>
    </w:p>
    <w:p>
      <w:pPr>
        <w:spacing w:after="0" w:line="12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As of December 31, 2022, we had 392,878 shares of 5.417% Series 1 Cumulative Convertible Preferred Shares (“Series 1 Preferred Shares”) outstanding that have a liquidation preference of $25 per share and par value $0.01 per share, and 399,896 shares at December 31, 2021 and 2020. The Series 1 Preferred Shares accrue dividends at a rate of 5.417% per year and are convertible at any time by the holders to our common shares at a conversion rate of $104.69 per share. On June 15, 2022, one of our Series 1 Preferred shareholders converted 7,018 preferred shares to 1,675 common shares. The Series 1 Preferred Shares are also convertible under certain circumstances at our election. The holders of the Series 1 Preferred Shares have no voting rights.</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On February 14, 2022, we replaced our existing at-the-market (“ATM”) equity program with a new ATM equity program in which we may from time to time offer and sell common shares having an aggregate offering price of up to $500.0 million. Our ATM equity program also allows shares to be sold through forward sales contracts. We intend to use the net proceeds from ATM equity program issuances to fund potential acquisition opportunities, fund our development and redevelopment pipeline, repay indebtedness and/or for general corporate purposes.</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For the year ended December 31, 2022, we issued 430,473 common shares at a weighted average price per share of $111.49 for net cash proceeds of $47.4 million including paying $0.5 million in commissions and $0.1 million in additional offering expenses related to the sales of these common shares. For the year ended December 31, 2021, we issued 847,471 common shares at a weighted average price per share of $104.19 for net cash proceeds of $87.0 million and paid $0.9 million in commissions and $0.4 million in additional offering expenses related to the sales of these common shares. As of December 31, 2022, we have the remaining capacity to issue up to $452.0 million in common shares under our ATM equity program.</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During 2021, we entered into forward sales contracts for 2,999,955 common shares under our ATM equity program at a weighted average offering price of $120.22. During 2021, we settled a portion of these forward sales agreements by issuing 796,300 common shares for net proceeds of $85.7 million and during 2022, we settled the remaining forward sales contracts by issuing 2,203,655 common shares for net proceeds of $259.4 million. We have no outstanding forward sales agreements as of December 31,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summary of dividends declared and paid per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35"/>
        </w:trPr>
        <w:tc>
          <w:tcPr>
            <w:tcW w:w="4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bottom w:val="single" w:sz="8" w:color="auto"/>
            </w:tcBorders>
          </w:tcPr>
          <w:p>
            <w:pPr>
              <w:spacing w:after="0"/>
              <w:rPr>
                <w:sz w:val="20"/>
                <w:szCs w:val="20"/>
                <w:color w:val="auto"/>
              </w:rPr>
            </w:pPr>
          </w:p>
        </w:tc>
      </w:tr>
      <w:tr>
        <w:trPr>
          <w:trHeight w:val="235"/>
        </w:trPr>
        <w:tc>
          <w:tcPr>
            <w:tcW w:w="492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Declared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Paid</w:t>
            </w:r>
          </w:p>
        </w:tc>
        <w:tc>
          <w:tcPr>
            <w:tcW w:w="8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Declared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Paid</w:t>
            </w:r>
          </w:p>
        </w:tc>
        <w:tc>
          <w:tcPr>
            <w:tcW w:w="8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Declared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Paid</w:t>
            </w:r>
          </w:p>
        </w:tc>
      </w:tr>
      <w:tr>
        <w:trPr>
          <w:trHeight w:val="277"/>
        </w:trPr>
        <w:tc>
          <w:tcPr>
            <w:tcW w:w="4920" w:type="dxa"/>
            <w:vAlign w:val="bottom"/>
          </w:tcPr>
          <w:p>
            <w:pPr>
              <w:jc w:val="right"/>
              <w:spacing w:after="0"/>
              <w:rPr>
                <w:sz w:val="20"/>
                <w:szCs w:val="20"/>
                <w:color w:val="auto"/>
              </w:rPr>
            </w:pPr>
            <w:r>
              <w:rPr>
                <w:rFonts w:ascii="Times New Roman" w:cs="Times New Roman" w:eastAsia="Times New Roman" w:hAnsi="Times New Roman"/>
                <w:sz w:val="20"/>
                <w:szCs w:val="20"/>
                <w:color w:val="AEAEAE"/>
              </w:rPr>
              <w:t>......................................................................</w:t>
            </w:r>
            <w:r>
              <w:rPr>
                <w:rFonts w:ascii="Times New Roman" w:cs="Times New Roman" w:eastAsia="Times New Roman" w:hAnsi="Times New Roman"/>
                <w:sz w:val="20"/>
                <w:szCs w:val="20"/>
                <w:color w:val="000000"/>
              </w:rPr>
              <w:t>Commonshares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4.210</w:t>
            </w:r>
          </w:p>
        </w:tc>
      </w:tr>
      <w:tr>
        <w:trPr>
          <w:trHeight w:val="300"/>
        </w:trPr>
        <w:tc>
          <w:tcPr>
            <w:tcW w:w="4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5.417% Series 1 Cumulative Convertible Preferred shares </w:t>
            </w:r>
            <w:r>
              <w:rPr>
                <w:rFonts w:ascii="Times New Roman" w:cs="Times New Roman" w:eastAsia="Times New Roman" w:hAnsi="Times New Roman"/>
                <w:sz w:val="20"/>
                <w:szCs w:val="20"/>
                <w:color w:val="AEAEAE"/>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r>
      <w:tr>
        <w:trPr>
          <w:trHeight w:val="303"/>
        </w:trPr>
        <w:tc>
          <w:tcPr>
            <w:tcW w:w="4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 Series C Cumulative Redeemable Preferred shares (1)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r>
    </w:tbl>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 Amount represents dividends per depositary share, each representing 1/1000th of a share.</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1880" w:h="15480" w:orient="portrait"/>
          <w:cols w:equalWidth="0" w:num="1">
            <w:col w:w="10240"/>
          </w:cols>
          <w:pgMar w:left="820" w:top="413" w:right="82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A summary of the income tax status of dividends per share paid is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4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Common shares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Ordinary dividend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3.518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w:t>
            </w:r>
          </w:p>
        </w:tc>
        <w:tc>
          <w:tcPr>
            <w:tcW w:w="0" w:type="dxa"/>
            <w:vAlign w:val="bottom"/>
          </w:tcPr>
          <w:p>
            <w:pPr>
              <w:spacing w:after="0"/>
              <w:rPr>
                <w:sz w:val="1"/>
                <w:szCs w:val="1"/>
                <w:color w:val="auto"/>
              </w:rPr>
            </w:pPr>
          </w:p>
        </w:tc>
      </w:tr>
      <w:tr>
        <w:trPr>
          <w:trHeight w:val="285"/>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gain</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0.772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Return of capital</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0.212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0.758</w:t>
            </w: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4.290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5.417% Series 1 Cumulative Convertible Preferred shares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Ordinary dividend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1.110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0" w:type="dxa"/>
            <w:vAlign w:val="bottom"/>
          </w:tcPr>
          <w:p>
            <w:pPr>
              <w:spacing w:after="0"/>
              <w:rPr>
                <w:sz w:val="1"/>
                <w:szCs w:val="1"/>
                <w:color w:val="auto"/>
              </w:rPr>
            </w:pPr>
          </w:p>
        </w:tc>
      </w:tr>
      <w:tr>
        <w:trPr>
          <w:trHeight w:val="288"/>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gain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0.244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0.230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5.0% Series C Cumulative Redeemable Preferred shares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Ordinary dividend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1.025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88"/>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gain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0.225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0.212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November 3, 2022, the Trustees declared a quarterly cash dividend of $1.08 per common share, payable January 17, 2023 to common shareholders of record on January 3,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LEASES</w:t>
      </w:r>
    </w:p>
    <w:p>
      <w:pPr>
        <w:spacing w:after="0" w:line="1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At December 31, 2022, our 103 predominantly retail shopping center and mixed-use properties are located in 12 states and the District of Columbia. There are approximately 3,300 commercial leases and 3,000 residential leases. Our commercial tenants range from sole proprietorships to national retailers and corporations. At December 31, 2022, no one tenant or corporate group of tenants accounted for more than 2.8% of annualized base rent.</w:t>
      </w:r>
    </w:p>
    <w:p>
      <w:pPr>
        <w:spacing w:after="0" w:line="14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14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As of December 31, 2022, future minimum rentals from noncancelable commercial operating leases (excluding both tenant reimbursements of operating expenses and percentage rent based on tenants' sales)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90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6"/>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701,133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649,472</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564,446</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490,884</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416,736</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1,644,716</w:t>
            </w:r>
          </w:p>
        </w:tc>
      </w:tr>
      <w:tr>
        <w:trPr>
          <w:trHeight w:val="245"/>
        </w:trPr>
        <w:tc>
          <w:tcPr>
            <w:tcW w:w="9000" w:type="dxa"/>
            <w:vAlign w:val="bottom"/>
          </w:tcPr>
          <w:p>
            <w:pPr>
              <w:spacing w:after="0"/>
              <w:rPr>
                <w:sz w:val="21"/>
                <w:szCs w:val="21"/>
                <w:color w:val="auto"/>
              </w:rPr>
            </w:pPr>
          </w:p>
        </w:tc>
        <w:tc>
          <w:tcPr>
            <w:tcW w:w="2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4,467,387</w:t>
            </w:r>
          </w:p>
        </w:tc>
      </w:tr>
      <w:tr>
        <w:trPr>
          <w:trHeight w:val="20"/>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1880" w:h="15480" w:orient="portrait"/>
          <w:cols w:equalWidth="0" w:num="1">
            <w:col w:w="10240"/>
          </w:cols>
          <w:pgMar w:left="820" w:top="413" w:right="82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The following table provides additional information on our operating and finance leases where we are the lessee: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9"/>
          </w:tcPr>
          <w:p>
            <w:pPr>
              <w:jc w:val="center"/>
              <w:ind w:left="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LEASE COST:</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cost:</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1,251</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1,284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3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5,743</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5,828</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lease cost</w:t>
            </w:r>
          </w:p>
        </w:tc>
        <w:tc>
          <w:tcPr>
            <w:tcW w:w="3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6,138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5,687</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Variable lease cost</w:t>
            </w:r>
          </w:p>
        </w:tc>
        <w:tc>
          <w:tcPr>
            <w:tcW w:w="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309</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2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Total lease cost</w:t>
            </w: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13,441</w:t>
            </w:r>
          </w:p>
        </w:tc>
        <w:tc>
          <w:tcPr>
            <w:tcW w:w="60" w:type="dxa"/>
            <w:vAlign w:val="bottom"/>
          </w:tcPr>
          <w:p>
            <w:pPr>
              <w:spacing w:after="0"/>
              <w:rPr>
                <w:sz w:val="18"/>
                <w:szCs w:val="18"/>
                <w:color w:val="auto"/>
              </w:rPr>
            </w:pPr>
          </w:p>
        </w:tc>
        <w:tc>
          <w:tcPr>
            <w:tcW w:w="480" w:type="dxa"/>
            <w:vAlign w:val="bottom"/>
            <w:tcBorders>
              <w:bottom w:val="single" w:sz="8" w:color="auto"/>
            </w:tcBorders>
          </w:tcPr>
          <w:p>
            <w:pPr>
              <w:jc w:val="right"/>
              <w:ind w:right="233"/>
              <w:spacing w:after="0" w:line="215"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13,045</w:t>
            </w: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13,409</w:t>
            </w: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OTHER INFORMATION:</w:t>
            </w: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Operating cash flows for finance leases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5,642</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5,723</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Operating cash flows for operating leases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5,288</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5,498</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Financing cash flows for finance leases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Weighted-average remaining term - finance leases</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0"/>
                <w:szCs w:val="20"/>
                <w:color w:val="auto"/>
                <w:w w:val="99"/>
              </w:rPr>
              <w:t>13.9 years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0"/>
                <w:szCs w:val="20"/>
                <w:color w:val="auto"/>
              </w:rPr>
              <w:t>16.3 years</w:t>
            </w: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remaining term - operating leases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gridSpan w:val="6"/>
          </w:tcPr>
          <w:p>
            <w:pPr>
              <w:jc w:val="right"/>
              <w:ind w:right="240"/>
              <w:spacing w:after="0"/>
              <w:rPr>
                <w:sz w:val="20"/>
                <w:szCs w:val="20"/>
                <w:color w:val="auto"/>
              </w:rPr>
            </w:pPr>
            <w:r>
              <w:rPr>
                <w:rFonts w:ascii="Times New Roman" w:cs="Times New Roman" w:eastAsia="Times New Roman" w:hAnsi="Times New Roman"/>
                <w:sz w:val="20"/>
                <w:szCs w:val="20"/>
                <w:color w:val="auto"/>
                <w:w w:val="99"/>
              </w:rPr>
              <w:t>53.3 years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52.8 years</w:t>
            </w: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 - finance leases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8.1</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ROU assets obtained in exchange for operating lease liabilities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6,476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10,341</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9"/>
        </w:trPr>
        <w:tc>
          <w:tcPr>
            <w:tcW w:w="5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11—COMPONENTS OF RENTAL EXPENSES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The principal components of rental expenses are as follows: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center"/>
              <w:ind w:right="32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Repairs and maintenance</w:t>
            </w:r>
          </w:p>
        </w:tc>
        <w:tc>
          <w:tcPr>
            <w:tcW w:w="3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90,343</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78,028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66,845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Utilities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34,226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27,808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Management fees and costs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27,416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24,919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Payroll</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19,693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18,341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Insurance</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16,380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14,406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Marketing</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7,814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7,481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Ground rent</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5,092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7"/>
              </w:rPr>
              <w:t>4,571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operating</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27,994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22,567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15,101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rental expenses</w:t>
            </w:r>
          </w:p>
        </w:tc>
        <w:tc>
          <w:tcPr>
            <w:tcW w:w="3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228,958</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198,121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170,920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12—SHARE-BASED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share-based compensation expense included in net income is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46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35"/>
        </w:trPr>
        <w:tc>
          <w:tcPr>
            <w:tcW w:w="6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9"/>
        </w:trPr>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60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Grants of common shares, restricted stock units, and options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15,018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13,243</w:t>
            </w:r>
          </w:p>
        </w:tc>
      </w:tr>
      <w:tr>
        <w:trPr>
          <w:trHeight w:val="30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Capitalized share-based compensation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(1,319)</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13,704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11,924</w:t>
            </w:r>
          </w:p>
        </w:tc>
      </w:tr>
      <w:tr>
        <w:trPr>
          <w:trHeight w:val="20"/>
        </w:trPr>
        <w:tc>
          <w:tcPr>
            <w:tcW w:w="6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10240"/>
          </w:cols>
          <w:pgMar w:left="820" w:top="413" w:right="820" w:bottom="0" w:gutter="0" w:footer="0" w:header="0"/>
          <w:type w:val="continuous"/>
        </w:sectPr>
      </w:pPr>
    </w:p>
    <w:bookmarkStart w:id="101" w:name="page102"/>
    <w:bookmarkEnd w:id="101"/>
    <w:p>
      <w:pPr>
        <w:ind w:right="140"/>
        <w:spacing w:after="0" w:line="258" w:lineRule="auto"/>
        <w:rPr>
          <w:sz w:val="20"/>
          <w:szCs w:val="20"/>
          <w:color w:val="auto"/>
        </w:rPr>
      </w:pPr>
      <w:r>
        <w:rPr>
          <w:rFonts w:ascii="Times New Roman" w:cs="Times New Roman" w:eastAsia="Times New Roman" w:hAnsi="Times New Roman"/>
          <w:sz w:val="20"/>
          <w:szCs w:val="20"/>
          <w:color w:val="auto"/>
        </w:rPr>
        <w:t>As of December 31, 2022, we have grants outstanding under two share-based compensation plans. In May 2020, our shareholders approved the 2020 Performance Incentive Plan ("the 2020 Plan"), which authorized the grant of share options, 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spacing w:after="0" w:line="14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spacing w:after="0" w:line="1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2022 and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summary of the assumptions used to value options granted in 2021:</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4"/>
        </w:trPr>
        <w:tc>
          <w:tcPr>
            <w:tcW w:w="89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80"/>
        </w:trPr>
        <w:tc>
          <w:tcPr>
            <w:tcW w:w="898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77"/>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29.3 %</w:t>
            </w:r>
          </w:p>
        </w:tc>
      </w:tr>
      <w:tr>
        <w:trPr>
          <w:trHeight w:val="300"/>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4.1 %</w:t>
            </w:r>
          </w:p>
        </w:tc>
      </w:tr>
      <w:tr>
        <w:trPr>
          <w:trHeight w:val="300"/>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00"/>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0.9 %</w:t>
            </w:r>
          </w:p>
        </w:tc>
      </w:tr>
    </w:tbl>
    <w:p>
      <w:pPr>
        <w:spacing w:after="0" w:line="13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in 2021 was $16.40 per share. The following table provides a summary of option activity for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4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400" w:type="dxa"/>
            <w:vAlign w:val="bottom"/>
          </w:tcPr>
          <w:p>
            <w:pPr>
              <w:ind w:left="480"/>
              <w:spacing w:after="0" w:line="160" w:lineRule="exact"/>
              <w:rPr>
                <w:sz w:val="20"/>
                <w:szCs w:val="20"/>
                <w:color w:val="auto"/>
              </w:rPr>
            </w:pPr>
            <w:r>
              <w:rPr>
                <w:rFonts w:ascii="Times New Roman" w:cs="Times New Roman" w:eastAsia="Times New Roman" w:hAnsi="Times New Roman"/>
                <w:sz w:val="16"/>
                <w:szCs w:val="16"/>
                <w:b w:val="1"/>
                <w:bCs w:val="1"/>
                <w:color w:val="auto"/>
              </w:rPr>
              <w:t>Under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4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Outstanding at December 31, 2021</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95.77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95.77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Forfeited or 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95.77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Outstanding at December 31, 2022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95.77</w:t>
            </w:r>
          </w:p>
        </w:tc>
        <w:tc>
          <w:tcPr>
            <w:tcW w:w="60" w:type="dxa"/>
            <w:vAlign w:val="bottom"/>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Exercisable at December 31, 2022</w:t>
            </w:r>
          </w:p>
        </w:tc>
        <w:tc>
          <w:tcPr>
            <w:tcW w:w="1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380" w:type="dxa"/>
            <w:vAlign w:val="bottom"/>
            <w:vMerge w:val="continue"/>
          </w:tcPr>
          <w:p>
            <w:pPr>
              <w:spacing w:after="0"/>
              <w:rPr>
                <w:sz w:val="19"/>
                <w:szCs w:val="19"/>
                <w:color w:val="auto"/>
              </w:rPr>
            </w:pPr>
          </w:p>
        </w:tc>
        <w:tc>
          <w:tcPr>
            <w:tcW w:w="14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366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ind w:right="8"/>
              <w:spacing w:after="0" w:line="225" w:lineRule="exact"/>
              <w:rPr>
                <w:sz w:val="20"/>
                <w:szCs w:val="20"/>
                <w:color w:val="auto"/>
              </w:rPr>
            </w:pPr>
            <w:r>
              <w:rPr>
                <w:rFonts w:ascii="Times New Roman" w:cs="Times New Roman" w:eastAsia="Times New Roman" w:hAnsi="Times New Roman"/>
                <w:sz w:val="20"/>
                <w:szCs w:val="20"/>
                <w:color w:val="auto"/>
              </w:rPr>
              <w:t>95.77</w:t>
            </w:r>
          </w:p>
        </w:tc>
        <w:tc>
          <w:tcPr>
            <w:tcW w:w="60" w:type="dxa"/>
            <w:vAlign w:val="bottom"/>
          </w:tcPr>
          <w:p>
            <w:pPr>
              <w:spacing w:after="0"/>
              <w:rPr>
                <w:sz w:val="19"/>
                <w:szCs w:val="19"/>
                <w:color w:val="auto"/>
              </w:rPr>
            </w:pPr>
          </w:p>
        </w:tc>
        <w:tc>
          <w:tcPr>
            <w:tcW w:w="140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8.1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tcPr>
          <w:p>
            <w:pPr>
              <w:jc w:val="right"/>
              <w:ind w:right="8"/>
              <w:spacing w:after="0" w:line="225"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18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The following table provides a summary of restricted share activity for 2022:</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right"/>
              <w:ind w:right="28"/>
              <w:spacing w:after="0" w:line="160"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Unvested at December 31, 2021</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288,996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116,266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(119,646)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Forfeited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Unvested at December 31, 2022</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279,745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The weighted-average grant-date fair value of stock awarded in 2022, 2021 and 2020 was $125.34, $97.46 and $124.55, respectively. The total vesting-date fair value of shares vested during the year ended December 31, 2022, 2021 and 2020, was $14.3 million, $11.0 million and $12.4 million, respectively.</w:t>
      </w:r>
    </w:p>
    <w:p>
      <w:pPr>
        <w:spacing w:after="0" w:line="55"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9"/>
          <w:szCs w:val="19"/>
          <w:color w:val="auto"/>
        </w:rPr>
        <w:t>On February 10, 2021, 10,441 restricted stock units were awarded to an officer that vest at the end of four years. The final awards earned are based on meeting certain market based performance criteria, and may vary from 0% to 200% of the original</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1880" w:h="15480" w:orient="portrait"/>
          <w:cols w:equalWidth="0" w:num="1">
            <w:col w:w="10240"/>
          </w:cols>
          <w:pgMar w:left="820" w:top="413" w:right="820" w:bottom="0" w:gutter="0" w:footer="0" w:header="0"/>
          <w:type w:val="continuous"/>
        </w:sectPr>
      </w:pPr>
    </w:p>
    <w:bookmarkStart w:id="102" w:name="page103"/>
    <w:bookmarkEnd w:id="102"/>
    <w:p>
      <w:pPr>
        <w:ind w:right="420"/>
        <w:spacing w:after="0" w:line="281" w:lineRule="auto"/>
        <w:rPr>
          <w:sz w:val="20"/>
          <w:szCs w:val="20"/>
          <w:color w:val="auto"/>
        </w:rPr>
      </w:pPr>
      <w:r>
        <w:rPr>
          <w:rFonts w:ascii="Times New Roman" w:cs="Times New Roman" w:eastAsia="Times New Roman" w:hAnsi="Times New Roman"/>
          <w:sz w:val="20"/>
          <w:szCs w:val="20"/>
          <w:color w:val="auto"/>
        </w:rPr>
        <w:t>award. The weighted-average grant-date fair value of the restricted stock units awarded in 2021 was $97.01. The following table provides a summary of restricted stock unit activity for 2022:</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60"/>
        </w:trPr>
        <w:tc>
          <w:tcPr>
            <w:tcW w:w="7320" w:type="dxa"/>
            <w:vAlign w:val="bottom"/>
          </w:tcPr>
          <w:p>
            <w:pPr>
              <w:spacing w:after="0"/>
              <w:rPr>
                <w:sz w:val="13"/>
                <w:szCs w:val="13"/>
                <w:color w:val="auto"/>
              </w:rPr>
            </w:pPr>
          </w:p>
        </w:tc>
        <w:tc>
          <w:tcPr>
            <w:tcW w:w="14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1400" w:type="dxa"/>
            <w:vAlign w:val="bottom"/>
            <w:gridSpan w:val="2"/>
          </w:tcPr>
          <w:p>
            <w:pPr>
              <w:jc w:val="right"/>
              <w:ind w:right="43"/>
              <w:spacing w:after="0" w:line="160"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732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6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Unvested at December 31, 2021</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10,441</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97.01</w:t>
            </w:r>
          </w:p>
        </w:tc>
        <w:tc>
          <w:tcPr>
            <w:tcW w:w="0" w:type="dxa"/>
            <w:vAlign w:val="bottom"/>
          </w:tcPr>
          <w:p>
            <w:pPr>
              <w:spacing w:after="0"/>
              <w:rPr>
                <w:sz w:val="1"/>
                <w:szCs w:val="1"/>
                <w:color w:val="auto"/>
              </w:rPr>
            </w:pPr>
          </w:p>
        </w:tc>
      </w:tr>
      <w:tr>
        <w:trPr>
          <w:trHeight w:val="28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Unvested at December 31, 2022</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10,441</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As of December 31, 2022, there was $19.2 million of total unrecognized compensation cost related to unvested share-based compensation arrangements (i.e. options and unvested shares) granted under our plans. This cost is expected to be recognized over the next 4.5 years with a weighted-average period of 2.1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Subsequent to December 31, 2022, common shares were awarded under various compensation plans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08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Award</w:t>
            </w:r>
          </w:p>
        </w:tc>
        <w:tc>
          <w:tcPr>
            <w:tcW w:w="80" w:type="dxa"/>
            <w:vAlign w:val="bottom"/>
          </w:tcPr>
          <w:p>
            <w:pPr>
              <w:spacing w:after="0"/>
              <w:rPr>
                <w:sz w:val="18"/>
                <w:szCs w:val="18"/>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Vesting Term</w:t>
            </w:r>
          </w:p>
        </w:tc>
        <w:tc>
          <w:tcPr>
            <w:tcW w:w="80" w:type="dxa"/>
            <w:vAlign w:val="bottom"/>
          </w:tcPr>
          <w:p>
            <w:pPr>
              <w:spacing w:after="0"/>
              <w:rPr>
                <w:sz w:val="18"/>
                <w:szCs w:val="18"/>
                <w:color w:val="auto"/>
              </w:rPr>
            </w:pPr>
          </w:p>
        </w:tc>
        <w:tc>
          <w:tcPr>
            <w:tcW w:w="28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b w:val="1"/>
                <w:bCs w:val="1"/>
                <w:color w:val="auto"/>
              </w:rPr>
              <w:t>Beneficiary</w:t>
            </w:r>
          </w:p>
        </w:tc>
      </w:tr>
      <w:tr>
        <w:trPr>
          <w:trHeight w:val="27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January 3,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5,942</w:t>
            </w:r>
          </w:p>
        </w:tc>
        <w:tc>
          <w:tcPr>
            <w:tcW w:w="2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Shares</w:t>
            </w: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Immediate</w:t>
            </w:r>
          </w:p>
        </w:tc>
        <w:tc>
          <w:tcPr>
            <w:tcW w:w="8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Trustees</w:t>
            </w:r>
          </w:p>
        </w:tc>
      </w:tr>
      <w:tr>
        <w:trPr>
          <w:trHeight w:val="300"/>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February 7,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135,314</w:t>
            </w:r>
          </w:p>
        </w:tc>
        <w:tc>
          <w:tcPr>
            <w:tcW w:w="2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Restricted Shares</w:t>
            </w: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3-5 years</w:t>
            </w:r>
          </w:p>
        </w:tc>
        <w:tc>
          <w:tcPr>
            <w:tcW w:w="8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Officers and key employees</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13—SAVINGS AND RETIREMENT PLANS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have a savings and retirement plan in accordance with the provisions of Section 401(k) of the Code. Generally, employees can elect, at their discretion, to contribute a portion of their compensation up to a maximum of $20,500 for 2022, and 19,500 for 2021 and 2020.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2022, 2021 and 2020 was approximately $869,000, $816,000 and $813,000, respectively.</w:t>
      </w:r>
    </w:p>
    <w:p>
      <w:pPr>
        <w:spacing w:after="0" w:line="15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A non-qualified deferred compensation plan for our officers and certain other employees was established in 1994 that allows the participants to defer a portion of their income. As of December 31, 2022 and 2021, we are liable to participants for approximately $18.0 million and $21.0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ectPr>
          <w:pgSz w:w="11880" w:h="15480" w:orient="portrait"/>
          <w:cols w:equalWidth="0" w:num="1">
            <w:col w:w="10240"/>
          </w:cols>
          <w:pgMar w:left="820" w:top="4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1880" w:h="15480" w:orient="portrait"/>
          <w:cols w:equalWidth="0" w:num="1">
            <w:col w:w="10240"/>
          </w:cols>
          <w:pgMar w:left="820" w:top="413" w:right="82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NOTE 14—EARNINGS PER SHARE AND UNIT</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2022 and 2021 we had 0.3 million weighted average unvested shares and units outstanding, and for 2020 we had 0.2 million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 below.</w:t>
      </w:r>
    </w:p>
    <w:p>
      <w:pPr>
        <w:spacing w:after="0" w:line="15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The following potentially issuable shares were excluded from the diluted EPS and EPU calculations because their impact is anti-dilutive:</w:t>
      </w:r>
    </w:p>
    <w:p>
      <w:pPr>
        <w:spacing w:after="0" w:line="1" w:lineRule="exact"/>
        <w:rPr>
          <w:sz w:val="20"/>
          <w:szCs w:val="20"/>
          <w:color w:val="auto"/>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682 stock options in 2020,</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conversions of downREIT operating partnership units for 2021 and 2020,</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5.417% Series 1 Cumulative Convertible Preferred Shares and units for 2022, 2021, and 2020,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$1.8 million shares and units issuable under forward sales agreements in 2021.</w:t>
      </w:r>
    </w:p>
    <w:p>
      <w:pPr>
        <w:spacing w:after="0" w:line="11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Additionally, 10,441 unvested restricted stock units are excluded from the diluted EPS and EPU calculations as the market based performance criteria in the award has not yet been achieved.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Federal Realty Investment Trust Earnings per Share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7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7"/>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0" w:type="dxa"/>
            <w:vAlign w:val="bottom"/>
          </w:tcPr>
          <w:p>
            <w:pPr>
              <w:spacing w:after="0"/>
              <w:rPr>
                <w:sz w:val="1"/>
                <w:szCs w:val="1"/>
                <w:color w:val="auto"/>
              </w:rPr>
            </w:pPr>
          </w:p>
        </w:tc>
      </w:t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NUMERATOR</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395,661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269,081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Less: Preferred share dividends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Less: Income from operations attributable to noncontrolling interests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(4,182)</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Less: Earnings allocated to unvested shares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0" w:type="dxa"/>
            <w:vAlign w:val="bottom"/>
          </w:tcPr>
          <w:p>
            <w:pPr>
              <w:spacing w:after="0"/>
              <w:rPr>
                <w:sz w:val="1"/>
                <w:szCs w:val="1"/>
                <w:color w:val="auto"/>
              </w:rPr>
            </w:pPr>
          </w:p>
        </w:tc>
      </w:tr>
      <w:tr>
        <w:trPr>
          <w:trHeight w:val="277"/>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available for common shareholders, 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376,129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122,672</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Add: Income attributable to downREIT operating partnership units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available for common shareholders,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378,939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122,672</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Open forward contracts for share issuances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DownREIT operating partnership units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outstanding—diluted</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80,508</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77,368</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 BASIC</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shareholders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shareholders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6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1880" w:h="15480" w:orient="portrait"/>
          <w:cols w:equalWidth="0" w:num="1">
            <w:col w:w="10240"/>
          </w:cols>
          <w:pgMar w:left="820" w:top="646" w:right="82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i w:val="1"/>
          <w:iCs w:val="1"/>
          <w:color w:val="auto"/>
        </w:rPr>
        <w:t>Federal Realty OP LP Trust Earnings per Unit</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7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(In thousands, except per unit data)</w:t>
            </w:r>
          </w:p>
        </w:tc>
        <w:tc>
          <w:tcPr>
            <w:tcW w:w="0" w:type="dxa"/>
            <w:vAlign w:val="bottom"/>
          </w:tcPr>
          <w:p>
            <w:pPr>
              <w:spacing w:after="0"/>
              <w:rPr>
                <w:sz w:val="1"/>
                <w:szCs w:val="1"/>
                <w:color w:val="auto"/>
              </w:rPr>
            </w:pPr>
          </w:p>
        </w:tc>
      </w:t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NUMERATOR</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395,661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269,081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135,888</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Less: Preferred unit distributions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Less: Income from operations attributable to noncontrolling interests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(4,182)</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Less: Earnings allocated to unvested units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0" w:type="dxa"/>
            <w:vAlign w:val="bottom"/>
          </w:tcPr>
          <w:p>
            <w:pPr>
              <w:spacing w:after="0"/>
              <w:rPr>
                <w:sz w:val="1"/>
                <w:szCs w:val="1"/>
                <w:color w:val="auto"/>
              </w:rPr>
            </w:pPr>
          </w:p>
        </w:tc>
      </w:tr>
      <w:tr>
        <w:trPr>
          <w:trHeight w:val="277"/>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available for common unit holders, 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376,129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122,672</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Add: Income attributable to downREIT operating partnership units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available for common unit holders,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378,939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122,672</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units outstanding—basic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Common unit issuances relating to open common forward contracts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DownREIT operating partnership units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units outstanding—diluted</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80,508</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77,368</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75,515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UNIT, BASIC</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unit 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UNIT,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available for common unit 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15—SUBSEQUENT EVENT</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On January 31, 2023, we acquired the 180,000 square foot portion of Huntington Square shopping center that was not previously owned, as well as the fee interest in the land underneath the portion of the shopping center which we control under a long-term ground lease for $35.5 million.</w:t>
      </w:r>
    </w:p>
    <w:p>
      <w:pPr>
        <w:sectPr>
          <w:pgSz w:w="11880" w:h="15480" w:orient="portrait"/>
          <w:cols w:equalWidth="0" w:num="1">
            <w:col w:w="10240"/>
          </w:cols>
          <w:pgMar w:left="820" w:top="40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1880" w:h="15480" w:orient="portrait"/>
          <w:cols w:equalWidth="0" w:num="1">
            <w:col w:w="10240"/>
          </w:cols>
          <w:pgMar w:left="820" w:top="409" w:right="820"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F-40</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8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4"/>
                <w:szCs w:val="24"/>
                <w:color w:val="auto"/>
              </w:rPr>
            </w:pPr>
          </w:p>
        </w:tc>
        <w:tc>
          <w:tcPr>
            <w:tcW w:w="30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statements is</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computed</w:t>
            </w: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29TH PLACE (Virginia)</w:t>
            </w: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$10,211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18,863</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    11,627</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10,195</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30,506</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    40,701</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9"/>
              </w:rPr>
              <w:t>$16,582</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1975 - 2001</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5/30/2007</w:t>
            </w:r>
          </w:p>
        </w:tc>
        <w:tc>
          <w:tcPr>
            <w:tcW w:w="8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ANDORRA (Pennsylvania)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80" w:type="dxa"/>
            <w:vAlign w:val="bottom"/>
          </w:tcPr>
          <w:p>
            <w:pPr>
              <w:spacing w:after="0"/>
              <w:rPr>
                <w:sz w:val="21"/>
                <w:szCs w:val="21"/>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18,628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30,974</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33,406</w:t>
            </w:r>
          </w:p>
        </w:tc>
        <w:tc>
          <w:tcPr>
            <w:tcW w:w="80" w:type="dxa"/>
            <w:vAlign w:val="bottom"/>
          </w:tcPr>
          <w:p>
            <w:pPr>
              <w:spacing w:after="0"/>
              <w:rPr>
                <w:sz w:val="21"/>
                <w:szCs w:val="21"/>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22,902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1/12/1988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7"/>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ASSEMBLY ROW/ASSEMBLY</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SQUARE MARKETPLACE</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93,252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34,196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991,368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69,421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1,049,395</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1,118,816</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137,485</w:t>
            </w:r>
          </w:p>
        </w:tc>
        <w:tc>
          <w:tcPr>
            <w:tcW w:w="980" w:type="dxa"/>
            <w:vAlign w:val="bottom"/>
            <w:gridSpan w:val="2"/>
            <w:vMerge w:val="continue"/>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2005-2013</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(Massachusetts)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2012-2022</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AZALEA (California)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39,850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67,117</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69,035</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109,254</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13,549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8/2/2017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BALA CYNWYD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14,466</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54,758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70,106</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72,789</w:t>
            </w:r>
          </w:p>
        </w:tc>
        <w:tc>
          <w:tcPr>
            <w:tcW w:w="8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31,192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1955/2020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9/22/1993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7"/>
        </w:trPr>
        <w:tc>
          <w:tcPr>
            <w:tcW w:w="2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1963, 1972,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1/13/16 &amp;</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BARCROFT PLAZA (Virginia)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29,603</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8,338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37,941</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50,558</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8,656</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1990, &amp;</w:t>
            </w:r>
          </w:p>
        </w:tc>
        <w:tc>
          <w:tcPr>
            <w:tcW w:w="1000" w:type="dxa"/>
            <w:vAlign w:val="bottom"/>
            <w:gridSpan w:val="2"/>
            <w:vMerge w:val="continue"/>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BARRACKS ROAD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52,498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68,957</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73,320</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51,953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12/31/1985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BELL GARDENS (California)</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11,629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24,406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85,947</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8,090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24,406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94,037</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118,443</w:t>
            </w:r>
          </w:p>
        </w:tc>
        <w:tc>
          <w:tcPr>
            <w:tcW w:w="80" w:type="dxa"/>
            <w:vAlign w:val="bottom"/>
          </w:tcPr>
          <w:p>
            <w:pPr>
              <w:spacing w:after="0"/>
              <w:rPr>
                <w:sz w:val="21"/>
                <w:szCs w:val="21"/>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22,722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1990, 2003,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11/29/18</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12/31/93,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6/2/97,</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1/20/06,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9/25/08,</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BETHESDA ROW (Maryland)</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46,579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35,406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174,823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44,437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212,371</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256,808</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104,068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1945-2008</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9/30/08,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12/27/10</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BIRCH &amp; BROAD (Virginia)</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Pr>
          <w:p>
            <w:pPr>
              <w:spacing w:after="0"/>
              <w:rPr>
                <w:sz w:val="17"/>
                <w:szCs w:val="17"/>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22,674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25,742</w:t>
            </w:r>
          </w:p>
        </w:tc>
        <w:tc>
          <w:tcPr>
            <w:tcW w:w="80" w:type="dxa"/>
            <w:vAlign w:val="bottom"/>
          </w:tcPr>
          <w:p>
            <w:pPr>
              <w:spacing w:after="0"/>
              <w:rPr>
                <w:sz w:val="17"/>
                <w:szCs w:val="17"/>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10,663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1960/1962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9/30/67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10/05/72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BRICK PLAZA (New Jersey)</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82,169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102,499</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106,884</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64,220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12/28/1989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BRISTOL PLAZA (Connecticut)</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16,487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32,446</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36,302</w:t>
            </w:r>
          </w:p>
        </w:tc>
        <w:tc>
          <w:tcPr>
            <w:tcW w:w="8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21,938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9/22/1995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BROOK 35 (New Jersey)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38,355</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43,969</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51,097</w:t>
            </w:r>
          </w:p>
        </w:tc>
        <w:tc>
          <w:tcPr>
            <w:tcW w:w="8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12,751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1986/2004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1/1/2014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27"/>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CAMELBACK COLONNADE</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52,658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126,646</w:t>
            </w:r>
          </w:p>
        </w:tc>
        <w:tc>
          <w:tcPr>
            <w:tcW w:w="80" w:type="dxa"/>
            <w:vAlign w:val="bottom"/>
          </w:tcPr>
          <w:p>
            <w:pPr>
              <w:spacing w:after="0"/>
              <w:rPr>
                <w:sz w:val="19"/>
                <w:szCs w:val="19"/>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734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52,658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127,380</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180,038</w:t>
            </w:r>
          </w:p>
        </w:tc>
        <w:tc>
          <w:tcPr>
            <w:tcW w:w="80" w:type="dxa"/>
            <w:vAlign w:val="bottom"/>
          </w:tcPr>
          <w:p>
            <w:pPr>
              <w:spacing w:after="0"/>
              <w:rPr>
                <w:sz w:val="19"/>
                <w:szCs w:val="19"/>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7,204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1977/2019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6/14/2021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(Arizona)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CAMPUS PLAZA (Massachusetts)</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13,412</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14,149</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30,859</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3,810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1/13/2016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7"/>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CHELSEA COMMONS</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1962/1969/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8/25/06,</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19,466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3,125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8,669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22,611</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31,280</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10,254</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1/30/07,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(Massachusetts)</w:t>
            </w: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7/16/08</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CHESTERBROOK (Virginia)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24,725</w:t>
            </w:r>
          </w:p>
        </w:tc>
        <w:tc>
          <w:tcPr>
            <w:tcW w:w="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40,939</w:t>
            </w:r>
          </w:p>
        </w:tc>
        <w:tc>
          <w:tcPr>
            <w:tcW w:w="8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1,486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1967/1991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4/30/21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bl>
    <w:p>
      <w:pPr>
        <w:sectPr>
          <w:pgSz w:w="15480" w:h="11880" w:orient="landscape"/>
          <w:cols w:equalWidth="0" w:num="2">
            <w:col w:w="218" w:space="507"/>
            <w:col w:w="13800"/>
          </w:cols>
          <w:pgMar w:left="315" w:top="843" w:right="640" w:bottom="892"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F-41</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statements is</w:t>
            </w:r>
          </w:p>
        </w:tc>
        <w:tc>
          <w:tcPr>
            <w:tcW w:w="0" w:type="dxa"/>
            <w:vAlign w:val="bottom"/>
          </w:tcPr>
          <w:p>
            <w:pPr>
              <w:spacing w:after="0"/>
              <w:rPr>
                <w:sz w:val="1"/>
                <w:szCs w:val="1"/>
                <w:color w:val="auto"/>
              </w:rPr>
            </w:pPr>
          </w:p>
        </w:tc>
      </w:tr>
      <w:tr>
        <w:trPr>
          <w:trHeight w:val="190"/>
        </w:trPr>
        <w:tc>
          <w:tcPr>
            <w:tcW w:w="2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computed</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7/1/15,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1990/1994,</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12/16/15,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7/26/16,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COCOWALK (Florida)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32,513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71,536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96,837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48,944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151,942</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200,886</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21,876</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1922-1973,</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6/30/17,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2018-2021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8/10/17</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COLORADO BLVD (California)</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7,535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11,499</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13,914</w:t>
            </w:r>
          </w:p>
        </w:tc>
        <w:tc>
          <w:tcPr>
            <w:tcW w:w="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1905-1988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8/14/98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CONGRESSIONAL PLAZA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99,671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107,095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109,888</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67,014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1965/2003/2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4/1/1965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COURTHOUSE CENTER</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3,585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7,204</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3,455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12/17/1997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CROSSROADS (Illinois)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11,611</w:t>
            </w:r>
          </w:p>
        </w:tc>
        <w:tc>
          <w:tcPr>
            <w:tcW w:w="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19,957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31,568</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36,203</w:t>
            </w:r>
          </w:p>
        </w:tc>
        <w:tc>
          <w:tcPr>
            <w:tcW w:w="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23,145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7/19/1993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CROW CANYON COMMONS</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27,245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54,575</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9,263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27,245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63,838</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91,083</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32,610</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Late 1970's/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12/29/05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1998/2006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2/28/07</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DARIEN COMMONS (Connecticut)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30,368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19,523</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90,301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30,368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109,824</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140,192</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4,526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1920-2009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4/3/13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7/20/18</w:t>
            </w: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12/31/93,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12/14/16,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DEDHAM PLAZA (Massachusetts)</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16,354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13,413</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19,609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16,354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33,022</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49,376</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20,497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1/29/19,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89"/>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3/12/19</w:t>
            </w: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1982/1994/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5/30/08,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DEL MAR VILLAGE (Florida)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15,624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41,712</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17,861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15,587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59,610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75,197</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30,199</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7/11/08,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10/14/14</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EAST BAY BRIDGE (California)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29,069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138,035</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12,534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29,069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150,569</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179,638</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51,835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1994-2001,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12/21/2012</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2011/2012</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ELLISBURG (New Jersey)</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11,309</w:t>
            </w:r>
          </w:p>
        </w:tc>
        <w:tc>
          <w:tcPr>
            <w:tcW w:w="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33,346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37,359</w:t>
            </w:r>
          </w:p>
        </w:tc>
        <w:tc>
          <w:tcPr>
            <w:tcW w:w="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23,410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10/16/1992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9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FAIRFAX JUNCTION (Virgina)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16,768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23,825</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3,547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16,768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27,372</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44,140</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3,843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1981/1986/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2/8/19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FEDERAL PLAZA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17,895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45,511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63,406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73,622</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52,462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6/29/1989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FINLEY SQUARE (Illinois)</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9,544</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23,530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33,074</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42,326</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25,593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4/27/1995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FLOURTOWN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18,306</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8,227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4/25/1980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FOURTH STREET (California)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27,819</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1948,1975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5/19/2017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FREEDOM PLAZA (California)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40,841</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44,096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44,096</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2018-2020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6/15/2018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FRESH MEADOWS (New York)</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25,255</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44,707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69,954</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94,587</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50,551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1946-1949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12/5/1997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bl>
    <w:p>
      <w:pPr>
        <w:sectPr>
          <w:pgSz w:w="15480" w:h="11880" w:orient="landscape"/>
          <w:cols w:equalWidth="0" w:num="2">
            <w:col w:w="218" w:space="509"/>
            <w:col w:w="13800"/>
          </w:cols>
          <w:pgMar w:left="313" w:top="603" w:right="640" w:bottom="502"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F-42</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6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80" w:type="dxa"/>
            <w:vAlign w:val="bottom"/>
          </w:tcPr>
          <w:p>
            <w:pPr>
              <w:spacing w:after="0"/>
              <w:rPr>
                <w:sz w:val="16"/>
                <w:szCs w:val="16"/>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8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900" w:type="dxa"/>
            <w:vAlign w:val="bottom"/>
            <w:vMerge w:val="restart"/>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statements is</w:t>
            </w:r>
          </w:p>
        </w:tc>
        <w:tc>
          <w:tcPr>
            <w:tcW w:w="0" w:type="dxa"/>
            <w:vAlign w:val="bottom"/>
          </w:tcPr>
          <w:p>
            <w:pPr>
              <w:spacing w:after="0"/>
              <w:rPr>
                <w:sz w:val="1"/>
                <w:szCs w:val="1"/>
                <w:color w:val="auto"/>
              </w:rPr>
            </w:pPr>
          </w:p>
        </w:tc>
      </w:tr>
      <w:tr>
        <w:trPr>
          <w:trHeight w:val="190"/>
        </w:trPr>
        <w:tc>
          <w:tcPr>
            <w:tcW w:w="2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computed</w:t>
            </w:r>
          </w:p>
        </w:tc>
        <w:tc>
          <w:tcPr>
            <w:tcW w:w="0" w:type="dxa"/>
            <w:vAlign w:val="bottom"/>
          </w:tcPr>
          <w:p>
            <w:pPr>
              <w:spacing w:after="0"/>
              <w:rPr>
                <w:sz w:val="1"/>
                <w:szCs w:val="1"/>
                <w:color w:val="auto"/>
              </w:rPr>
            </w:pPr>
          </w:p>
        </w:tc>
      </w:tr>
      <w:tr>
        <w:trPr>
          <w:trHeight w:val="186"/>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FRIENDSHIP CENTER (District of</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20,803</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4,062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24,865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37,561</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15,023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9/21/2001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Columbia)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GAITHERSBURG SQUARE</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26,088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33,087</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39,060</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20,489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4/22/1993</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GARDEN MARKET (Illinois)</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7,859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12,688</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15,365</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7/28/1994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GEORGETOWNE SHOPPING</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32,202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49,586</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3,730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32,202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53,316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85,518</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5,686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1969/2006/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11/15/19</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CENTER (New York)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GOVERNOR PLAZA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26,671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31,576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33,644</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22,416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10/1/1985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GRAHAM PARK PLAZA (Virginia)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7,629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16,943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24,561</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25,214</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18,777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7/21/1983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GRATIOT PLAZA (Michigan)</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18,580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20,181</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20,706</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18,518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3/29/1973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GREENLAWN PLAZA (New York)</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20,869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22,926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33,669</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1975/2004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1/13/2016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GREENWICH AVENUE</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10,819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16,264</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23,748</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6,767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4/12/1995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74"/>
        </w:trPr>
        <w:tc>
          <w:tcPr>
            <w:tcW w:w="258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(Connecticut)</w:t>
            </w: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1961, 1963,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GROSSMONT CENTER (California)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125,434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691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125,434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51,002</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176,436</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5,589</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1982-1983,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6/1/2021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HASTINGS RANCH PLAZA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22,393</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1,067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23,460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25,717</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4,626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1958, 1984,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2/1/2017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2006, 2007</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HAUPPAUGE (New York)</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15,262</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11,611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35,664</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15,449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8/6/1998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27"/>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HILTON VILLAGE (Arizona)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85,431</w:t>
            </w:r>
          </w:p>
        </w:tc>
        <w:tc>
          <w:tcPr>
            <w:tcW w:w="80" w:type="dxa"/>
            <w:vAlign w:val="bottom"/>
          </w:tcPr>
          <w:p>
            <w:pPr>
              <w:spacing w:after="0"/>
              <w:rPr>
                <w:sz w:val="19"/>
                <w:szCs w:val="19"/>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85,649</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85,649</w:t>
            </w:r>
          </w:p>
        </w:tc>
        <w:tc>
          <w:tcPr>
            <w:tcW w:w="80" w:type="dxa"/>
            <w:vAlign w:val="bottom"/>
          </w:tcPr>
          <w:p>
            <w:pPr>
              <w:spacing w:after="0"/>
              <w:rPr>
                <w:sz w:val="19"/>
                <w:szCs w:val="19"/>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2,881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1982/1989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6/14/21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7/18/22</w:t>
            </w: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9/18/19,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11/26/19,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12/19/19,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HOBOKEN (New Jersey)</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85,684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56,866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167,835</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2,805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56,868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170,638</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227,506</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16,501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1887-2006</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2/12/20,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11/18/22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HOLLYWOOD BLVD (California)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16,920</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36,670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53,520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61,890</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22,892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1929/1991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3/22/99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74"/>
        </w:trPr>
        <w:tc>
          <w:tcPr>
            <w:tcW w:w="2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6/18/99</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12/12/88,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HUNTINGTON (New York)</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12,194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16,008</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51,607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67,515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79,809</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17,994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10/26/07,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11/24/15</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HUNTINGTON SQUARE (New</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3,851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13,926</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5,782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1980/2004-2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8/16/2010</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York)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IDYLWOOD PLAZA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10,026</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18,126</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10,783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4/15/1994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KINGS COURT (California)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10,714</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11,631</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10,939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8/24/1998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bl>
    <w:p>
      <w:pPr>
        <w:sectPr>
          <w:pgSz w:w="15480" w:h="11880" w:orient="landscape"/>
          <w:cols w:equalWidth="0" w:num="2">
            <w:col w:w="218" w:space="509"/>
            <w:col w:w="13800"/>
          </w:cols>
          <w:pgMar w:left="313" w:top="603" w:right="640" w:bottom="457"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F-43</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8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9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statements is</w:t>
            </w:r>
          </w:p>
        </w:tc>
        <w:tc>
          <w:tcPr>
            <w:tcW w:w="0" w:type="dxa"/>
            <w:vAlign w:val="bottom"/>
          </w:tcPr>
          <w:p>
            <w:pPr>
              <w:spacing w:after="0"/>
              <w:rPr>
                <w:sz w:val="1"/>
                <w:szCs w:val="1"/>
                <w:color w:val="auto"/>
              </w:rPr>
            </w:pPr>
          </w:p>
        </w:tc>
      </w:tr>
      <w:tr>
        <w:trPr>
          <w:trHeight w:val="190"/>
        </w:trPr>
        <w:tc>
          <w:tcPr>
            <w:tcW w:w="2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computed</w:t>
            </w:r>
          </w:p>
        </w:tc>
        <w:tc>
          <w:tcPr>
            <w:tcW w:w="0" w:type="dxa"/>
            <w:vAlign w:val="bottom"/>
          </w:tcPr>
          <w:p>
            <w:pPr>
              <w:spacing w:after="0"/>
              <w:rPr>
                <w:sz w:val="1"/>
                <w:szCs w:val="1"/>
                <w:color w:val="auto"/>
              </w:rPr>
            </w:pPr>
          </w:p>
        </w:tc>
      </w:tr>
      <w:tr>
        <w:trPr>
          <w:trHeight w:val="171"/>
        </w:trPr>
        <w:tc>
          <w:tcPr>
            <w:tcW w:w="258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KINGSTOWNE TOWNE CENTER</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72,234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137,466</w:t>
            </w:r>
          </w:p>
        </w:tc>
        <w:tc>
          <w:tcPr>
            <w:tcW w:w="80" w:type="dxa"/>
            <w:vAlign w:val="bottom"/>
          </w:tcPr>
          <w:p>
            <w:pPr>
              <w:spacing w:after="0"/>
              <w:rPr>
                <w:sz w:val="14"/>
                <w:szCs w:val="14"/>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134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72,234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137,600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209,834</w:t>
            </w:r>
          </w:p>
        </w:tc>
        <w:tc>
          <w:tcPr>
            <w:tcW w:w="8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2,827</w:t>
            </w:r>
          </w:p>
        </w:tc>
        <w:tc>
          <w:tcPr>
            <w:tcW w:w="8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1996/2001/</w:t>
            </w:r>
          </w:p>
        </w:tc>
        <w:tc>
          <w:tcPr>
            <w:tcW w:w="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4/20/22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7/27/22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LANCASTER (Pennsylvania)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6,621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8,292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8,724</w:t>
            </w:r>
          </w:p>
        </w:tc>
        <w:tc>
          <w:tcPr>
            <w:tcW w:w="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4/24/1980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LANGHORNE SQUARE</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21,044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24,738</w:t>
            </w:r>
          </w:p>
        </w:tc>
        <w:tc>
          <w:tcPr>
            <w:tcW w:w="80" w:type="dxa"/>
            <w:vAlign w:val="bottom"/>
          </w:tcPr>
          <w:p>
            <w:pPr>
              <w:spacing w:after="0"/>
              <w:rPr>
                <w:sz w:val="21"/>
                <w:szCs w:val="21"/>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18,544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1/31/1985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(Pennsylvania)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LAUREL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22,525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31,484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53,916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61,467</w:t>
            </w:r>
          </w:p>
        </w:tc>
        <w:tc>
          <w:tcPr>
            <w:tcW w:w="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44,562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8/15/1986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LAWRENCE PARK (Pennsylvania)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8,491</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47,128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55,608</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61,769</w:t>
            </w:r>
          </w:p>
        </w:tc>
        <w:tc>
          <w:tcPr>
            <w:tcW w:w="80" w:type="dxa"/>
            <w:vAlign w:val="bottom"/>
          </w:tcPr>
          <w:p>
            <w:pPr>
              <w:spacing w:after="0"/>
              <w:rPr>
                <w:sz w:val="21"/>
                <w:szCs w:val="21"/>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26,059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7/23/1980</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&amp; 4/3/17</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LINDEN SQUARE (Massachusetts)</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79,382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19,247</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59,103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79,346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78,386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157,732</w:t>
            </w:r>
          </w:p>
        </w:tc>
        <w:tc>
          <w:tcPr>
            <w:tcW w:w="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33,750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1960-2008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8/24/2006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MELVILLE MALL (New York)</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32,882</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36,431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69,313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104,935</w:t>
            </w:r>
          </w:p>
        </w:tc>
        <w:tc>
          <w:tcPr>
            <w:tcW w:w="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25,179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10/16/2006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MERCER MALL (New Jersey)</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18,358</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51,788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70,195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76,063</w:t>
            </w:r>
          </w:p>
        </w:tc>
        <w:tc>
          <w:tcPr>
            <w:tcW w:w="80" w:type="dxa"/>
            <w:vAlign w:val="bottom"/>
          </w:tcPr>
          <w:p>
            <w:pPr>
              <w:spacing w:after="0"/>
              <w:rPr>
                <w:sz w:val="21"/>
                <w:szCs w:val="21"/>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40,726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10/14/03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1/31/17</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MONTROSE CROSSING</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1960s,</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12/27/11 &amp;</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48,624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91,819</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31,945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48,624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123,764</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172,388</w:t>
            </w:r>
          </w:p>
        </w:tc>
        <w:tc>
          <w:tcPr>
            <w:tcW w:w="8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44,035</w:t>
            </w:r>
          </w:p>
        </w:tc>
        <w:tc>
          <w:tcPr>
            <w:tcW w:w="8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1970s, 1996</w:t>
            </w:r>
          </w:p>
        </w:tc>
        <w:tc>
          <w:tcPr>
            <w:tcW w:w="1000" w:type="dxa"/>
            <w:vAlign w:val="bottom"/>
            <w:gridSpan w:val="2"/>
            <w:vMerge w:val="continue"/>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&amp; 2011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12/19/13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MOUNT VERNON/SOUTH</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1966/1972/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3/31/03,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VALLEY/7770 RICHMOND HWY.</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15,769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33,501</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45,682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15,851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79,101</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94,952</w:t>
            </w:r>
          </w:p>
        </w:tc>
        <w:tc>
          <w:tcPr>
            <w:tcW w:w="8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47,780</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3/21/03,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1987/2001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NORTH DARTMOUTH</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9,366</w:t>
            </w:r>
          </w:p>
        </w:tc>
        <w:tc>
          <w:tcPr>
            <w:tcW w:w="80" w:type="dxa"/>
            <w:vAlign w:val="bottom"/>
          </w:tcPr>
          <w:p>
            <w:pPr>
              <w:spacing w:after="0"/>
              <w:rPr>
                <w:sz w:val="18"/>
                <w:szCs w:val="18"/>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9,366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9,369</w:t>
            </w:r>
          </w:p>
        </w:tc>
        <w:tc>
          <w:tcPr>
            <w:tcW w:w="80" w:type="dxa"/>
            <w:vAlign w:val="bottom"/>
          </w:tcPr>
          <w:p>
            <w:pPr>
              <w:spacing w:after="0"/>
              <w:rPr>
                <w:sz w:val="18"/>
                <w:szCs w:val="18"/>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8/24/2006</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(Massachusetts)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NORTHEAST (Pennsylvania)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25,542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34,320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35,259</w:t>
            </w:r>
          </w:p>
        </w:tc>
        <w:tc>
          <w:tcPr>
            <w:tcW w:w="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22,611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8/30/1983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OLD KEENE MILL (Virginia)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12,045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13,681</w:t>
            </w:r>
          </w:p>
        </w:tc>
        <w:tc>
          <w:tcPr>
            <w:tcW w:w="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6/15/1976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OLD TOWN CENTER (California)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35,035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37,800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41,220</w:t>
            </w:r>
          </w:p>
        </w:tc>
        <w:tc>
          <w:tcPr>
            <w:tcW w:w="80" w:type="dxa"/>
            <w:vAlign w:val="bottom"/>
          </w:tcPr>
          <w:p>
            <w:pPr>
              <w:spacing w:after="0"/>
              <w:rPr>
                <w:sz w:val="21"/>
                <w:szCs w:val="21"/>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25,856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10/22/1997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1997-1998</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OLIVO AT MISSION HILLS</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15,048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46,732</w:t>
            </w:r>
          </w:p>
        </w:tc>
        <w:tc>
          <w:tcPr>
            <w:tcW w:w="80" w:type="dxa"/>
            <w:vAlign w:val="bottom"/>
          </w:tcPr>
          <w:p>
            <w:pPr>
              <w:spacing w:after="0"/>
              <w:rPr>
                <w:sz w:val="17"/>
                <w:szCs w:val="17"/>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20,903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15,048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67,635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82,683</w:t>
            </w:r>
          </w:p>
        </w:tc>
        <w:tc>
          <w:tcPr>
            <w:tcW w:w="80" w:type="dxa"/>
            <w:vAlign w:val="bottom"/>
          </w:tcPr>
          <w:p>
            <w:pPr>
              <w:spacing w:after="0"/>
              <w:rPr>
                <w:sz w:val="17"/>
                <w:szCs w:val="1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8,590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2017-2018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8/2/2017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PAN AM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12,929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22,983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31,678</w:t>
            </w:r>
          </w:p>
        </w:tc>
        <w:tc>
          <w:tcPr>
            <w:tcW w:w="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PERRING PLAZA (Maryland)</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6,461</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26,183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32,644</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35,444</w:t>
            </w:r>
          </w:p>
        </w:tc>
        <w:tc>
          <w:tcPr>
            <w:tcW w:w="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24,815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10/1/1985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17"/>
        </w:trPr>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5/18/82,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PIKE &amp; ROSE (Maryland)</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31,471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761,536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33,716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769,626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803,342</w:t>
            </w:r>
          </w:p>
        </w:tc>
        <w:tc>
          <w:tcPr>
            <w:tcW w:w="8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103,351</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10/26/07,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7/31/12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PIKE 7 PLAZA (Virginia)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14,970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22,799</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14,342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14,914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37,197</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52,111</w:t>
            </w:r>
          </w:p>
        </w:tc>
        <w:tc>
          <w:tcPr>
            <w:tcW w:w="80" w:type="dxa"/>
            <w:vAlign w:val="bottom"/>
          </w:tcPr>
          <w:p>
            <w:pPr>
              <w:spacing w:after="0"/>
              <w:rPr>
                <w:sz w:val="18"/>
                <w:szCs w:val="18"/>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21,950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3/31/97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PLAZA DEL MERCADO</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21,553</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15,022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46,880</w:t>
            </w:r>
          </w:p>
        </w:tc>
        <w:tc>
          <w:tcPr>
            <w:tcW w:w="80" w:type="dxa"/>
            <w:vAlign w:val="bottom"/>
          </w:tcPr>
          <w:p>
            <w:pPr>
              <w:spacing w:after="0"/>
              <w:rPr>
                <w:sz w:val="18"/>
                <w:szCs w:val="18"/>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10,092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1/13/2016</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5480" w:h="11880" w:orient="landscape"/>
          <w:cols w:equalWidth="0" w:num="2">
            <w:col w:w="218" w:space="507"/>
            <w:col w:w="13800"/>
          </w:cols>
          <w:pgMar w:left="315" w:top="603" w:right="640" w:bottom="171"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F-44</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statements is</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computed</w:t>
            </w:r>
          </w:p>
        </w:tc>
        <w:tc>
          <w:tcPr>
            <w:tcW w:w="0" w:type="dxa"/>
            <w:vAlign w:val="bottom"/>
          </w:tcPr>
          <w:p>
            <w:pPr>
              <w:spacing w:after="0"/>
              <w:rPr>
                <w:sz w:val="1"/>
                <w:szCs w:val="1"/>
                <w:color w:val="auto"/>
              </w:rPr>
            </w:pPr>
          </w:p>
        </w:tc>
      </w:tr>
      <w:tr>
        <w:trPr>
          <w:trHeight w:val="185"/>
        </w:trPr>
        <w:tc>
          <w:tcPr>
            <w:tcW w:w="25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PLAZA DEL SOL (California)</w:t>
            </w:r>
          </w:p>
        </w:tc>
        <w:tc>
          <w:tcPr>
            <w:tcW w:w="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12,331</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12,350</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17,955</w:t>
            </w: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2,258</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8/2/2017</w:t>
            </w:r>
          </w:p>
        </w:tc>
        <w:tc>
          <w:tcPr>
            <w:tcW w:w="8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12/30/11,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PLAZA EL SEGUNDO/THE POINT</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2006/2007/</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6/14/13,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124,614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62,127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153,556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88,748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64,463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239,968</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304,431</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74,977</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7/26/13,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(California)</w:t>
            </w: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12/27/13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QUEEN ANNE PLAZA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7,542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15,999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19,318</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11,884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12/23/1994</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(Massachusetts)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QUINCE ORCHARD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7,949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29,436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37,654</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40,582</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26,197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RIVERPOINT CENTER (Illinois)</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104,572</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2,173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106,745</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122,167</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19,616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1989, 2012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3/31/2017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7"/>
        </w:trPr>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SAN ANTONIO CENTER</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1964-1965,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1/9/2015,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26,400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18,462</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5,887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26,400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24,349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50,749</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6,144</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1974-1975,</w:t>
            </w:r>
          </w:p>
        </w:tc>
        <w:tc>
          <w:tcPr>
            <w:tcW w:w="1000" w:type="dxa"/>
            <w:vAlign w:val="bottom"/>
            <w:gridSpan w:val="2"/>
            <w:vMerge w:val="continue"/>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1995-1997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9/13/19</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1999-2006,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7/13/12,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2009, 2011,</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9/6/12,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SANTANA ROW (California)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66,682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1,205,916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57,592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1,222,508</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1,280,100</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295,689</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2014,</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4/30/13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9/23/13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SYLMAR TOWNE CENTER</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24,637</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3,160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27,797</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46,319</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4,791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8/2/2017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20,682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72,432</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34,072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20,685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106,501</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127,186</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49,604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3/8/2007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GROVE AT SHREWSBURY</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43,168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18,016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103,115</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9,200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112,310</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130,331</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31,948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1988/1993/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1/1/2014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(New Jersey)</w:t>
            </w: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SHOPPES AT NOTTINGHAM</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12,849</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2,208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15,057</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19,498</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7,448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2005 - 2006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3/8/2007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SQUARE (Maryland)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SHOPS AT PEMBROKE</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39,506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141,356</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39,506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141,452</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180,958</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2,489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7/27/2022</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GARDENS (Florida)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THIRD STREET PROMENADE</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22,645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53,725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25,125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63,954</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89,079</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38,262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1888-2000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1996-2000</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8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(California)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TOWER SHOPPNG CENTER</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10,518</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5,434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15,842</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23,122</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11,161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1953-1960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8/24/1998</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8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(Virginia)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TOWER SHOPS (Florida)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29,940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43,390</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29,095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29,962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72,463</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102,425</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28,776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1989, 2017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1/19/11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6/13/14</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TOWN CENTER OF NEW</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4,219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17,786</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7,643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6/29/2006</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BRITAIN (Pennsylvania)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TROY HILLS (New Jersey)</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33,191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35,645</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41,510</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25,966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7/23/1980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bl>
    <w:p>
      <w:pPr>
        <w:sectPr>
          <w:pgSz w:w="15480" w:h="11880" w:orient="landscape"/>
          <w:cols w:equalWidth="0" w:num="2">
            <w:col w:w="218" w:space="509"/>
            <w:col w:w="13800"/>
          </w:cols>
          <w:pgMar w:left="313" w:top="603" w:right="640" w:bottom="322"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F-45</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to</w:t>
            </w:r>
          </w:p>
        </w:tc>
        <w:tc>
          <w:tcPr>
            <w:tcW w:w="8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statements is</w:t>
            </w:r>
          </w:p>
        </w:tc>
        <w:tc>
          <w:tcPr>
            <w:tcW w:w="0" w:type="dxa"/>
            <w:vAlign w:val="bottom"/>
          </w:tcPr>
          <w:p>
            <w:pPr>
              <w:spacing w:after="0"/>
              <w:rPr>
                <w:sz w:val="1"/>
                <w:szCs w:val="1"/>
                <w:color w:val="auto"/>
              </w:rPr>
            </w:pPr>
          </w:p>
        </w:tc>
      </w:tr>
      <w:tr>
        <w:trPr>
          <w:trHeight w:val="190"/>
        </w:trPr>
        <w:tc>
          <w:tcPr>
            <w:tcW w:w="2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computed</w:t>
            </w:r>
          </w:p>
        </w:tc>
        <w:tc>
          <w:tcPr>
            <w:tcW w:w="0" w:type="dxa"/>
            <w:vAlign w:val="bottom"/>
          </w:tcPr>
          <w:p>
            <w:pPr>
              <w:spacing w:after="0"/>
              <w:rPr>
                <w:sz w:val="1"/>
                <w:szCs w:val="1"/>
                <w:color w:val="auto"/>
              </w:rPr>
            </w:pPr>
          </w:p>
        </w:tc>
      </w:tr>
      <w:tr>
        <w:trPr>
          <w:trHeight w:val="186"/>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TWINBROOKE SHOPPING</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18,898</w:t>
            </w:r>
          </w:p>
        </w:tc>
        <w:tc>
          <w:tcPr>
            <w:tcW w:w="80" w:type="dxa"/>
            <w:vAlign w:val="bottom"/>
          </w:tcPr>
          <w:p>
            <w:pPr>
              <w:spacing w:after="0"/>
              <w:rPr>
                <w:sz w:val="16"/>
                <w:szCs w:val="16"/>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334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19,232</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35,716</w:t>
            </w:r>
          </w:p>
        </w:tc>
        <w:tc>
          <w:tcPr>
            <w:tcW w:w="80" w:type="dxa"/>
            <w:vAlign w:val="bottom"/>
          </w:tcPr>
          <w:p>
            <w:pPr>
              <w:spacing w:after="0"/>
              <w:rPr>
                <w:sz w:val="16"/>
                <w:szCs w:val="16"/>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1,043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9/2/2021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CENTRE (Virginia)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TYSON'S STATION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5,615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6,456</w:t>
            </w:r>
          </w:p>
        </w:tc>
        <w:tc>
          <w:tcPr>
            <w:tcW w:w="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1/17/1978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VILLAGE AT SHIRLINGTON</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9,761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14,808</w:t>
            </w:r>
          </w:p>
        </w:tc>
        <w:tc>
          <w:tcPr>
            <w:tcW w:w="80" w:type="dxa"/>
            <w:vAlign w:val="bottom"/>
          </w:tcPr>
          <w:p>
            <w:pPr>
              <w:spacing w:after="0"/>
              <w:rPr>
                <w:sz w:val="21"/>
                <w:szCs w:val="21"/>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44,879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63,499</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69,448</w:t>
            </w:r>
          </w:p>
        </w:tc>
        <w:tc>
          <w:tcPr>
            <w:tcW w:w="80" w:type="dxa"/>
            <w:vAlign w:val="bottom"/>
          </w:tcPr>
          <w:p>
            <w:pPr>
              <w:spacing w:after="0"/>
              <w:rPr>
                <w:sz w:val="21"/>
                <w:szCs w:val="21"/>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35,458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12/21/1995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2006-2009</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WESTGATE CENTER (California)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107,284</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43,641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150,925</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157,244</w:t>
            </w:r>
          </w:p>
        </w:tc>
        <w:tc>
          <w:tcPr>
            <w:tcW w:w="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77,351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1960-1966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3/31/2004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27"/>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WESTPOST (FORMERLY KNOWN</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80" w:type="dxa"/>
            <w:vAlign w:val="bottom"/>
          </w:tcPr>
          <w:p>
            <w:pPr>
              <w:spacing w:after="0"/>
              <w:rPr>
                <w:sz w:val="19"/>
                <w:szCs w:val="19"/>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111,100</w:t>
            </w:r>
          </w:p>
        </w:tc>
        <w:tc>
          <w:tcPr>
            <w:tcW w:w="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114,055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114,055</w:t>
            </w:r>
          </w:p>
        </w:tc>
        <w:tc>
          <w:tcPr>
            <w:tcW w:w="80" w:type="dxa"/>
            <w:vAlign w:val="bottom"/>
          </w:tcPr>
          <w:p>
            <w:pPr>
              <w:spacing w:after="0"/>
              <w:rPr>
                <w:sz w:val="19"/>
                <w:szCs w:val="19"/>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61,422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1999 - 2002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1998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PENTAGON ROW) (Virginia)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11/22/10</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WHITE MARSH PLAZA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21,413</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23,490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27,004</w:t>
            </w:r>
          </w:p>
        </w:tc>
        <w:tc>
          <w:tcPr>
            <w:tcW w:w="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11,813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3/8/2007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WHITE MARSH OTHER</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27,720</w:t>
            </w:r>
          </w:p>
        </w:tc>
        <w:tc>
          <w:tcPr>
            <w:tcW w:w="80" w:type="dxa"/>
            <w:vAlign w:val="bottom"/>
          </w:tcPr>
          <w:p>
            <w:pPr>
              <w:spacing w:after="0"/>
              <w:rPr>
                <w:sz w:val="21"/>
                <w:szCs w:val="2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195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27,750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27,915</w:t>
            </w:r>
          </w:p>
        </w:tc>
        <w:tc>
          <w:tcPr>
            <w:tcW w:w="80" w:type="dxa"/>
            <w:vAlign w:val="bottom"/>
          </w:tcPr>
          <w:p>
            <w:pPr>
              <w:spacing w:after="0"/>
              <w:rPr>
                <w:sz w:val="21"/>
                <w:szCs w:val="21"/>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3/8/2007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WILDWOOD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17,774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18,835</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27,946</w:t>
            </w:r>
          </w:p>
        </w:tc>
        <w:tc>
          <w:tcPr>
            <w:tcW w:w="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10,965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5/5/1969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WILLOW GROVE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29,039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35,682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37,181</w:t>
            </w:r>
          </w:p>
        </w:tc>
        <w:tc>
          <w:tcPr>
            <w:tcW w:w="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23,076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11/20/1984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WILLOW LAWN (Virginia)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7,723</w:t>
            </w:r>
          </w:p>
        </w:tc>
        <w:tc>
          <w:tcPr>
            <w:tcW w:w="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95,106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98,231</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106,021</w:t>
            </w:r>
          </w:p>
        </w:tc>
        <w:tc>
          <w:tcPr>
            <w:tcW w:w="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70,589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12/5/1983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WYNNEWOOD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22,003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35,762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43,817</w:t>
            </w:r>
          </w:p>
        </w:tc>
        <w:tc>
          <w:tcPr>
            <w:tcW w:w="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28,189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10/29/1996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7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TOTALS</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320,615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$ 1,682,853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3,022,488</w:t>
            </w:r>
          </w:p>
        </w:tc>
        <w:tc>
          <w:tcPr>
            <w:tcW w:w="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$ 5,399,158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$ 1,678,321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8,426,178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$10,104,499</w:t>
            </w:r>
          </w:p>
        </w:tc>
        <w:tc>
          <w:tcPr>
            <w:tcW w:w="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$ 2,715,817</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 Depreciation of building and improvements is calculated based on useful lives ranging from the life of the lease to 50 years.</w:t>
      </w:r>
    </w:p>
    <w:p>
      <w:pPr>
        <w:sectPr>
          <w:pgSz w:w="15480" w:h="11880" w:orient="landscape"/>
          <w:cols w:equalWidth="0" w:num="2">
            <w:col w:w="218" w:space="507"/>
            <w:col w:w="13800"/>
          </w:cols>
          <w:pgMar w:left="315" w:top="603" w:right="6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Years Ended December 31, 2022</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Total Cost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2019 </w:t>
            </w:r>
            <w:r>
              <w:rPr>
                <w:rFonts w:ascii="Times New Roman" w:cs="Times New Roman" w:eastAsia="Times New Roman" w:hAnsi="Times New Roman"/>
                <w:sz w:val="20"/>
                <w:szCs w:val="20"/>
                <w:color w:val="AEAEAE"/>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8,298,132</w:t>
            </w:r>
          </w:p>
        </w:tc>
        <w:tc>
          <w:tcPr>
            <w:tcW w:w="0" w:type="dxa"/>
            <w:vAlign w:val="bottom"/>
          </w:tcPr>
          <w:p>
            <w:pPr>
              <w:spacing w:after="0"/>
              <w:rPr>
                <w:sz w:val="1"/>
                <w:szCs w:val="1"/>
                <w:color w:val="auto"/>
              </w:rPr>
            </w:pPr>
          </w:p>
        </w:tc>
      </w:tr>
      <w:tr>
        <w:trPr>
          <w:trHeight w:val="285"/>
        </w:trPr>
        <w:tc>
          <w:tcPr>
            <w:tcW w:w="904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Additions during period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Acquisitions </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39,440</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Improvements </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473,679</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Deductions during period</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Impairment of property</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(68,484)</w:t>
            </w:r>
          </w:p>
        </w:tc>
        <w:tc>
          <w:tcPr>
            <w:tcW w:w="0" w:type="dxa"/>
            <w:vAlign w:val="bottom"/>
          </w:tcPr>
          <w:p>
            <w:pPr>
              <w:spacing w:after="0"/>
              <w:rPr>
                <w:sz w:val="1"/>
                <w:szCs w:val="1"/>
                <w:color w:val="auto"/>
              </w:rPr>
            </w:pPr>
          </w:p>
        </w:tc>
      </w:tr>
      <w:tr>
        <w:trPr>
          <w:trHeight w:val="288"/>
        </w:trPr>
        <w:tc>
          <w:tcPr>
            <w:tcW w:w="9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Dispositions and retirements of property</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(159,897)</w:t>
            </w:r>
          </w:p>
        </w:tc>
        <w:tc>
          <w:tcPr>
            <w:tcW w:w="0" w:type="dxa"/>
            <w:vAlign w:val="bottom"/>
          </w:tcPr>
          <w:p>
            <w:pPr>
              <w:spacing w:after="0"/>
              <w:rPr>
                <w:sz w:val="1"/>
                <w:szCs w:val="1"/>
                <w:color w:val="auto"/>
              </w:rPr>
            </w:pPr>
          </w:p>
        </w:tc>
      </w:tr>
      <w:tr>
        <w:trPr>
          <w:trHeight w:val="262"/>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2020 </w:t>
            </w:r>
            <w:r>
              <w:rPr>
                <w:rFonts w:ascii="Times New Roman" w:cs="Times New Roman" w:eastAsia="Times New Roman" w:hAnsi="Times New Roman"/>
                <w:sz w:val="20"/>
                <w:szCs w:val="20"/>
                <w:color w:val="AEAEAE"/>
                <w:w w:val="99"/>
              </w:rPr>
              <w:t>....................................................................................................................................</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8,582,870</w:t>
            </w:r>
          </w:p>
        </w:tc>
        <w:tc>
          <w:tcPr>
            <w:tcW w:w="0" w:type="dxa"/>
            <w:vAlign w:val="bottom"/>
          </w:tcPr>
          <w:p>
            <w:pPr>
              <w:spacing w:after="0"/>
              <w:rPr>
                <w:sz w:val="1"/>
                <w:szCs w:val="1"/>
                <w:color w:val="auto"/>
              </w:rPr>
            </w:pPr>
          </w:p>
        </w:tc>
      </w:tr>
      <w:tr>
        <w:trPr>
          <w:trHeight w:val="285"/>
        </w:trPr>
        <w:tc>
          <w:tcPr>
            <w:tcW w:w="904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Additions during period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Acquisitions </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519,350</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Improvements </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424,521</w:t>
            </w:r>
          </w:p>
        </w:tc>
        <w:tc>
          <w:tcPr>
            <w:tcW w:w="0" w:type="dxa"/>
            <w:vAlign w:val="bottom"/>
          </w:tcPr>
          <w:p>
            <w:pPr>
              <w:spacing w:after="0"/>
              <w:rPr>
                <w:sz w:val="1"/>
                <w:szCs w:val="1"/>
                <w:color w:val="auto"/>
              </w:rPr>
            </w:pPr>
          </w:p>
        </w:tc>
      </w:tr>
      <w:tr>
        <w:trPr>
          <w:trHeight w:val="288"/>
        </w:trPr>
        <w:tc>
          <w:tcPr>
            <w:tcW w:w="9040" w:type="dxa"/>
            <w:vAlign w:val="bottom"/>
          </w:tcPr>
          <w:p>
            <w:pPr>
              <w:jc w:val="right"/>
              <w:ind w:right="3360"/>
              <w:spacing w:after="0"/>
              <w:rPr>
                <w:sz w:val="20"/>
                <w:szCs w:val="20"/>
                <w:color w:val="auto"/>
              </w:rPr>
            </w:pPr>
            <w:r>
              <w:rPr>
                <w:rFonts w:ascii="Times New Roman" w:cs="Times New Roman" w:eastAsia="Times New Roman" w:hAnsi="Times New Roman"/>
                <w:sz w:val="20"/>
                <w:szCs w:val="20"/>
                <w:color w:val="auto"/>
              </w:rPr>
              <w:t>Deduction during period—dispositions and retirements of property</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(104,679)</w:t>
            </w:r>
          </w:p>
        </w:tc>
        <w:tc>
          <w:tcPr>
            <w:tcW w:w="0" w:type="dxa"/>
            <w:vAlign w:val="bottom"/>
          </w:tcPr>
          <w:p>
            <w:pPr>
              <w:spacing w:after="0"/>
              <w:rPr>
                <w:sz w:val="1"/>
                <w:szCs w:val="1"/>
                <w:color w:val="auto"/>
              </w:rPr>
            </w:pPr>
          </w:p>
        </w:tc>
      </w:tr>
      <w:tr>
        <w:trPr>
          <w:trHeight w:val="262"/>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2021 </w:t>
            </w:r>
            <w:r>
              <w:rPr>
                <w:rFonts w:ascii="Times New Roman" w:cs="Times New Roman" w:eastAsia="Times New Roman" w:hAnsi="Times New Roman"/>
                <w:sz w:val="20"/>
                <w:szCs w:val="20"/>
                <w:color w:val="AEAEAE"/>
                <w:w w:val="99"/>
              </w:rPr>
              <w:t>....................................................................................................................................</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9,422,062</w:t>
            </w:r>
          </w:p>
        </w:tc>
        <w:tc>
          <w:tcPr>
            <w:tcW w:w="0" w:type="dxa"/>
            <w:vAlign w:val="bottom"/>
          </w:tcPr>
          <w:p>
            <w:pPr>
              <w:spacing w:after="0"/>
              <w:rPr>
                <w:sz w:val="1"/>
                <w:szCs w:val="1"/>
                <w:color w:val="auto"/>
              </w:rPr>
            </w:pPr>
          </w:p>
        </w:tc>
      </w:tr>
      <w:tr>
        <w:trPr>
          <w:trHeight w:val="285"/>
        </w:trPr>
        <w:tc>
          <w:tcPr>
            <w:tcW w:w="904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Additions during period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Acquisitions </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445,319</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Improvements </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399,623</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Deduction during period—dispositions and retirements of property</w:t>
            </w:r>
            <w:r>
              <w:rPr>
                <w:rFonts w:ascii="Times New Roman" w:cs="Times New Roman" w:eastAsia="Times New Roman" w:hAnsi="Times New Roman"/>
                <w:sz w:val="20"/>
                <w:szCs w:val="20"/>
                <w:color w:val="AEAEAE"/>
              </w:rPr>
              <w:t>...................................................................</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Dispositions and retirements of property</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(107,682)</w:t>
            </w:r>
          </w:p>
        </w:tc>
        <w:tc>
          <w:tcPr>
            <w:tcW w:w="0" w:type="dxa"/>
            <w:vAlign w:val="bottom"/>
          </w:tcPr>
          <w:p>
            <w:pPr>
              <w:spacing w:after="0"/>
              <w:rPr>
                <w:sz w:val="1"/>
                <w:szCs w:val="1"/>
                <w:color w:val="auto"/>
              </w:rPr>
            </w:pPr>
          </w:p>
        </w:tc>
      </w:tr>
      <w:tr>
        <w:trPr>
          <w:trHeight w:val="288"/>
        </w:trPr>
        <w:tc>
          <w:tcPr>
            <w:tcW w:w="9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Deconsolidation of VIE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(54,823)</w:t>
            </w:r>
          </w:p>
        </w:tc>
        <w:tc>
          <w:tcPr>
            <w:tcW w:w="0" w:type="dxa"/>
            <w:vAlign w:val="bottom"/>
          </w:tcPr>
          <w:p>
            <w:pPr>
              <w:spacing w:after="0"/>
              <w:rPr>
                <w:sz w:val="1"/>
                <w:szCs w:val="1"/>
                <w:color w:val="auto"/>
              </w:rPr>
            </w:pPr>
          </w:p>
        </w:tc>
      </w:tr>
      <w:tr>
        <w:trPr>
          <w:trHeight w:val="24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Balance, December 31, 2022 (1) </w:t>
            </w:r>
            <w:r>
              <w:rPr>
                <w:rFonts w:ascii="Times New Roman" w:cs="Times New Roman" w:eastAsia="Times New Roman" w:hAnsi="Times New Roman"/>
                <w:sz w:val="20"/>
                <w:szCs w:val="20"/>
                <w:color w:val="AEAEAE"/>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10,104,499</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0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9040" w:type="dxa"/>
            <w:vAlign w:val="bottom"/>
          </w:tcPr>
          <w:p>
            <w:pPr>
              <w:spacing w:after="0"/>
              <w:rPr>
                <w:sz w:val="20"/>
                <w:szCs w:val="20"/>
                <w:color w:val="auto"/>
              </w:rPr>
            </w:pPr>
            <w:r>
              <w:rPr>
                <w:rFonts w:ascii="Times New Roman" w:cs="Times New Roman" w:eastAsia="Times New Roman" w:hAnsi="Times New Roman"/>
                <w:sz w:val="20"/>
                <w:szCs w:val="20"/>
                <w:color w:val="auto"/>
              </w:rPr>
              <w:t>(1) For Federal tax purposes, the aggregate cost basis is approximately $9.0 billion as of December 31, 2022.</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4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1880" w:h="15480" w:orient="portrait"/>
          <w:cols w:equalWidth="0" w:num="1">
            <w:col w:w="10240"/>
          </w:cols>
          <w:pgMar w:left="820" w:top="406" w:right="820" w:bottom="0" w:gutter="0" w:footer="0" w:header="0"/>
          <w:type w:val="continuous"/>
        </w:sectPr>
      </w:pPr>
    </w:p>
    <w:bookmarkStart w:id="112" w:name="page113"/>
    <w:bookmarkEnd w:id="11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SUMMARY OF REAL ESTATE AND ACCUMULATED DEPRECIATION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Three Years Ended December 31, 2022</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Reconciliation of Accumulated Depreciation and Amortization</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2019 </w:t>
            </w:r>
            <w:r>
              <w:rPr>
                <w:rFonts w:ascii="Times New Roman" w:cs="Times New Roman" w:eastAsia="Times New Roman" w:hAnsi="Times New Roman"/>
                <w:sz w:val="20"/>
                <w:szCs w:val="20"/>
                <w:color w:val="AEAEAE"/>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2,215,413</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Additions during period—depreciation and amortization expense</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229,199</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Deductions during period</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8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Impairment of property</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(11,631)</w:t>
            </w:r>
          </w:p>
        </w:tc>
      </w:tr>
      <w:tr>
        <w:trPr>
          <w:trHeight w:val="288"/>
        </w:trPr>
        <w:tc>
          <w:tcPr>
            <w:tcW w:w="8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Dispositions and retirements of property</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(75,289)</w:t>
            </w:r>
          </w:p>
        </w:tc>
      </w:tr>
      <w:tr>
        <w:trPr>
          <w:trHeight w:val="262"/>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2020 </w:t>
            </w:r>
            <w:r>
              <w:rPr>
                <w:rFonts w:ascii="Times New Roman" w:cs="Times New Roman" w:eastAsia="Times New Roman" w:hAnsi="Times New Roman"/>
                <w:sz w:val="20"/>
                <w:szCs w:val="20"/>
                <w:color w:val="AEAEAE"/>
                <w:w w:val="99"/>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2,357,692</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Additions during period—depreciation and amortization expense</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246,338</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Deductions during period -dispositions and retirements of property</w:t>
            </w:r>
            <w:r>
              <w:rPr>
                <w:rFonts w:ascii="Times New Roman" w:cs="Times New Roman" w:eastAsia="Times New Roman" w:hAnsi="Times New Roman"/>
                <w:sz w:val="20"/>
                <w:szCs w:val="20"/>
                <w:color w:val="AEAEAE"/>
              </w:rPr>
              <w:t>...................................................................</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(72,935)</w:t>
            </w:r>
          </w:p>
        </w:tc>
      </w:tr>
      <w:tr>
        <w:trPr>
          <w:trHeight w:val="262"/>
        </w:trPr>
        <w:tc>
          <w:tcPr>
            <w:tcW w:w="8980" w:type="dxa"/>
            <w:vAlign w:val="bottom"/>
          </w:tcPr>
          <w:p>
            <w:pPr>
              <w:jc w:val="right"/>
              <w:ind w:right="6580"/>
              <w:spacing w:after="0"/>
              <w:rPr>
                <w:sz w:val="20"/>
                <w:szCs w:val="20"/>
                <w:color w:val="auto"/>
              </w:rPr>
            </w:pPr>
            <w:r>
              <w:rPr>
                <w:rFonts w:ascii="Times New Roman" w:cs="Times New Roman" w:eastAsia="Times New Roman" w:hAnsi="Times New Roman"/>
                <w:sz w:val="20"/>
                <w:szCs w:val="20"/>
                <w:color w:val="auto"/>
                <w:w w:val="98"/>
              </w:rPr>
              <w:t>Balance, December 31, 2021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2,531,095</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Additions during period—depreciation and amortization expense</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266,877</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Deductions during period</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Dispositions and retirements of property</w:t>
            </w:r>
            <w:r>
              <w:rPr>
                <w:rFonts w:ascii="Times New Roman" w:cs="Times New Roman" w:eastAsia="Times New Roman" w:hAnsi="Times New Roman"/>
                <w:sz w:val="20"/>
                <w:szCs w:val="20"/>
                <w:color w:val="AEAEAE"/>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(59,066)</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Deconsolidation of VIE </w:t>
            </w:r>
            <w:r>
              <w:rPr>
                <w:rFonts w:ascii="Times New Roman" w:cs="Times New Roman" w:eastAsia="Times New Roman" w:hAnsi="Times New Roman"/>
                <w:sz w:val="20"/>
                <w:szCs w:val="20"/>
                <w:color w:val="AEAEAE"/>
              </w:rPr>
              <w:t>..................................................................................................................................</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(23,089)</w:t>
            </w:r>
          </w:p>
        </w:tc>
      </w:tr>
      <w:tr>
        <w:trPr>
          <w:trHeight w:val="24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2022 </w:t>
            </w:r>
            <w:r>
              <w:rPr>
                <w:rFonts w:ascii="Times New Roman" w:cs="Times New Roman" w:eastAsia="Times New Roman" w:hAnsi="Times New Roman"/>
                <w:sz w:val="20"/>
                <w:szCs w:val="20"/>
                <w:color w:val="AEAEAE"/>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2,715,817</w:t>
            </w:r>
          </w:p>
        </w:tc>
      </w:tr>
      <w:tr>
        <w:trPr>
          <w:trHeight w:val="20"/>
        </w:trPr>
        <w:tc>
          <w:tcPr>
            <w:tcW w:w="8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80" w:top="6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F-47</w:t>
      </w:r>
    </w:p>
    <w:p>
      <w:pPr>
        <w:sectPr>
          <w:pgSz w:w="11880" w:h="15480" w:orient="portrait"/>
          <w:cols w:equalWidth="0" w:num="1">
            <w:col w:w="10180"/>
          </w:cols>
          <w:pgMar w:left="880" w:top="646" w:right="820" w:bottom="0" w:gutter="0" w:footer="0" w:header="0"/>
          <w:type w:val="continuous"/>
        </w:sectPr>
      </w:pPr>
    </w:p>
    <w:bookmarkStart w:id="113" w:name="page114"/>
    <w:bookmarkEnd w:id="113"/>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SCHEDULE IV</w:t>
      </w:r>
    </w:p>
    <w:p>
      <w:pPr>
        <w:spacing w:after="0" w:line="1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MORTGAGE LOANS ON REAL ESTATE</w:t>
      </w:r>
    </w:p>
    <w:p>
      <w:pPr>
        <w:spacing w:after="0" w:line="1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p>
      <w:pPr>
        <w:spacing w:after="0" w:line="226"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80" w:type="dxa"/>
            <w:vAlign w:val="bottom"/>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Column B</w:t>
            </w:r>
          </w:p>
        </w:tc>
        <w:tc>
          <w:tcPr>
            <w:tcW w:w="8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Column C</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D</w:t>
            </w:r>
          </w:p>
        </w:tc>
        <w:tc>
          <w:tcPr>
            <w:tcW w:w="120" w:type="dxa"/>
            <w:vAlign w:val="bottom"/>
          </w:tcPr>
          <w:p>
            <w:pPr>
              <w:spacing w:after="0"/>
              <w:rPr>
                <w:sz w:val="18"/>
                <w:szCs w:val="18"/>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Column F</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Column G</w:t>
            </w: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Column H</w:t>
            </w: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6"/>
                <w:szCs w:val="16"/>
                <w:b w:val="1"/>
                <w:bCs w:val="1"/>
                <w:color w:val="auto"/>
              </w:rPr>
              <w:t>of Loans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2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Subject to</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Periodic Payment</w:t>
            </w:r>
          </w:p>
        </w:tc>
        <w:tc>
          <w:tcPr>
            <w:tcW w:w="120" w:type="dxa"/>
            <w:vAlign w:val="bottom"/>
          </w:tcPr>
          <w:p>
            <w:pPr>
              <w:spacing w:after="0"/>
              <w:rPr>
                <w:sz w:val="13"/>
                <w:szCs w:val="13"/>
                <w:color w:val="auto"/>
              </w:rPr>
            </w:pPr>
          </w:p>
        </w:tc>
        <w:tc>
          <w:tcPr>
            <w:tcW w:w="780" w:type="dxa"/>
            <w:vAlign w:val="bottom"/>
            <w:gridSpan w:val="2"/>
            <w:vMerge w:val="restart"/>
          </w:tcPr>
          <w:p>
            <w:pPr>
              <w:jc w:val="center"/>
              <w:ind w:left="196"/>
              <w:spacing w:after="0"/>
              <w:rPr>
                <w:sz w:val="20"/>
                <w:szCs w:val="20"/>
                <w:color w:val="auto"/>
              </w:rPr>
            </w:pPr>
            <w:r>
              <w:rPr>
                <w:rFonts w:ascii="Times New Roman" w:cs="Times New Roman" w:eastAsia="Times New Roman" w:hAnsi="Times New Roman"/>
                <w:sz w:val="16"/>
                <w:szCs w:val="16"/>
                <w:b w:val="1"/>
                <w:bCs w:val="1"/>
                <w:color w:val="auto"/>
              </w:rPr>
              <w:t>Prior</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Face Amount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delinquent</w:t>
            </w:r>
          </w:p>
        </w:tc>
        <w:tc>
          <w:tcPr>
            <w:tcW w:w="0" w:type="dxa"/>
            <w:vAlign w:val="bottom"/>
          </w:tcPr>
          <w:p>
            <w:pPr>
              <w:spacing w:after="0"/>
              <w:rPr>
                <w:sz w:val="1"/>
                <w:szCs w:val="1"/>
                <w:color w:val="auto"/>
              </w:rPr>
            </w:pPr>
          </w:p>
        </w:tc>
      </w:tr>
      <w:tr>
        <w:trPr>
          <w:trHeight w:val="160"/>
        </w:trPr>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 of Lien</w:t>
            </w:r>
          </w:p>
        </w:tc>
        <w:tc>
          <w:tcPr>
            <w:tcW w:w="80" w:type="dxa"/>
            <w:vAlign w:val="bottom"/>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80" w:type="dxa"/>
            <w:vAlign w:val="bottom"/>
          </w:tcPr>
          <w:p>
            <w:pPr>
              <w:spacing w:after="0"/>
              <w:rPr>
                <w:sz w:val="13"/>
                <w:szCs w:val="13"/>
                <w:color w:val="auto"/>
              </w:rPr>
            </w:pP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3"/>
                <w:szCs w:val="13"/>
                <w:color w:val="auto"/>
              </w:rPr>
            </w:pPr>
          </w:p>
        </w:tc>
        <w:tc>
          <w:tcPr>
            <w:tcW w:w="12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14"/>
        </w:trPr>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Terms</w:t>
            </w:r>
          </w:p>
        </w:tc>
        <w:tc>
          <w:tcPr>
            <w:tcW w:w="120" w:type="dxa"/>
            <w:vAlign w:val="bottom"/>
          </w:tcPr>
          <w:p>
            <w:pPr>
              <w:spacing w:after="0"/>
              <w:rPr>
                <w:sz w:val="18"/>
                <w:szCs w:val="18"/>
                <w:color w:val="auto"/>
              </w:rPr>
            </w:pPr>
          </w:p>
        </w:tc>
        <w:tc>
          <w:tcPr>
            <w:tcW w:w="780" w:type="dxa"/>
            <w:vAlign w:val="bottom"/>
            <w:gridSpan w:val="2"/>
          </w:tcPr>
          <w:p>
            <w:pPr>
              <w:jc w:val="center"/>
              <w:ind w:left="196"/>
              <w:spacing w:after="0"/>
              <w:rPr>
                <w:sz w:val="20"/>
                <w:szCs w:val="20"/>
                <w:color w:val="auto"/>
              </w:rPr>
            </w:pPr>
            <w:r>
              <w:rPr>
                <w:rFonts w:ascii="Times New Roman" w:cs="Times New Roman" w:eastAsia="Times New Roman" w:hAnsi="Times New Roman"/>
                <w:sz w:val="16"/>
                <w:szCs w:val="16"/>
                <w:b w:val="1"/>
                <w:bCs w:val="1"/>
                <w:color w:val="auto"/>
              </w:rPr>
              <w:t>Liens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Mortgages</w:t>
            </w:r>
          </w:p>
        </w:tc>
        <w:tc>
          <w:tcPr>
            <w:tcW w:w="8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of Mortgages(1)</w:t>
            </w:r>
          </w:p>
        </w:tc>
        <w:tc>
          <w:tcPr>
            <w:tcW w:w="6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or Interest</w:t>
            </w:r>
          </w:p>
        </w:tc>
        <w:tc>
          <w:tcPr>
            <w:tcW w:w="0" w:type="dxa"/>
            <w:vAlign w:val="bottom"/>
          </w:tcPr>
          <w:p>
            <w:pPr>
              <w:spacing w:after="0"/>
              <w:rPr>
                <w:sz w:val="1"/>
                <w:szCs w:val="1"/>
                <w:color w:val="auto"/>
              </w:rPr>
            </w:pPr>
          </w:p>
        </w:tc>
      </w:tr>
      <w:tr>
        <w:trPr>
          <w:trHeight w:val="181"/>
        </w:trPr>
        <w:tc>
          <w:tcPr>
            <w:tcW w:w="1440" w:type="dxa"/>
            <w:vAlign w:val="bottom"/>
            <w:tcBorders>
              <w:top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Second mortgage</w:t>
            </w:r>
          </w:p>
        </w:tc>
        <w:tc>
          <w:tcPr>
            <w:tcW w:w="80" w:type="dxa"/>
            <w:vAlign w:val="bottom"/>
          </w:tcPr>
          <w:p>
            <w:pPr>
              <w:spacing w:after="0"/>
              <w:rPr>
                <w:sz w:val="15"/>
                <w:szCs w:val="15"/>
                <w:color w:val="auto"/>
              </w:rPr>
            </w:pPr>
          </w:p>
        </w:tc>
        <w:tc>
          <w:tcPr>
            <w:tcW w:w="106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5"/>
                <w:szCs w:val="15"/>
                <w:color w:val="auto"/>
              </w:rPr>
            </w:pPr>
          </w:p>
        </w:tc>
        <w:tc>
          <w:tcPr>
            <w:tcW w:w="112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February</w:t>
            </w:r>
          </w:p>
        </w:tc>
        <w:tc>
          <w:tcPr>
            <w:tcW w:w="80" w:type="dxa"/>
            <w:vAlign w:val="bottom"/>
          </w:tcPr>
          <w:p>
            <w:pPr>
              <w:spacing w:after="0"/>
              <w:rPr>
                <w:sz w:val="15"/>
                <w:szCs w:val="15"/>
                <w:color w:val="auto"/>
              </w:rPr>
            </w:pPr>
          </w:p>
        </w:tc>
        <w:tc>
          <w:tcPr>
            <w:tcW w:w="136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Interest only</w:t>
            </w:r>
          </w:p>
        </w:tc>
        <w:tc>
          <w:tcPr>
            <w:tcW w:w="120" w:type="dxa"/>
            <w:vAlign w:val="bottom"/>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$58,750</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5,075</w:t>
            </w: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4,956</w:t>
            </w:r>
          </w:p>
        </w:tc>
        <w:tc>
          <w:tcPr>
            <w:tcW w:w="4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40" w:type="dxa"/>
            <w:vAlign w:val="bottom"/>
          </w:tcPr>
          <w:p>
            <w:pPr>
              <w:ind w:left="40"/>
              <w:spacing w:after="0" w:line="166" w:lineRule="exact"/>
              <w:rPr>
                <w:sz w:val="20"/>
                <w:szCs w:val="20"/>
                <w:color w:val="auto"/>
              </w:rPr>
            </w:pPr>
            <w:r>
              <w:rPr>
                <w:rFonts w:ascii="Times New Roman" w:cs="Times New Roman" w:eastAsia="Times New Roman" w:hAnsi="Times New Roman"/>
                <w:sz w:val="18"/>
                <w:szCs w:val="18"/>
                <w:color w:val="auto"/>
              </w:rPr>
              <w:t>on a retail</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4"/>
                <w:szCs w:val="14"/>
                <w:color w:val="auto"/>
              </w:rPr>
            </w:pPr>
          </w:p>
        </w:tc>
        <w:tc>
          <w:tcPr>
            <w:tcW w:w="1360" w:type="dxa"/>
            <w:vAlign w:val="bottom"/>
          </w:tcPr>
          <w:p>
            <w:pPr>
              <w:ind w:left="60"/>
              <w:spacing w:after="0" w:line="166" w:lineRule="exact"/>
              <w:rPr>
                <w:sz w:val="20"/>
                <w:szCs w:val="20"/>
                <w:color w:val="auto"/>
              </w:rPr>
            </w:pPr>
            <w:r>
              <w:rPr>
                <w:rFonts w:ascii="Times New Roman" w:cs="Times New Roman" w:eastAsia="Times New Roman" w:hAnsi="Times New Roman"/>
                <w:sz w:val="18"/>
                <w:szCs w:val="18"/>
                <w:color w:val="auto"/>
              </w:rPr>
              <w:t>monthly;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shopping center in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balloon</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Rockville, MD</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payment due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 maturity</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mortgage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w:t>
            </w: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only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58,750</w:t>
            </w:r>
          </w:p>
        </w:tc>
        <w:tc>
          <w:tcPr>
            <w:tcW w:w="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6"/>
        </w:trPr>
        <w:tc>
          <w:tcPr>
            <w:tcW w:w="1440" w:type="dxa"/>
            <w:vAlign w:val="bottom"/>
          </w:tcPr>
          <w:p>
            <w:pPr>
              <w:ind w:left="40"/>
              <w:spacing w:after="0" w:line="166" w:lineRule="exact"/>
              <w:rPr>
                <w:sz w:val="20"/>
                <w:szCs w:val="20"/>
                <w:color w:val="auto"/>
              </w:rPr>
            </w:pPr>
            <w:r>
              <w:rPr>
                <w:rFonts w:ascii="Times New Roman" w:cs="Times New Roman" w:eastAsia="Times New Roman" w:hAnsi="Times New Roman"/>
                <w:sz w:val="18"/>
                <w:szCs w:val="18"/>
                <w:color w:val="auto"/>
              </w:rPr>
              <w:t>on a retail</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4"/>
                <w:szCs w:val="14"/>
                <w:color w:val="auto"/>
              </w:rPr>
            </w:pPr>
          </w:p>
        </w:tc>
        <w:tc>
          <w:tcPr>
            <w:tcW w:w="1360" w:type="dxa"/>
            <w:vAlign w:val="bottom"/>
          </w:tcPr>
          <w:p>
            <w:pPr>
              <w:ind w:left="60"/>
              <w:spacing w:after="0" w:line="166" w:lineRule="exact"/>
              <w:rPr>
                <w:sz w:val="20"/>
                <w:szCs w:val="20"/>
                <w:color w:val="auto"/>
              </w:rPr>
            </w:pPr>
            <w:r>
              <w:rPr>
                <w:rFonts w:ascii="Times New Roman" w:cs="Times New Roman" w:eastAsia="Times New Roman" w:hAnsi="Times New Roman"/>
                <w:sz w:val="18"/>
                <w:szCs w:val="18"/>
                <w:color w:val="auto"/>
              </w:rPr>
              <w:t>monthly;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shopping center in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balloon</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Rockville, MD</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payment due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 maturity</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mortgage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October 2031</w:t>
            </w: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and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on a retail</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interest monthly;</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shopping center in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balloon payment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Baltimore, MD</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due at maturity</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10,175</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_____________________</w:t>
      </w:r>
    </w:p>
    <w:p>
      <w:pPr>
        <w:spacing w:after="0" w:line="30" w:lineRule="exact"/>
        <w:rPr>
          <w:sz w:val="20"/>
          <w:szCs w:val="20"/>
          <w:color w:val="auto"/>
        </w:rPr>
      </w:pPr>
    </w:p>
    <w:p>
      <w:pPr>
        <w:ind w:left="370" w:right="220" w:hanging="370"/>
        <w:spacing w:after="0" w:line="252" w:lineRule="auto"/>
        <w:tabs>
          <w:tab w:leader="none" w:pos="3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are net of any expected losses in accordance with ASU 2016-13. See note 2 to the consolidated financial statements. For Federal tax purposes, the aggregate tax basis is approximately $10.1 million as of December 31, 2022.</w:t>
      </w:r>
    </w:p>
    <w:p>
      <w:pPr>
        <w:spacing w:after="0" w:line="1" w:lineRule="exact"/>
        <w:rPr>
          <w:rFonts w:ascii="Times New Roman" w:cs="Times New Roman" w:eastAsia="Times New Roman" w:hAnsi="Times New Roman"/>
          <w:sz w:val="18"/>
          <w:szCs w:val="18"/>
          <w:color w:val="auto"/>
        </w:rPr>
      </w:pPr>
    </w:p>
    <w:p>
      <w:pPr>
        <w:ind w:left="370" w:right="560" w:hanging="370"/>
        <w:spacing w:after="0" w:line="250" w:lineRule="auto"/>
        <w:tabs>
          <w:tab w:leader="none" w:pos="3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mortgages are both subordinate to a first mortgage of $58.8 million in total. We do not hold the first mortgage loan on this property. Accordingly, the amount of the prior lien at December 31, 2022 is estimated.</w:t>
      </w:r>
    </w:p>
    <w:p>
      <w:pPr>
        <w:ind w:left="370" w:right="160" w:hanging="370"/>
        <w:spacing w:after="0" w:line="260" w:lineRule="auto"/>
        <w:tabs>
          <w:tab w:leader="none" w:pos="3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mortgage is subordinate to a first mortgage of $5.0 million. We do not hold the first mortgage loan on this property. Accordingly, the amount of the prior lien at December 31, 2022 is estimated.</w:t>
      </w:r>
    </w:p>
    <w:p>
      <w:pPr>
        <w:sectPr>
          <w:pgSz w:w="11880" w:h="15480" w:orient="portrait"/>
          <w:cols w:equalWidth="0" w:num="1">
            <w:col w:w="10210"/>
          </w:cols>
          <w:pgMar w:left="810" w:top="64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9"/>
          <w:szCs w:val="19"/>
          <w:color w:val="auto"/>
        </w:rPr>
        <w:t>F-48</w:t>
      </w:r>
    </w:p>
    <w:p>
      <w:pPr>
        <w:sectPr>
          <w:pgSz w:w="11880" w:h="15480" w:orient="portrait"/>
          <w:cols w:equalWidth="0" w:num="1">
            <w:col w:w="10210"/>
          </w:cols>
          <w:pgMar w:left="810" w:top="646" w:right="860" w:bottom="0" w:gutter="0" w:footer="0" w:header="0"/>
          <w:type w:val="continuous"/>
        </w:sectPr>
      </w:pPr>
    </w:p>
    <w:bookmarkStart w:id="114" w:name="page115"/>
    <w:bookmarkEnd w:id="11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FEDERAL REALTY INVESTMENT TRUST AND 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SCHEDULE IV</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MORTGAGE LOANS ON REAL ESTATE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Three Years Ended December 31, 2022</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Reconciliation of Carrying Amount</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2019 </w:t>
            </w:r>
            <w:r>
              <w:rPr>
                <w:rFonts w:ascii="Times New Roman" w:cs="Times New Roman" w:eastAsia="Times New Roman" w:hAnsi="Times New Roman"/>
                <w:sz w:val="20"/>
                <w:szCs w:val="20"/>
                <w:color w:val="AEAEAE"/>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30,429</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January 1, 2020 adoption of new accounting standard - See Note 2</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Acquisition of loan, net of valuation adjustments </w:t>
            </w:r>
            <w:r>
              <w:rPr>
                <w:rFonts w:ascii="Times New Roman" w:cs="Times New Roman" w:eastAsia="Times New Roman" w:hAnsi="Times New Roman"/>
                <w:sz w:val="20"/>
                <w:szCs w:val="20"/>
                <w:color w:val="AEAEAE"/>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9,560</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Issuance of loans</w:t>
            </w:r>
            <w:r>
              <w:rPr>
                <w:rFonts w:ascii="Times New Roman" w:cs="Times New Roman" w:eastAsia="Times New Roman" w:hAnsi="Times New Roman"/>
                <w:sz w:val="20"/>
                <w:szCs w:val="20"/>
                <w:color w:val="AEAEAE"/>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w:t>
            </w:r>
          </w:p>
        </w:tc>
      </w:tr>
      <w:tr>
        <w:trPr>
          <w:trHeight w:val="262"/>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2020 </w:t>
            </w:r>
            <w:r>
              <w:rPr>
                <w:rFonts w:ascii="Times New Roman" w:cs="Times New Roman" w:eastAsia="Times New Roman" w:hAnsi="Times New Roman"/>
                <w:sz w:val="20"/>
                <w:szCs w:val="20"/>
                <w:color w:val="AEAEAE"/>
                <w:w w:val="99"/>
              </w:rPr>
              <w:t>....................................................................................................................................</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39,892</w:t>
            </w:r>
          </w:p>
        </w:tc>
      </w:tr>
      <w:tr>
        <w:trPr>
          <w:trHeight w:val="300"/>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Issuance of loans</w:t>
            </w:r>
            <w:r>
              <w:rPr>
                <w:rFonts w:ascii="Times New Roman" w:cs="Times New Roman" w:eastAsia="Times New Roman" w:hAnsi="Times New Roman"/>
                <w:sz w:val="20"/>
                <w:szCs w:val="20"/>
                <w:color w:val="AEAEAE"/>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Deductions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Collection and satisfaction of loans </w:t>
            </w:r>
            <w:r>
              <w:rPr>
                <w:rFonts w:ascii="Times New Roman" w:cs="Times New Roman" w:eastAsia="Times New Roman" w:hAnsi="Times New Roman"/>
                <w:sz w:val="20"/>
                <w:szCs w:val="20"/>
                <w:color w:val="AEAEAE"/>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(30,339)</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Valuation adjustments</w:t>
            </w:r>
            <w:r>
              <w:rPr>
                <w:rFonts w:ascii="Times New Roman" w:cs="Times New Roman" w:eastAsia="Times New Roman" w:hAnsi="Times New Roman"/>
                <w:sz w:val="20"/>
                <w:szCs w:val="20"/>
                <w:color w:val="AEAEAE"/>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w:t>
            </w:r>
          </w:p>
        </w:tc>
      </w:tr>
      <w:tr>
        <w:trPr>
          <w:trHeight w:val="262"/>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2021 </w:t>
            </w:r>
            <w:r>
              <w:rPr>
                <w:rFonts w:ascii="Times New Roman" w:cs="Times New Roman" w:eastAsia="Times New Roman" w:hAnsi="Times New Roman"/>
                <w:sz w:val="20"/>
                <w:szCs w:val="20"/>
                <w:color w:val="AEAEAE"/>
                <w:w w:val="99"/>
              </w:rPr>
              <w:t>....................................................................................................................................</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9,543</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Deductions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Valuation adjustments</w:t>
            </w:r>
            <w:r>
              <w:rPr>
                <w:rFonts w:ascii="Times New Roman" w:cs="Times New Roman" w:eastAsia="Times New Roman" w:hAnsi="Times New Roman"/>
                <w:sz w:val="20"/>
                <w:szCs w:val="20"/>
                <w:color w:val="AEAEAE"/>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Collection and satisfaction of loans </w:t>
            </w:r>
            <w:r>
              <w:rPr>
                <w:rFonts w:ascii="Times New Roman" w:cs="Times New Roman" w:eastAsia="Times New Roman" w:hAnsi="Times New Roman"/>
                <w:sz w:val="20"/>
                <w:szCs w:val="20"/>
                <w:color w:val="AEAEAE"/>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4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December 31, 2022 </w:t>
            </w:r>
            <w:r>
              <w:rPr>
                <w:rFonts w:ascii="Times New Roman" w:cs="Times New Roman" w:eastAsia="Times New Roman" w:hAnsi="Times New Roman"/>
                <w:sz w:val="20"/>
                <w:szCs w:val="20"/>
                <w:color w:val="AEAEAE"/>
                <w:w w:val="99"/>
              </w:rPr>
              <w: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9,456</w:t>
            </w:r>
          </w:p>
        </w:tc>
      </w:tr>
      <w:tr>
        <w:trPr>
          <w:trHeight w:val="20"/>
        </w:trPr>
        <w:tc>
          <w:tcPr>
            <w:tcW w:w="8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80" w:top="6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F-49</w:t>
      </w:r>
    </w:p>
    <w:p>
      <w:pPr>
        <w:sectPr>
          <w:pgSz w:w="11880" w:h="15480" w:orient="portrait"/>
          <w:cols w:equalWidth="0" w:num="1">
            <w:col w:w="10180"/>
          </w:cols>
          <w:pgMar w:left="880" w:top="646" w:right="820" w:bottom="0" w:gutter="0" w:footer="0" w:header="0"/>
          <w:type w:val="continuous"/>
        </w:sectPr>
      </w:pPr>
    </w:p>
    <w:bookmarkStart w:id="115" w:name="page116"/>
    <w:bookmarkEnd w:id="11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7" w:name="page118"/>
    <w:bookmarkEnd w:id="117"/>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2393950</wp:posOffset>
                </wp:positionV>
                <wp:extent cx="64008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188.5pt" to="549pt,188.5pt" o:allowincell="f" strokecolor="#FB1717" strokeweight="3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auto"/>
        </w:rPr>
        <w:t>Letter to Our Shareholders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March 24, 2023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To our Shareholders: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On behalf of the Board of Trustees and the entire Federal team, you are invited to join us at our 2023 Annual Meeting of Shareholders to be held virtually beginning at 9:00 a.m. eastern time on May 3, 2023. This proxy statement includes important information about how you can join and ask questions at the meeting and about the matters that will be voted on at the meeting.</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Federal’s operating performance in 2022 was marked by continued strong demand for our real estate assets as evidenced by record levels of new and renewal leases for comparable spaces and significant occupancy improvements. Shoppers and diners returned to our real estate after the enforced isolation of COVID-19 lockdowns reinforcing our belief that well-located real estate that is truly part of the local community and more than just a place to transact business will succeed over the long-term. The return of the consumer and overall strong demand for our assets resulted in us delivering a record level of top line revenue and strong bottom line earnings despite the inflationary pressures that started hitting in the second half of the year. We also made significant progress during 2022 in our efforts to reduce our Scope 1 and Scope 2 greenhouse gas emissions and to improve the resilience of our assets to the physical and transition risks associated with climate change. All parts of our business are working together to position us to be able to deliver strong results for years to come.</w:t>
      </w:r>
    </w:p>
    <w:p>
      <w:pPr>
        <w:spacing w:after="0" w:line="25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strong performance would not have been possible without the extraordinary efforts of our Board and each and every one of our employees. We are extremely proud of the work this team has accomplished.</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49935" cy="5124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
                      <a:extLst>
                        <a:ext uri="{28A0092B-C50C-407E-A947-70E740481C1C}"/>
                      </a:extLst>
                    </a:blip>
                    <a:srcRect/>
                    <a:stretch>
                      <a:fillRect/>
                    </a:stretch>
                  </pic:blipFill>
                  <pic:spPr bwMode="auto">
                    <a:xfrm>
                      <a:off x="0" y="0"/>
                      <a:ext cx="749935" cy="51244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123190</wp:posOffset>
            </wp:positionV>
            <wp:extent cx="1170940" cy="6229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
                      <a:extLst>
                        <a:ext uri="{28A0092B-C50C-407E-A947-70E740481C1C}"/>
                      </a:extLst>
                    </a:blip>
                    <a:srcRect/>
                    <a:stretch>
                      <a:fillRect/>
                    </a:stretch>
                  </pic:blipFill>
                  <pic:spPr bwMode="auto">
                    <a:xfrm>
                      <a:off x="0" y="0"/>
                      <a:ext cx="1170940" cy="622935"/>
                    </a:xfrm>
                    <a:prstGeom prst="rect">
                      <a:avLst/>
                    </a:prstGeom>
                    <a:noFill/>
                  </pic:spPr>
                </pic:pic>
              </a:graphicData>
            </a:graphic>
          </wp:anchor>
        </w:drawing>
      </w:r>
    </w:p>
    <w:p>
      <w:pPr>
        <w:sectPr>
          <w:pgSz w:w="11880" w:h="15480" w:orient="portrait"/>
          <w:cols w:equalWidth="0" w:num="1">
            <w:col w:w="10080"/>
          </w:cols>
          <w:pgMar w:left="900" w:top="1440" w:right="9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David W. Faeder</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Donald C. Wood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Chief Executive Officer</w:t>
      </w:r>
    </w:p>
    <w:p>
      <w:pPr>
        <w:sectPr>
          <w:pgSz w:w="11880" w:h="15480" w:orient="portrait"/>
          <w:cols w:equalWidth="0" w:num="2">
            <w:col w:w="4560" w:space="720"/>
            <w:col w:w="4800"/>
          </w:cols>
          <w:pgMar w:left="900" w:top="1440" w:right="900" w:bottom="1440" w:gutter="0" w:footer="0" w:header="0"/>
          <w:type w:val="continuous"/>
        </w:sectPr>
      </w:pPr>
    </w:p>
    <w:bookmarkStart w:id="118" w:name="page119"/>
    <w:bookmarkEnd w:id="118"/>
    <w:p>
      <w:pPr>
        <w:ind w:left="140"/>
        <w:spacing w:after="0"/>
        <w:rPr>
          <w:sz w:val="20"/>
          <w:szCs w:val="20"/>
          <w:color w:val="auto"/>
        </w:rPr>
      </w:pPr>
      <w:r>
        <w:rPr>
          <w:rFonts w:ascii="Arial" w:cs="Arial" w:eastAsia="Arial" w:hAnsi="Arial"/>
          <w:sz w:val="35"/>
          <w:szCs w:val="35"/>
          <w:b w:val="1"/>
          <w:bCs w:val="1"/>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FB1717" strokeweight="3pt">
                <w10:wrap anchorx="page" anchory="page"/>
              </v:line>
            </w:pict>
          </mc:Fallback>
        </mc:AlternateContent>
        <w:t>Notice of Annual Meeting of Shareholders</w:t>
      </w:r>
    </w:p>
    <w:p>
      <w:pPr>
        <w:sectPr>
          <w:pgSz w:w="11880" w:h="15480" w:orient="portrait"/>
          <w:cols w:equalWidth="0" w:num="1">
            <w:col w:w="10080"/>
          </w:cols>
          <w:pgMar w:left="900" w:top="1343" w:right="900" w:bottom="707" w:gutter="0" w:footer="0" w:header="0"/>
        </w:sectPr>
      </w:pPr>
    </w:p>
    <w:p>
      <w:pPr>
        <w:spacing w:after="0" w:line="36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ANNUAL MEETING PROPOSALS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wp:posOffset>
                </wp:positionV>
                <wp:extent cx="6400800" cy="30416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304165"/>
                        </a:xfrm>
                        <a:prstGeom prst="rect">
                          <a:avLst/>
                        </a:prstGeom>
                        <a:solidFill>
                          <a:srgbClr val="FB1717"/>
                        </a:solidFill>
                      </wps:spPr>
                      <wps:bodyPr/>
                    </wps:wsp>
                  </a:graphicData>
                </a:graphic>
              </wp:anchor>
            </w:drawing>
          </mc:Choice>
          <mc:Fallback>
            <w:pict>
              <v:rect id="Shape 113" o:spid="_x0000_s1138" style="position:absolute;margin-left:0pt;margin-top:-0.1999pt;width:504pt;height:2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w:r>
    </w:p>
    <w:p>
      <w:pPr>
        <w:spacing w:after="0" w:line="200" w:lineRule="exact"/>
        <w:rPr>
          <w:sz w:val="20"/>
          <w:szCs w:val="20"/>
          <w:color w:val="auto"/>
        </w:rPr>
      </w:pPr>
    </w:p>
    <w:p>
      <w:pPr>
        <w:spacing w:after="0" w:line="269"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20"/>
          <w:szCs w:val="20"/>
          <w:color w:val="auto"/>
        </w:rPr>
        <w:t>Proposal 1</w:t>
      </w:r>
      <w:r>
        <w:rPr>
          <w:sz w:val="20"/>
          <w:szCs w:val="20"/>
          <w:color w:val="auto"/>
        </w:rPr>
        <w:tab/>
      </w:r>
      <w:r>
        <w:rPr>
          <w:rFonts w:ascii="Arial" w:cs="Arial" w:eastAsia="Arial" w:hAnsi="Arial"/>
          <w:sz w:val="19"/>
          <w:szCs w:val="19"/>
          <w:color w:val="auto"/>
        </w:rPr>
        <w:t>Election of 7 trustees for 1 year terms</w:t>
      </w:r>
    </w:p>
    <w:p>
      <w:pPr>
        <w:spacing w:after="0" w:line="200" w:lineRule="exact"/>
        <w:rPr>
          <w:sz w:val="20"/>
          <w:szCs w:val="20"/>
          <w:color w:val="auto"/>
        </w:rPr>
      </w:pPr>
    </w:p>
    <w:p>
      <w:pPr>
        <w:spacing w:after="0" w:line="205" w:lineRule="exact"/>
        <w:rPr>
          <w:sz w:val="20"/>
          <w:szCs w:val="20"/>
          <w:color w:val="auto"/>
        </w:rPr>
      </w:pPr>
    </w:p>
    <w:p>
      <w:pPr>
        <w:ind w:left="1440" w:right="140" w:hanging="1309"/>
        <w:spacing w:after="0" w:line="224" w:lineRule="auto"/>
        <w:tabs>
          <w:tab w:leader="none" w:pos="1420" w:val="left"/>
        </w:tabs>
        <w:rPr>
          <w:sz w:val="20"/>
          <w:szCs w:val="20"/>
          <w:color w:val="auto"/>
        </w:rPr>
      </w:pPr>
      <w:r>
        <w:rPr>
          <w:rFonts w:ascii="Arial" w:cs="Arial" w:eastAsia="Arial" w:hAnsi="Arial"/>
          <w:sz w:val="20"/>
          <w:szCs w:val="20"/>
          <w:color w:val="auto"/>
        </w:rPr>
        <w:t>Proposal 2</w:t>
      </w:r>
      <w:r>
        <w:rPr>
          <w:sz w:val="20"/>
          <w:szCs w:val="20"/>
          <w:color w:val="auto"/>
        </w:rPr>
        <w:tab/>
      </w:r>
      <w:r>
        <w:rPr>
          <w:rFonts w:ascii="Arial" w:cs="Arial" w:eastAsia="Arial" w:hAnsi="Arial"/>
          <w:sz w:val="20"/>
          <w:szCs w:val="20"/>
          <w:color w:val="auto"/>
        </w:rPr>
        <w:t>Non-binding advisory vote on 2022 executive compensation</w:t>
      </w:r>
    </w:p>
    <w:p>
      <w:pPr>
        <w:spacing w:after="0" w:line="219" w:lineRule="exact"/>
        <w:rPr>
          <w:sz w:val="20"/>
          <w:szCs w:val="20"/>
          <w:color w:val="auto"/>
        </w:rPr>
      </w:pPr>
    </w:p>
    <w:p>
      <w:pPr>
        <w:ind w:left="1440" w:right="380" w:hanging="1309"/>
        <w:spacing w:after="0" w:line="234" w:lineRule="auto"/>
        <w:tabs>
          <w:tab w:leader="none" w:pos="1420" w:val="left"/>
        </w:tabs>
        <w:rPr>
          <w:sz w:val="20"/>
          <w:szCs w:val="20"/>
          <w:color w:val="auto"/>
        </w:rPr>
      </w:pPr>
      <w:r>
        <w:rPr>
          <w:rFonts w:ascii="Arial" w:cs="Arial" w:eastAsia="Arial" w:hAnsi="Arial"/>
          <w:sz w:val="20"/>
          <w:szCs w:val="20"/>
          <w:color w:val="auto"/>
        </w:rPr>
        <w:t>Proposal 3</w:t>
      </w:r>
      <w:r>
        <w:rPr>
          <w:sz w:val="20"/>
          <w:szCs w:val="20"/>
          <w:color w:val="auto"/>
        </w:rPr>
        <w:tab/>
      </w:r>
      <w:r>
        <w:rPr>
          <w:rFonts w:ascii="Arial" w:cs="Arial" w:eastAsia="Arial" w:hAnsi="Arial"/>
          <w:sz w:val="19"/>
          <w:szCs w:val="19"/>
          <w:color w:val="auto"/>
        </w:rPr>
        <w:t>Non-binding advisory vote on frequency of future votes on executive compensation</w:t>
      </w:r>
    </w:p>
    <w:p>
      <w:pPr>
        <w:spacing w:after="0" w:line="222" w:lineRule="exact"/>
        <w:rPr>
          <w:sz w:val="20"/>
          <w:szCs w:val="20"/>
          <w:color w:val="auto"/>
        </w:rPr>
      </w:pPr>
    </w:p>
    <w:p>
      <w:pPr>
        <w:ind w:left="1440" w:right="480" w:hanging="1309"/>
        <w:spacing w:after="0" w:line="220" w:lineRule="auto"/>
        <w:tabs>
          <w:tab w:leader="none" w:pos="1420" w:val="left"/>
        </w:tabs>
        <w:rPr>
          <w:sz w:val="20"/>
          <w:szCs w:val="20"/>
          <w:color w:val="auto"/>
        </w:rPr>
      </w:pPr>
      <w:r>
        <w:rPr>
          <w:rFonts w:ascii="Arial" w:cs="Arial" w:eastAsia="Arial" w:hAnsi="Arial"/>
          <w:sz w:val="20"/>
          <w:szCs w:val="20"/>
          <w:color w:val="auto"/>
        </w:rPr>
        <w:t>Proposal 4</w:t>
      </w:r>
      <w:r>
        <w:rPr>
          <w:sz w:val="20"/>
          <w:szCs w:val="20"/>
          <w:color w:val="auto"/>
        </w:rPr>
        <w:tab/>
      </w:r>
      <w:r>
        <w:rPr>
          <w:rFonts w:ascii="Arial" w:cs="Arial" w:eastAsia="Arial" w:hAnsi="Arial"/>
          <w:sz w:val="20"/>
          <w:szCs w:val="20"/>
          <w:color w:val="auto"/>
        </w:rPr>
        <w:t>Non-binding advisory vote to amend our declaration of trust to increase number of authorized common shares</w:t>
      </w:r>
    </w:p>
    <w:p>
      <w:pPr>
        <w:spacing w:after="0" w:line="220" w:lineRule="exact"/>
        <w:rPr>
          <w:sz w:val="20"/>
          <w:szCs w:val="20"/>
          <w:color w:val="auto"/>
        </w:rPr>
      </w:pPr>
    </w:p>
    <w:p>
      <w:pPr>
        <w:ind w:left="1440" w:right="80" w:hanging="1309"/>
        <w:spacing w:after="0" w:line="224" w:lineRule="auto"/>
        <w:tabs>
          <w:tab w:leader="none" w:pos="1420" w:val="left"/>
        </w:tabs>
        <w:rPr>
          <w:sz w:val="20"/>
          <w:szCs w:val="20"/>
          <w:color w:val="auto"/>
        </w:rPr>
      </w:pPr>
      <w:r>
        <w:rPr>
          <w:rFonts w:ascii="Arial" w:cs="Arial" w:eastAsia="Arial" w:hAnsi="Arial"/>
          <w:sz w:val="20"/>
          <w:szCs w:val="20"/>
          <w:color w:val="auto"/>
        </w:rPr>
        <w:t>Proposal 5</w:t>
      </w:r>
      <w:r>
        <w:rPr>
          <w:sz w:val="20"/>
          <w:szCs w:val="20"/>
          <w:color w:val="auto"/>
        </w:rPr>
        <w:tab/>
      </w:r>
      <w:r>
        <w:rPr>
          <w:rFonts w:ascii="Arial" w:cs="Arial" w:eastAsia="Arial" w:hAnsi="Arial"/>
          <w:sz w:val="20"/>
          <w:szCs w:val="20"/>
          <w:color w:val="auto"/>
        </w:rPr>
        <w:t>Ratification of Grant Thornton, LLC as our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116205</wp:posOffset>
                </wp:positionV>
                <wp:extent cx="64008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1750">
                          <a:solidFill>
                            <a:srgbClr val="FB1717"/>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5pt" to="504pt,9.15pt" o:allowincell="f" strokecolor="#FB1717" strokeweight="2.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ind w:left="200"/>
              <w:spacing w:after="0"/>
              <w:rPr>
                <w:sz w:val="20"/>
                <w:szCs w:val="20"/>
                <w:color w:val="auto"/>
              </w:rPr>
            </w:pPr>
            <w:r>
              <w:rPr>
                <w:rFonts w:ascii="Arial" w:cs="Arial" w:eastAsia="Arial" w:hAnsi="Arial"/>
                <w:sz w:val="18"/>
                <w:szCs w:val="18"/>
                <w:color w:val="FFFFFF"/>
              </w:rPr>
              <w:t>Board Voting</w:t>
            </w:r>
          </w:p>
        </w:tc>
        <w:tc>
          <w:tcPr>
            <w:tcW w:w="1620" w:type="dxa"/>
            <w:vAlign w:val="bottom"/>
          </w:tcPr>
          <w:p>
            <w:pPr>
              <w:jc w:val="center"/>
              <w:ind w:left="3"/>
              <w:spacing w:after="0"/>
              <w:rPr>
                <w:sz w:val="20"/>
                <w:szCs w:val="20"/>
                <w:color w:val="auto"/>
              </w:rPr>
            </w:pPr>
            <w:r>
              <w:rPr>
                <w:rFonts w:ascii="Arial" w:cs="Arial" w:eastAsia="Arial" w:hAnsi="Arial"/>
                <w:sz w:val="18"/>
                <w:szCs w:val="18"/>
                <w:color w:val="FFFFFF"/>
                <w:w w:val="99"/>
              </w:rPr>
              <w:t>Where to find more</w:t>
            </w:r>
          </w:p>
        </w:tc>
      </w:tr>
      <w:tr>
        <w:trPr>
          <w:trHeight w:val="201"/>
        </w:trPr>
        <w:tc>
          <w:tcPr>
            <w:tcW w:w="1980" w:type="dxa"/>
            <w:vAlign w:val="bottom"/>
          </w:tcPr>
          <w:p>
            <w:pPr>
              <w:spacing w:after="0" w:line="201" w:lineRule="exact"/>
              <w:rPr>
                <w:sz w:val="20"/>
                <w:szCs w:val="20"/>
                <w:color w:val="auto"/>
              </w:rPr>
            </w:pPr>
            <w:r>
              <w:rPr>
                <w:rFonts w:ascii="Arial" w:cs="Arial" w:eastAsia="Arial" w:hAnsi="Arial"/>
                <w:sz w:val="18"/>
                <w:szCs w:val="18"/>
                <w:color w:val="FFFFFF"/>
              </w:rPr>
              <w:t>Recommendation</w:t>
            </w:r>
          </w:p>
        </w:tc>
        <w:tc>
          <w:tcPr>
            <w:tcW w:w="1620" w:type="dxa"/>
            <w:vAlign w:val="bottom"/>
          </w:tcPr>
          <w:p>
            <w:pPr>
              <w:jc w:val="center"/>
              <w:ind w:left="3"/>
              <w:spacing w:after="0" w:line="201" w:lineRule="exact"/>
              <w:rPr>
                <w:sz w:val="20"/>
                <w:szCs w:val="20"/>
                <w:color w:val="auto"/>
              </w:rPr>
            </w:pPr>
            <w:r>
              <w:rPr>
                <w:rFonts w:ascii="Arial" w:cs="Arial" w:eastAsia="Arial" w:hAnsi="Arial"/>
                <w:sz w:val="18"/>
                <w:szCs w:val="18"/>
                <w:color w:val="FFFFFF"/>
                <w:w w:val="98"/>
              </w:rPr>
              <w:t>information</w:t>
            </w:r>
          </w:p>
        </w:tc>
      </w:tr>
      <w:tr>
        <w:trPr>
          <w:trHeight w:val="368"/>
        </w:trPr>
        <w:tc>
          <w:tcPr>
            <w:tcW w:w="1980" w:type="dxa"/>
            <w:vAlign w:val="bottom"/>
          </w:tcPr>
          <w:p>
            <w:pPr>
              <w:ind w:left="140"/>
              <w:spacing w:after="0"/>
              <w:rPr>
                <w:sz w:val="20"/>
                <w:szCs w:val="20"/>
                <w:color w:val="auto"/>
              </w:rPr>
            </w:pPr>
            <w:r>
              <w:rPr>
                <w:rFonts w:ascii="Arial" w:cs="Arial" w:eastAsia="Arial" w:hAnsi="Arial"/>
                <w:sz w:val="20"/>
                <w:szCs w:val="20"/>
                <w:color w:val="FB1717"/>
              </w:rPr>
              <w:t xml:space="preserve">FOR </w:t>
            </w:r>
            <w:r>
              <w:rPr>
                <w:rFonts w:ascii="Arial" w:cs="Arial" w:eastAsia="Arial" w:hAnsi="Arial"/>
                <w:sz w:val="20"/>
                <w:szCs w:val="20"/>
                <w:color w:val="000000"/>
              </w:rPr>
              <w:t>each nominee</w:t>
            </w:r>
          </w:p>
        </w:tc>
        <w:tc>
          <w:tcPr>
            <w:tcW w:w="1620" w:type="dxa"/>
            <w:vAlign w:val="bottom"/>
          </w:tcPr>
          <w:p>
            <w:pPr>
              <w:jc w:val="center"/>
              <w:spacing w:after="0"/>
              <w:rPr>
                <w:sz w:val="20"/>
                <w:szCs w:val="20"/>
                <w:color w:val="auto"/>
              </w:rPr>
            </w:pPr>
            <w:r>
              <w:rPr>
                <w:rFonts w:ascii="Arial" w:cs="Arial" w:eastAsia="Arial" w:hAnsi="Arial"/>
                <w:sz w:val="20"/>
                <w:szCs w:val="20"/>
                <w:color w:val="auto"/>
                <w:w w:val="99"/>
              </w:rPr>
              <w:t>Page 10</w:t>
            </w:r>
          </w:p>
        </w:tc>
      </w:tr>
      <w:tr>
        <w:trPr>
          <w:trHeight w:val="629"/>
        </w:trPr>
        <w:tc>
          <w:tcPr>
            <w:tcW w:w="1980" w:type="dxa"/>
            <w:vAlign w:val="bottom"/>
          </w:tcPr>
          <w:p>
            <w:pPr>
              <w:ind w:left="140"/>
              <w:spacing w:after="0"/>
              <w:rPr>
                <w:sz w:val="20"/>
                <w:szCs w:val="20"/>
                <w:color w:val="auto"/>
              </w:rPr>
            </w:pPr>
            <w:r>
              <w:rPr>
                <w:rFonts w:ascii="Arial" w:cs="Arial" w:eastAsia="Arial" w:hAnsi="Arial"/>
                <w:sz w:val="20"/>
                <w:szCs w:val="20"/>
                <w:color w:val="FB1717"/>
              </w:rPr>
              <w:t>FOR</w:t>
            </w:r>
          </w:p>
        </w:tc>
        <w:tc>
          <w:tcPr>
            <w:tcW w:w="1620" w:type="dxa"/>
            <w:vAlign w:val="bottom"/>
          </w:tcPr>
          <w:p>
            <w:pPr>
              <w:jc w:val="center"/>
              <w:spacing w:after="0"/>
              <w:rPr>
                <w:sz w:val="20"/>
                <w:szCs w:val="20"/>
                <w:color w:val="auto"/>
              </w:rPr>
            </w:pPr>
            <w:r>
              <w:rPr>
                <w:rFonts w:ascii="Arial" w:cs="Arial" w:eastAsia="Arial" w:hAnsi="Arial"/>
                <w:sz w:val="20"/>
                <w:szCs w:val="20"/>
                <w:color w:val="auto"/>
                <w:w w:val="99"/>
              </w:rPr>
              <w:t>Page 18</w:t>
            </w:r>
          </w:p>
        </w:tc>
      </w:tr>
      <w:tr>
        <w:trPr>
          <w:trHeight w:val="650"/>
        </w:trPr>
        <w:tc>
          <w:tcPr>
            <w:tcW w:w="1980" w:type="dxa"/>
            <w:vAlign w:val="bottom"/>
          </w:tcPr>
          <w:p>
            <w:pPr>
              <w:ind w:left="140"/>
              <w:spacing w:after="0"/>
              <w:rPr>
                <w:sz w:val="20"/>
                <w:szCs w:val="20"/>
                <w:color w:val="auto"/>
              </w:rPr>
            </w:pPr>
            <w:r>
              <w:rPr>
                <w:rFonts w:ascii="Arial" w:cs="Arial" w:eastAsia="Arial" w:hAnsi="Arial"/>
                <w:sz w:val="20"/>
                <w:szCs w:val="20"/>
                <w:color w:val="FB1717"/>
              </w:rPr>
              <w:t>FOR</w:t>
            </w:r>
          </w:p>
        </w:tc>
        <w:tc>
          <w:tcPr>
            <w:tcW w:w="1620" w:type="dxa"/>
            <w:vAlign w:val="bottom"/>
          </w:tcPr>
          <w:p>
            <w:pPr>
              <w:jc w:val="center"/>
              <w:spacing w:after="0"/>
              <w:rPr>
                <w:sz w:val="20"/>
                <w:szCs w:val="20"/>
                <w:color w:val="auto"/>
              </w:rPr>
            </w:pPr>
            <w:r>
              <w:rPr>
                <w:rFonts w:ascii="Arial" w:cs="Arial" w:eastAsia="Arial" w:hAnsi="Arial"/>
                <w:sz w:val="20"/>
                <w:szCs w:val="20"/>
                <w:color w:val="auto"/>
                <w:w w:val="99"/>
              </w:rPr>
              <w:t>Page 40</w:t>
            </w:r>
          </w:p>
        </w:tc>
      </w:tr>
      <w:tr>
        <w:trPr>
          <w:trHeight w:val="648"/>
        </w:trPr>
        <w:tc>
          <w:tcPr>
            <w:tcW w:w="1980" w:type="dxa"/>
            <w:vAlign w:val="bottom"/>
          </w:tcPr>
          <w:p>
            <w:pPr>
              <w:ind w:left="140"/>
              <w:spacing w:after="0"/>
              <w:rPr>
                <w:sz w:val="20"/>
                <w:szCs w:val="20"/>
                <w:color w:val="auto"/>
              </w:rPr>
            </w:pPr>
            <w:r>
              <w:rPr>
                <w:rFonts w:ascii="Arial" w:cs="Arial" w:eastAsia="Arial" w:hAnsi="Arial"/>
                <w:sz w:val="20"/>
                <w:szCs w:val="20"/>
                <w:color w:val="FB1717"/>
              </w:rPr>
              <w:t>FOR</w:t>
            </w:r>
          </w:p>
        </w:tc>
        <w:tc>
          <w:tcPr>
            <w:tcW w:w="1620" w:type="dxa"/>
            <w:vAlign w:val="bottom"/>
          </w:tcPr>
          <w:p>
            <w:pPr>
              <w:jc w:val="center"/>
              <w:spacing w:after="0"/>
              <w:rPr>
                <w:sz w:val="20"/>
                <w:szCs w:val="20"/>
                <w:color w:val="auto"/>
              </w:rPr>
            </w:pPr>
            <w:r>
              <w:rPr>
                <w:rFonts w:ascii="Arial" w:cs="Arial" w:eastAsia="Arial" w:hAnsi="Arial"/>
                <w:sz w:val="20"/>
                <w:szCs w:val="20"/>
                <w:color w:val="auto"/>
                <w:w w:val="99"/>
              </w:rPr>
              <w:t>Page 40</w:t>
            </w:r>
          </w:p>
        </w:tc>
      </w:tr>
      <w:tr>
        <w:trPr>
          <w:trHeight w:val="852"/>
        </w:trPr>
        <w:tc>
          <w:tcPr>
            <w:tcW w:w="1980" w:type="dxa"/>
            <w:vAlign w:val="bottom"/>
          </w:tcPr>
          <w:p>
            <w:pPr>
              <w:ind w:left="140"/>
              <w:spacing w:after="0"/>
              <w:rPr>
                <w:sz w:val="20"/>
                <w:szCs w:val="20"/>
                <w:color w:val="auto"/>
              </w:rPr>
            </w:pPr>
            <w:r>
              <w:rPr>
                <w:rFonts w:ascii="Arial" w:cs="Arial" w:eastAsia="Arial" w:hAnsi="Arial"/>
                <w:sz w:val="20"/>
                <w:szCs w:val="20"/>
                <w:color w:val="FB1717"/>
              </w:rPr>
              <w:t>FOR</w:t>
            </w:r>
          </w:p>
        </w:tc>
        <w:tc>
          <w:tcPr>
            <w:tcW w:w="1620" w:type="dxa"/>
            <w:vAlign w:val="bottom"/>
          </w:tcPr>
          <w:p>
            <w:pPr>
              <w:jc w:val="center"/>
              <w:spacing w:after="0"/>
              <w:rPr>
                <w:sz w:val="20"/>
                <w:szCs w:val="20"/>
                <w:color w:val="auto"/>
              </w:rPr>
            </w:pPr>
            <w:r>
              <w:rPr>
                <w:rFonts w:ascii="Arial" w:cs="Arial" w:eastAsia="Arial" w:hAnsi="Arial"/>
                <w:sz w:val="20"/>
                <w:szCs w:val="20"/>
                <w:color w:val="auto"/>
                <w:w w:val="99"/>
              </w:rPr>
              <w:t>Page 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-1971040</wp:posOffset>
            </wp:positionV>
            <wp:extent cx="258445" cy="2514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
                      <a:extLst>
                        <a:ext uri="{28A0092B-C50C-407E-A947-70E740481C1C}"/>
                      </a:extLst>
                    </a:blip>
                    <a:srcRect/>
                    <a:stretch>
                      <a:fillRect/>
                    </a:stretch>
                  </pic:blipFill>
                  <pic:spPr bwMode="auto">
                    <a:xfrm>
                      <a:off x="0" y="0"/>
                      <a:ext cx="258445" cy="25146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-1571625</wp:posOffset>
            </wp:positionV>
            <wp:extent cx="258445" cy="2514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
                      <a:extLst>
                        <a:ext uri="{28A0092B-C50C-407E-A947-70E740481C1C}"/>
                      </a:extLst>
                    </a:blip>
                    <a:srcRect/>
                    <a:stretch>
                      <a:fillRect/>
                    </a:stretch>
                  </pic:blipFill>
                  <pic:spPr bwMode="auto">
                    <a:xfrm>
                      <a:off x="0" y="0"/>
                      <a:ext cx="258445" cy="25146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-1160145</wp:posOffset>
            </wp:positionV>
            <wp:extent cx="258445" cy="2514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
                      <a:extLst>
                        <a:ext uri="{28A0092B-C50C-407E-A947-70E740481C1C}"/>
                      </a:extLst>
                    </a:blip>
                    <a:srcRect/>
                    <a:stretch>
                      <a:fillRect/>
                    </a:stretch>
                  </pic:blipFill>
                  <pic:spPr bwMode="auto">
                    <a:xfrm>
                      <a:off x="0" y="0"/>
                      <a:ext cx="258445" cy="25146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-748665</wp:posOffset>
            </wp:positionV>
            <wp:extent cx="258445" cy="2514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
                      <a:extLst>
                        <a:ext uri="{28A0092B-C50C-407E-A947-70E740481C1C}"/>
                      </a:extLst>
                    </a:blip>
                    <a:srcRect/>
                    <a:stretch>
                      <a:fillRect/>
                    </a:stretch>
                  </pic:blipFill>
                  <pic:spPr bwMode="auto">
                    <a:xfrm>
                      <a:off x="0" y="0"/>
                      <a:ext cx="258445" cy="25146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-207645</wp:posOffset>
            </wp:positionV>
            <wp:extent cx="258445" cy="2514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
                      <a:extLst>
                        <a:ext uri="{28A0092B-C50C-407E-A947-70E740481C1C}"/>
                      </a:extLst>
                    </a:blip>
                    <a:srcRect/>
                    <a:stretch>
                      <a:fillRect/>
                    </a:stretch>
                  </pic:blipFill>
                  <pic:spPr bwMode="auto">
                    <a:xfrm>
                      <a:off x="0" y="0"/>
                      <a:ext cx="258445" cy="251460"/>
                    </a:xfrm>
                    <a:prstGeom prst="rect">
                      <a:avLst/>
                    </a:prstGeom>
                    <a:noFill/>
                  </pic:spPr>
                </pic:pic>
              </a:graphicData>
            </a:graphic>
          </wp:anchor>
        </w:drawing>
      </w:r>
    </w:p>
    <w:p>
      <w:pPr>
        <w:spacing w:after="0" w:line="303" w:lineRule="exact"/>
        <w:rPr>
          <w:sz w:val="20"/>
          <w:szCs w:val="20"/>
          <w:color w:val="auto"/>
        </w:rPr>
      </w:pPr>
    </w:p>
    <w:p>
      <w:pPr>
        <w:sectPr>
          <w:pgSz w:w="11880" w:h="15480" w:orient="portrait"/>
          <w:cols w:equalWidth="0" w:num="2">
            <w:col w:w="5560" w:space="720"/>
            <w:col w:w="3800"/>
          </w:cols>
          <w:pgMar w:left="900" w:top="1343" w:right="900" w:bottom="707" w:gutter="0" w:footer="0" w:header="0"/>
          <w:type w:val="continuous"/>
        </w:sectPr>
      </w:pPr>
    </w:p>
    <w:p>
      <w:pPr>
        <w:spacing w:after="0" w:line="27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Other business will be transacted as may properly come before the 2023 annual meeting of shareholders (“Annual Meeting”).</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2023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106045</wp:posOffset>
            </wp:positionV>
            <wp:extent cx="293370" cy="293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
                      <a:extLst>
                        <a:ext uri="{28A0092B-C50C-407E-A947-70E740481C1C}"/>
                      </a:extLst>
                    </a:blip>
                    <a:srcRect/>
                    <a:stretch>
                      <a:fillRect/>
                    </a:stretch>
                  </pic:blipFill>
                  <pic:spPr bwMode="auto">
                    <a:xfrm>
                      <a:off x="0" y="0"/>
                      <a:ext cx="293370" cy="29337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81280</wp:posOffset>
            </wp:positionV>
            <wp:extent cx="219710" cy="317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4">
                      <a:extLst>
                        <a:ext uri="{28A0092B-C50C-407E-A947-70E740481C1C}"/>
                      </a:extLst>
                    </a:blip>
                    <a:srcRect/>
                    <a:stretch>
                      <a:fillRect/>
                    </a:stretch>
                  </pic:blipFill>
                  <pic:spPr bwMode="auto">
                    <a:xfrm>
                      <a:off x="0" y="0"/>
                      <a:ext cx="219710" cy="31750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121285</wp:posOffset>
            </wp:positionV>
            <wp:extent cx="283845" cy="278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5">
                      <a:extLst>
                        <a:ext uri="{28A0092B-C50C-407E-A947-70E740481C1C}"/>
                      </a:extLst>
                    </a:blip>
                    <a:srcRect/>
                    <a:stretch>
                      <a:fillRect/>
                    </a:stretch>
                  </pic:blipFill>
                  <pic:spPr bwMode="auto">
                    <a:xfrm>
                      <a:off x="0" y="0"/>
                      <a:ext cx="283845"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Borders>
              <w:bottom w:val="single" w:sz="8" w:color="auto"/>
            </w:tcBorders>
          </w:tcPr>
          <w:p>
            <w:pPr>
              <w:jc w:val="center"/>
              <w:ind w:left="80"/>
              <w:spacing w:after="0"/>
              <w:rPr>
                <w:sz w:val="20"/>
                <w:szCs w:val="20"/>
                <w:color w:val="auto"/>
              </w:rPr>
            </w:pPr>
            <w:r>
              <w:rPr>
                <w:rFonts w:ascii="Arial" w:cs="Arial" w:eastAsia="Arial" w:hAnsi="Arial"/>
                <w:sz w:val="20"/>
                <w:szCs w:val="20"/>
                <w:color w:val="FB1717"/>
              </w:rPr>
              <w:t>Date and Time</w:t>
            </w:r>
          </w:p>
        </w:tc>
        <w:tc>
          <w:tcPr>
            <w:tcW w:w="412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FB1717"/>
              </w:rPr>
              <w:t>Location</w:t>
            </w:r>
          </w:p>
        </w:tc>
        <w:tc>
          <w:tcPr>
            <w:tcW w:w="2780" w:type="dxa"/>
            <w:vAlign w:val="bottom"/>
            <w:tcBorders>
              <w:bottom w:val="single" w:sz="8" w:color="auto"/>
            </w:tcBorders>
          </w:tcPr>
          <w:p>
            <w:pPr>
              <w:jc w:val="center"/>
              <w:ind w:right="240"/>
              <w:spacing w:after="0"/>
              <w:rPr>
                <w:sz w:val="20"/>
                <w:szCs w:val="20"/>
                <w:color w:val="auto"/>
              </w:rPr>
            </w:pPr>
            <w:r>
              <w:rPr>
                <w:rFonts w:ascii="Arial" w:cs="Arial" w:eastAsia="Arial" w:hAnsi="Arial"/>
                <w:sz w:val="20"/>
                <w:szCs w:val="20"/>
                <w:color w:val="FB1717"/>
                <w:w w:val="99"/>
              </w:rPr>
              <w:t>Record Date</w:t>
            </w:r>
          </w:p>
        </w:tc>
      </w:tr>
      <w:tr>
        <w:trPr>
          <w:trHeight w:val="408"/>
        </w:trPr>
        <w:tc>
          <w:tcPr>
            <w:tcW w:w="3180" w:type="dxa"/>
            <w:vAlign w:val="bottom"/>
          </w:tcPr>
          <w:p>
            <w:pPr>
              <w:jc w:val="center"/>
              <w:ind w:left="80"/>
              <w:spacing w:after="0"/>
              <w:rPr>
                <w:sz w:val="20"/>
                <w:szCs w:val="20"/>
                <w:color w:val="auto"/>
              </w:rPr>
            </w:pPr>
            <w:r>
              <w:rPr>
                <w:rFonts w:ascii="Arial" w:cs="Arial" w:eastAsia="Arial" w:hAnsi="Arial"/>
                <w:sz w:val="20"/>
                <w:szCs w:val="20"/>
                <w:color w:val="auto"/>
              </w:rPr>
              <w:t>Wednesday, May 3, 2023</w:t>
            </w:r>
          </w:p>
        </w:tc>
        <w:tc>
          <w:tcPr>
            <w:tcW w:w="4120" w:type="dxa"/>
            <w:vAlign w:val="bottom"/>
          </w:tcPr>
          <w:p>
            <w:pPr>
              <w:jc w:val="center"/>
              <w:ind w:right="60"/>
              <w:spacing w:after="0"/>
              <w:rPr>
                <w:sz w:val="20"/>
                <w:szCs w:val="20"/>
                <w:color w:val="auto"/>
              </w:rPr>
            </w:pPr>
            <w:r>
              <w:rPr>
                <w:rFonts w:ascii="Arial" w:cs="Arial" w:eastAsia="Arial" w:hAnsi="Arial"/>
                <w:sz w:val="20"/>
                <w:szCs w:val="20"/>
                <w:color w:val="auto"/>
                <w:w w:val="98"/>
              </w:rPr>
              <w:t>Virtual Meeting</w:t>
            </w:r>
          </w:p>
        </w:tc>
        <w:tc>
          <w:tcPr>
            <w:tcW w:w="2780" w:type="dxa"/>
            <w:vAlign w:val="bottom"/>
          </w:tcPr>
          <w:p>
            <w:pPr>
              <w:jc w:val="center"/>
              <w:ind w:right="240"/>
              <w:spacing w:after="0"/>
              <w:rPr>
                <w:sz w:val="20"/>
                <w:szCs w:val="20"/>
                <w:color w:val="auto"/>
              </w:rPr>
            </w:pPr>
            <w:r>
              <w:rPr>
                <w:rFonts w:ascii="Arial" w:cs="Arial" w:eastAsia="Arial" w:hAnsi="Arial"/>
                <w:sz w:val="20"/>
                <w:szCs w:val="20"/>
                <w:color w:val="auto"/>
              </w:rPr>
              <w:t>March 13, 2023</w:t>
            </w:r>
          </w:p>
        </w:tc>
      </w:tr>
      <w:tr>
        <w:trPr>
          <w:trHeight w:val="230"/>
        </w:trPr>
        <w:tc>
          <w:tcPr>
            <w:tcW w:w="3180" w:type="dxa"/>
            <w:vAlign w:val="bottom"/>
          </w:tcPr>
          <w:p>
            <w:pPr>
              <w:jc w:val="center"/>
              <w:ind w:left="80"/>
              <w:spacing w:after="0"/>
              <w:rPr>
                <w:sz w:val="20"/>
                <w:szCs w:val="20"/>
                <w:color w:val="auto"/>
              </w:rPr>
            </w:pPr>
            <w:r>
              <w:rPr>
                <w:rFonts w:ascii="Arial" w:cs="Arial" w:eastAsia="Arial" w:hAnsi="Arial"/>
                <w:sz w:val="20"/>
                <w:szCs w:val="20"/>
                <w:color w:val="auto"/>
                <w:w w:val="99"/>
              </w:rPr>
              <w:t>9:00 a.m., Eastern Time</w:t>
            </w:r>
          </w:p>
        </w:tc>
        <w:tc>
          <w:tcPr>
            <w:tcW w:w="4120" w:type="dxa"/>
            <w:vAlign w:val="bottom"/>
          </w:tcPr>
          <w:p>
            <w:pPr>
              <w:jc w:val="center"/>
              <w:ind w:right="60"/>
              <w:spacing w:after="0"/>
              <w:rPr>
                <w:sz w:val="20"/>
                <w:szCs w:val="20"/>
                <w:color w:val="auto"/>
              </w:rPr>
            </w:pPr>
            <w:r>
              <w:rPr>
                <w:rFonts w:ascii="Arial" w:cs="Arial" w:eastAsia="Arial" w:hAnsi="Arial"/>
                <w:sz w:val="20"/>
                <w:szCs w:val="20"/>
                <w:color w:val="auto"/>
              </w:rPr>
              <w:t>https://web.lumiagm.com/202329683</w:t>
            </w:r>
          </w:p>
        </w:tc>
        <w:tc>
          <w:tcPr>
            <w:tcW w:w="2780" w:type="dxa"/>
            <w:vAlign w:val="bottom"/>
          </w:tcPr>
          <w:p>
            <w:pPr>
              <w:spacing w:after="0"/>
              <w:rPr>
                <w:sz w:val="20"/>
                <w:szCs w:val="20"/>
                <w:color w:val="auto"/>
              </w:rPr>
            </w:pPr>
          </w:p>
        </w:tc>
      </w:tr>
      <w:tr>
        <w:trPr>
          <w:trHeight w:val="178"/>
        </w:trPr>
        <w:tc>
          <w:tcPr>
            <w:tcW w:w="3180" w:type="dxa"/>
            <w:vAlign w:val="bottom"/>
            <w:tcBorders>
              <w:bottom w:val="single" w:sz="8" w:color="FB1717"/>
            </w:tcBorders>
          </w:tcPr>
          <w:p>
            <w:pPr>
              <w:spacing w:after="0"/>
              <w:rPr>
                <w:sz w:val="15"/>
                <w:szCs w:val="15"/>
                <w:color w:val="auto"/>
              </w:rPr>
            </w:pPr>
          </w:p>
        </w:tc>
        <w:tc>
          <w:tcPr>
            <w:tcW w:w="4120" w:type="dxa"/>
            <w:vAlign w:val="bottom"/>
            <w:tcBorders>
              <w:bottom w:val="single" w:sz="8" w:color="FB1717"/>
            </w:tcBorders>
          </w:tcPr>
          <w:p>
            <w:pPr>
              <w:spacing w:after="0"/>
              <w:rPr>
                <w:sz w:val="15"/>
                <w:szCs w:val="15"/>
                <w:color w:val="auto"/>
              </w:rPr>
            </w:pPr>
          </w:p>
        </w:tc>
        <w:tc>
          <w:tcPr>
            <w:tcW w:w="2780" w:type="dxa"/>
            <w:vAlign w:val="bottom"/>
            <w:tcBorders>
              <w:bottom w:val="single" w:sz="8" w:color="FB1717"/>
            </w:tcBorders>
          </w:tcPr>
          <w:p>
            <w:pPr>
              <w:spacing w:after="0"/>
              <w:rPr>
                <w:sz w:val="15"/>
                <w:szCs w:val="15"/>
                <w:color w:val="auto"/>
              </w:rPr>
            </w:pPr>
          </w:p>
        </w:tc>
      </w:tr>
    </w:tbl>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Voting:</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Whether or not you plan to attend the meeting and vote your shares at the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99695</wp:posOffset>
                </wp:positionV>
                <wp:extent cx="0" cy="114935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93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7.85pt" to="204pt,98.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2587625</wp:posOffset>
                </wp:positionH>
                <wp:positionV relativeFrom="paragraph">
                  <wp:posOffset>102870</wp:posOffset>
                </wp:positionV>
                <wp:extent cx="381635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75pt,8.1pt" to="504.25pt,8.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6400800</wp:posOffset>
                </wp:positionH>
                <wp:positionV relativeFrom="paragraph">
                  <wp:posOffset>99695</wp:posOffset>
                </wp:positionV>
                <wp:extent cx="0" cy="114935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93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7.85pt" to="504pt,98.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2587625</wp:posOffset>
                </wp:positionH>
                <wp:positionV relativeFrom="paragraph">
                  <wp:posOffset>1245870</wp:posOffset>
                </wp:positionV>
                <wp:extent cx="381635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75pt,98.1pt" to="504.25pt,98.1pt" o:allowincell="f" strokecolor="#000000" strokeweight="0.5pt"/>
            </w:pict>
          </mc:Fallback>
        </mc:AlternateContent>
      </w:r>
    </w:p>
    <w:p>
      <w:pPr>
        <w:sectPr>
          <w:pgSz w:w="11880" w:h="15480" w:orient="portrait"/>
          <w:cols w:equalWidth="0" w:num="1">
            <w:col w:w="10080"/>
          </w:cols>
          <w:pgMar w:left="900" w:top="1343" w:right="900" w:bottom="707"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Trustees,</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Dawn M. Becker</w:t>
      </w:r>
    </w:p>
    <w:p>
      <w:pPr>
        <w:spacing w:after="0" w:line="2" w:lineRule="exact"/>
        <w:rPr>
          <w:sz w:val="20"/>
          <w:szCs w:val="20"/>
          <w:color w:val="auto"/>
        </w:rPr>
      </w:pPr>
    </w:p>
    <w:p>
      <w:pPr>
        <w:ind w:right="540"/>
        <w:spacing w:after="0" w:line="235" w:lineRule="auto"/>
        <w:rPr>
          <w:sz w:val="20"/>
          <w:szCs w:val="20"/>
          <w:color w:val="auto"/>
        </w:rPr>
      </w:pPr>
      <w:r>
        <w:rPr>
          <w:rFonts w:ascii="Arial" w:cs="Arial" w:eastAsia="Arial" w:hAnsi="Arial"/>
          <w:sz w:val="20"/>
          <w:szCs w:val="20"/>
          <w:color w:val="auto"/>
        </w:rPr>
        <w:t>Executive Vice President-General Counsel And Secretary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March 24, 2023</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FB1717"/>
        </w:rPr>
        <w:t>Important Notice Regarding Internet Availability of Proxy Materials</w:t>
      </w:r>
    </w:p>
    <w:p>
      <w:pPr>
        <w:spacing w:after="0" w:line="185"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 xml:space="preserve">The proxy statement and annual report to shareholders, including our annual report on Form 10-K for the year ended December 31, 2022, are available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References in this proxy statement to our website are provided for your convenience only and the content on our website does not constitute part of this proxy statement.</w:t>
      </w:r>
    </w:p>
    <w:p>
      <w:pPr>
        <w:sectPr>
          <w:pgSz w:w="11880" w:h="15480" w:orient="portrait"/>
          <w:cols w:equalWidth="0" w:num="2">
            <w:col w:w="3520" w:space="720"/>
            <w:col w:w="5840"/>
          </w:cols>
          <w:pgMar w:left="900" w:top="1343" w:right="900" w:bottom="707" w:gutter="0" w:footer="0" w:header="0"/>
          <w:type w:val="continuous"/>
        </w:sectPr>
      </w:pPr>
    </w:p>
    <w:bookmarkStart w:id="119" w:name="page120"/>
    <w:bookmarkEnd w:id="119"/>
    <w:p>
      <w:pPr>
        <w:spacing w:after="0"/>
        <w:rPr>
          <w:sz w:val="20"/>
          <w:szCs w:val="20"/>
          <w:color w:val="auto"/>
        </w:rPr>
      </w:pPr>
      <w:r>
        <w:rPr>
          <w:rFonts w:ascii="Arial" w:cs="Arial" w:eastAsia="Arial" w:hAnsi="Arial"/>
          <w:sz w:val="28"/>
          <w:szCs w:val="28"/>
          <w:b w:val="1"/>
          <w:bCs w:val="1"/>
          <w:color w:val="auto"/>
        </w:rPr>
        <w:t>Table of Contents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300" w:type="dxa"/>
            <w:vAlign w:val="bottom"/>
          </w:tcPr>
          <w:p>
            <w:pPr>
              <w:ind w:left="80"/>
              <w:spacing w:after="0"/>
              <w:rPr>
                <w:sz w:val="20"/>
                <w:szCs w:val="20"/>
                <w:color w:val="auto"/>
              </w:rPr>
            </w:pPr>
            <w:r>
              <w:rPr>
                <w:rFonts w:ascii="Arial" w:cs="Arial" w:eastAsia="Arial" w:hAnsi="Arial"/>
                <w:sz w:val="24"/>
                <w:szCs w:val="24"/>
                <w:b w:val="1"/>
                <w:bCs w:val="1"/>
                <w:color w:val="FB1717"/>
              </w:rPr>
              <w:t>C</w:t>
            </w:r>
            <w:r>
              <w:rPr>
                <w:rFonts w:ascii="Arial" w:cs="Arial" w:eastAsia="Arial" w:hAnsi="Arial"/>
                <w:sz w:val="18"/>
                <w:szCs w:val="18"/>
                <w:b w:val="1"/>
                <w:bCs w:val="1"/>
                <w:color w:val="FB1717"/>
              </w:rPr>
              <w:t>OMPANY</w:t>
            </w:r>
            <w:r>
              <w:rPr>
                <w:rFonts w:ascii="Arial" w:cs="Arial" w:eastAsia="Arial" w:hAnsi="Arial"/>
                <w:sz w:val="24"/>
                <w:szCs w:val="24"/>
                <w:b w:val="1"/>
                <w:bCs w:val="1"/>
                <w:color w:val="FB1717"/>
              </w:rPr>
              <w:t xml:space="preserve"> I</w:t>
            </w:r>
            <w:r>
              <w:rPr>
                <w:rFonts w:ascii="Arial" w:cs="Arial" w:eastAsia="Arial" w:hAnsi="Arial"/>
                <w:sz w:val="18"/>
                <w:szCs w:val="18"/>
                <w:b w:val="1"/>
                <w:bCs w:val="1"/>
                <w:color w:val="FB1717"/>
              </w:rPr>
              <w:t>NFORMATION</w:t>
            </w:r>
          </w:p>
        </w:tc>
        <w:tc>
          <w:tcPr>
            <w:tcW w:w="600" w:type="dxa"/>
            <w:vAlign w:val="bottom"/>
            <w:gridSpan w:val="2"/>
          </w:tcPr>
          <w:p>
            <w:pPr>
              <w:jc w:val="right"/>
              <w:spacing w:after="0"/>
              <w:rPr>
                <w:sz w:val="20"/>
                <w:szCs w:val="20"/>
                <w:color w:val="auto"/>
              </w:rPr>
            </w:pPr>
            <w:r>
              <w:rPr>
                <w:rFonts w:ascii="Arial" w:cs="Arial" w:eastAsia="Arial" w:hAnsi="Arial"/>
                <w:sz w:val="24"/>
                <w:szCs w:val="24"/>
                <w:b w:val="1"/>
                <w:bCs w:val="1"/>
                <w:color w:val="FB1717"/>
              </w:rPr>
              <w:t>1</w:t>
            </w:r>
          </w:p>
        </w:tc>
      </w:tr>
      <w:tr>
        <w:trPr>
          <w:trHeight w:val="222"/>
        </w:trPr>
        <w:tc>
          <w:tcPr>
            <w:tcW w:w="430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Highlights of 2022 Company Performance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6"/>
                <w:szCs w:val="16"/>
                <w:color w:val="auto"/>
              </w:rPr>
              <w:t>Corporate Values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300" w:type="dxa"/>
            <w:vAlign w:val="bottom"/>
          </w:tcPr>
          <w:p>
            <w:pPr>
              <w:ind w:left="360"/>
              <w:spacing w:after="0"/>
              <w:rPr>
                <w:sz w:val="20"/>
                <w:szCs w:val="20"/>
                <w:color w:val="auto"/>
              </w:rPr>
            </w:pPr>
            <w:r>
              <w:rPr>
                <w:rFonts w:ascii="Arial" w:cs="Arial" w:eastAsia="Arial" w:hAnsi="Arial"/>
                <w:sz w:val="16"/>
                <w:szCs w:val="16"/>
                <w:color w:val="auto"/>
              </w:rPr>
              <w:t>Our Board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300" w:type="dxa"/>
            <w:vAlign w:val="bottom"/>
          </w:tcPr>
          <w:p>
            <w:pPr>
              <w:ind w:left="360"/>
              <w:spacing w:after="0"/>
              <w:rPr>
                <w:sz w:val="20"/>
                <w:szCs w:val="20"/>
                <w:color w:val="auto"/>
              </w:rPr>
            </w:pPr>
            <w:r>
              <w:rPr>
                <w:rFonts w:ascii="Arial" w:cs="Arial" w:eastAsia="Arial" w:hAnsi="Arial"/>
                <w:sz w:val="16"/>
                <w:szCs w:val="16"/>
                <w:color w:val="auto"/>
              </w:rPr>
              <w:t>Environmental, Social and Governance Snapshot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w:t>
            </w:r>
          </w:p>
        </w:tc>
      </w:tr>
    </w:tbl>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240" w:type="dxa"/>
            <w:vAlign w:val="bottom"/>
            <w:tcBorders>
              <w:bottom w:val="single" w:sz="8" w:color="auto"/>
            </w:tcBorders>
          </w:tcPr>
          <w:p>
            <w:pPr>
              <w:ind w:left="80"/>
              <w:spacing w:after="0"/>
              <w:rPr>
                <w:sz w:val="20"/>
                <w:szCs w:val="20"/>
                <w:color w:val="auto"/>
              </w:rPr>
            </w:pPr>
            <w:r>
              <w:rPr>
                <w:rFonts w:ascii="Arial" w:cs="Arial" w:eastAsia="Arial" w:hAnsi="Arial"/>
                <w:sz w:val="24"/>
                <w:szCs w:val="24"/>
                <w:b w:val="1"/>
                <w:bCs w:val="1"/>
                <w:color w:val="FB1717"/>
              </w:rPr>
              <w:t>G</w:t>
            </w:r>
            <w:r>
              <w:rPr>
                <w:rFonts w:ascii="Arial" w:cs="Arial" w:eastAsia="Arial" w:hAnsi="Arial"/>
                <w:sz w:val="18"/>
                <w:szCs w:val="18"/>
                <w:b w:val="1"/>
                <w:bCs w:val="1"/>
                <w:color w:val="FB1717"/>
              </w:rPr>
              <w:t>OVERNING THE</w:t>
            </w:r>
            <w:r>
              <w:rPr>
                <w:rFonts w:ascii="Arial" w:cs="Arial" w:eastAsia="Arial" w:hAnsi="Arial"/>
                <w:sz w:val="24"/>
                <w:szCs w:val="24"/>
                <w:b w:val="1"/>
                <w:bCs w:val="1"/>
                <w:color w:val="FB1717"/>
              </w:rPr>
              <w:t xml:space="preserve"> C</w:t>
            </w:r>
            <w:r>
              <w:rPr>
                <w:rFonts w:ascii="Arial" w:cs="Arial" w:eastAsia="Arial" w:hAnsi="Arial"/>
                <w:sz w:val="18"/>
                <w:szCs w:val="18"/>
                <w:b w:val="1"/>
                <w:bCs w:val="1"/>
                <w:color w:val="FB1717"/>
              </w:rPr>
              <w:t>OMPANY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4"/>
                <w:szCs w:val="24"/>
                <w:b w:val="1"/>
                <w:bCs w:val="1"/>
                <w:color w:val="FB1717"/>
              </w:rPr>
              <w:t>4</w:t>
            </w:r>
          </w:p>
        </w:tc>
      </w:tr>
      <w:tr>
        <w:trPr>
          <w:trHeight w:val="222"/>
        </w:trPr>
        <w:tc>
          <w:tcPr>
            <w:tcW w:w="4240" w:type="dxa"/>
            <w:vAlign w:val="bottom"/>
          </w:tcPr>
          <w:p>
            <w:pPr>
              <w:ind w:left="360"/>
              <w:spacing w:after="0"/>
              <w:rPr>
                <w:sz w:val="20"/>
                <w:szCs w:val="20"/>
                <w:color w:val="auto"/>
              </w:rPr>
            </w:pPr>
            <w:r>
              <w:rPr>
                <w:rFonts w:ascii="Arial" w:cs="Arial" w:eastAsia="Arial" w:hAnsi="Arial"/>
                <w:sz w:val="16"/>
                <w:szCs w:val="16"/>
                <w:color w:val="auto"/>
              </w:rPr>
              <w:t>Governance Documents</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Governance Policies and Procedures</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Board Leadership</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Board and Committee Meetings</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Board Committees</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Board’s Role in Risk Oversight</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Board and Committee Evaluation Process</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Succession Planning</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Communications with the Board</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Compensation Committee Interlocks and Insider</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90"/>
        </w:trPr>
        <w:tc>
          <w:tcPr>
            <w:tcW w:w="4240" w:type="dxa"/>
            <w:vAlign w:val="bottom"/>
          </w:tcPr>
          <w:p>
            <w:pPr>
              <w:ind w:left="460"/>
              <w:spacing w:after="0"/>
              <w:rPr>
                <w:sz w:val="20"/>
                <w:szCs w:val="20"/>
                <w:color w:val="auto"/>
              </w:rPr>
            </w:pPr>
            <w:r>
              <w:rPr>
                <w:rFonts w:ascii="Arial" w:cs="Arial" w:eastAsia="Arial" w:hAnsi="Arial"/>
                <w:sz w:val="16"/>
                <w:szCs w:val="16"/>
                <w:color w:val="auto"/>
              </w:rPr>
              <w:t>Participation</w:t>
            </w:r>
          </w:p>
        </w:tc>
        <w:tc>
          <w:tcPr>
            <w:tcW w:w="660" w:type="dxa"/>
            <w:vAlign w:val="bottom"/>
          </w:tcPr>
          <w:p>
            <w:pPr>
              <w:spacing w:after="0"/>
              <w:rPr>
                <w:sz w:val="16"/>
                <w:szCs w:val="16"/>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Related Party Transactions</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auto"/>
              </w:rPr>
              <w:t>Trustee Independence</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340" w:type="dxa"/>
            <w:vAlign w:val="bottom"/>
            <w:tcBorders>
              <w:bottom w:val="single" w:sz="8" w:color="auto"/>
            </w:tcBorders>
          </w:tcPr>
          <w:p>
            <w:pPr>
              <w:ind w:left="80"/>
              <w:spacing w:after="0"/>
              <w:rPr>
                <w:sz w:val="20"/>
                <w:szCs w:val="20"/>
                <w:color w:val="auto"/>
              </w:rPr>
            </w:pPr>
            <w:r>
              <w:rPr>
                <w:rFonts w:ascii="Arial" w:cs="Arial" w:eastAsia="Arial" w:hAnsi="Arial"/>
                <w:sz w:val="24"/>
                <w:szCs w:val="24"/>
                <w:b w:val="1"/>
                <w:bCs w:val="1"/>
                <w:color w:val="FB1717"/>
              </w:rPr>
              <w:t>P</w:t>
            </w:r>
            <w:r>
              <w:rPr>
                <w:rFonts w:ascii="Arial" w:cs="Arial" w:eastAsia="Arial" w:hAnsi="Arial"/>
                <w:sz w:val="18"/>
                <w:szCs w:val="18"/>
                <w:b w:val="1"/>
                <w:bCs w:val="1"/>
                <w:color w:val="FB1717"/>
              </w:rPr>
              <w:t>ROPOSAL</w:t>
            </w:r>
            <w:r>
              <w:rPr>
                <w:rFonts w:ascii="Arial" w:cs="Arial" w:eastAsia="Arial" w:hAnsi="Arial"/>
                <w:sz w:val="24"/>
                <w:szCs w:val="24"/>
                <w:b w:val="1"/>
                <w:bCs w:val="1"/>
                <w:color w:val="FB1717"/>
              </w:rPr>
              <w:t xml:space="preserve"> 1: E</w:t>
            </w:r>
            <w:r>
              <w:rPr>
                <w:rFonts w:ascii="Arial" w:cs="Arial" w:eastAsia="Arial" w:hAnsi="Arial"/>
                <w:sz w:val="18"/>
                <w:szCs w:val="18"/>
                <w:b w:val="1"/>
                <w:bCs w:val="1"/>
                <w:color w:val="FB1717"/>
              </w:rPr>
              <w:t>LECTION OF</w:t>
            </w:r>
            <w:r>
              <w:rPr>
                <w:rFonts w:ascii="Arial" w:cs="Arial" w:eastAsia="Arial" w:hAnsi="Arial"/>
                <w:sz w:val="24"/>
                <w:szCs w:val="24"/>
                <w:b w:val="1"/>
                <w:bCs w:val="1"/>
                <w:color w:val="FB1717"/>
              </w:rPr>
              <w:t xml:space="preserve"> T</w:t>
            </w:r>
            <w:r>
              <w:rPr>
                <w:rFonts w:ascii="Arial" w:cs="Arial" w:eastAsia="Arial" w:hAnsi="Arial"/>
                <w:sz w:val="18"/>
                <w:szCs w:val="18"/>
                <w:b w:val="1"/>
                <w:bCs w:val="1"/>
                <w:color w:val="FB1717"/>
              </w:rPr>
              <w:t>RUSTEES</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24"/>
                <w:szCs w:val="24"/>
                <w:b w:val="1"/>
                <w:bCs w:val="1"/>
                <w:color w:val="FB1717"/>
              </w:rPr>
              <w:t>10</w:t>
            </w:r>
          </w:p>
        </w:tc>
      </w:tr>
      <w:tr>
        <w:trPr>
          <w:trHeight w:val="222"/>
        </w:trPr>
        <w:tc>
          <w:tcPr>
            <w:tcW w:w="4340" w:type="dxa"/>
            <w:vAlign w:val="bottom"/>
          </w:tcPr>
          <w:p>
            <w:pPr>
              <w:ind w:left="360"/>
              <w:spacing w:after="0"/>
              <w:rPr>
                <w:sz w:val="20"/>
                <w:szCs w:val="20"/>
                <w:color w:val="auto"/>
              </w:rPr>
            </w:pPr>
            <w:r>
              <w:rPr>
                <w:rFonts w:ascii="Arial" w:cs="Arial" w:eastAsia="Arial" w:hAnsi="Arial"/>
                <w:sz w:val="16"/>
                <w:szCs w:val="16"/>
                <w:color w:val="auto"/>
              </w:rPr>
              <w:t>Vote Required and Majority Voting Standard</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Nominee Characteristics and Selection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Nominee Diversity and Tenure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Our Nominees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Trustee Compensation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359"/>
        </w:trPr>
        <w:tc>
          <w:tcPr>
            <w:tcW w:w="4340" w:type="dxa"/>
            <w:vAlign w:val="bottom"/>
          </w:tcPr>
          <w:p>
            <w:pPr>
              <w:ind w:left="80"/>
              <w:spacing w:after="0"/>
              <w:rPr>
                <w:sz w:val="20"/>
                <w:szCs w:val="20"/>
                <w:color w:val="auto"/>
              </w:rPr>
            </w:pPr>
            <w:r>
              <w:rPr>
                <w:rFonts w:ascii="Arial" w:cs="Arial" w:eastAsia="Arial" w:hAnsi="Arial"/>
                <w:sz w:val="24"/>
                <w:szCs w:val="24"/>
                <w:b w:val="1"/>
                <w:bCs w:val="1"/>
                <w:color w:val="FB1717"/>
              </w:rPr>
              <w:t>P</w:t>
            </w:r>
            <w:r>
              <w:rPr>
                <w:rFonts w:ascii="Arial" w:cs="Arial" w:eastAsia="Arial" w:hAnsi="Arial"/>
                <w:sz w:val="18"/>
                <w:szCs w:val="18"/>
                <w:b w:val="1"/>
                <w:bCs w:val="1"/>
                <w:color w:val="FB1717"/>
              </w:rPr>
              <w:t>ROPOSAL</w:t>
            </w:r>
            <w:r>
              <w:rPr>
                <w:rFonts w:ascii="Arial" w:cs="Arial" w:eastAsia="Arial" w:hAnsi="Arial"/>
                <w:sz w:val="24"/>
                <w:szCs w:val="24"/>
                <w:b w:val="1"/>
                <w:bCs w:val="1"/>
                <w:color w:val="FB1717"/>
              </w:rPr>
              <w:t xml:space="preserve"> 2: A</w:t>
            </w:r>
            <w:r>
              <w:rPr>
                <w:rFonts w:ascii="Arial" w:cs="Arial" w:eastAsia="Arial" w:hAnsi="Arial"/>
                <w:sz w:val="18"/>
                <w:szCs w:val="18"/>
                <w:b w:val="1"/>
                <w:bCs w:val="1"/>
                <w:color w:val="FB1717"/>
              </w:rPr>
              <w:t>PPROVING OUR</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340" w:type="dxa"/>
            <w:vAlign w:val="bottom"/>
          </w:tcPr>
          <w:p>
            <w:pPr>
              <w:ind w:left="80"/>
              <w:spacing w:after="0" w:line="265" w:lineRule="exact"/>
              <w:rPr>
                <w:sz w:val="20"/>
                <w:szCs w:val="20"/>
                <w:color w:val="auto"/>
              </w:rPr>
            </w:pPr>
            <w:r>
              <w:rPr>
                <w:rFonts w:ascii="Arial" w:cs="Arial" w:eastAsia="Arial" w:hAnsi="Arial"/>
                <w:sz w:val="24"/>
                <w:szCs w:val="24"/>
                <w:b w:val="1"/>
                <w:bCs w:val="1"/>
                <w:color w:val="FB1717"/>
              </w:rPr>
              <w:t>E</w:t>
            </w:r>
            <w:r>
              <w:rPr>
                <w:rFonts w:ascii="Arial" w:cs="Arial" w:eastAsia="Arial" w:hAnsi="Arial"/>
                <w:sz w:val="18"/>
                <w:szCs w:val="18"/>
                <w:b w:val="1"/>
                <w:bCs w:val="1"/>
                <w:color w:val="FB1717"/>
              </w:rPr>
              <w:t>XECUTIVE</w:t>
            </w:r>
            <w:r>
              <w:rPr>
                <w:rFonts w:ascii="Arial" w:cs="Arial" w:eastAsia="Arial" w:hAnsi="Arial"/>
                <w:sz w:val="24"/>
                <w:szCs w:val="24"/>
                <w:b w:val="1"/>
                <w:bCs w:val="1"/>
                <w:color w:val="FB1717"/>
              </w:rPr>
              <w:t xml:space="preserve"> C</w:t>
            </w:r>
            <w:r>
              <w:rPr>
                <w:rFonts w:ascii="Arial" w:cs="Arial" w:eastAsia="Arial" w:hAnsi="Arial"/>
                <w:sz w:val="18"/>
                <w:szCs w:val="18"/>
                <w:b w:val="1"/>
                <w:bCs w:val="1"/>
                <w:color w:val="FB1717"/>
              </w:rPr>
              <w:t>OMPENSATION</w:t>
            </w:r>
          </w:p>
        </w:tc>
        <w:tc>
          <w:tcPr>
            <w:tcW w:w="560" w:type="dxa"/>
            <w:vAlign w:val="bottom"/>
            <w:gridSpan w:val="2"/>
          </w:tcPr>
          <w:p>
            <w:pPr>
              <w:jc w:val="right"/>
              <w:spacing w:after="0" w:line="265" w:lineRule="exact"/>
              <w:rPr>
                <w:sz w:val="20"/>
                <w:szCs w:val="20"/>
                <w:color w:val="auto"/>
              </w:rPr>
            </w:pPr>
            <w:r>
              <w:rPr>
                <w:rFonts w:ascii="Arial" w:cs="Arial" w:eastAsia="Arial" w:hAnsi="Arial"/>
                <w:sz w:val="24"/>
                <w:szCs w:val="24"/>
                <w:b w:val="1"/>
                <w:bCs w:val="1"/>
                <w:color w:val="FB1717"/>
              </w:rPr>
              <w:t>18</w:t>
            </w:r>
          </w:p>
        </w:tc>
      </w:tr>
      <w:tr>
        <w:trPr>
          <w:trHeight w:val="391"/>
        </w:trPr>
        <w:tc>
          <w:tcPr>
            <w:tcW w:w="4340" w:type="dxa"/>
            <w:vAlign w:val="bottom"/>
            <w:tcBorders>
              <w:top w:val="single" w:sz="8" w:color="auto"/>
            </w:tcBorders>
          </w:tcPr>
          <w:p>
            <w:pPr>
              <w:ind w:left="80"/>
              <w:spacing w:after="0"/>
              <w:rPr>
                <w:sz w:val="20"/>
                <w:szCs w:val="20"/>
                <w:color w:val="auto"/>
              </w:rPr>
            </w:pPr>
            <w:r>
              <w:rPr>
                <w:rFonts w:ascii="Arial" w:cs="Arial" w:eastAsia="Arial" w:hAnsi="Arial"/>
                <w:sz w:val="24"/>
                <w:szCs w:val="24"/>
                <w:b w:val="1"/>
                <w:bCs w:val="1"/>
                <w:color w:val="FB1717"/>
              </w:rPr>
              <w:t>C</w:t>
            </w:r>
            <w:r>
              <w:rPr>
                <w:rFonts w:ascii="Arial" w:cs="Arial" w:eastAsia="Arial" w:hAnsi="Arial"/>
                <w:sz w:val="18"/>
                <w:szCs w:val="18"/>
                <w:b w:val="1"/>
                <w:bCs w:val="1"/>
                <w:color w:val="FB1717"/>
              </w:rPr>
              <w:t>OMPENSATION</w:t>
            </w:r>
            <w:r>
              <w:rPr>
                <w:rFonts w:ascii="Arial" w:cs="Arial" w:eastAsia="Arial" w:hAnsi="Arial"/>
                <w:sz w:val="24"/>
                <w:szCs w:val="24"/>
                <w:b w:val="1"/>
                <w:bCs w:val="1"/>
                <w:color w:val="FB1717"/>
              </w:rPr>
              <w:t xml:space="preserve"> D</w:t>
            </w:r>
            <w:r>
              <w:rPr>
                <w:rFonts w:ascii="Arial" w:cs="Arial" w:eastAsia="Arial" w:hAnsi="Arial"/>
                <w:sz w:val="18"/>
                <w:szCs w:val="18"/>
                <w:b w:val="1"/>
                <w:bCs w:val="1"/>
                <w:color w:val="FB1717"/>
              </w:rPr>
              <w:t>ISCUSSION AND</w:t>
            </w: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340" w:type="dxa"/>
            <w:vAlign w:val="bottom"/>
            <w:tcBorders>
              <w:bottom w:val="single" w:sz="8" w:color="auto"/>
            </w:tcBorders>
          </w:tcPr>
          <w:p>
            <w:pPr>
              <w:ind w:left="80"/>
              <w:spacing w:after="0" w:line="265" w:lineRule="exact"/>
              <w:rPr>
                <w:sz w:val="20"/>
                <w:szCs w:val="20"/>
                <w:color w:val="auto"/>
              </w:rPr>
            </w:pPr>
            <w:r>
              <w:rPr>
                <w:rFonts w:ascii="Arial" w:cs="Arial" w:eastAsia="Arial" w:hAnsi="Arial"/>
                <w:sz w:val="24"/>
                <w:szCs w:val="24"/>
                <w:b w:val="1"/>
                <w:bCs w:val="1"/>
                <w:color w:val="FB1717"/>
              </w:rPr>
              <w:t>A</w:t>
            </w:r>
            <w:r>
              <w:rPr>
                <w:rFonts w:ascii="Arial" w:cs="Arial" w:eastAsia="Arial" w:hAnsi="Arial"/>
                <w:sz w:val="18"/>
                <w:szCs w:val="18"/>
                <w:b w:val="1"/>
                <w:bCs w:val="1"/>
                <w:color w:val="FB1717"/>
              </w:rPr>
              <w:t>NALYSIS</w:t>
            </w:r>
          </w:p>
        </w:tc>
        <w:tc>
          <w:tcPr>
            <w:tcW w:w="560" w:type="dxa"/>
            <w:vAlign w:val="bottom"/>
            <w:tcBorders>
              <w:bottom w:val="single" w:sz="8" w:color="auto"/>
            </w:tcBorders>
            <w:gridSpan w:val="2"/>
          </w:tcPr>
          <w:p>
            <w:pPr>
              <w:jc w:val="right"/>
              <w:spacing w:after="0" w:line="265" w:lineRule="exact"/>
              <w:rPr>
                <w:sz w:val="20"/>
                <w:szCs w:val="20"/>
                <w:color w:val="auto"/>
              </w:rPr>
            </w:pPr>
            <w:r>
              <w:rPr>
                <w:rFonts w:ascii="Arial" w:cs="Arial" w:eastAsia="Arial" w:hAnsi="Arial"/>
                <w:sz w:val="24"/>
                <w:szCs w:val="24"/>
                <w:b w:val="1"/>
                <w:bCs w:val="1"/>
                <w:color w:val="FB1717"/>
              </w:rPr>
              <w:t>19</w:t>
            </w:r>
          </w:p>
        </w:tc>
      </w:tr>
      <w:tr>
        <w:trPr>
          <w:trHeight w:val="222"/>
        </w:trPr>
        <w:tc>
          <w:tcPr>
            <w:tcW w:w="4340" w:type="dxa"/>
            <w:vAlign w:val="bottom"/>
          </w:tcPr>
          <w:p>
            <w:pPr>
              <w:ind w:left="360"/>
              <w:spacing w:after="0"/>
              <w:rPr>
                <w:sz w:val="20"/>
                <w:szCs w:val="20"/>
                <w:color w:val="auto"/>
              </w:rPr>
            </w:pPr>
            <w:r>
              <w:rPr>
                <w:rFonts w:ascii="Arial" w:cs="Arial" w:eastAsia="Arial" w:hAnsi="Arial"/>
                <w:sz w:val="16"/>
                <w:szCs w:val="16"/>
                <w:color w:val="auto"/>
              </w:rPr>
              <w:t>Introduction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2022 Business Highlights supporting</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190"/>
        </w:trPr>
        <w:tc>
          <w:tcPr>
            <w:tcW w:w="4340" w:type="dxa"/>
            <w:vAlign w:val="bottom"/>
          </w:tcPr>
          <w:p>
            <w:pPr>
              <w:ind w:left="840"/>
              <w:spacing w:after="0"/>
              <w:rPr>
                <w:sz w:val="20"/>
                <w:szCs w:val="20"/>
                <w:color w:val="auto"/>
              </w:rPr>
            </w:pPr>
            <w:r>
              <w:rPr>
                <w:rFonts w:ascii="Arial" w:cs="Arial" w:eastAsia="Arial" w:hAnsi="Arial"/>
                <w:sz w:val="16"/>
                <w:szCs w:val="16"/>
                <w:color w:val="auto"/>
              </w:rPr>
              <w:t>Compensation Decisions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Program Philosophy and Objectives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Executive Compensation Practices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Components of Compensation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Compensation Setting Process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Annual Compensation Decision Making</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Role of the Compensation Committee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Role of Management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Role of Independent Compensation Consultant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2022 Compensation Decisions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Setting 2022 Target Compensation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Individual Elements of 2022 Pay</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2022 NEO Performance Summary</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230"/>
        </w:trPr>
        <w:tc>
          <w:tcPr>
            <w:tcW w:w="4340" w:type="dxa"/>
            <w:vAlign w:val="bottom"/>
          </w:tcPr>
          <w:p>
            <w:pPr>
              <w:ind w:left="360"/>
              <w:spacing w:after="0"/>
              <w:rPr>
                <w:sz w:val="20"/>
                <w:szCs w:val="20"/>
                <w:color w:val="auto"/>
              </w:rPr>
            </w:pPr>
            <w:r>
              <w:rPr>
                <w:rFonts w:ascii="Arial" w:cs="Arial" w:eastAsia="Arial" w:hAnsi="Arial"/>
                <w:sz w:val="16"/>
                <w:szCs w:val="16"/>
                <w:color w:val="auto"/>
              </w:rPr>
              <w:t>Other Compensation Practices and Policies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Consideration of Say on Pay Vote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No Hedging or Pledging of our Shares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Severance and Change-in-Control</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190"/>
        </w:trPr>
        <w:tc>
          <w:tcPr>
            <w:tcW w:w="4340" w:type="dxa"/>
            <w:vAlign w:val="bottom"/>
          </w:tcPr>
          <w:p>
            <w:pPr>
              <w:ind w:left="840"/>
              <w:spacing w:after="0"/>
              <w:rPr>
                <w:sz w:val="20"/>
                <w:szCs w:val="20"/>
                <w:color w:val="auto"/>
              </w:rPr>
            </w:pPr>
            <w:r>
              <w:rPr>
                <w:rFonts w:ascii="Arial" w:cs="Arial" w:eastAsia="Arial" w:hAnsi="Arial"/>
                <w:sz w:val="16"/>
                <w:szCs w:val="16"/>
                <w:color w:val="auto"/>
              </w:rPr>
              <w:t>Arrangements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340" w:type="dxa"/>
            <w:vAlign w:val="bottom"/>
          </w:tcPr>
          <w:p>
            <w:pPr>
              <w:ind w:left="740"/>
              <w:spacing w:after="0"/>
              <w:rPr>
                <w:sz w:val="20"/>
                <w:szCs w:val="20"/>
                <w:color w:val="auto"/>
              </w:rPr>
            </w:pPr>
            <w:r>
              <w:rPr>
                <w:rFonts w:ascii="Arial" w:cs="Arial" w:eastAsia="Arial" w:hAnsi="Arial"/>
                <w:sz w:val="16"/>
                <w:szCs w:val="16"/>
                <w:color w:val="auto"/>
              </w:rPr>
              <w:t>Clawback Policy</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84"/>
        </w:trPr>
        <w:tc>
          <w:tcPr>
            <w:tcW w:w="3960" w:type="dxa"/>
            <w:vAlign w:val="bottom"/>
          </w:tcPr>
          <w:p>
            <w:pPr>
              <w:ind w:left="380"/>
              <w:spacing w:after="0"/>
              <w:rPr>
                <w:sz w:val="20"/>
                <w:szCs w:val="20"/>
                <w:color w:val="auto"/>
              </w:rPr>
            </w:pPr>
            <w:r>
              <w:rPr>
                <w:rFonts w:ascii="Arial" w:cs="Arial" w:eastAsia="Arial" w:hAnsi="Arial"/>
                <w:sz w:val="16"/>
                <w:szCs w:val="16"/>
                <w:color w:val="auto"/>
              </w:rPr>
              <w:t>Share Ownership Guidelines</w:t>
            </w: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0"/>
        </w:trPr>
        <w:tc>
          <w:tcPr>
            <w:tcW w:w="3960" w:type="dxa"/>
            <w:vAlign w:val="bottom"/>
          </w:tcPr>
          <w:p>
            <w:pPr>
              <w:ind w:left="380"/>
              <w:spacing w:after="0"/>
              <w:rPr>
                <w:sz w:val="20"/>
                <w:szCs w:val="20"/>
                <w:color w:val="auto"/>
              </w:rPr>
            </w:pPr>
            <w:r>
              <w:rPr>
                <w:rFonts w:ascii="Arial" w:cs="Arial" w:eastAsia="Arial" w:hAnsi="Arial"/>
                <w:sz w:val="16"/>
                <w:szCs w:val="16"/>
                <w:color w:val="auto"/>
              </w:rPr>
              <w:t>Risk Assessment of Compensation Programs</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0"/>
        </w:trPr>
        <w:tc>
          <w:tcPr>
            <w:tcW w:w="3960" w:type="dxa"/>
            <w:vAlign w:val="bottom"/>
          </w:tcPr>
          <w:p>
            <w:pPr>
              <w:ind w:left="380"/>
              <w:spacing w:after="0"/>
              <w:rPr>
                <w:sz w:val="20"/>
                <w:szCs w:val="20"/>
                <w:color w:val="auto"/>
              </w:rPr>
            </w:pPr>
            <w:r>
              <w:rPr>
                <w:rFonts w:ascii="Arial" w:cs="Arial" w:eastAsia="Arial" w:hAnsi="Arial"/>
                <w:sz w:val="16"/>
                <w:szCs w:val="16"/>
                <w:color w:val="auto"/>
              </w:rPr>
              <w:t>Equity Grant Practices</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0"/>
        </w:trPr>
        <w:tc>
          <w:tcPr>
            <w:tcW w:w="3960" w:type="dxa"/>
            <w:vAlign w:val="bottom"/>
          </w:tcPr>
          <w:p>
            <w:pPr>
              <w:ind w:left="380"/>
              <w:spacing w:after="0"/>
              <w:rPr>
                <w:sz w:val="20"/>
                <w:szCs w:val="20"/>
                <w:color w:val="auto"/>
              </w:rPr>
            </w:pPr>
            <w:r>
              <w:rPr>
                <w:rFonts w:ascii="Arial" w:cs="Arial" w:eastAsia="Arial" w:hAnsi="Arial"/>
                <w:sz w:val="16"/>
                <w:szCs w:val="16"/>
                <w:color w:val="auto"/>
              </w:rPr>
              <w:t>Tax Deductibility of Executive Compensation</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0"/>
        </w:trPr>
        <w:tc>
          <w:tcPr>
            <w:tcW w:w="3960" w:type="dxa"/>
            <w:vAlign w:val="bottom"/>
          </w:tcPr>
          <w:p>
            <w:pPr>
              <w:ind w:left="380"/>
              <w:spacing w:after="0"/>
              <w:rPr>
                <w:sz w:val="20"/>
                <w:szCs w:val="20"/>
                <w:color w:val="auto"/>
              </w:rPr>
            </w:pPr>
            <w:r>
              <w:rPr>
                <w:rFonts w:ascii="Arial" w:cs="Arial" w:eastAsia="Arial" w:hAnsi="Arial"/>
                <w:sz w:val="16"/>
                <w:szCs w:val="16"/>
                <w:color w:val="auto"/>
              </w:rPr>
              <w:t>Health and Welfare Benefits</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0"/>
        </w:trPr>
        <w:tc>
          <w:tcPr>
            <w:tcW w:w="3960" w:type="dxa"/>
            <w:vAlign w:val="bottom"/>
          </w:tcPr>
          <w:p>
            <w:pPr>
              <w:spacing w:after="0"/>
              <w:rPr>
                <w:sz w:val="20"/>
                <w:szCs w:val="20"/>
                <w:color w:val="auto"/>
              </w:rPr>
            </w:pPr>
            <w:r>
              <w:rPr>
                <w:rFonts w:ascii="Arial" w:cs="Arial" w:eastAsia="Arial" w:hAnsi="Arial"/>
                <w:sz w:val="16"/>
                <w:szCs w:val="16"/>
                <w:color w:val="auto"/>
              </w:rPr>
              <w:t>Compensation Committee Report</w:t>
            </w: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20" w:type="dxa"/>
            <w:vAlign w:val="bottom"/>
          </w:tcPr>
          <w:p>
            <w:pPr>
              <w:ind w:left="80"/>
              <w:spacing w:after="0"/>
              <w:rPr>
                <w:sz w:val="20"/>
                <w:szCs w:val="20"/>
                <w:color w:val="auto"/>
              </w:rPr>
            </w:pPr>
            <w:r>
              <w:rPr>
                <w:rFonts w:ascii="Arial" w:cs="Arial" w:eastAsia="Arial" w:hAnsi="Arial"/>
                <w:sz w:val="24"/>
                <w:szCs w:val="24"/>
                <w:b w:val="1"/>
                <w:bCs w:val="1"/>
                <w:color w:val="FB1717"/>
              </w:rPr>
              <w:t>C</w:t>
            </w:r>
            <w:r>
              <w:rPr>
                <w:rFonts w:ascii="Arial" w:cs="Arial" w:eastAsia="Arial" w:hAnsi="Arial"/>
                <w:sz w:val="18"/>
                <w:szCs w:val="18"/>
                <w:b w:val="1"/>
                <w:bCs w:val="1"/>
                <w:color w:val="FB1717"/>
              </w:rPr>
              <w:t>OMPENSATION</w:t>
            </w:r>
            <w:r>
              <w:rPr>
                <w:rFonts w:ascii="Arial" w:cs="Arial" w:eastAsia="Arial" w:hAnsi="Arial"/>
                <w:sz w:val="24"/>
                <w:szCs w:val="24"/>
                <w:b w:val="1"/>
                <w:bCs w:val="1"/>
                <w:color w:val="FB1717"/>
              </w:rPr>
              <w:t xml:space="preserve"> T</w:t>
            </w:r>
            <w:r>
              <w:rPr>
                <w:rFonts w:ascii="Arial" w:cs="Arial" w:eastAsia="Arial" w:hAnsi="Arial"/>
                <w:sz w:val="18"/>
                <w:szCs w:val="18"/>
                <w:b w:val="1"/>
                <w:bCs w:val="1"/>
                <w:color w:val="FB1717"/>
              </w:rPr>
              <w:t>ABLES AND</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0"/>
        </w:trPr>
        <w:tc>
          <w:tcPr>
            <w:tcW w:w="4320" w:type="dxa"/>
            <w:vAlign w:val="bottom"/>
            <w:tcBorders>
              <w:bottom w:val="single" w:sz="8" w:color="auto"/>
            </w:tcBorders>
          </w:tcPr>
          <w:p>
            <w:pPr>
              <w:ind w:left="80"/>
              <w:spacing w:after="0" w:line="270" w:lineRule="exact"/>
              <w:rPr>
                <w:sz w:val="20"/>
                <w:szCs w:val="20"/>
                <w:color w:val="auto"/>
              </w:rPr>
            </w:pPr>
            <w:r>
              <w:rPr>
                <w:rFonts w:ascii="Arial" w:cs="Arial" w:eastAsia="Arial" w:hAnsi="Arial"/>
                <w:sz w:val="24"/>
                <w:szCs w:val="24"/>
                <w:b w:val="1"/>
                <w:bCs w:val="1"/>
                <w:color w:val="FB1717"/>
              </w:rPr>
              <w:t>N</w:t>
            </w:r>
            <w:r>
              <w:rPr>
                <w:rFonts w:ascii="Arial" w:cs="Arial" w:eastAsia="Arial" w:hAnsi="Arial"/>
                <w:sz w:val="18"/>
                <w:szCs w:val="18"/>
                <w:b w:val="1"/>
                <w:bCs w:val="1"/>
                <w:color w:val="FB1717"/>
              </w:rPr>
              <w:t>ARRATIVES</w:t>
            </w:r>
          </w:p>
        </w:tc>
        <w:tc>
          <w:tcPr>
            <w:tcW w:w="560" w:type="dxa"/>
            <w:vAlign w:val="bottom"/>
            <w:tcBorders>
              <w:bottom w:val="single" w:sz="8" w:color="auto"/>
            </w:tcBorders>
            <w:gridSpan w:val="2"/>
          </w:tcPr>
          <w:p>
            <w:pPr>
              <w:jc w:val="right"/>
              <w:spacing w:after="0" w:line="270" w:lineRule="exact"/>
              <w:rPr>
                <w:sz w:val="20"/>
                <w:szCs w:val="20"/>
                <w:color w:val="auto"/>
              </w:rPr>
            </w:pPr>
            <w:r>
              <w:rPr>
                <w:rFonts w:ascii="Arial" w:cs="Arial" w:eastAsia="Arial" w:hAnsi="Arial"/>
                <w:sz w:val="24"/>
                <w:szCs w:val="24"/>
                <w:b w:val="1"/>
                <w:bCs w:val="1"/>
                <w:color w:val="FB1717"/>
              </w:rPr>
              <w:t>31</w:t>
            </w:r>
          </w:p>
        </w:tc>
      </w:tr>
      <w:tr>
        <w:trPr>
          <w:trHeight w:val="232"/>
        </w:trPr>
        <w:tc>
          <w:tcPr>
            <w:tcW w:w="4320" w:type="dxa"/>
            <w:vAlign w:val="bottom"/>
          </w:tcPr>
          <w:p>
            <w:pPr>
              <w:ind w:left="360"/>
              <w:spacing w:after="0"/>
              <w:rPr>
                <w:sz w:val="20"/>
                <w:szCs w:val="20"/>
                <w:color w:val="auto"/>
              </w:rPr>
            </w:pPr>
            <w:r>
              <w:rPr>
                <w:rFonts w:ascii="Arial" w:cs="Arial" w:eastAsia="Arial" w:hAnsi="Arial"/>
                <w:sz w:val="16"/>
                <w:szCs w:val="16"/>
                <w:color w:val="auto"/>
              </w:rPr>
              <w:t>Summary Compensation Table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Grants of Plan Based Awards Table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Outstanding Equity Awards at Fiscal Year End Table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Options Exercised and Stock Vested in 2022</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Non-Qualified Deferred Compensation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Potential Payments on Termination of Employment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0"/>
        </w:trPr>
        <w:tc>
          <w:tcPr>
            <w:tcW w:w="4320" w:type="dxa"/>
            <w:vAlign w:val="bottom"/>
          </w:tcPr>
          <w:p>
            <w:pPr>
              <w:ind w:left="460"/>
              <w:spacing w:after="0"/>
              <w:rPr>
                <w:sz w:val="20"/>
                <w:szCs w:val="20"/>
                <w:color w:val="auto"/>
              </w:rPr>
            </w:pPr>
            <w:r>
              <w:rPr>
                <w:rFonts w:ascii="Arial" w:cs="Arial" w:eastAsia="Arial" w:hAnsi="Arial"/>
                <w:sz w:val="16"/>
                <w:szCs w:val="16"/>
                <w:color w:val="auto"/>
              </w:rPr>
              <w:t>and Change-in-Control</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CEO Pay Ratio</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Pay Versus Performance Disclosure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Equity Compensation Plan Information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458"/>
        </w:trPr>
        <w:tc>
          <w:tcPr>
            <w:tcW w:w="4320" w:type="dxa"/>
            <w:vAlign w:val="bottom"/>
          </w:tcPr>
          <w:p>
            <w:pPr>
              <w:ind w:left="80"/>
              <w:spacing w:after="0"/>
              <w:rPr>
                <w:sz w:val="20"/>
                <w:szCs w:val="20"/>
                <w:color w:val="auto"/>
              </w:rPr>
            </w:pPr>
            <w:r>
              <w:rPr>
                <w:rFonts w:ascii="Arial" w:cs="Arial" w:eastAsia="Arial" w:hAnsi="Arial"/>
                <w:sz w:val="24"/>
                <w:szCs w:val="24"/>
                <w:b w:val="1"/>
                <w:bCs w:val="1"/>
                <w:color w:val="FB1717"/>
              </w:rPr>
              <w:t>P</w:t>
            </w:r>
            <w:r>
              <w:rPr>
                <w:rFonts w:ascii="Arial" w:cs="Arial" w:eastAsia="Arial" w:hAnsi="Arial"/>
                <w:sz w:val="18"/>
                <w:szCs w:val="18"/>
                <w:b w:val="1"/>
                <w:bCs w:val="1"/>
                <w:color w:val="FB1717"/>
              </w:rPr>
              <w:t>ROPOSAL</w:t>
            </w:r>
            <w:r>
              <w:rPr>
                <w:rFonts w:ascii="Arial" w:cs="Arial" w:eastAsia="Arial" w:hAnsi="Arial"/>
                <w:sz w:val="24"/>
                <w:szCs w:val="24"/>
                <w:b w:val="1"/>
                <w:bCs w:val="1"/>
                <w:color w:val="FB1717"/>
              </w:rPr>
              <w:t xml:space="preserve"> 3: A</w:t>
            </w:r>
            <w:r>
              <w:rPr>
                <w:rFonts w:ascii="Arial" w:cs="Arial" w:eastAsia="Arial" w:hAnsi="Arial"/>
                <w:sz w:val="18"/>
                <w:szCs w:val="18"/>
                <w:b w:val="1"/>
                <w:bCs w:val="1"/>
                <w:color w:val="FB1717"/>
              </w:rPr>
              <w:t>PPROVING</w:t>
            </w:r>
            <w:r>
              <w:rPr>
                <w:rFonts w:ascii="Arial" w:cs="Arial" w:eastAsia="Arial" w:hAnsi="Arial"/>
                <w:sz w:val="24"/>
                <w:szCs w:val="24"/>
                <w:b w:val="1"/>
                <w:bCs w:val="1"/>
                <w:color w:val="FB1717"/>
              </w:rPr>
              <w:t xml:space="preserve"> F</w:t>
            </w:r>
            <w:r>
              <w:rPr>
                <w:rFonts w:ascii="Arial" w:cs="Arial" w:eastAsia="Arial" w:hAnsi="Arial"/>
                <w:sz w:val="18"/>
                <w:szCs w:val="18"/>
                <w:b w:val="1"/>
                <w:bCs w:val="1"/>
                <w:color w:val="FB1717"/>
              </w:rPr>
              <w:t>REQUENCY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320" w:type="dxa"/>
            <w:vAlign w:val="bottom"/>
          </w:tcPr>
          <w:p>
            <w:pPr>
              <w:ind w:left="80"/>
              <w:spacing w:after="0" w:line="270" w:lineRule="exact"/>
              <w:rPr>
                <w:sz w:val="20"/>
                <w:szCs w:val="20"/>
                <w:color w:val="auto"/>
              </w:rPr>
            </w:pPr>
            <w:r>
              <w:rPr>
                <w:rFonts w:ascii="Arial" w:cs="Arial" w:eastAsia="Arial" w:hAnsi="Arial"/>
                <w:sz w:val="18"/>
                <w:szCs w:val="18"/>
                <w:b w:val="1"/>
                <w:bCs w:val="1"/>
                <w:color w:val="FB1717"/>
              </w:rPr>
              <w:t xml:space="preserve">OF </w:t>
            </w:r>
            <w:r>
              <w:rPr>
                <w:rFonts w:ascii="Arial" w:cs="Arial" w:eastAsia="Arial" w:hAnsi="Arial"/>
                <w:sz w:val="24"/>
                <w:szCs w:val="24"/>
                <w:b w:val="1"/>
                <w:bCs w:val="1"/>
                <w:color w:val="FB1717"/>
              </w:rPr>
              <w:t>S</w:t>
            </w:r>
            <w:r>
              <w:rPr>
                <w:rFonts w:ascii="Arial" w:cs="Arial" w:eastAsia="Arial" w:hAnsi="Arial"/>
                <w:sz w:val="18"/>
                <w:szCs w:val="18"/>
                <w:b w:val="1"/>
                <w:bCs w:val="1"/>
                <w:color w:val="FB1717"/>
              </w:rPr>
              <w:t xml:space="preserve">AY ON </w:t>
            </w:r>
            <w:r>
              <w:rPr>
                <w:rFonts w:ascii="Arial" w:cs="Arial" w:eastAsia="Arial" w:hAnsi="Arial"/>
                <w:sz w:val="24"/>
                <w:szCs w:val="24"/>
                <w:b w:val="1"/>
                <w:bCs w:val="1"/>
                <w:color w:val="FB1717"/>
              </w:rPr>
              <w:t>P</w:t>
            </w:r>
            <w:r>
              <w:rPr>
                <w:rFonts w:ascii="Arial" w:cs="Arial" w:eastAsia="Arial" w:hAnsi="Arial"/>
                <w:sz w:val="18"/>
                <w:szCs w:val="18"/>
                <w:b w:val="1"/>
                <w:bCs w:val="1"/>
                <w:color w:val="FB1717"/>
              </w:rPr>
              <w:t xml:space="preserve">AY </w:t>
            </w:r>
            <w:r>
              <w:rPr>
                <w:rFonts w:ascii="Arial" w:cs="Arial" w:eastAsia="Arial" w:hAnsi="Arial"/>
                <w:sz w:val="24"/>
                <w:szCs w:val="24"/>
                <w:b w:val="1"/>
                <w:bCs w:val="1"/>
                <w:color w:val="FB1717"/>
              </w:rPr>
              <w:t>V</w:t>
            </w:r>
            <w:r>
              <w:rPr>
                <w:rFonts w:ascii="Arial" w:cs="Arial" w:eastAsia="Arial" w:hAnsi="Arial"/>
                <w:sz w:val="18"/>
                <w:szCs w:val="18"/>
                <w:b w:val="1"/>
                <w:bCs w:val="1"/>
                <w:color w:val="FB1717"/>
              </w:rPr>
              <w:t>OTE</w:t>
            </w:r>
          </w:p>
        </w:tc>
        <w:tc>
          <w:tcPr>
            <w:tcW w:w="560" w:type="dxa"/>
            <w:vAlign w:val="bottom"/>
            <w:gridSpan w:val="2"/>
          </w:tcPr>
          <w:p>
            <w:pPr>
              <w:jc w:val="right"/>
              <w:spacing w:after="0" w:line="270" w:lineRule="exact"/>
              <w:rPr>
                <w:sz w:val="20"/>
                <w:szCs w:val="20"/>
                <w:color w:val="auto"/>
              </w:rPr>
            </w:pPr>
            <w:r>
              <w:rPr>
                <w:rFonts w:ascii="Arial" w:cs="Arial" w:eastAsia="Arial" w:hAnsi="Arial"/>
                <w:sz w:val="24"/>
                <w:szCs w:val="24"/>
                <w:b w:val="1"/>
                <w:bCs w:val="1"/>
                <w:color w:val="FB1717"/>
              </w:rPr>
              <w:t>40</w:t>
            </w:r>
          </w:p>
        </w:tc>
      </w:tr>
      <w:tr>
        <w:trPr>
          <w:trHeight w:val="490"/>
        </w:trPr>
        <w:tc>
          <w:tcPr>
            <w:tcW w:w="4320" w:type="dxa"/>
            <w:vAlign w:val="bottom"/>
            <w:tcBorders>
              <w:top w:val="single" w:sz="8" w:color="auto"/>
            </w:tcBorders>
          </w:tcPr>
          <w:p>
            <w:pPr>
              <w:ind w:left="80"/>
              <w:spacing w:after="0"/>
              <w:rPr>
                <w:sz w:val="20"/>
                <w:szCs w:val="20"/>
                <w:color w:val="auto"/>
              </w:rPr>
            </w:pPr>
            <w:r>
              <w:rPr>
                <w:rFonts w:ascii="Arial" w:cs="Arial" w:eastAsia="Arial" w:hAnsi="Arial"/>
                <w:sz w:val="24"/>
                <w:szCs w:val="24"/>
                <w:b w:val="1"/>
                <w:bCs w:val="1"/>
                <w:color w:val="FB1717"/>
              </w:rPr>
              <w:t>P</w:t>
            </w:r>
            <w:r>
              <w:rPr>
                <w:rFonts w:ascii="Arial" w:cs="Arial" w:eastAsia="Arial" w:hAnsi="Arial"/>
                <w:sz w:val="18"/>
                <w:szCs w:val="18"/>
                <w:b w:val="1"/>
                <w:bCs w:val="1"/>
                <w:color w:val="FB1717"/>
              </w:rPr>
              <w:t>ROPOSAL</w:t>
            </w:r>
            <w:r>
              <w:rPr>
                <w:rFonts w:ascii="Arial" w:cs="Arial" w:eastAsia="Arial" w:hAnsi="Arial"/>
                <w:sz w:val="24"/>
                <w:szCs w:val="24"/>
                <w:b w:val="1"/>
                <w:bCs w:val="1"/>
                <w:color w:val="FB1717"/>
              </w:rPr>
              <w:t xml:space="preserve"> 4: D</w:t>
            </w:r>
            <w:r>
              <w:rPr>
                <w:rFonts w:ascii="Arial" w:cs="Arial" w:eastAsia="Arial" w:hAnsi="Arial"/>
                <w:sz w:val="18"/>
                <w:szCs w:val="18"/>
                <w:b w:val="1"/>
                <w:bCs w:val="1"/>
                <w:color w:val="FB1717"/>
              </w:rPr>
              <w:t>ECLARATION OF</w:t>
            </w:r>
            <w:r>
              <w:rPr>
                <w:rFonts w:ascii="Arial" w:cs="Arial" w:eastAsia="Arial" w:hAnsi="Arial"/>
                <w:sz w:val="24"/>
                <w:szCs w:val="24"/>
                <w:b w:val="1"/>
                <w:bCs w:val="1"/>
                <w:color w:val="FB1717"/>
              </w:rPr>
              <w:t xml:space="preserve"> T</w:t>
            </w:r>
            <w:r>
              <w:rPr>
                <w:rFonts w:ascii="Arial" w:cs="Arial" w:eastAsia="Arial" w:hAnsi="Arial"/>
                <w:sz w:val="18"/>
                <w:szCs w:val="18"/>
                <w:b w:val="1"/>
                <w:bCs w:val="1"/>
                <w:color w:val="FB1717"/>
              </w:rPr>
              <w:t>RUST</w:t>
            </w: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320" w:type="dxa"/>
            <w:vAlign w:val="bottom"/>
          </w:tcPr>
          <w:p>
            <w:pPr>
              <w:ind w:left="80"/>
              <w:spacing w:after="0"/>
              <w:rPr>
                <w:sz w:val="20"/>
                <w:szCs w:val="20"/>
                <w:color w:val="auto"/>
              </w:rPr>
            </w:pPr>
            <w:r>
              <w:rPr>
                <w:rFonts w:ascii="Arial" w:cs="Arial" w:eastAsia="Arial" w:hAnsi="Arial"/>
                <w:sz w:val="24"/>
                <w:szCs w:val="24"/>
                <w:b w:val="1"/>
                <w:bCs w:val="1"/>
                <w:color w:val="FB1717"/>
              </w:rPr>
              <w:t>A</w:t>
            </w:r>
            <w:r>
              <w:rPr>
                <w:rFonts w:ascii="Arial" w:cs="Arial" w:eastAsia="Arial" w:hAnsi="Arial"/>
                <w:sz w:val="18"/>
                <w:szCs w:val="18"/>
                <w:b w:val="1"/>
                <w:bCs w:val="1"/>
                <w:color w:val="FB1717"/>
              </w:rPr>
              <w:t>MENDMENT TO</w:t>
            </w:r>
            <w:r>
              <w:rPr>
                <w:rFonts w:ascii="Arial" w:cs="Arial" w:eastAsia="Arial" w:hAnsi="Arial"/>
                <w:sz w:val="24"/>
                <w:szCs w:val="24"/>
                <w:b w:val="1"/>
                <w:bCs w:val="1"/>
                <w:color w:val="FB1717"/>
              </w:rPr>
              <w:t xml:space="preserve"> I</w:t>
            </w:r>
            <w:r>
              <w:rPr>
                <w:rFonts w:ascii="Arial" w:cs="Arial" w:eastAsia="Arial" w:hAnsi="Arial"/>
                <w:sz w:val="18"/>
                <w:szCs w:val="18"/>
                <w:b w:val="1"/>
                <w:bCs w:val="1"/>
                <w:color w:val="FB1717"/>
              </w:rPr>
              <w:t>NCREASE</w:t>
            </w:r>
            <w:r>
              <w:rPr>
                <w:rFonts w:ascii="Arial" w:cs="Arial" w:eastAsia="Arial" w:hAnsi="Arial"/>
                <w:sz w:val="24"/>
                <w:szCs w:val="24"/>
                <w:b w:val="1"/>
                <w:bCs w:val="1"/>
                <w:color w:val="FB1717"/>
              </w:rPr>
              <w:t xml:space="preserve"> A</w:t>
            </w:r>
            <w:r>
              <w:rPr>
                <w:rFonts w:ascii="Arial" w:cs="Arial" w:eastAsia="Arial" w:hAnsi="Arial"/>
                <w:sz w:val="18"/>
                <w:szCs w:val="18"/>
                <w:b w:val="1"/>
                <w:bCs w:val="1"/>
                <w:color w:val="FB1717"/>
              </w:rPr>
              <w:t>UTHORIZED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320" w:type="dxa"/>
            <w:vAlign w:val="bottom"/>
          </w:tcPr>
          <w:p>
            <w:pPr>
              <w:ind w:left="80"/>
              <w:spacing w:after="0" w:line="270" w:lineRule="exact"/>
              <w:rPr>
                <w:sz w:val="20"/>
                <w:szCs w:val="20"/>
                <w:color w:val="auto"/>
              </w:rPr>
            </w:pPr>
            <w:r>
              <w:rPr>
                <w:rFonts w:ascii="Arial" w:cs="Arial" w:eastAsia="Arial" w:hAnsi="Arial"/>
                <w:sz w:val="24"/>
                <w:szCs w:val="24"/>
                <w:b w:val="1"/>
                <w:bCs w:val="1"/>
                <w:color w:val="FB1717"/>
              </w:rPr>
              <w:t>C</w:t>
            </w:r>
            <w:r>
              <w:rPr>
                <w:rFonts w:ascii="Arial" w:cs="Arial" w:eastAsia="Arial" w:hAnsi="Arial"/>
                <w:sz w:val="18"/>
                <w:szCs w:val="18"/>
                <w:b w:val="1"/>
                <w:bCs w:val="1"/>
                <w:color w:val="FB1717"/>
              </w:rPr>
              <w:t>OMMON</w:t>
            </w:r>
            <w:r>
              <w:rPr>
                <w:rFonts w:ascii="Arial" w:cs="Arial" w:eastAsia="Arial" w:hAnsi="Arial"/>
                <w:sz w:val="24"/>
                <w:szCs w:val="24"/>
                <w:b w:val="1"/>
                <w:bCs w:val="1"/>
                <w:color w:val="FB1717"/>
              </w:rPr>
              <w:t xml:space="preserve"> S</w:t>
            </w:r>
            <w:r>
              <w:rPr>
                <w:rFonts w:ascii="Arial" w:cs="Arial" w:eastAsia="Arial" w:hAnsi="Arial"/>
                <w:sz w:val="18"/>
                <w:szCs w:val="18"/>
                <w:b w:val="1"/>
                <w:bCs w:val="1"/>
                <w:color w:val="FB1717"/>
              </w:rPr>
              <w:t>HARES</w:t>
            </w:r>
          </w:p>
        </w:tc>
        <w:tc>
          <w:tcPr>
            <w:tcW w:w="560" w:type="dxa"/>
            <w:vAlign w:val="bottom"/>
            <w:gridSpan w:val="2"/>
          </w:tcPr>
          <w:p>
            <w:pPr>
              <w:jc w:val="right"/>
              <w:spacing w:after="0" w:line="270" w:lineRule="exact"/>
              <w:rPr>
                <w:sz w:val="20"/>
                <w:szCs w:val="20"/>
                <w:color w:val="auto"/>
              </w:rPr>
            </w:pPr>
            <w:r>
              <w:rPr>
                <w:rFonts w:ascii="Arial" w:cs="Arial" w:eastAsia="Arial" w:hAnsi="Arial"/>
                <w:sz w:val="24"/>
                <w:szCs w:val="24"/>
                <w:b w:val="1"/>
                <w:bCs w:val="1"/>
                <w:color w:val="FB1717"/>
              </w:rPr>
              <w:t>40</w:t>
            </w:r>
          </w:p>
        </w:tc>
      </w:tr>
      <w:tr>
        <w:trPr>
          <w:trHeight w:val="490"/>
        </w:trPr>
        <w:tc>
          <w:tcPr>
            <w:tcW w:w="4320" w:type="dxa"/>
            <w:vAlign w:val="bottom"/>
            <w:tcBorders>
              <w:top w:val="single" w:sz="8" w:color="auto"/>
            </w:tcBorders>
          </w:tcPr>
          <w:p>
            <w:pPr>
              <w:ind w:left="80"/>
              <w:spacing w:after="0"/>
              <w:rPr>
                <w:sz w:val="20"/>
                <w:szCs w:val="20"/>
                <w:color w:val="auto"/>
              </w:rPr>
            </w:pPr>
            <w:r>
              <w:rPr>
                <w:rFonts w:ascii="Arial" w:cs="Arial" w:eastAsia="Arial" w:hAnsi="Arial"/>
                <w:sz w:val="24"/>
                <w:szCs w:val="24"/>
                <w:b w:val="1"/>
                <w:bCs w:val="1"/>
                <w:color w:val="FB1717"/>
              </w:rPr>
              <w:t>P</w:t>
            </w:r>
            <w:r>
              <w:rPr>
                <w:rFonts w:ascii="Arial" w:cs="Arial" w:eastAsia="Arial" w:hAnsi="Arial"/>
                <w:sz w:val="18"/>
                <w:szCs w:val="18"/>
                <w:b w:val="1"/>
                <w:bCs w:val="1"/>
                <w:color w:val="FB1717"/>
              </w:rPr>
              <w:t>ROPOSAL</w:t>
            </w:r>
            <w:r>
              <w:rPr>
                <w:rFonts w:ascii="Arial" w:cs="Arial" w:eastAsia="Arial" w:hAnsi="Arial"/>
                <w:sz w:val="24"/>
                <w:szCs w:val="24"/>
                <w:b w:val="1"/>
                <w:bCs w:val="1"/>
                <w:color w:val="FB1717"/>
              </w:rPr>
              <w:t xml:space="preserve"> 5: R</w:t>
            </w:r>
            <w:r>
              <w:rPr>
                <w:rFonts w:ascii="Arial" w:cs="Arial" w:eastAsia="Arial" w:hAnsi="Arial"/>
                <w:sz w:val="18"/>
                <w:szCs w:val="18"/>
                <w:b w:val="1"/>
                <w:bCs w:val="1"/>
                <w:color w:val="FB1717"/>
              </w:rPr>
              <w:t>ATIFICATION OF</w:t>
            </w: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320" w:type="dxa"/>
            <w:vAlign w:val="bottom"/>
          </w:tcPr>
          <w:p>
            <w:pPr>
              <w:ind w:left="80"/>
              <w:spacing w:after="0"/>
              <w:rPr>
                <w:sz w:val="20"/>
                <w:szCs w:val="20"/>
                <w:color w:val="auto"/>
              </w:rPr>
            </w:pPr>
            <w:r>
              <w:rPr>
                <w:rFonts w:ascii="Arial" w:cs="Arial" w:eastAsia="Arial" w:hAnsi="Arial"/>
                <w:sz w:val="24"/>
                <w:szCs w:val="24"/>
                <w:b w:val="1"/>
                <w:bCs w:val="1"/>
                <w:color w:val="FB1717"/>
              </w:rPr>
              <w:t>I</w:t>
            </w:r>
            <w:r>
              <w:rPr>
                <w:rFonts w:ascii="Arial" w:cs="Arial" w:eastAsia="Arial" w:hAnsi="Arial"/>
                <w:sz w:val="18"/>
                <w:szCs w:val="18"/>
                <w:b w:val="1"/>
                <w:bCs w:val="1"/>
                <w:color w:val="FB1717"/>
              </w:rPr>
              <w:t>NDEPENDENT</w:t>
            </w:r>
            <w:r>
              <w:rPr>
                <w:rFonts w:ascii="Arial" w:cs="Arial" w:eastAsia="Arial" w:hAnsi="Arial"/>
                <w:sz w:val="24"/>
                <w:szCs w:val="24"/>
                <w:b w:val="1"/>
                <w:bCs w:val="1"/>
                <w:color w:val="FB1717"/>
              </w:rPr>
              <w:t xml:space="preserve"> R</w:t>
            </w:r>
            <w:r>
              <w:rPr>
                <w:rFonts w:ascii="Arial" w:cs="Arial" w:eastAsia="Arial" w:hAnsi="Arial"/>
                <w:sz w:val="18"/>
                <w:szCs w:val="18"/>
                <w:b w:val="1"/>
                <w:bCs w:val="1"/>
                <w:color w:val="FB1717"/>
              </w:rPr>
              <w:t>EGISTERED</w:t>
            </w:r>
            <w:r>
              <w:rPr>
                <w:rFonts w:ascii="Arial" w:cs="Arial" w:eastAsia="Arial" w:hAnsi="Arial"/>
                <w:sz w:val="24"/>
                <w:szCs w:val="24"/>
                <w:b w:val="1"/>
                <w:bCs w:val="1"/>
                <w:color w:val="FB1717"/>
              </w:rPr>
              <w:t xml:space="preserve"> P</w:t>
            </w:r>
            <w:r>
              <w:rPr>
                <w:rFonts w:ascii="Arial" w:cs="Arial" w:eastAsia="Arial" w:hAnsi="Arial"/>
                <w:sz w:val="18"/>
                <w:szCs w:val="18"/>
                <w:b w:val="1"/>
                <w:bCs w:val="1"/>
                <w:color w:val="FB1717"/>
              </w:rPr>
              <w:t>UBLIC</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320" w:type="dxa"/>
            <w:vAlign w:val="bottom"/>
            <w:tcBorders>
              <w:bottom w:val="single" w:sz="8" w:color="auto"/>
            </w:tcBorders>
          </w:tcPr>
          <w:p>
            <w:pPr>
              <w:ind w:left="80"/>
              <w:spacing w:after="0" w:line="270" w:lineRule="exact"/>
              <w:rPr>
                <w:sz w:val="20"/>
                <w:szCs w:val="20"/>
                <w:color w:val="auto"/>
              </w:rPr>
            </w:pPr>
            <w:r>
              <w:rPr>
                <w:rFonts w:ascii="Arial" w:cs="Arial" w:eastAsia="Arial" w:hAnsi="Arial"/>
                <w:sz w:val="24"/>
                <w:szCs w:val="24"/>
                <w:b w:val="1"/>
                <w:bCs w:val="1"/>
                <w:color w:val="FB1717"/>
              </w:rPr>
              <w:t>A</w:t>
            </w:r>
            <w:r>
              <w:rPr>
                <w:rFonts w:ascii="Arial" w:cs="Arial" w:eastAsia="Arial" w:hAnsi="Arial"/>
                <w:sz w:val="18"/>
                <w:szCs w:val="18"/>
                <w:b w:val="1"/>
                <w:bCs w:val="1"/>
                <w:color w:val="FB1717"/>
              </w:rPr>
              <w:t>CCOUNTING</w:t>
            </w:r>
            <w:r>
              <w:rPr>
                <w:rFonts w:ascii="Arial" w:cs="Arial" w:eastAsia="Arial" w:hAnsi="Arial"/>
                <w:sz w:val="24"/>
                <w:szCs w:val="24"/>
                <w:b w:val="1"/>
                <w:bCs w:val="1"/>
                <w:color w:val="FB1717"/>
              </w:rPr>
              <w:t xml:space="preserve"> F</w:t>
            </w:r>
            <w:r>
              <w:rPr>
                <w:rFonts w:ascii="Arial" w:cs="Arial" w:eastAsia="Arial" w:hAnsi="Arial"/>
                <w:sz w:val="18"/>
                <w:szCs w:val="18"/>
                <w:b w:val="1"/>
                <w:bCs w:val="1"/>
                <w:color w:val="FB1717"/>
              </w:rPr>
              <w:t>IRM</w:t>
            </w:r>
          </w:p>
        </w:tc>
        <w:tc>
          <w:tcPr>
            <w:tcW w:w="560" w:type="dxa"/>
            <w:vAlign w:val="bottom"/>
            <w:tcBorders>
              <w:bottom w:val="single" w:sz="8" w:color="auto"/>
            </w:tcBorders>
            <w:gridSpan w:val="2"/>
          </w:tcPr>
          <w:p>
            <w:pPr>
              <w:jc w:val="right"/>
              <w:spacing w:after="0" w:line="270" w:lineRule="exact"/>
              <w:rPr>
                <w:sz w:val="20"/>
                <w:szCs w:val="20"/>
                <w:color w:val="auto"/>
              </w:rPr>
            </w:pPr>
            <w:r>
              <w:rPr>
                <w:rFonts w:ascii="Arial" w:cs="Arial" w:eastAsia="Arial" w:hAnsi="Arial"/>
                <w:sz w:val="24"/>
                <w:szCs w:val="24"/>
                <w:b w:val="1"/>
                <w:bCs w:val="1"/>
                <w:color w:val="FB1717"/>
              </w:rPr>
              <w:t>41</w:t>
            </w:r>
          </w:p>
        </w:tc>
      </w:tr>
      <w:tr>
        <w:trPr>
          <w:trHeight w:val="232"/>
        </w:trPr>
        <w:tc>
          <w:tcPr>
            <w:tcW w:w="4320" w:type="dxa"/>
            <w:vAlign w:val="bottom"/>
          </w:tcPr>
          <w:p>
            <w:pPr>
              <w:ind w:left="360"/>
              <w:spacing w:after="0"/>
              <w:rPr>
                <w:sz w:val="20"/>
                <w:szCs w:val="20"/>
                <w:color w:val="auto"/>
              </w:rPr>
            </w:pPr>
            <w:r>
              <w:rPr>
                <w:rFonts w:ascii="Arial" w:cs="Arial" w:eastAsia="Arial" w:hAnsi="Arial"/>
                <w:sz w:val="16"/>
                <w:szCs w:val="16"/>
                <w:color w:val="auto"/>
              </w:rPr>
              <w:t>Audit Committee Report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468"/>
        </w:trPr>
        <w:tc>
          <w:tcPr>
            <w:tcW w:w="4320" w:type="dxa"/>
            <w:vAlign w:val="bottom"/>
            <w:tcBorders>
              <w:bottom w:val="single" w:sz="8" w:color="auto"/>
            </w:tcBorders>
          </w:tcPr>
          <w:p>
            <w:pPr>
              <w:ind w:left="80"/>
              <w:spacing w:after="0"/>
              <w:rPr>
                <w:sz w:val="20"/>
                <w:szCs w:val="20"/>
                <w:color w:val="auto"/>
              </w:rPr>
            </w:pPr>
            <w:r>
              <w:rPr>
                <w:rFonts w:ascii="Arial" w:cs="Arial" w:eastAsia="Arial" w:hAnsi="Arial"/>
                <w:sz w:val="24"/>
                <w:szCs w:val="24"/>
                <w:b w:val="1"/>
                <w:bCs w:val="1"/>
                <w:color w:val="FB1717"/>
              </w:rPr>
              <w:t>B</w:t>
            </w:r>
            <w:r>
              <w:rPr>
                <w:rFonts w:ascii="Arial" w:cs="Arial" w:eastAsia="Arial" w:hAnsi="Arial"/>
                <w:sz w:val="18"/>
                <w:szCs w:val="18"/>
                <w:b w:val="1"/>
                <w:bCs w:val="1"/>
                <w:color w:val="FB1717"/>
              </w:rPr>
              <w:t>ENEFICIAL</w:t>
            </w:r>
            <w:r>
              <w:rPr>
                <w:rFonts w:ascii="Arial" w:cs="Arial" w:eastAsia="Arial" w:hAnsi="Arial"/>
                <w:sz w:val="24"/>
                <w:szCs w:val="24"/>
                <w:b w:val="1"/>
                <w:bCs w:val="1"/>
                <w:color w:val="FB1717"/>
              </w:rPr>
              <w:t xml:space="preserve"> O</w:t>
            </w:r>
            <w:r>
              <w:rPr>
                <w:rFonts w:ascii="Arial" w:cs="Arial" w:eastAsia="Arial" w:hAnsi="Arial"/>
                <w:sz w:val="18"/>
                <w:szCs w:val="18"/>
                <w:b w:val="1"/>
                <w:bCs w:val="1"/>
                <w:color w:val="FB1717"/>
              </w:rPr>
              <w:t>WNERSHIP</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24"/>
                <w:szCs w:val="24"/>
                <w:b w:val="1"/>
                <w:bCs w:val="1"/>
                <w:color w:val="FB1717"/>
              </w:rPr>
              <w:t>44</w:t>
            </w:r>
          </w:p>
        </w:tc>
      </w:tr>
      <w:tr>
        <w:trPr>
          <w:trHeight w:val="232"/>
        </w:trPr>
        <w:tc>
          <w:tcPr>
            <w:tcW w:w="4320" w:type="dxa"/>
            <w:vAlign w:val="bottom"/>
          </w:tcPr>
          <w:p>
            <w:pPr>
              <w:ind w:left="360"/>
              <w:spacing w:after="0"/>
              <w:rPr>
                <w:sz w:val="20"/>
                <w:szCs w:val="20"/>
                <w:color w:val="auto"/>
              </w:rPr>
            </w:pPr>
            <w:r>
              <w:rPr>
                <w:rFonts w:ascii="Arial" w:cs="Arial" w:eastAsia="Arial" w:hAnsi="Arial"/>
                <w:sz w:val="16"/>
                <w:szCs w:val="16"/>
                <w:color w:val="auto"/>
              </w:rPr>
              <w:t>Ownership of Principal Shareholders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Ownership of Trustees and Executive Officers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458"/>
        </w:trPr>
        <w:tc>
          <w:tcPr>
            <w:tcW w:w="4320" w:type="dxa"/>
            <w:vAlign w:val="bottom"/>
          </w:tcPr>
          <w:p>
            <w:pPr>
              <w:ind w:left="80"/>
              <w:spacing w:after="0"/>
              <w:rPr>
                <w:sz w:val="20"/>
                <w:szCs w:val="20"/>
                <w:color w:val="auto"/>
              </w:rPr>
            </w:pPr>
            <w:r>
              <w:rPr>
                <w:rFonts w:ascii="Arial" w:cs="Arial" w:eastAsia="Arial" w:hAnsi="Arial"/>
                <w:sz w:val="24"/>
                <w:szCs w:val="24"/>
                <w:b w:val="1"/>
                <w:bCs w:val="1"/>
                <w:color w:val="FB1717"/>
              </w:rPr>
              <w:t>I</w:t>
            </w:r>
            <w:r>
              <w:rPr>
                <w:rFonts w:ascii="Arial" w:cs="Arial" w:eastAsia="Arial" w:hAnsi="Arial"/>
                <w:sz w:val="18"/>
                <w:szCs w:val="18"/>
                <w:b w:val="1"/>
                <w:bCs w:val="1"/>
                <w:color w:val="FB1717"/>
              </w:rPr>
              <w:t>NFORMATION ABOUT THE</w:t>
            </w:r>
            <w:r>
              <w:rPr>
                <w:rFonts w:ascii="Arial" w:cs="Arial" w:eastAsia="Arial" w:hAnsi="Arial"/>
                <w:sz w:val="24"/>
                <w:szCs w:val="24"/>
                <w:b w:val="1"/>
                <w:bCs w:val="1"/>
                <w:color w:val="FB1717"/>
              </w:rPr>
              <w:t xml:space="preserve"> A</w:t>
            </w:r>
            <w:r>
              <w:rPr>
                <w:rFonts w:ascii="Arial" w:cs="Arial" w:eastAsia="Arial" w:hAnsi="Arial"/>
                <w:sz w:val="18"/>
                <w:szCs w:val="18"/>
                <w:b w:val="1"/>
                <w:bCs w:val="1"/>
                <w:color w:val="FB1717"/>
              </w:rPr>
              <w:t>NNUAL</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320" w:type="dxa"/>
            <w:vAlign w:val="bottom"/>
            <w:tcBorders>
              <w:bottom w:val="single" w:sz="8" w:color="auto"/>
            </w:tcBorders>
          </w:tcPr>
          <w:p>
            <w:pPr>
              <w:ind w:left="80"/>
              <w:spacing w:after="0" w:line="270" w:lineRule="exact"/>
              <w:rPr>
                <w:sz w:val="20"/>
                <w:szCs w:val="20"/>
                <w:color w:val="auto"/>
              </w:rPr>
            </w:pPr>
            <w:r>
              <w:rPr>
                <w:rFonts w:ascii="Arial" w:cs="Arial" w:eastAsia="Arial" w:hAnsi="Arial"/>
                <w:sz w:val="24"/>
                <w:szCs w:val="24"/>
                <w:b w:val="1"/>
                <w:bCs w:val="1"/>
                <w:color w:val="FB1717"/>
              </w:rPr>
              <w:t>M</w:t>
            </w:r>
            <w:r>
              <w:rPr>
                <w:rFonts w:ascii="Arial" w:cs="Arial" w:eastAsia="Arial" w:hAnsi="Arial"/>
                <w:sz w:val="18"/>
                <w:szCs w:val="18"/>
                <w:b w:val="1"/>
                <w:bCs w:val="1"/>
                <w:color w:val="FB1717"/>
              </w:rPr>
              <w:t>EETING</w:t>
            </w:r>
          </w:p>
        </w:tc>
        <w:tc>
          <w:tcPr>
            <w:tcW w:w="560" w:type="dxa"/>
            <w:vAlign w:val="bottom"/>
            <w:tcBorders>
              <w:bottom w:val="single" w:sz="8" w:color="auto"/>
            </w:tcBorders>
            <w:gridSpan w:val="2"/>
          </w:tcPr>
          <w:p>
            <w:pPr>
              <w:jc w:val="right"/>
              <w:spacing w:after="0" w:line="270" w:lineRule="exact"/>
              <w:rPr>
                <w:sz w:val="20"/>
                <w:szCs w:val="20"/>
                <w:color w:val="auto"/>
              </w:rPr>
            </w:pPr>
            <w:r>
              <w:rPr>
                <w:rFonts w:ascii="Arial" w:cs="Arial" w:eastAsia="Arial" w:hAnsi="Arial"/>
                <w:sz w:val="24"/>
                <w:szCs w:val="24"/>
                <w:b w:val="1"/>
                <w:bCs w:val="1"/>
                <w:color w:val="FB1717"/>
              </w:rPr>
              <w:t>45</w:t>
            </w:r>
          </w:p>
        </w:tc>
      </w:tr>
      <w:tr>
        <w:trPr>
          <w:trHeight w:val="232"/>
        </w:trPr>
        <w:tc>
          <w:tcPr>
            <w:tcW w:w="4320" w:type="dxa"/>
            <w:vAlign w:val="bottom"/>
          </w:tcPr>
          <w:p>
            <w:pPr>
              <w:ind w:left="360"/>
              <w:spacing w:after="0"/>
              <w:rPr>
                <w:sz w:val="20"/>
                <w:szCs w:val="20"/>
                <w:color w:val="auto"/>
              </w:rPr>
            </w:pPr>
            <w:r>
              <w:rPr>
                <w:rFonts w:ascii="Arial" w:cs="Arial" w:eastAsia="Arial" w:hAnsi="Arial"/>
                <w:sz w:val="16"/>
                <w:szCs w:val="16"/>
                <w:color w:val="auto"/>
              </w:rPr>
              <w:t>Notice of Electronic Availability of Proxy Materials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Why You are Receiving These Materials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Accessing Materials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How to Vote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How to Participate in the Annual Meeting</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Eliminating Duplicative Proxy Materials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Solicitation of Proxies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40"/>
        </w:trPr>
        <w:tc>
          <w:tcPr>
            <w:tcW w:w="4320" w:type="dxa"/>
            <w:vAlign w:val="bottom"/>
          </w:tcPr>
          <w:p>
            <w:pPr>
              <w:ind w:left="360"/>
              <w:spacing w:after="0"/>
              <w:rPr>
                <w:sz w:val="20"/>
                <w:szCs w:val="20"/>
                <w:color w:val="auto"/>
              </w:rPr>
            </w:pPr>
            <w:r>
              <w:rPr>
                <w:rFonts w:ascii="Arial" w:cs="Arial" w:eastAsia="Arial" w:hAnsi="Arial"/>
                <w:sz w:val="16"/>
                <w:szCs w:val="16"/>
                <w:color w:val="auto"/>
              </w:rPr>
              <w:t>Shareholder Proposals for the 2024 Annual Meeting</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448"/>
        </w:trPr>
        <w:tc>
          <w:tcPr>
            <w:tcW w:w="4320" w:type="dxa"/>
            <w:vAlign w:val="bottom"/>
          </w:tcPr>
          <w:p>
            <w:pPr>
              <w:ind w:left="80"/>
              <w:spacing w:after="0"/>
              <w:rPr>
                <w:sz w:val="20"/>
                <w:szCs w:val="20"/>
                <w:color w:val="auto"/>
              </w:rPr>
            </w:pPr>
            <w:r>
              <w:rPr>
                <w:rFonts w:ascii="Arial" w:cs="Arial" w:eastAsia="Arial" w:hAnsi="Arial"/>
                <w:sz w:val="24"/>
                <w:szCs w:val="24"/>
                <w:b w:val="1"/>
                <w:bCs w:val="1"/>
                <w:color w:val="FB1717"/>
              </w:rPr>
              <w:t>A</w:t>
            </w:r>
            <w:r>
              <w:rPr>
                <w:rFonts w:ascii="Arial" w:cs="Arial" w:eastAsia="Arial" w:hAnsi="Arial"/>
                <w:sz w:val="18"/>
                <w:szCs w:val="18"/>
                <w:b w:val="1"/>
                <w:bCs w:val="1"/>
                <w:color w:val="FB1717"/>
              </w:rPr>
              <w:t>PPENDIX</w:t>
            </w:r>
            <w:r>
              <w:rPr>
                <w:rFonts w:ascii="Arial" w:cs="Arial" w:eastAsia="Arial" w:hAnsi="Arial"/>
                <w:sz w:val="24"/>
                <w:szCs w:val="24"/>
                <w:b w:val="1"/>
                <w:bCs w:val="1"/>
                <w:color w:val="FB1717"/>
              </w:rPr>
              <w:t xml:space="preserve"> A</w:t>
            </w:r>
          </w:p>
        </w:tc>
        <w:tc>
          <w:tcPr>
            <w:tcW w:w="560" w:type="dxa"/>
            <w:vAlign w:val="bottom"/>
            <w:gridSpan w:val="2"/>
          </w:tcPr>
          <w:p>
            <w:pPr>
              <w:jc w:val="right"/>
              <w:spacing w:after="0"/>
              <w:rPr>
                <w:sz w:val="20"/>
                <w:szCs w:val="20"/>
                <w:color w:val="auto"/>
              </w:rPr>
            </w:pPr>
            <w:r>
              <w:rPr>
                <w:rFonts w:ascii="Arial" w:cs="Arial" w:eastAsia="Arial" w:hAnsi="Arial"/>
                <w:sz w:val="24"/>
                <w:szCs w:val="24"/>
                <w:b w:val="1"/>
                <w:bCs w:val="1"/>
                <w:color w:val="FB1717"/>
              </w:rPr>
              <w:t>A-1</w:t>
            </w:r>
          </w:p>
        </w:tc>
      </w:tr>
      <w:tr>
        <w:trPr>
          <w:trHeight w:val="40"/>
        </w:trPr>
        <w:tc>
          <w:tcPr>
            <w:tcW w:w="432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r>
        <w:trPr>
          <w:trHeight w:val="253"/>
        </w:trPr>
        <w:tc>
          <w:tcPr>
            <w:tcW w:w="4320" w:type="dxa"/>
            <w:vAlign w:val="bottom"/>
          </w:tcPr>
          <w:p>
            <w:pPr>
              <w:ind w:left="360"/>
              <w:spacing w:after="0"/>
              <w:rPr>
                <w:sz w:val="20"/>
                <w:szCs w:val="20"/>
                <w:color w:val="auto"/>
              </w:rPr>
            </w:pPr>
            <w:r>
              <w:rPr>
                <w:rFonts w:ascii="Arial" w:cs="Arial" w:eastAsia="Arial" w:hAnsi="Arial"/>
                <w:sz w:val="16"/>
                <w:szCs w:val="16"/>
                <w:color w:val="auto"/>
              </w:rPr>
              <w:t>Appendix A – Reconciliation of Non-GAAP Financial</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A-1</w:t>
            </w:r>
          </w:p>
        </w:tc>
      </w:tr>
      <w:tr>
        <w:trPr>
          <w:trHeight w:val="179"/>
        </w:trPr>
        <w:tc>
          <w:tcPr>
            <w:tcW w:w="4320" w:type="dxa"/>
            <w:vAlign w:val="bottom"/>
          </w:tcPr>
          <w:p>
            <w:pPr>
              <w:ind w:left="360"/>
              <w:spacing w:after="0" w:line="179" w:lineRule="exact"/>
              <w:rPr>
                <w:sz w:val="20"/>
                <w:szCs w:val="20"/>
                <w:color w:val="auto"/>
              </w:rPr>
            </w:pPr>
            <w:r>
              <w:rPr>
                <w:rFonts w:ascii="Arial" w:cs="Arial" w:eastAsia="Arial" w:hAnsi="Arial"/>
                <w:sz w:val="16"/>
                <w:szCs w:val="16"/>
                <w:color w:val="auto"/>
              </w:rPr>
              <w:t>Measures</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ectPr>
          <w:pgSz w:w="11880" w:h="15480" w:orient="portrait"/>
          <w:cols w:equalWidth="0" w:num="2">
            <w:col w:w="4920" w:space="280"/>
            <w:col w:w="4880"/>
          </w:cols>
          <w:pgMar w:left="900" w:top="1276" w:right="900" w:bottom="739" w:gutter="0" w:footer="0" w:header="0"/>
        </w:sectPr>
      </w:pPr>
    </w:p>
    <w:bookmarkStart w:id="120" w:name="page121"/>
    <w:bookmarkEnd w:id="120"/>
    <w:p>
      <w:pPr>
        <w:ind w:left="140"/>
        <w:spacing w:after="0"/>
        <w:rPr>
          <w:sz w:val="20"/>
          <w:szCs w:val="20"/>
          <w:color w:val="auto"/>
        </w:rPr>
      </w:pPr>
      <w:r>
        <w:rPr>
          <w:rFonts w:ascii="Arial" w:cs="Arial" w:eastAsia="Arial" w:hAnsi="Arial"/>
          <w:sz w:val="36"/>
          <w:szCs w:val="36"/>
          <w:b w:val="1"/>
          <w:bCs w:val="1"/>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FB1717" strokeweight="3pt">
                <w10:wrap anchorx="page" anchory="page"/>
              </v:line>
            </w:pict>
          </mc:Fallback>
        </mc:AlternateContent>
        <w:t>Company Information</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Following is basic information about the Company and highlights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and its subsidiaries.</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Federal Realty Investment Trust is an S&amp;P 500 company headquartered in North Bethesda, Maryland that owns, operates and redevelops high-quality retail based real estate located primarily in major coastal markets.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jc w:val="center"/>
              <w:ind w:left="20"/>
              <w:spacing w:after="0"/>
              <w:rPr>
                <w:sz w:val="20"/>
                <w:szCs w:val="20"/>
                <w:color w:val="auto"/>
              </w:rPr>
            </w:pPr>
            <w:r>
              <w:rPr>
                <w:rFonts w:ascii="Arial" w:cs="Arial" w:eastAsia="Arial" w:hAnsi="Arial"/>
                <w:sz w:val="20"/>
                <w:szCs w:val="20"/>
                <w:color w:val="FB1717"/>
              </w:rPr>
              <w:t>Company Information</w:t>
            </w:r>
          </w:p>
        </w:tc>
        <w:tc>
          <w:tcPr>
            <w:tcW w:w="3600" w:type="dxa"/>
            <w:vAlign w:val="bottom"/>
          </w:tcPr>
          <w:p>
            <w:pPr>
              <w:jc w:val="center"/>
              <w:ind w:left="140"/>
              <w:spacing w:after="0"/>
              <w:rPr>
                <w:sz w:val="20"/>
                <w:szCs w:val="20"/>
                <w:color w:val="auto"/>
              </w:rPr>
            </w:pPr>
            <w:r>
              <w:rPr>
                <w:rFonts w:ascii="Arial" w:cs="Arial" w:eastAsia="Arial" w:hAnsi="Arial"/>
                <w:sz w:val="20"/>
                <w:szCs w:val="20"/>
                <w:color w:val="FB1717"/>
                <w:w w:val="98"/>
              </w:rPr>
              <w:t>Our Properties*</w:t>
            </w:r>
          </w:p>
        </w:tc>
        <w:tc>
          <w:tcPr>
            <w:tcW w:w="3240" w:type="dxa"/>
            <w:vAlign w:val="bottom"/>
          </w:tcPr>
          <w:p>
            <w:pPr>
              <w:jc w:val="center"/>
              <w:ind w:left="20"/>
              <w:spacing w:after="0"/>
              <w:rPr>
                <w:sz w:val="20"/>
                <w:szCs w:val="20"/>
                <w:color w:val="auto"/>
              </w:rPr>
            </w:pPr>
            <w:r>
              <w:rPr>
                <w:rFonts w:ascii="Arial" w:cs="Arial" w:eastAsia="Arial" w:hAnsi="Arial"/>
                <w:sz w:val="20"/>
                <w:szCs w:val="20"/>
                <w:color w:val="FB1717"/>
                <w:w w:val="98"/>
              </w:rPr>
              <w:t>Our Employees*</w:t>
            </w:r>
          </w:p>
        </w:tc>
      </w:tr>
      <w:tr>
        <w:trPr>
          <w:trHeight w:val="29"/>
        </w:trPr>
        <w:tc>
          <w:tcPr>
            <w:tcW w:w="3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406"/>
        </w:trPr>
        <w:tc>
          <w:tcPr>
            <w:tcW w:w="3240" w:type="dxa"/>
            <w:vAlign w:val="bottom"/>
          </w:tcPr>
          <w:p>
            <w:pPr>
              <w:jc w:val="center"/>
              <w:ind w:left="20"/>
              <w:spacing w:after="0"/>
              <w:rPr>
                <w:sz w:val="20"/>
                <w:szCs w:val="20"/>
                <w:color w:val="auto"/>
              </w:rPr>
            </w:pPr>
            <w:r>
              <w:rPr>
                <w:rFonts w:ascii="Arial" w:cs="Arial" w:eastAsia="Arial" w:hAnsi="Arial"/>
                <w:sz w:val="20"/>
                <w:szCs w:val="20"/>
                <w:color w:val="auto"/>
              </w:rPr>
              <w:t>Established in 1962</w:t>
            </w:r>
          </w:p>
        </w:tc>
        <w:tc>
          <w:tcPr>
            <w:tcW w:w="3600" w:type="dxa"/>
            <w:vAlign w:val="bottom"/>
          </w:tcPr>
          <w:p>
            <w:pPr>
              <w:jc w:val="center"/>
              <w:ind w:left="160"/>
              <w:spacing w:after="0"/>
              <w:rPr>
                <w:sz w:val="20"/>
                <w:szCs w:val="20"/>
                <w:color w:val="auto"/>
              </w:rPr>
            </w:pPr>
            <w:r>
              <w:rPr>
                <w:rFonts w:ascii="Arial" w:cs="Arial" w:eastAsia="Arial" w:hAnsi="Arial"/>
                <w:sz w:val="20"/>
                <w:szCs w:val="20"/>
                <w:color w:val="auto"/>
                <w:w w:val="99"/>
              </w:rPr>
              <w:t>103 Properties</w:t>
            </w:r>
          </w:p>
        </w:tc>
        <w:tc>
          <w:tcPr>
            <w:tcW w:w="3240" w:type="dxa"/>
            <w:vAlign w:val="bottom"/>
          </w:tcPr>
          <w:p>
            <w:pPr>
              <w:jc w:val="center"/>
              <w:ind w:left="20"/>
              <w:spacing w:after="0"/>
              <w:rPr>
                <w:sz w:val="20"/>
                <w:szCs w:val="20"/>
                <w:color w:val="auto"/>
              </w:rPr>
            </w:pPr>
            <w:r>
              <w:rPr>
                <w:rFonts w:ascii="Arial" w:cs="Arial" w:eastAsia="Arial" w:hAnsi="Arial"/>
                <w:sz w:val="20"/>
                <w:szCs w:val="20"/>
                <w:color w:val="auto"/>
              </w:rPr>
              <w:t>319 employees</w:t>
            </w:r>
          </w:p>
        </w:tc>
      </w:tr>
      <w:tr>
        <w:trPr>
          <w:trHeight w:val="240"/>
        </w:trPr>
        <w:tc>
          <w:tcPr>
            <w:tcW w:w="3240" w:type="dxa"/>
            <w:vAlign w:val="bottom"/>
          </w:tcPr>
          <w:p>
            <w:pPr>
              <w:jc w:val="center"/>
              <w:ind w:left="20"/>
              <w:spacing w:after="0"/>
              <w:rPr>
                <w:sz w:val="20"/>
                <w:szCs w:val="20"/>
                <w:color w:val="auto"/>
              </w:rPr>
            </w:pPr>
            <w:r>
              <w:rPr>
                <w:rFonts w:ascii="Arial" w:cs="Arial" w:eastAsia="Arial" w:hAnsi="Arial"/>
                <w:sz w:val="20"/>
                <w:szCs w:val="20"/>
                <w:color w:val="auto"/>
                <w:w w:val="99"/>
              </w:rPr>
              <w:t>Member of the S&amp;P 500</w:t>
            </w:r>
          </w:p>
        </w:tc>
        <w:tc>
          <w:tcPr>
            <w:tcW w:w="3600" w:type="dxa"/>
            <w:vAlign w:val="bottom"/>
          </w:tcPr>
          <w:p>
            <w:pPr>
              <w:jc w:val="center"/>
              <w:ind w:left="140"/>
              <w:spacing w:after="0" w:line="240" w:lineRule="exact"/>
              <w:rPr>
                <w:sz w:val="20"/>
                <w:szCs w:val="20"/>
                <w:color w:val="auto"/>
              </w:rPr>
            </w:pPr>
            <w:r>
              <w:rPr>
                <w:rFonts w:ascii="Symbol" w:cs="Symbol" w:eastAsia="Symbol" w:hAnsi="Symbol"/>
                <w:sz w:val="20"/>
                <w:szCs w:val="20"/>
                <w:color w:val="auto"/>
                <w:w w:val="98"/>
              </w:rPr>
              <w:t>≈</w:t>
            </w:r>
            <w:r>
              <w:rPr>
                <w:rFonts w:ascii="Arial" w:cs="Arial" w:eastAsia="Arial" w:hAnsi="Arial"/>
                <w:sz w:val="20"/>
                <w:szCs w:val="20"/>
                <w:color w:val="auto"/>
                <w:w w:val="98"/>
              </w:rPr>
              <w:t>25.9M SF of commercial space</w:t>
            </w:r>
          </w:p>
        </w:tc>
        <w:tc>
          <w:tcPr>
            <w:tcW w:w="3240" w:type="dxa"/>
            <w:vAlign w:val="bottom"/>
          </w:tcPr>
          <w:p>
            <w:pPr>
              <w:jc w:val="center"/>
              <w:ind w:left="20"/>
              <w:spacing w:after="0"/>
              <w:rPr>
                <w:sz w:val="20"/>
                <w:szCs w:val="20"/>
                <w:color w:val="auto"/>
              </w:rPr>
            </w:pPr>
            <w:r>
              <w:rPr>
                <w:rFonts w:ascii="Arial" w:cs="Arial" w:eastAsia="Arial" w:hAnsi="Arial"/>
                <w:sz w:val="20"/>
                <w:szCs w:val="20"/>
                <w:color w:val="auto"/>
              </w:rPr>
              <w:t>6 primary offices</w:t>
            </w:r>
          </w:p>
        </w:tc>
      </w:tr>
      <w:tr>
        <w:trPr>
          <w:trHeight w:val="285"/>
        </w:trPr>
        <w:tc>
          <w:tcPr>
            <w:tcW w:w="3240" w:type="dxa"/>
            <w:vAlign w:val="bottom"/>
          </w:tcPr>
          <w:p>
            <w:pPr>
              <w:spacing w:after="0"/>
              <w:rPr>
                <w:sz w:val="24"/>
                <w:szCs w:val="24"/>
                <w:color w:val="auto"/>
              </w:rPr>
            </w:pPr>
          </w:p>
        </w:tc>
        <w:tc>
          <w:tcPr>
            <w:tcW w:w="3600" w:type="dxa"/>
            <w:vAlign w:val="bottom"/>
          </w:tcPr>
          <w:p>
            <w:pPr>
              <w:jc w:val="center"/>
              <w:ind w:left="140"/>
              <w:spacing w:after="0"/>
              <w:rPr>
                <w:sz w:val="20"/>
                <w:szCs w:val="20"/>
                <w:color w:val="auto"/>
              </w:rPr>
            </w:pPr>
            <w:r>
              <w:rPr>
                <w:rFonts w:ascii="Symbol" w:cs="Symbol" w:eastAsia="Symbol" w:hAnsi="Symbol"/>
                <w:sz w:val="20"/>
                <w:szCs w:val="20"/>
                <w:color w:val="auto"/>
                <w:w w:val="97"/>
              </w:rPr>
              <w:t>≈</w:t>
            </w:r>
            <w:r>
              <w:rPr>
                <w:rFonts w:ascii="Arial" w:cs="Arial" w:eastAsia="Arial" w:hAnsi="Arial"/>
                <w:sz w:val="20"/>
                <w:szCs w:val="20"/>
                <w:color w:val="auto"/>
                <w:w w:val="97"/>
              </w:rPr>
              <w:t>3,000 residential units</w:t>
            </w:r>
          </w:p>
        </w:tc>
        <w:tc>
          <w:tcPr>
            <w:tcW w:w="3240" w:type="dxa"/>
            <w:vAlign w:val="bottom"/>
          </w:tcPr>
          <w:p>
            <w:pPr>
              <w:jc w:val="center"/>
              <w:ind w:left="20"/>
              <w:spacing w:after="0"/>
              <w:rPr>
                <w:sz w:val="20"/>
                <w:szCs w:val="20"/>
                <w:color w:val="auto"/>
              </w:rPr>
            </w:pPr>
            <w:r>
              <w:rPr>
                <w:rFonts w:ascii="Arial" w:cs="Arial" w:eastAsia="Arial" w:hAnsi="Arial"/>
                <w:sz w:val="20"/>
                <w:szCs w:val="20"/>
                <w:color w:val="auto"/>
              </w:rPr>
              <w:t>Average tenure exceeds 8 years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102235</wp:posOffset>
                </wp:positionV>
                <wp:extent cx="640080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25400">
                          <a:solidFill>
                            <a:srgbClr val="FB1717"/>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5pt" to="504pt,8.05pt" o:allowincell="f" strokecolor="#FB1717" strokeweight="2pt"/>
            </w:pict>
          </mc:Fallback>
        </mc:AlternateConten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Information as of December 31, 2022.</w:t>
      </w:r>
    </w:p>
    <w:p>
      <w:pPr>
        <w:spacing w:after="0" w:line="22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HIGHLIGHTS OF 2022 COMPANY PERFORMANCE</w:t>
      </w:r>
    </w:p>
    <w:p>
      <w:pPr>
        <w:spacing w:after="0" w:line="25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Key business and financial achievements for 2022, in addition to net income per diluted share of $4.71 (growth of 44% over 2021), included: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00" w:type="dxa"/>
            <w:vAlign w:val="bottom"/>
          </w:tcPr>
          <w:p>
            <w:pPr>
              <w:spacing w:after="0"/>
              <w:rPr>
                <w:sz w:val="24"/>
                <w:szCs w:val="24"/>
                <w:color w:val="auto"/>
              </w:rPr>
            </w:pPr>
          </w:p>
        </w:tc>
        <w:tc>
          <w:tcPr>
            <w:tcW w:w="1900" w:type="dxa"/>
            <w:vAlign w:val="bottom"/>
            <w:vMerge w:val="restart"/>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FFO Per Share</w:t>
            </w:r>
          </w:p>
        </w:tc>
        <w:tc>
          <w:tcPr>
            <w:tcW w:w="6980" w:type="dxa"/>
            <w:vAlign w:val="bottom"/>
            <w:shd w:val="clear" w:color="auto" w:fill="F2F2F2"/>
          </w:tcPr>
          <w:p>
            <w:pPr>
              <w:ind w:left="120"/>
              <w:spacing w:after="0"/>
              <w:rPr>
                <w:sz w:val="20"/>
                <w:szCs w:val="20"/>
                <w:color w:val="auto"/>
              </w:rPr>
            </w:pPr>
            <w:r>
              <w:rPr>
                <w:rFonts w:ascii="Arial" w:cs="Arial" w:eastAsia="Arial" w:hAnsi="Arial"/>
                <w:sz w:val="20"/>
                <w:szCs w:val="20"/>
                <w:color w:val="auto"/>
              </w:rPr>
              <w:t xml:space="preserve">FFO per diluted share* of </w:t>
            </w:r>
            <w:r>
              <w:rPr>
                <w:rFonts w:ascii="Arial" w:cs="Arial" w:eastAsia="Arial" w:hAnsi="Arial"/>
                <w:sz w:val="20"/>
                <w:szCs w:val="20"/>
                <w:color w:val="FB1717"/>
              </w:rPr>
              <w:t>$6.32</w:t>
            </w:r>
            <w:r>
              <w:rPr>
                <w:rFonts w:ascii="Arial" w:cs="Arial" w:eastAsia="Arial" w:hAnsi="Arial"/>
                <w:sz w:val="20"/>
                <w:szCs w:val="20"/>
                <w:color w:val="auto"/>
              </w:rPr>
              <w:t xml:space="preserve"> representing growth of </w:t>
            </w:r>
            <w:r>
              <w:rPr>
                <w:rFonts w:ascii="Arial" w:cs="Arial" w:eastAsia="Arial" w:hAnsi="Arial"/>
                <w:sz w:val="20"/>
                <w:szCs w:val="20"/>
                <w:color w:val="FB1717"/>
              </w:rPr>
              <w:t>13.5%</w:t>
            </w:r>
            <w:r>
              <w:rPr>
                <w:rFonts w:ascii="Arial" w:cs="Arial" w:eastAsia="Arial" w:hAnsi="Arial"/>
                <w:sz w:val="20"/>
                <w:szCs w:val="20"/>
                <w:color w:val="auto"/>
              </w:rPr>
              <w:t xml:space="preserve"> over 2021</w:t>
            </w:r>
          </w:p>
        </w:tc>
        <w:tc>
          <w:tcPr>
            <w:tcW w:w="0" w:type="dxa"/>
            <w:vAlign w:val="bottom"/>
          </w:tcPr>
          <w:p>
            <w:pPr>
              <w:spacing w:after="0"/>
              <w:rPr>
                <w:sz w:val="1"/>
                <w:szCs w:val="1"/>
                <w:color w:val="auto"/>
              </w:rPr>
            </w:pPr>
          </w:p>
        </w:tc>
      </w:tr>
      <w:tr>
        <w:trPr>
          <w:trHeight w:val="100"/>
        </w:trPr>
        <w:tc>
          <w:tcPr>
            <w:tcW w:w="1200" w:type="dxa"/>
            <w:vAlign w:val="bottom"/>
          </w:tcPr>
          <w:p>
            <w:pPr>
              <w:spacing w:after="0"/>
              <w:rPr>
                <w:sz w:val="8"/>
                <w:szCs w:val="8"/>
                <w:color w:val="auto"/>
              </w:rPr>
            </w:pPr>
          </w:p>
        </w:tc>
        <w:tc>
          <w:tcPr>
            <w:tcW w:w="1900" w:type="dxa"/>
            <w:vAlign w:val="bottom"/>
            <w:vMerge w:val="continue"/>
            <w:shd w:val="clear" w:color="auto" w:fill="A6A6A6"/>
          </w:tcPr>
          <w:p>
            <w:pPr>
              <w:spacing w:after="0"/>
              <w:rPr>
                <w:sz w:val="8"/>
                <w:szCs w:val="8"/>
                <w:color w:val="auto"/>
              </w:rPr>
            </w:pPr>
          </w:p>
        </w:tc>
        <w:tc>
          <w:tcPr>
            <w:tcW w:w="6980" w:type="dxa"/>
            <w:vAlign w:val="bottom"/>
            <w:vMerge w:val="restart"/>
            <w:shd w:val="clear" w:color="auto" w:fill="F2F2F2"/>
          </w:tcPr>
          <w:p>
            <w:pPr>
              <w:ind w:left="120"/>
              <w:spacing w:after="0"/>
              <w:rPr>
                <w:sz w:val="20"/>
                <w:szCs w:val="20"/>
                <w:color w:val="auto"/>
              </w:rPr>
            </w:pPr>
            <w:r>
              <w:rPr>
                <w:rFonts w:ascii="Arial" w:cs="Arial" w:eastAsia="Arial" w:hAnsi="Arial"/>
                <w:sz w:val="20"/>
                <w:szCs w:val="20"/>
                <w:color w:val="auto"/>
              </w:rPr>
              <w:t>driven by improved occupancy, increasing rents, strategic acquisitions, new</w:t>
            </w: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1900" w:type="dxa"/>
            <w:vAlign w:val="bottom"/>
            <w:vMerge w:val="restart"/>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Growth</w:t>
            </w:r>
          </w:p>
        </w:tc>
        <w:tc>
          <w:tcPr>
            <w:tcW w:w="698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200" w:type="dxa"/>
            <w:vAlign w:val="bottom"/>
          </w:tcPr>
          <w:p>
            <w:pPr>
              <w:spacing w:after="0"/>
              <w:rPr>
                <w:sz w:val="8"/>
                <w:szCs w:val="8"/>
                <w:color w:val="auto"/>
              </w:rPr>
            </w:pPr>
          </w:p>
        </w:tc>
        <w:tc>
          <w:tcPr>
            <w:tcW w:w="1900" w:type="dxa"/>
            <w:vAlign w:val="bottom"/>
            <w:vMerge w:val="continue"/>
            <w:shd w:val="clear" w:color="auto" w:fill="A6A6A6"/>
          </w:tcPr>
          <w:p>
            <w:pPr>
              <w:spacing w:after="0"/>
              <w:rPr>
                <w:sz w:val="8"/>
                <w:szCs w:val="8"/>
                <w:color w:val="auto"/>
              </w:rPr>
            </w:pPr>
          </w:p>
        </w:tc>
        <w:tc>
          <w:tcPr>
            <w:tcW w:w="6980" w:type="dxa"/>
            <w:vAlign w:val="bottom"/>
            <w:vMerge w:val="restart"/>
            <w:shd w:val="clear" w:color="auto" w:fill="F2F2F2"/>
          </w:tcPr>
          <w:p>
            <w:pPr>
              <w:ind w:left="120"/>
              <w:spacing w:after="0"/>
              <w:rPr>
                <w:sz w:val="20"/>
                <w:szCs w:val="20"/>
                <w:color w:val="auto"/>
              </w:rPr>
            </w:pPr>
            <w:r>
              <w:rPr>
                <w:rFonts w:ascii="Arial" w:cs="Arial" w:eastAsia="Arial" w:hAnsi="Arial"/>
                <w:sz w:val="20"/>
                <w:szCs w:val="20"/>
                <w:color w:val="auto"/>
              </w:rPr>
              <w:t>projects coming on line, and strong balance sheet management</w:t>
            </w: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1900" w:type="dxa"/>
            <w:vAlign w:val="bottom"/>
            <w:shd w:val="clear" w:color="auto" w:fill="A6A6A6"/>
          </w:tcPr>
          <w:p>
            <w:pPr>
              <w:spacing w:after="0"/>
              <w:rPr>
                <w:sz w:val="12"/>
                <w:szCs w:val="12"/>
                <w:color w:val="auto"/>
              </w:rPr>
            </w:pPr>
          </w:p>
        </w:tc>
        <w:tc>
          <w:tcPr>
            <w:tcW w:w="698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shd w:val="clear" w:color="auto" w:fill="A6A6A6"/>
          </w:tcPr>
          <w:p>
            <w:pPr>
              <w:spacing w:after="0"/>
              <w:rPr>
                <w:sz w:val="12"/>
                <w:szCs w:val="12"/>
                <w:color w:val="auto"/>
              </w:rPr>
            </w:pPr>
          </w:p>
        </w:tc>
        <w:tc>
          <w:tcPr>
            <w:tcW w:w="6980" w:type="dxa"/>
            <w:vAlign w:val="bottom"/>
            <w:tcBorders>
              <w:bottom w:val="single" w:sz="8" w:color="auto"/>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504"/>
        </w:trPr>
        <w:tc>
          <w:tcPr>
            <w:tcW w:w="1200" w:type="dxa"/>
            <w:vAlign w:val="bottom"/>
          </w:tcPr>
          <w:p>
            <w:pPr>
              <w:spacing w:after="0"/>
              <w:rPr>
                <w:sz w:val="24"/>
                <w:szCs w:val="24"/>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Record Leasing</w:t>
            </w:r>
          </w:p>
        </w:tc>
        <w:tc>
          <w:tcPr>
            <w:tcW w:w="6980" w:type="dxa"/>
            <w:vAlign w:val="bottom"/>
            <w:shd w:val="clear" w:color="auto" w:fill="F2F2F2"/>
          </w:tcPr>
          <w:p>
            <w:pPr>
              <w:ind w:left="120"/>
              <w:spacing w:after="0"/>
              <w:rPr>
                <w:sz w:val="20"/>
                <w:szCs w:val="20"/>
                <w:color w:val="auto"/>
              </w:rPr>
            </w:pPr>
            <w:r>
              <w:rPr>
                <w:rFonts w:ascii="Arial" w:cs="Arial" w:eastAsia="Arial" w:hAnsi="Arial"/>
                <w:sz w:val="20"/>
                <w:szCs w:val="20"/>
                <w:color w:val="auto"/>
              </w:rPr>
              <w:t xml:space="preserve">Signed </w:t>
            </w:r>
            <w:r>
              <w:rPr>
                <w:rFonts w:ascii="Arial" w:cs="Arial" w:eastAsia="Arial" w:hAnsi="Arial"/>
                <w:sz w:val="20"/>
                <w:szCs w:val="20"/>
                <w:color w:val="FB1717"/>
              </w:rPr>
              <w:t>475</w:t>
            </w:r>
            <w:r>
              <w:rPr>
                <w:rFonts w:ascii="Arial" w:cs="Arial" w:eastAsia="Arial" w:hAnsi="Arial"/>
                <w:sz w:val="20"/>
                <w:szCs w:val="20"/>
                <w:color w:val="auto"/>
              </w:rPr>
              <w:t xml:space="preserve"> new and renewal comparable space leases covering </w:t>
            </w:r>
            <w:r>
              <w:rPr>
                <w:rFonts w:ascii="Symbol" w:cs="Symbol" w:eastAsia="Symbol" w:hAnsi="Symbol"/>
                <w:sz w:val="20"/>
                <w:szCs w:val="20"/>
                <w:color w:val="auto"/>
              </w:rPr>
              <w:t>≈</w:t>
            </w:r>
            <w:r>
              <w:rPr>
                <w:rFonts w:ascii="Arial" w:cs="Arial" w:eastAsia="Arial" w:hAnsi="Arial"/>
                <w:sz w:val="20"/>
                <w:szCs w:val="20"/>
                <w:color w:val="auto"/>
              </w:rPr>
              <w:t xml:space="preserve"> </w:t>
            </w:r>
            <w:r>
              <w:rPr>
                <w:rFonts w:ascii="Arial" w:cs="Arial" w:eastAsia="Arial" w:hAnsi="Arial"/>
                <w:sz w:val="20"/>
                <w:szCs w:val="20"/>
                <w:color w:val="FB1717"/>
              </w:rPr>
              <w:t>2 million</w:t>
            </w:r>
          </w:p>
        </w:tc>
        <w:tc>
          <w:tcPr>
            <w:tcW w:w="0" w:type="dxa"/>
            <w:vAlign w:val="bottom"/>
          </w:tcPr>
          <w:p>
            <w:pPr>
              <w:spacing w:after="0"/>
              <w:rPr>
                <w:sz w:val="1"/>
                <w:szCs w:val="1"/>
                <w:color w:val="auto"/>
              </w:rPr>
            </w:pPr>
          </w:p>
        </w:tc>
      </w:tr>
      <w:tr>
        <w:trPr>
          <w:trHeight w:val="228"/>
        </w:trPr>
        <w:tc>
          <w:tcPr>
            <w:tcW w:w="1200" w:type="dxa"/>
            <w:vAlign w:val="bottom"/>
          </w:tcPr>
          <w:p>
            <w:pPr>
              <w:spacing w:after="0"/>
              <w:rPr>
                <w:sz w:val="19"/>
                <w:szCs w:val="19"/>
                <w:color w:val="auto"/>
              </w:rPr>
            </w:pPr>
          </w:p>
        </w:tc>
        <w:tc>
          <w:tcPr>
            <w:tcW w:w="1900" w:type="dxa"/>
            <w:vAlign w:val="bottom"/>
            <w:shd w:val="clear" w:color="auto" w:fill="A6A6A6"/>
          </w:tcPr>
          <w:p>
            <w:pPr>
              <w:jc w:val="center"/>
              <w:spacing w:after="0" w:line="228" w:lineRule="exact"/>
              <w:rPr>
                <w:sz w:val="20"/>
                <w:szCs w:val="20"/>
                <w:color w:val="auto"/>
              </w:rPr>
            </w:pPr>
            <w:r>
              <w:rPr>
                <w:rFonts w:ascii="Arial" w:cs="Arial" w:eastAsia="Arial" w:hAnsi="Arial"/>
                <w:sz w:val="20"/>
                <w:szCs w:val="20"/>
                <w:b w:val="1"/>
                <w:bCs w:val="1"/>
                <w:color w:val="FFFFFF"/>
                <w:w w:val="99"/>
              </w:rPr>
              <w:t>Activity</w:t>
            </w:r>
          </w:p>
        </w:tc>
        <w:tc>
          <w:tcPr>
            <w:tcW w:w="6980" w:type="dxa"/>
            <w:vAlign w:val="bottom"/>
            <w:shd w:val="clear" w:color="auto" w:fill="F2F2F2"/>
          </w:tcPr>
          <w:p>
            <w:pPr>
              <w:ind w:left="120"/>
              <w:spacing w:after="0" w:line="228" w:lineRule="exact"/>
              <w:rPr>
                <w:sz w:val="20"/>
                <w:szCs w:val="20"/>
                <w:color w:val="auto"/>
              </w:rPr>
            </w:pPr>
            <w:r>
              <w:rPr>
                <w:rFonts w:ascii="Arial" w:cs="Arial" w:eastAsia="Arial" w:hAnsi="Arial"/>
                <w:sz w:val="20"/>
                <w:szCs w:val="20"/>
                <w:color w:val="auto"/>
              </w:rPr>
              <w:t>square feet of space and more than $74 million of year 1 revenue</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shd w:val="clear" w:color="auto" w:fill="A6A6A6"/>
          </w:tcPr>
          <w:p>
            <w:pPr>
              <w:spacing w:after="0"/>
              <w:rPr>
                <w:sz w:val="14"/>
                <w:szCs w:val="14"/>
                <w:color w:val="auto"/>
              </w:rPr>
            </w:pPr>
          </w:p>
        </w:tc>
        <w:tc>
          <w:tcPr>
            <w:tcW w:w="6980" w:type="dxa"/>
            <w:vAlign w:val="bottom"/>
            <w:tcBorders>
              <w:bottom w:val="single" w:sz="8" w:color="auto"/>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200" w:type="dxa"/>
            <w:vAlign w:val="bottom"/>
          </w:tcPr>
          <w:p>
            <w:pPr>
              <w:spacing w:after="0"/>
              <w:rPr>
                <w:sz w:val="24"/>
                <w:szCs w:val="24"/>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Significant</w:t>
            </w:r>
          </w:p>
        </w:tc>
        <w:tc>
          <w:tcPr>
            <w:tcW w:w="6980" w:type="dxa"/>
            <w:vAlign w:val="bottom"/>
            <w:shd w:val="clear" w:color="auto" w:fill="F2F2F2"/>
          </w:tcPr>
          <w:p>
            <w:pPr>
              <w:ind w:left="120"/>
              <w:spacing w:after="0"/>
              <w:rPr>
                <w:sz w:val="20"/>
                <w:szCs w:val="20"/>
                <w:color w:val="auto"/>
              </w:rPr>
            </w:pPr>
            <w:r>
              <w:rPr>
                <w:rFonts w:ascii="Arial" w:cs="Arial" w:eastAsia="Arial" w:hAnsi="Arial"/>
                <w:sz w:val="20"/>
                <w:szCs w:val="20"/>
                <w:color w:val="auto"/>
              </w:rPr>
              <w:t xml:space="preserve">Achieved commercial occupancy of </w:t>
            </w:r>
            <w:r>
              <w:rPr>
                <w:rFonts w:ascii="Arial" w:cs="Arial" w:eastAsia="Arial" w:hAnsi="Arial"/>
                <w:sz w:val="20"/>
                <w:szCs w:val="20"/>
                <w:color w:val="FB1717"/>
              </w:rPr>
              <w:t>92.8%</w:t>
            </w:r>
            <w:r>
              <w:rPr>
                <w:rFonts w:ascii="Arial" w:cs="Arial" w:eastAsia="Arial" w:hAnsi="Arial"/>
                <w:sz w:val="20"/>
                <w:szCs w:val="20"/>
                <w:color w:val="auto"/>
              </w:rPr>
              <w:t xml:space="preserve">, an increase of more than </w:t>
            </w:r>
            <w:r>
              <w:rPr>
                <w:rFonts w:ascii="Arial" w:cs="Arial" w:eastAsia="Arial" w:hAnsi="Arial"/>
                <w:sz w:val="20"/>
                <w:szCs w:val="20"/>
                <w:color w:val="FB1717"/>
              </w:rPr>
              <w:t>3.3%</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rPr>
              <w:t>Occupancy</w:t>
            </w:r>
          </w:p>
        </w:tc>
        <w:tc>
          <w:tcPr>
            <w:tcW w:w="6980" w:type="dxa"/>
            <w:vAlign w:val="bottom"/>
            <w:shd w:val="clear" w:color="auto" w:fill="F2F2F2"/>
          </w:tcPr>
          <w:p>
            <w:pPr>
              <w:ind w:left="120"/>
              <w:spacing w:after="0" w:line="226" w:lineRule="exact"/>
              <w:rPr>
                <w:sz w:val="20"/>
                <w:szCs w:val="20"/>
                <w:color w:val="auto"/>
              </w:rPr>
            </w:pPr>
            <w:r>
              <w:rPr>
                <w:rFonts w:ascii="Arial" w:cs="Arial" w:eastAsia="Arial" w:hAnsi="Arial"/>
                <w:sz w:val="20"/>
                <w:szCs w:val="20"/>
                <w:color w:val="auto"/>
              </w:rPr>
              <w:t>over the lowest level of occupancy experienced in more than 15 years</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3"/>
                <w:szCs w:val="23"/>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rPr>
              <w:t>Improvement</w:t>
            </w:r>
          </w:p>
        </w:tc>
        <w:tc>
          <w:tcPr>
            <w:tcW w:w="6980" w:type="dxa"/>
            <w:vAlign w:val="bottom"/>
            <w:shd w:val="clear" w:color="auto" w:fill="F2F2F2"/>
          </w:tcPr>
          <w:p>
            <w:pPr>
              <w:ind w:left="120"/>
              <w:spacing w:after="0" w:line="226" w:lineRule="exact"/>
              <w:rPr>
                <w:sz w:val="20"/>
                <w:szCs w:val="20"/>
                <w:color w:val="auto"/>
              </w:rPr>
            </w:pPr>
            <w:r>
              <w:rPr>
                <w:rFonts w:ascii="Arial" w:cs="Arial" w:eastAsia="Arial" w:hAnsi="Arial"/>
                <w:sz w:val="20"/>
                <w:szCs w:val="20"/>
                <w:color w:val="auto"/>
              </w:rPr>
              <w:t>resulting from high level of COVID related tenant failures</w:t>
            </w:r>
          </w:p>
        </w:tc>
        <w:tc>
          <w:tcPr>
            <w:tcW w:w="0" w:type="dxa"/>
            <w:vAlign w:val="bottom"/>
          </w:tcPr>
          <w:p>
            <w:pPr>
              <w:spacing w:after="0"/>
              <w:rPr>
                <w:sz w:val="1"/>
                <w:szCs w:val="1"/>
                <w:color w:val="auto"/>
              </w:rPr>
            </w:pPr>
          </w:p>
        </w:tc>
      </w:tr>
      <w:tr>
        <w:trPr>
          <w:trHeight w:val="108"/>
        </w:trPr>
        <w:tc>
          <w:tcPr>
            <w:tcW w:w="12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shd w:val="clear" w:color="auto" w:fill="A6A6A6"/>
          </w:tcPr>
          <w:p>
            <w:pPr>
              <w:spacing w:after="0"/>
              <w:rPr>
                <w:sz w:val="9"/>
                <w:szCs w:val="9"/>
                <w:color w:val="auto"/>
              </w:rPr>
            </w:pPr>
          </w:p>
        </w:tc>
        <w:tc>
          <w:tcPr>
            <w:tcW w:w="6980" w:type="dxa"/>
            <w:vAlign w:val="bottom"/>
            <w:tcBorders>
              <w:bottom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200" w:type="dxa"/>
            <w:vAlign w:val="bottom"/>
          </w:tcPr>
          <w:p>
            <w:pPr>
              <w:spacing w:after="0"/>
              <w:rPr>
                <w:sz w:val="24"/>
                <w:szCs w:val="24"/>
                <w:color w:val="auto"/>
              </w:rPr>
            </w:pPr>
          </w:p>
        </w:tc>
        <w:tc>
          <w:tcPr>
            <w:tcW w:w="1900" w:type="dxa"/>
            <w:vAlign w:val="bottom"/>
            <w:vMerge w:val="restart"/>
            <w:shd w:val="clear" w:color="auto" w:fill="A6A6A6"/>
          </w:tcPr>
          <w:p>
            <w:pPr>
              <w:jc w:val="center"/>
              <w:spacing w:after="0"/>
              <w:rPr>
                <w:sz w:val="20"/>
                <w:szCs w:val="20"/>
                <w:color w:val="auto"/>
              </w:rPr>
            </w:pPr>
            <w:r>
              <w:rPr>
                <w:rFonts w:ascii="Arial" w:cs="Arial" w:eastAsia="Arial" w:hAnsi="Arial"/>
                <w:sz w:val="20"/>
                <w:szCs w:val="20"/>
                <w:b w:val="1"/>
                <w:bCs w:val="1"/>
                <w:color w:val="FFFFFF"/>
              </w:rPr>
              <w:t>Productive</w:t>
            </w:r>
          </w:p>
        </w:tc>
        <w:tc>
          <w:tcPr>
            <w:tcW w:w="6980" w:type="dxa"/>
            <w:vAlign w:val="bottom"/>
            <w:shd w:val="clear" w:color="auto" w:fill="F2F2F2"/>
          </w:tcPr>
          <w:p>
            <w:pPr>
              <w:ind w:left="120"/>
              <w:spacing w:after="0"/>
              <w:rPr>
                <w:sz w:val="20"/>
                <w:szCs w:val="20"/>
                <w:color w:val="auto"/>
              </w:rPr>
            </w:pPr>
            <w:r>
              <w:rPr>
                <w:rFonts w:ascii="Arial" w:cs="Arial" w:eastAsia="Arial" w:hAnsi="Arial"/>
                <w:sz w:val="20"/>
                <w:szCs w:val="20"/>
                <w:color w:val="auto"/>
              </w:rPr>
              <w:t xml:space="preserve">Raised </w:t>
            </w:r>
            <w:r>
              <w:rPr>
                <w:rFonts w:ascii="Arial" w:cs="Arial" w:eastAsia="Arial" w:hAnsi="Arial"/>
                <w:sz w:val="20"/>
                <w:szCs w:val="20"/>
                <w:color w:val="FB1717"/>
              </w:rPr>
              <w:t>$136M</w:t>
            </w:r>
            <w:r>
              <w:rPr>
                <w:rFonts w:ascii="Arial" w:cs="Arial" w:eastAsia="Arial" w:hAnsi="Arial"/>
                <w:sz w:val="20"/>
                <w:szCs w:val="20"/>
                <w:color w:val="auto"/>
              </w:rPr>
              <w:t xml:space="preserve"> through sale of non-strategic, slow growing assets and</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1900" w:type="dxa"/>
            <w:vAlign w:val="bottom"/>
            <w:vMerge w:val="continue"/>
            <w:shd w:val="clear" w:color="auto" w:fill="A6A6A6"/>
          </w:tcPr>
          <w:p>
            <w:pPr>
              <w:spacing w:after="0"/>
              <w:rPr>
                <w:sz w:val="13"/>
                <w:szCs w:val="13"/>
                <w:color w:val="auto"/>
              </w:rPr>
            </w:pPr>
          </w:p>
        </w:tc>
        <w:tc>
          <w:tcPr>
            <w:tcW w:w="6980" w:type="dxa"/>
            <w:vAlign w:val="bottom"/>
            <w:vMerge w:val="restart"/>
            <w:shd w:val="clear" w:color="auto" w:fill="F2F2F2"/>
          </w:tcPr>
          <w:p>
            <w:pPr>
              <w:ind w:left="120"/>
              <w:spacing w:after="0"/>
              <w:rPr>
                <w:sz w:val="20"/>
                <w:szCs w:val="20"/>
                <w:color w:val="auto"/>
              </w:rPr>
            </w:pPr>
            <w:r>
              <w:rPr>
                <w:rFonts w:ascii="Arial" w:cs="Arial" w:eastAsia="Arial" w:hAnsi="Arial"/>
                <w:sz w:val="20"/>
                <w:szCs w:val="20"/>
                <w:color w:val="auto"/>
              </w:rPr>
              <w:t xml:space="preserve">invested </w:t>
            </w:r>
            <w:r>
              <w:rPr>
                <w:rFonts w:ascii="Arial" w:cs="Arial" w:eastAsia="Arial" w:hAnsi="Arial"/>
                <w:sz w:val="20"/>
                <w:szCs w:val="20"/>
                <w:color w:val="FB1717"/>
              </w:rPr>
              <w:t>$526M</w:t>
            </w:r>
            <w:r>
              <w:rPr>
                <w:rFonts w:ascii="Arial" w:cs="Arial" w:eastAsia="Arial" w:hAnsi="Arial"/>
                <w:sz w:val="20"/>
                <w:szCs w:val="20"/>
                <w:color w:val="auto"/>
              </w:rPr>
              <w:t xml:space="preserve"> into more productive, higher yielding, faster growing</w:t>
            </w:r>
          </w:p>
        </w:tc>
        <w:tc>
          <w:tcPr>
            <w:tcW w:w="0" w:type="dxa"/>
            <w:vAlign w:val="bottom"/>
          </w:tcPr>
          <w:p>
            <w:pPr>
              <w:spacing w:after="0"/>
              <w:rPr>
                <w:sz w:val="1"/>
                <w:szCs w:val="1"/>
                <w:color w:val="auto"/>
              </w:rPr>
            </w:pPr>
          </w:p>
        </w:tc>
      </w:tr>
      <w:tr>
        <w:trPr>
          <w:trHeight w:val="80"/>
        </w:trPr>
        <w:tc>
          <w:tcPr>
            <w:tcW w:w="1200" w:type="dxa"/>
            <w:vAlign w:val="bottom"/>
          </w:tcPr>
          <w:p>
            <w:pPr>
              <w:spacing w:after="0"/>
              <w:rPr>
                <w:sz w:val="6"/>
                <w:szCs w:val="6"/>
                <w:color w:val="auto"/>
              </w:rPr>
            </w:pPr>
          </w:p>
        </w:tc>
        <w:tc>
          <w:tcPr>
            <w:tcW w:w="1900" w:type="dxa"/>
            <w:vAlign w:val="bottom"/>
            <w:vMerge w:val="restart"/>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Capital Recycling</w:t>
            </w:r>
          </w:p>
        </w:tc>
        <w:tc>
          <w:tcPr>
            <w:tcW w:w="698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1900" w:type="dxa"/>
            <w:vAlign w:val="bottom"/>
            <w:vMerge w:val="continue"/>
            <w:shd w:val="clear" w:color="auto" w:fill="A6A6A6"/>
          </w:tcPr>
          <w:p>
            <w:pPr>
              <w:spacing w:after="0"/>
              <w:rPr>
                <w:sz w:val="13"/>
                <w:szCs w:val="13"/>
                <w:color w:val="auto"/>
              </w:rPr>
            </w:pPr>
          </w:p>
        </w:tc>
        <w:tc>
          <w:tcPr>
            <w:tcW w:w="6980" w:type="dxa"/>
            <w:vAlign w:val="bottom"/>
            <w:vMerge w:val="restart"/>
            <w:shd w:val="clear" w:color="auto" w:fill="F2F2F2"/>
          </w:tcPr>
          <w:p>
            <w:pPr>
              <w:ind w:left="120"/>
              <w:spacing w:after="0"/>
              <w:rPr>
                <w:sz w:val="20"/>
                <w:szCs w:val="20"/>
                <w:color w:val="auto"/>
              </w:rPr>
            </w:pPr>
            <w:r>
              <w:rPr>
                <w:rFonts w:ascii="Arial" w:cs="Arial" w:eastAsia="Arial" w:hAnsi="Arial"/>
                <w:sz w:val="20"/>
                <w:szCs w:val="20"/>
                <w:color w:val="auto"/>
              </w:rPr>
              <w:t>operating assets with potential for additional value creation</w:t>
            </w:r>
          </w:p>
        </w:tc>
        <w:tc>
          <w:tcPr>
            <w:tcW w:w="0" w:type="dxa"/>
            <w:vAlign w:val="bottom"/>
          </w:tcPr>
          <w:p>
            <w:pPr>
              <w:spacing w:after="0"/>
              <w:rPr>
                <w:sz w:val="1"/>
                <w:szCs w:val="1"/>
                <w:color w:val="auto"/>
              </w:rPr>
            </w:pPr>
          </w:p>
        </w:tc>
      </w:tr>
      <w:tr>
        <w:trPr>
          <w:trHeight w:val="80"/>
        </w:trPr>
        <w:tc>
          <w:tcPr>
            <w:tcW w:w="1200" w:type="dxa"/>
            <w:vAlign w:val="bottom"/>
          </w:tcPr>
          <w:p>
            <w:pPr>
              <w:spacing w:after="0"/>
              <w:rPr>
                <w:sz w:val="6"/>
                <w:szCs w:val="6"/>
                <w:color w:val="auto"/>
              </w:rPr>
            </w:pPr>
          </w:p>
        </w:tc>
        <w:tc>
          <w:tcPr>
            <w:tcW w:w="1900" w:type="dxa"/>
            <w:vAlign w:val="bottom"/>
            <w:shd w:val="clear" w:color="auto" w:fill="A6A6A6"/>
          </w:tcPr>
          <w:p>
            <w:pPr>
              <w:spacing w:after="0"/>
              <w:rPr>
                <w:sz w:val="6"/>
                <w:szCs w:val="6"/>
                <w:color w:val="auto"/>
              </w:rPr>
            </w:pPr>
          </w:p>
        </w:tc>
        <w:tc>
          <w:tcPr>
            <w:tcW w:w="698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shd w:val="clear" w:color="auto" w:fill="A6A6A6"/>
          </w:tcPr>
          <w:p>
            <w:pPr>
              <w:spacing w:after="0"/>
              <w:rPr>
                <w:sz w:val="12"/>
                <w:szCs w:val="12"/>
                <w:color w:val="auto"/>
              </w:rPr>
            </w:pPr>
          </w:p>
        </w:tc>
        <w:tc>
          <w:tcPr>
            <w:tcW w:w="6980" w:type="dxa"/>
            <w:vAlign w:val="bottom"/>
            <w:tcBorders>
              <w:bottom w:val="single" w:sz="8" w:color="auto"/>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406"/>
        </w:trPr>
        <w:tc>
          <w:tcPr>
            <w:tcW w:w="1200" w:type="dxa"/>
            <w:vAlign w:val="bottom"/>
          </w:tcPr>
          <w:p>
            <w:pPr>
              <w:spacing w:after="0"/>
              <w:rPr>
                <w:sz w:val="24"/>
                <w:szCs w:val="24"/>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55th Year of</w:t>
            </w:r>
          </w:p>
        </w:tc>
        <w:tc>
          <w:tcPr>
            <w:tcW w:w="6980" w:type="dxa"/>
            <w:vAlign w:val="bottom"/>
            <w:shd w:val="clear" w:color="auto" w:fill="F2F2F2"/>
          </w:tcPr>
          <w:p>
            <w:pPr>
              <w:ind w:left="120"/>
              <w:spacing w:after="0"/>
              <w:rPr>
                <w:sz w:val="20"/>
                <w:szCs w:val="20"/>
                <w:color w:val="auto"/>
              </w:rPr>
            </w:pPr>
            <w:r>
              <w:rPr>
                <w:rFonts w:ascii="Arial" w:cs="Arial" w:eastAsia="Arial" w:hAnsi="Arial"/>
                <w:sz w:val="20"/>
                <w:szCs w:val="20"/>
                <w:color w:val="auto"/>
              </w:rPr>
              <w:t xml:space="preserve">Raised the dividend on our common shares for the </w:t>
            </w:r>
            <w:r>
              <w:rPr>
                <w:rFonts w:ascii="Arial" w:cs="Arial" w:eastAsia="Arial" w:hAnsi="Arial"/>
                <w:sz w:val="20"/>
                <w:szCs w:val="20"/>
                <w:color w:val="FB1717"/>
              </w:rPr>
              <w:t>55th</w:t>
            </w:r>
            <w:r>
              <w:rPr>
                <w:rFonts w:ascii="Arial" w:cs="Arial" w:eastAsia="Arial" w:hAnsi="Arial"/>
                <w:sz w:val="20"/>
                <w:szCs w:val="20"/>
                <w:color w:val="auto"/>
              </w:rPr>
              <w:t xml:space="preserve"> consecutive year, a</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Dividend</w:t>
            </w:r>
          </w:p>
        </w:tc>
        <w:tc>
          <w:tcPr>
            <w:tcW w:w="6980" w:type="dxa"/>
            <w:vAlign w:val="bottom"/>
            <w:shd w:val="clear" w:color="auto" w:fill="F2F2F2"/>
          </w:tcPr>
          <w:p>
            <w:pPr>
              <w:ind w:left="120"/>
              <w:spacing w:after="0" w:line="226" w:lineRule="exact"/>
              <w:rPr>
                <w:sz w:val="20"/>
                <w:szCs w:val="20"/>
                <w:color w:val="auto"/>
              </w:rPr>
            </w:pPr>
            <w:r>
              <w:rPr>
                <w:rFonts w:ascii="Arial" w:cs="Arial" w:eastAsia="Arial" w:hAnsi="Arial"/>
                <w:sz w:val="20"/>
                <w:szCs w:val="20"/>
                <w:color w:val="auto"/>
              </w:rPr>
              <w:t>record in the REIT industry, representing a compound annual growth rate of</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3"/>
                <w:szCs w:val="23"/>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Increases</w:t>
            </w:r>
          </w:p>
        </w:tc>
        <w:tc>
          <w:tcPr>
            <w:tcW w:w="6980" w:type="dxa"/>
            <w:vAlign w:val="bottom"/>
            <w:shd w:val="clear" w:color="auto" w:fill="F2F2F2"/>
          </w:tcPr>
          <w:p>
            <w:pPr>
              <w:ind w:left="120"/>
              <w:spacing w:after="0" w:line="226" w:lineRule="exact"/>
              <w:rPr>
                <w:sz w:val="20"/>
                <w:szCs w:val="20"/>
                <w:color w:val="auto"/>
              </w:rPr>
            </w:pPr>
            <w:r>
              <w:rPr>
                <w:rFonts w:ascii="Arial" w:cs="Arial" w:eastAsia="Arial" w:hAnsi="Arial"/>
                <w:sz w:val="20"/>
                <w:szCs w:val="20"/>
                <w:color w:val="FB1717"/>
              </w:rPr>
              <w:t xml:space="preserve">7% </w:t>
            </w:r>
            <w:r>
              <w:rPr>
                <w:rFonts w:ascii="Arial" w:cs="Arial" w:eastAsia="Arial" w:hAnsi="Arial"/>
                <w:sz w:val="20"/>
                <w:szCs w:val="20"/>
                <w:color w:val="000000"/>
              </w:rPr>
              <w:t>over that 55-year period</w:t>
            </w:r>
          </w:p>
        </w:tc>
        <w:tc>
          <w:tcPr>
            <w:tcW w:w="0" w:type="dxa"/>
            <w:vAlign w:val="bottom"/>
          </w:tcPr>
          <w:p>
            <w:pPr>
              <w:spacing w:after="0"/>
              <w:rPr>
                <w:sz w:val="1"/>
                <w:szCs w:val="1"/>
                <w:color w:val="auto"/>
              </w:rPr>
            </w:pPr>
          </w:p>
        </w:tc>
      </w:tr>
      <w:tr>
        <w:trPr>
          <w:trHeight w:val="108"/>
        </w:trPr>
        <w:tc>
          <w:tcPr>
            <w:tcW w:w="12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shd w:val="clear" w:color="auto" w:fill="A6A6A6"/>
          </w:tcPr>
          <w:p>
            <w:pPr>
              <w:spacing w:after="0"/>
              <w:rPr>
                <w:sz w:val="9"/>
                <w:szCs w:val="9"/>
                <w:color w:val="auto"/>
              </w:rPr>
            </w:pPr>
          </w:p>
        </w:tc>
        <w:tc>
          <w:tcPr>
            <w:tcW w:w="6980" w:type="dxa"/>
            <w:vAlign w:val="bottom"/>
            <w:tcBorders>
              <w:bottom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406"/>
        </w:trPr>
        <w:tc>
          <w:tcPr>
            <w:tcW w:w="1200" w:type="dxa"/>
            <w:vAlign w:val="bottom"/>
          </w:tcPr>
          <w:p>
            <w:pPr>
              <w:spacing w:after="0"/>
              <w:rPr>
                <w:sz w:val="24"/>
                <w:szCs w:val="24"/>
                <w:color w:val="auto"/>
              </w:rPr>
            </w:pPr>
          </w:p>
        </w:tc>
        <w:tc>
          <w:tcPr>
            <w:tcW w:w="1900" w:type="dxa"/>
            <w:vAlign w:val="bottom"/>
            <w:shd w:val="clear" w:color="auto" w:fill="A6A6A6"/>
          </w:tcPr>
          <w:p>
            <w:pPr>
              <w:spacing w:after="0"/>
              <w:rPr>
                <w:sz w:val="24"/>
                <w:szCs w:val="24"/>
                <w:color w:val="auto"/>
              </w:rPr>
            </w:pPr>
          </w:p>
        </w:tc>
        <w:tc>
          <w:tcPr>
            <w:tcW w:w="6980" w:type="dxa"/>
            <w:vAlign w:val="bottom"/>
            <w:shd w:val="clear" w:color="auto" w:fill="F2F2F2"/>
          </w:tcPr>
          <w:p>
            <w:pPr>
              <w:ind w:left="120"/>
              <w:spacing w:after="0"/>
              <w:rPr>
                <w:sz w:val="20"/>
                <w:szCs w:val="20"/>
                <w:color w:val="auto"/>
              </w:rPr>
            </w:pPr>
            <w:r>
              <w:rPr>
                <w:rFonts w:ascii="Arial" w:cs="Arial" w:eastAsia="Arial" w:hAnsi="Arial"/>
                <w:sz w:val="20"/>
                <w:szCs w:val="20"/>
                <w:color w:val="auto"/>
              </w:rPr>
              <w:t xml:space="preserve">Achieved </w:t>
            </w:r>
            <w:r>
              <w:rPr>
                <w:rFonts w:ascii="Symbol" w:cs="Symbol" w:eastAsia="Symbol" w:hAnsi="Symbol"/>
                <w:sz w:val="20"/>
                <w:szCs w:val="20"/>
                <w:color w:val="auto"/>
              </w:rPr>
              <w:t>≈</w:t>
            </w:r>
            <w:r>
              <w:rPr>
                <w:rFonts w:ascii="Arial" w:cs="Arial" w:eastAsia="Arial" w:hAnsi="Arial"/>
                <w:sz w:val="20"/>
                <w:szCs w:val="20"/>
                <w:color w:val="auto"/>
              </w:rPr>
              <w:t xml:space="preserve"> </w:t>
            </w:r>
            <w:r>
              <w:rPr>
                <w:rFonts w:ascii="Arial" w:cs="Arial" w:eastAsia="Arial" w:hAnsi="Arial"/>
                <w:sz w:val="20"/>
                <w:szCs w:val="20"/>
                <w:color w:val="FB1717"/>
              </w:rPr>
              <w:t>22%</w:t>
            </w:r>
            <w:r>
              <w:rPr>
                <w:rFonts w:ascii="Arial" w:cs="Arial" w:eastAsia="Arial" w:hAnsi="Arial"/>
                <w:sz w:val="20"/>
                <w:szCs w:val="20"/>
                <w:color w:val="auto"/>
              </w:rPr>
              <w:t xml:space="preserve"> decrease in Scope 1 and 2 GHG emissions through 2021</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900" w:type="dxa"/>
            <w:vAlign w:val="bottom"/>
            <w:shd w:val="clear" w:color="auto" w:fill="A6A6A6"/>
          </w:tcPr>
          <w:p>
            <w:pPr>
              <w:jc w:val="center"/>
              <w:spacing w:after="0"/>
              <w:rPr>
                <w:sz w:val="20"/>
                <w:szCs w:val="20"/>
                <w:color w:val="auto"/>
              </w:rPr>
            </w:pPr>
            <w:r>
              <w:rPr>
                <w:rFonts w:ascii="Arial" w:cs="Arial" w:eastAsia="Arial" w:hAnsi="Arial"/>
                <w:sz w:val="20"/>
                <w:szCs w:val="20"/>
                <w:b w:val="1"/>
                <w:bCs w:val="1"/>
                <w:color w:val="FFFFFF"/>
                <w:w w:val="99"/>
              </w:rPr>
              <w:t>Sustainability</w:t>
            </w:r>
          </w:p>
        </w:tc>
        <w:tc>
          <w:tcPr>
            <w:tcW w:w="6980" w:type="dxa"/>
            <w:vAlign w:val="bottom"/>
            <w:shd w:val="clear" w:color="auto" w:fill="F2F2F2"/>
          </w:tcPr>
          <w:p>
            <w:pPr>
              <w:ind w:left="120"/>
              <w:spacing w:after="0" w:line="226" w:lineRule="exact"/>
              <w:rPr>
                <w:sz w:val="20"/>
                <w:szCs w:val="20"/>
                <w:color w:val="auto"/>
              </w:rPr>
            </w:pPr>
            <w:r>
              <w:rPr>
                <w:rFonts w:ascii="Arial" w:cs="Arial" w:eastAsia="Arial" w:hAnsi="Arial"/>
                <w:sz w:val="20"/>
                <w:szCs w:val="20"/>
                <w:color w:val="auto"/>
              </w:rPr>
              <w:t>versus 2019 baseline in alignment with our 2030 GHG reduction target set</w:t>
            </w:r>
          </w:p>
        </w:tc>
        <w:tc>
          <w:tcPr>
            <w:tcW w:w="0" w:type="dxa"/>
            <w:vAlign w:val="bottom"/>
          </w:tcPr>
          <w:p>
            <w:pPr>
              <w:spacing w:after="0"/>
              <w:rPr>
                <w:sz w:val="1"/>
                <w:szCs w:val="1"/>
                <w:color w:val="auto"/>
              </w:rPr>
            </w:pPr>
          </w:p>
        </w:tc>
      </w:tr>
      <w:tr>
        <w:trPr>
          <w:trHeight w:val="226"/>
        </w:trPr>
        <w:tc>
          <w:tcPr>
            <w:tcW w:w="1200" w:type="dxa"/>
            <w:vAlign w:val="bottom"/>
          </w:tcPr>
          <w:p>
            <w:pPr>
              <w:spacing w:after="0"/>
              <w:rPr>
                <w:sz w:val="19"/>
                <w:szCs w:val="19"/>
                <w:color w:val="auto"/>
              </w:rPr>
            </w:pPr>
          </w:p>
        </w:tc>
        <w:tc>
          <w:tcPr>
            <w:tcW w:w="1900" w:type="dxa"/>
            <w:vAlign w:val="bottom"/>
            <w:shd w:val="clear" w:color="auto" w:fill="A6A6A6"/>
          </w:tcPr>
          <w:p>
            <w:pPr>
              <w:spacing w:after="0"/>
              <w:rPr>
                <w:sz w:val="19"/>
                <w:szCs w:val="19"/>
                <w:color w:val="auto"/>
              </w:rPr>
            </w:pPr>
          </w:p>
        </w:tc>
        <w:tc>
          <w:tcPr>
            <w:tcW w:w="6980" w:type="dxa"/>
            <w:vAlign w:val="bottom"/>
            <w:shd w:val="clear" w:color="auto" w:fill="F2F2F2"/>
          </w:tcPr>
          <w:p>
            <w:pPr>
              <w:ind w:left="120"/>
              <w:spacing w:after="0" w:line="226" w:lineRule="exact"/>
              <w:rPr>
                <w:sz w:val="20"/>
                <w:szCs w:val="20"/>
                <w:color w:val="auto"/>
              </w:rPr>
            </w:pPr>
            <w:r>
              <w:rPr>
                <w:rFonts w:ascii="Arial" w:cs="Arial" w:eastAsia="Arial" w:hAnsi="Arial"/>
                <w:sz w:val="20"/>
                <w:szCs w:val="20"/>
                <w:color w:val="auto"/>
              </w:rPr>
              <w:t>in accordance with the Science-Based Target initiative</w:t>
            </w:r>
          </w:p>
        </w:tc>
        <w:tc>
          <w:tcPr>
            <w:tcW w:w="0" w:type="dxa"/>
            <w:vAlign w:val="bottom"/>
          </w:tcPr>
          <w:p>
            <w:pPr>
              <w:spacing w:after="0"/>
              <w:rPr>
                <w:sz w:val="1"/>
                <w:szCs w:val="1"/>
                <w:color w:val="auto"/>
              </w:rPr>
            </w:pPr>
          </w:p>
        </w:tc>
      </w:tr>
      <w:tr>
        <w:trPr>
          <w:trHeight w:val="148"/>
        </w:trPr>
        <w:tc>
          <w:tcPr>
            <w:tcW w:w="12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shd w:val="clear" w:color="auto" w:fill="A6A6A6"/>
          </w:tcPr>
          <w:p>
            <w:pPr>
              <w:spacing w:after="0"/>
              <w:rPr>
                <w:sz w:val="12"/>
                <w:szCs w:val="12"/>
                <w:color w:val="auto"/>
              </w:rPr>
            </w:pPr>
          </w:p>
        </w:tc>
        <w:tc>
          <w:tcPr>
            <w:tcW w:w="6980" w:type="dxa"/>
            <w:vAlign w:val="bottom"/>
            <w:tcBorders>
              <w:bottom w:val="single" w:sz="8" w:color="auto"/>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-3766820</wp:posOffset>
            </wp:positionV>
            <wp:extent cx="631190" cy="36785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6">
                      <a:extLst>
                        <a:ext uri="{28A0092B-C50C-407E-A947-70E740481C1C}"/>
                      </a:extLst>
                    </a:blip>
                    <a:srcRect/>
                    <a:stretch>
                      <a:fillRect/>
                    </a:stretch>
                  </pic:blipFill>
                  <pic:spPr bwMode="auto">
                    <a:xfrm>
                      <a:off x="0" y="0"/>
                      <a:ext cx="631190" cy="3678555"/>
                    </a:xfrm>
                    <a:prstGeom prst="rect">
                      <a:avLst/>
                    </a:prstGeom>
                    <a:noFill/>
                  </pic:spPr>
                </pic:pic>
              </a:graphicData>
            </a:graphic>
          </wp:anchor>
        </w:drawing>
      </w:r>
    </w:p>
    <w:p>
      <w:pPr>
        <w:spacing w:after="0" w:line="280" w:lineRule="exact"/>
        <w:rPr>
          <w:sz w:val="20"/>
          <w:szCs w:val="20"/>
          <w:color w:val="auto"/>
        </w:rPr>
      </w:pPr>
    </w:p>
    <w:p>
      <w:pPr>
        <w:spacing w:after="0" w:line="245" w:lineRule="auto"/>
        <w:tabs>
          <w:tab w:leader="none" w:pos="155" w:val="left"/>
        </w:tabs>
        <w:numPr>
          <w:ilvl w:val="0"/>
          <w:numId w:val="72"/>
        </w:numPr>
        <w:rPr>
          <w:rFonts w:ascii="Arial" w:cs="Arial" w:eastAsia="Arial" w:hAnsi="Arial"/>
          <w:sz w:val="20"/>
          <w:szCs w:val="20"/>
          <w:color w:val="auto"/>
        </w:rPr>
      </w:pPr>
      <w:r>
        <w:rPr>
          <w:rFonts w:ascii="Arial" w:cs="Arial" w:eastAsia="Arial" w:hAnsi="Arial"/>
          <w:sz w:val="20"/>
          <w:szCs w:val="20"/>
          <w:color w:val="auto"/>
        </w:rPr>
        <w:t>FFO per diluted share (“FFO per share”) is a non-GAAP financial measure that we consider significant in our business. See Appendix A for a reconciliation of FFO per share to 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128270</wp:posOffset>
                </wp:positionV>
                <wp:extent cx="6400800" cy="17780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130" o:spid="_x0000_s1155" style="position:absolute;margin-left:0pt;margin-top:10.1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128270</wp:posOffset>
                </wp:positionV>
                <wp:extent cx="0" cy="1778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1pt" to="0.75pt,24.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137795</wp:posOffset>
                </wp:positionV>
                <wp:extent cx="64008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5pt" to="504pt,10.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128270</wp:posOffset>
                </wp:positionV>
                <wp:extent cx="0" cy="1778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1pt" to="503.25pt,24.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296545</wp:posOffset>
                </wp:positionV>
                <wp:extent cx="640080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35pt" to="504pt,23.35pt" o:allowincell="f" strokecolor="#000000" strokeweight="1.5pt"/>
            </w:pict>
          </mc:Fallback>
        </mc:AlternateContent>
      </w:r>
    </w:p>
    <w:p>
      <w:pPr>
        <w:sectPr>
          <w:pgSz w:w="11880" w:h="15480" w:orient="portrait"/>
          <w:cols w:equalWidth="0" w:num="1">
            <w:col w:w="10080"/>
          </w:cols>
          <w:pgMar w:left="900" w:top="1340" w:right="900" w:bottom="764" w:gutter="0" w:footer="0" w:header="0"/>
        </w:sectPr>
      </w:pPr>
    </w:p>
    <w:p>
      <w:pPr>
        <w:spacing w:after="0" w:line="250"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color w:val="auto"/>
        </w:rPr>
        <w:t>1</w:t>
      </w:r>
    </w:p>
    <w:p>
      <w:pPr>
        <w:sectPr>
          <w:pgSz w:w="11880" w:h="15480" w:orient="portrait"/>
          <w:cols w:equalWidth="0" w:num="1">
            <w:col w:w="10080"/>
          </w:cols>
          <w:pgMar w:left="900" w:top="1340" w:right="900" w:bottom="764" w:gutter="0" w:footer="0" w:header="0"/>
          <w:type w:val="continuous"/>
        </w:sectPr>
      </w:pPr>
    </w:p>
    <w:bookmarkStart w:id="121" w:name="page122"/>
    <w:bookmarkEnd w:id="121"/>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CORPORATE VALUES</w:t>
      </w: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20"/>
          <w:szCs w:val="20"/>
          <w:b w:val="1"/>
          <w:bCs w:val="1"/>
          <w:color w:val="FB1717"/>
        </w:rPr>
        <w:t>Excellence</w:t>
      </w:r>
      <w:r>
        <w:rPr>
          <w:rFonts w:ascii="Arial" w:cs="Arial" w:eastAsia="Arial" w:hAnsi="Arial"/>
          <w:sz w:val="20"/>
          <w:szCs w:val="20"/>
          <w:color w:val="auto"/>
        </w:rPr>
        <w:t xml:space="preserve"> in all that we do as we operate, develop and redevelop properties to serve the needs of the local communities. </w:t>
      </w:r>
      <w:r>
        <w:rPr>
          <w:rFonts w:ascii="Arial" w:cs="Arial" w:eastAsia="Arial" w:hAnsi="Arial"/>
          <w:sz w:val="20"/>
          <w:szCs w:val="20"/>
          <w:b w:val="1"/>
          <w:bCs w:val="1"/>
          <w:color w:val="FB1717"/>
        </w:rPr>
        <w:t>Innovation</w:t>
      </w:r>
      <w:r>
        <w:rPr>
          <w:rFonts w:ascii="Arial" w:cs="Arial" w:eastAsia="Arial" w:hAnsi="Arial"/>
          <w:sz w:val="20"/>
          <w:szCs w:val="20"/>
          <w:color w:val="auto"/>
        </w:rPr>
        <w:t xml:space="preserve"> is key to introducing new ways of conducting our business to continue to meet the evolving economic, environmental and social challenges the real estate industry must address both in the short- and long-term. We hold ourselves </w:t>
      </w:r>
      <w:r>
        <w:rPr>
          <w:rFonts w:ascii="Arial" w:cs="Arial" w:eastAsia="Arial" w:hAnsi="Arial"/>
          <w:sz w:val="20"/>
          <w:szCs w:val="20"/>
          <w:b w:val="1"/>
          <w:bCs w:val="1"/>
          <w:color w:val="FB1717"/>
        </w:rPr>
        <w:t>Accountable</w:t>
      </w:r>
      <w:r>
        <w:rPr>
          <w:rFonts w:ascii="Arial" w:cs="Arial" w:eastAsia="Arial" w:hAnsi="Arial"/>
          <w:sz w:val="20"/>
          <w:szCs w:val="20"/>
          <w:color w:val="auto"/>
        </w:rPr>
        <w:t xml:space="preserve"> for our work and our results and always act with the highest level of </w:t>
      </w:r>
      <w:r>
        <w:rPr>
          <w:rFonts w:ascii="Arial" w:cs="Arial" w:eastAsia="Arial" w:hAnsi="Arial"/>
          <w:sz w:val="20"/>
          <w:szCs w:val="20"/>
          <w:b w:val="1"/>
          <w:bCs w:val="1"/>
          <w:color w:val="FB1717"/>
        </w:rPr>
        <w:t>Integrity</w:t>
      </w:r>
      <w:r>
        <w:rPr>
          <w:rFonts w:ascii="Arial" w:cs="Arial" w:eastAsia="Arial" w:hAnsi="Arial"/>
          <w:sz w:val="20"/>
          <w:szCs w:val="20"/>
          <w:color w:val="auto"/>
        </w:rPr>
        <w:t xml:space="preserve"> in our dealings with our shareholders, our employees, our tenants, our business partners and our community partners. Living these values underpins our ability to successfully deliver results for all stakeholders.</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OUR BOARD</w:t>
      </w:r>
    </w:p>
    <w:p>
      <w:pPr>
        <w:spacing w:after="0" w:line="25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have seven (7) trustees serving on our Board, all of whom are independent except for Don Wood who serves as our CEO. Each of these individuals has been nominated for election at the 2023 annual shareholder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shd w:val="clear" w:color="auto" w:fill="FB1717"/>
          </w:tcPr>
          <w:p>
            <w:pPr>
              <w:spacing w:after="0"/>
              <w:rPr>
                <w:sz w:val="19"/>
                <w:szCs w:val="19"/>
                <w:color w:val="auto"/>
              </w:rPr>
            </w:pPr>
          </w:p>
        </w:tc>
        <w:tc>
          <w:tcPr>
            <w:tcW w:w="700" w:type="dxa"/>
            <w:vAlign w:val="bottom"/>
            <w:shd w:val="clear" w:color="auto" w:fill="FB1717"/>
          </w:tcPr>
          <w:p>
            <w:pPr>
              <w:spacing w:after="0"/>
              <w:rPr>
                <w:sz w:val="19"/>
                <w:szCs w:val="19"/>
                <w:color w:val="auto"/>
              </w:rPr>
            </w:pPr>
          </w:p>
        </w:tc>
        <w:tc>
          <w:tcPr>
            <w:tcW w:w="1040" w:type="dxa"/>
            <w:vAlign w:val="bottom"/>
            <w:shd w:val="clear" w:color="auto" w:fill="FB1717"/>
          </w:tcPr>
          <w:p>
            <w:pPr>
              <w:jc w:val="center"/>
              <w:spacing w:after="0"/>
              <w:rPr>
                <w:sz w:val="20"/>
                <w:szCs w:val="20"/>
                <w:color w:val="auto"/>
              </w:rPr>
            </w:pPr>
            <w:r>
              <w:rPr>
                <w:rFonts w:ascii="Arial" w:cs="Arial" w:eastAsia="Arial" w:hAnsi="Arial"/>
                <w:sz w:val="20"/>
                <w:szCs w:val="20"/>
                <w:b w:val="1"/>
                <w:bCs w:val="1"/>
                <w:color w:val="FFFFFF"/>
                <w:w w:val="99"/>
              </w:rPr>
              <w:t>Trustee</w:t>
            </w:r>
          </w:p>
        </w:tc>
        <w:tc>
          <w:tcPr>
            <w:tcW w:w="1500" w:type="dxa"/>
            <w:vAlign w:val="bottom"/>
            <w:shd w:val="clear" w:color="auto" w:fill="FB1717"/>
          </w:tcPr>
          <w:p>
            <w:pPr>
              <w:spacing w:after="0"/>
              <w:rPr>
                <w:sz w:val="19"/>
                <w:szCs w:val="19"/>
                <w:color w:val="auto"/>
              </w:rPr>
            </w:pPr>
          </w:p>
        </w:tc>
        <w:tc>
          <w:tcPr>
            <w:tcW w:w="2700" w:type="dxa"/>
            <w:vAlign w:val="bottom"/>
            <w:gridSpan w:val="3"/>
            <w:shd w:val="clear" w:color="auto" w:fill="FB1717"/>
          </w:tcPr>
          <w:p>
            <w:pPr>
              <w:jc w:val="center"/>
              <w:spacing w:after="0"/>
              <w:rPr>
                <w:sz w:val="20"/>
                <w:szCs w:val="20"/>
                <w:color w:val="auto"/>
              </w:rPr>
            </w:pPr>
            <w:r>
              <w:rPr>
                <w:rFonts w:ascii="Arial" w:cs="Arial" w:eastAsia="Arial" w:hAnsi="Arial"/>
                <w:sz w:val="20"/>
                <w:szCs w:val="20"/>
                <w:b w:val="1"/>
                <w:bCs w:val="1"/>
                <w:color w:val="FFFFFF"/>
              </w:rPr>
              <w:t>Committee Memberships</w:t>
            </w:r>
          </w:p>
        </w:tc>
      </w:tr>
      <w:tr>
        <w:trPr>
          <w:trHeight w:val="248"/>
        </w:trPr>
        <w:tc>
          <w:tcPr>
            <w:tcW w:w="4140" w:type="dxa"/>
            <w:vAlign w:val="bottom"/>
            <w:shd w:val="clear" w:color="auto" w:fill="FB1717"/>
          </w:tcPr>
          <w:p>
            <w:pPr>
              <w:spacing w:after="0"/>
              <w:rPr>
                <w:sz w:val="20"/>
                <w:szCs w:val="20"/>
                <w:color w:val="auto"/>
              </w:rPr>
            </w:pPr>
            <w:r>
              <w:rPr>
                <w:rFonts w:ascii="Arial" w:cs="Arial" w:eastAsia="Arial" w:hAnsi="Arial"/>
                <w:sz w:val="20"/>
                <w:szCs w:val="20"/>
                <w:b w:val="1"/>
                <w:bCs w:val="1"/>
                <w:color w:val="FFFFFF"/>
              </w:rPr>
              <w:t>Name and Principal Occupation</w:t>
            </w:r>
          </w:p>
        </w:tc>
        <w:tc>
          <w:tcPr>
            <w:tcW w:w="700" w:type="dxa"/>
            <w:vAlign w:val="bottom"/>
            <w:shd w:val="clear" w:color="auto" w:fill="FB1717"/>
          </w:tcPr>
          <w:p>
            <w:pPr>
              <w:jc w:val="center"/>
              <w:spacing w:after="0"/>
              <w:rPr>
                <w:sz w:val="20"/>
                <w:szCs w:val="20"/>
                <w:color w:val="auto"/>
              </w:rPr>
            </w:pPr>
            <w:r>
              <w:rPr>
                <w:rFonts w:ascii="Arial" w:cs="Arial" w:eastAsia="Arial" w:hAnsi="Arial"/>
                <w:sz w:val="20"/>
                <w:szCs w:val="20"/>
                <w:b w:val="1"/>
                <w:bCs w:val="1"/>
                <w:color w:val="FFFFFF"/>
              </w:rPr>
              <w:t>Age</w:t>
            </w:r>
          </w:p>
        </w:tc>
        <w:tc>
          <w:tcPr>
            <w:tcW w:w="1040" w:type="dxa"/>
            <w:vAlign w:val="bottom"/>
            <w:shd w:val="clear" w:color="auto" w:fill="FB1717"/>
          </w:tcPr>
          <w:p>
            <w:pPr>
              <w:jc w:val="center"/>
              <w:spacing w:after="0"/>
              <w:rPr>
                <w:sz w:val="20"/>
                <w:szCs w:val="20"/>
                <w:color w:val="auto"/>
              </w:rPr>
            </w:pPr>
            <w:r>
              <w:rPr>
                <w:rFonts w:ascii="Arial" w:cs="Arial" w:eastAsia="Arial" w:hAnsi="Arial"/>
                <w:sz w:val="20"/>
                <w:szCs w:val="20"/>
                <w:b w:val="1"/>
                <w:bCs w:val="1"/>
                <w:color w:val="FFFFFF"/>
              </w:rPr>
              <w:t>Since</w:t>
            </w:r>
          </w:p>
        </w:tc>
        <w:tc>
          <w:tcPr>
            <w:tcW w:w="1500" w:type="dxa"/>
            <w:vAlign w:val="bottom"/>
            <w:shd w:val="clear" w:color="auto" w:fill="FB1717"/>
          </w:tcPr>
          <w:p>
            <w:pPr>
              <w:jc w:val="right"/>
              <w:ind w:right="60"/>
              <w:spacing w:after="0"/>
              <w:rPr>
                <w:sz w:val="20"/>
                <w:szCs w:val="20"/>
                <w:color w:val="auto"/>
              </w:rPr>
            </w:pPr>
            <w:r>
              <w:rPr>
                <w:rFonts w:ascii="Arial" w:cs="Arial" w:eastAsia="Arial" w:hAnsi="Arial"/>
                <w:sz w:val="20"/>
                <w:szCs w:val="20"/>
                <w:b w:val="1"/>
                <w:bCs w:val="1"/>
                <w:color w:val="FFFFFF"/>
              </w:rPr>
              <w:t>Independent</w:t>
            </w:r>
          </w:p>
        </w:tc>
        <w:tc>
          <w:tcPr>
            <w:tcW w:w="900" w:type="dxa"/>
            <w:vAlign w:val="bottom"/>
            <w:shd w:val="clear" w:color="auto" w:fill="FB1717"/>
          </w:tcPr>
          <w:p>
            <w:pPr>
              <w:ind w:left="300"/>
              <w:spacing w:after="0"/>
              <w:rPr>
                <w:sz w:val="20"/>
                <w:szCs w:val="20"/>
                <w:color w:val="auto"/>
              </w:rPr>
            </w:pPr>
            <w:r>
              <w:rPr>
                <w:rFonts w:ascii="Arial" w:cs="Arial" w:eastAsia="Arial" w:hAnsi="Arial"/>
                <w:sz w:val="20"/>
                <w:szCs w:val="20"/>
                <w:b w:val="1"/>
                <w:bCs w:val="1"/>
                <w:color w:val="FFFFFF"/>
              </w:rPr>
              <w:t>AC</w:t>
            </w:r>
          </w:p>
        </w:tc>
        <w:tc>
          <w:tcPr>
            <w:tcW w:w="900" w:type="dxa"/>
            <w:vAlign w:val="bottom"/>
            <w:shd w:val="clear" w:color="auto" w:fill="FB1717"/>
          </w:tcPr>
          <w:p>
            <w:pPr>
              <w:jc w:val="center"/>
              <w:spacing w:after="0"/>
              <w:rPr>
                <w:sz w:val="20"/>
                <w:szCs w:val="20"/>
                <w:color w:val="auto"/>
              </w:rPr>
            </w:pPr>
            <w:r>
              <w:rPr>
                <w:rFonts w:ascii="Arial" w:cs="Arial" w:eastAsia="Arial" w:hAnsi="Arial"/>
                <w:sz w:val="20"/>
                <w:szCs w:val="20"/>
                <w:b w:val="1"/>
                <w:bCs w:val="1"/>
                <w:color w:val="FFFFFF"/>
              </w:rPr>
              <w:t>CC</w:t>
            </w:r>
          </w:p>
        </w:tc>
        <w:tc>
          <w:tcPr>
            <w:tcW w:w="900" w:type="dxa"/>
            <w:vAlign w:val="bottom"/>
            <w:shd w:val="clear" w:color="auto" w:fill="FB1717"/>
          </w:tcPr>
          <w:p>
            <w:pPr>
              <w:jc w:val="center"/>
              <w:spacing w:after="0"/>
              <w:rPr>
                <w:sz w:val="20"/>
                <w:szCs w:val="20"/>
                <w:color w:val="auto"/>
              </w:rPr>
            </w:pPr>
            <w:r>
              <w:rPr>
                <w:rFonts w:ascii="Arial" w:cs="Arial" w:eastAsia="Arial" w:hAnsi="Arial"/>
                <w:sz w:val="20"/>
                <w:szCs w:val="20"/>
                <w:b w:val="1"/>
                <w:bCs w:val="1"/>
                <w:color w:val="FFFFFF"/>
              </w:rPr>
              <w:t>NC</w:t>
            </w:r>
          </w:p>
        </w:tc>
      </w:tr>
      <w:tr>
        <w:trPr>
          <w:trHeight w:val="282"/>
        </w:trPr>
        <w:tc>
          <w:tcPr>
            <w:tcW w:w="4140" w:type="dxa"/>
            <w:vAlign w:val="bottom"/>
            <w:shd w:val="clear" w:color="auto" w:fill="D9D9D9"/>
          </w:tcPr>
          <w:p>
            <w:pPr>
              <w:spacing w:after="0"/>
              <w:rPr>
                <w:sz w:val="20"/>
                <w:szCs w:val="20"/>
                <w:color w:val="auto"/>
              </w:rPr>
            </w:pPr>
            <w:r>
              <w:rPr>
                <w:rFonts w:ascii="Arial" w:cs="Arial" w:eastAsia="Arial" w:hAnsi="Arial"/>
                <w:sz w:val="20"/>
                <w:szCs w:val="20"/>
                <w:b w:val="1"/>
                <w:bCs w:val="1"/>
                <w:color w:val="auto"/>
              </w:rPr>
              <w:t>David W. Faeder±</w:t>
            </w:r>
          </w:p>
        </w:tc>
        <w:tc>
          <w:tcPr>
            <w:tcW w:w="70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66</w:t>
            </w:r>
          </w:p>
        </w:tc>
        <w:tc>
          <w:tcPr>
            <w:tcW w:w="104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2003</w:t>
            </w:r>
          </w:p>
        </w:tc>
        <w:tc>
          <w:tcPr>
            <w:tcW w:w="1500" w:type="dxa"/>
            <w:vAlign w:val="bottom"/>
            <w:shd w:val="clear" w:color="auto" w:fill="D9D9D9"/>
          </w:tcPr>
          <w:p>
            <w:pPr>
              <w:jc w:val="right"/>
              <w:ind w:right="480"/>
              <w:spacing w:after="0"/>
              <w:rPr>
                <w:sz w:val="20"/>
                <w:szCs w:val="20"/>
                <w:color w:val="auto"/>
              </w:rPr>
            </w:pPr>
            <w:r>
              <w:rPr>
                <w:rFonts w:ascii="Arial" w:cs="Arial" w:eastAsia="Arial" w:hAnsi="Arial"/>
                <w:sz w:val="20"/>
                <w:szCs w:val="20"/>
                <w:color w:val="auto"/>
              </w:rPr>
              <w:t>Yes</w:t>
            </w:r>
          </w:p>
        </w:tc>
        <w:tc>
          <w:tcPr>
            <w:tcW w:w="900" w:type="dxa"/>
            <w:vAlign w:val="bottom"/>
            <w:shd w:val="clear" w:color="auto" w:fill="D9D9D9"/>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8"/>
              </w:rPr>
              <w:t>✓</w:t>
            </w:r>
            <w:r>
              <w:rPr>
                <w:rFonts w:ascii="Arial" w:cs="Arial" w:eastAsia="Arial" w:hAnsi="Arial"/>
                <w:sz w:val="20"/>
                <w:szCs w:val="20"/>
                <w:color w:val="auto"/>
                <w:w w:val="98"/>
              </w:rPr>
              <w:t>$</w:t>
            </w:r>
          </w:p>
        </w:tc>
        <w:tc>
          <w:tcPr>
            <w:tcW w:w="900" w:type="dxa"/>
            <w:vAlign w:val="bottom"/>
            <w:shd w:val="clear" w:color="auto" w:fill="D9D9D9"/>
          </w:tcPr>
          <w:p>
            <w:pPr>
              <w:spacing w:after="0"/>
              <w:rPr>
                <w:sz w:val="24"/>
                <w:szCs w:val="24"/>
                <w:color w:val="auto"/>
              </w:rPr>
            </w:pPr>
          </w:p>
        </w:tc>
        <w:tc>
          <w:tcPr>
            <w:tcW w:w="900" w:type="dxa"/>
            <w:vAlign w:val="bottom"/>
            <w:shd w:val="clear" w:color="auto" w:fill="D9D9D9"/>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2"/>
              </w:rPr>
              <w:t>✓</w:t>
            </w:r>
          </w:p>
        </w:tc>
      </w:tr>
      <w:tr>
        <w:trPr>
          <w:trHeight w:val="214"/>
        </w:trPr>
        <w:tc>
          <w:tcPr>
            <w:tcW w:w="4140" w:type="dxa"/>
            <w:vAlign w:val="bottom"/>
            <w:shd w:val="clear" w:color="auto" w:fill="D9D9D9"/>
          </w:tcPr>
          <w:p>
            <w:pPr>
              <w:spacing w:after="0"/>
              <w:rPr>
                <w:sz w:val="20"/>
                <w:szCs w:val="20"/>
                <w:color w:val="auto"/>
              </w:rPr>
            </w:pPr>
            <w:r>
              <w:rPr>
                <w:rFonts w:ascii="Arial" w:cs="Arial" w:eastAsia="Arial" w:hAnsi="Arial"/>
                <w:sz w:val="18"/>
                <w:szCs w:val="18"/>
                <w:color w:val="auto"/>
              </w:rPr>
              <w:t>Managing Partner Fountain Square Properties/</w:t>
            </w:r>
          </w:p>
        </w:tc>
        <w:tc>
          <w:tcPr>
            <w:tcW w:w="700" w:type="dxa"/>
            <w:vAlign w:val="bottom"/>
            <w:shd w:val="clear" w:color="auto" w:fill="D9D9D9"/>
          </w:tcPr>
          <w:p>
            <w:pPr>
              <w:spacing w:after="0"/>
              <w:rPr>
                <w:sz w:val="18"/>
                <w:szCs w:val="18"/>
                <w:color w:val="auto"/>
              </w:rPr>
            </w:pPr>
          </w:p>
        </w:tc>
        <w:tc>
          <w:tcPr>
            <w:tcW w:w="1040" w:type="dxa"/>
            <w:vAlign w:val="bottom"/>
            <w:shd w:val="clear" w:color="auto" w:fill="D9D9D9"/>
          </w:tcPr>
          <w:p>
            <w:pPr>
              <w:spacing w:after="0"/>
              <w:rPr>
                <w:sz w:val="18"/>
                <w:szCs w:val="18"/>
                <w:color w:val="auto"/>
              </w:rPr>
            </w:pPr>
          </w:p>
        </w:tc>
        <w:tc>
          <w:tcPr>
            <w:tcW w:w="15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r>
      <w:tr>
        <w:trPr>
          <w:trHeight w:val="244"/>
        </w:trPr>
        <w:tc>
          <w:tcPr>
            <w:tcW w:w="41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8"/>
                <w:szCs w:val="18"/>
                <w:color w:val="auto"/>
              </w:rPr>
              <w:t>Managing Member Kensington Senior Living</w:t>
            </w:r>
          </w:p>
        </w:tc>
        <w:tc>
          <w:tcPr>
            <w:tcW w:w="7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D9D9D9"/>
            </w:tcBorders>
            <w:shd w:val="clear" w:color="auto" w:fill="D9D9D9"/>
          </w:tcPr>
          <w:p>
            <w:pPr>
              <w:spacing w:after="0"/>
              <w:rPr>
                <w:sz w:val="21"/>
                <w:szCs w:val="21"/>
                <w:color w:val="auto"/>
              </w:rPr>
            </w:pPr>
          </w:p>
        </w:tc>
        <w:tc>
          <w:tcPr>
            <w:tcW w:w="15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r>
      <w:tr>
        <w:trPr>
          <w:trHeight w:val="282"/>
        </w:trPr>
        <w:tc>
          <w:tcPr>
            <w:tcW w:w="4140" w:type="dxa"/>
            <w:vAlign w:val="bottom"/>
          </w:tcPr>
          <w:p>
            <w:pPr>
              <w:spacing w:after="0"/>
              <w:rPr>
                <w:sz w:val="20"/>
                <w:szCs w:val="20"/>
                <w:color w:val="auto"/>
              </w:rPr>
            </w:pPr>
            <w:r>
              <w:rPr>
                <w:rFonts w:ascii="Arial" w:cs="Arial" w:eastAsia="Arial" w:hAnsi="Arial"/>
                <w:sz w:val="20"/>
                <w:szCs w:val="20"/>
                <w:b w:val="1"/>
                <w:bCs w:val="1"/>
                <w:color w:val="auto"/>
              </w:rPr>
              <w:t>Elizabeth I. Holland</w:t>
            </w:r>
          </w:p>
        </w:tc>
        <w:tc>
          <w:tcPr>
            <w:tcW w:w="700" w:type="dxa"/>
            <w:vAlign w:val="bottom"/>
          </w:tcPr>
          <w:p>
            <w:pPr>
              <w:jc w:val="center"/>
              <w:spacing w:after="0"/>
              <w:rPr>
                <w:sz w:val="20"/>
                <w:szCs w:val="20"/>
                <w:color w:val="auto"/>
              </w:rPr>
            </w:pPr>
            <w:r>
              <w:rPr>
                <w:rFonts w:ascii="Arial" w:cs="Arial" w:eastAsia="Arial" w:hAnsi="Arial"/>
                <w:sz w:val="20"/>
                <w:szCs w:val="20"/>
                <w:color w:val="auto"/>
                <w:w w:val="98"/>
              </w:rPr>
              <w:t>57</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2017</w:t>
            </w:r>
          </w:p>
        </w:tc>
        <w:tc>
          <w:tcPr>
            <w:tcW w:w="1500" w:type="dxa"/>
            <w:vAlign w:val="bottom"/>
          </w:tcPr>
          <w:p>
            <w:pPr>
              <w:jc w:val="right"/>
              <w:ind w:right="480"/>
              <w:spacing w:after="0"/>
              <w:rPr>
                <w:sz w:val="20"/>
                <w:szCs w:val="20"/>
                <w:color w:val="auto"/>
              </w:rPr>
            </w:pPr>
            <w:r>
              <w:rPr>
                <w:rFonts w:ascii="Arial" w:cs="Arial" w:eastAsia="Arial" w:hAnsi="Arial"/>
                <w:sz w:val="20"/>
                <w:szCs w:val="20"/>
                <w:color w:val="auto"/>
              </w:rPr>
              <w:t>Yes</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2"/>
              </w:rPr>
              <w:t>✓</w:t>
            </w:r>
          </w:p>
        </w:tc>
        <w:tc>
          <w:tcPr>
            <w:tcW w:w="900" w:type="dxa"/>
            <w:vAlign w:val="bottom"/>
          </w:tcPr>
          <w:p>
            <w:pPr>
              <w:jc w:val="center"/>
              <w:spacing w:after="0"/>
              <w:rPr>
                <w:sz w:val="20"/>
                <w:szCs w:val="20"/>
                <w:color w:val="auto"/>
              </w:rPr>
            </w:pPr>
            <w:r>
              <w:rPr>
                <w:rFonts w:ascii="Arial" w:cs="Arial" w:eastAsia="Arial" w:hAnsi="Arial"/>
                <w:sz w:val="20"/>
                <w:szCs w:val="20"/>
                <w:color w:val="auto"/>
                <w:w w:val="96"/>
              </w:rPr>
              <w:t>C</w:t>
            </w:r>
          </w:p>
        </w:tc>
        <w:tc>
          <w:tcPr>
            <w:tcW w:w="900" w:type="dxa"/>
            <w:vAlign w:val="bottom"/>
          </w:tcPr>
          <w:p>
            <w:pPr>
              <w:spacing w:after="0"/>
              <w:rPr>
                <w:sz w:val="24"/>
                <w:szCs w:val="24"/>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Chief Executive Officer/Abbell Credit Corporation</w:t>
            </w: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8"/>
                <w:szCs w:val="18"/>
                <w:color w:val="auto"/>
              </w:rPr>
              <w:t>and Abbell Associates, LLC</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
        </w:trPr>
        <w:tc>
          <w:tcPr>
            <w:tcW w:w="4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40" w:type="dxa"/>
            <w:vAlign w:val="bottom"/>
            <w:shd w:val="clear" w:color="auto" w:fill="D9D9D9"/>
          </w:tcPr>
          <w:p>
            <w:pPr>
              <w:spacing w:after="0"/>
              <w:rPr>
                <w:sz w:val="20"/>
                <w:szCs w:val="20"/>
                <w:color w:val="auto"/>
              </w:rPr>
            </w:pPr>
            <w:r>
              <w:rPr>
                <w:rFonts w:ascii="Arial" w:cs="Arial" w:eastAsia="Arial" w:hAnsi="Arial"/>
                <w:sz w:val="20"/>
                <w:szCs w:val="20"/>
                <w:b w:val="1"/>
                <w:bCs w:val="1"/>
                <w:color w:val="auto"/>
              </w:rPr>
              <w:t>Nicole Y. Lamb-Hale</w:t>
            </w:r>
          </w:p>
        </w:tc>
        <w:tc>
          <w:tcPr>
            <w:tcW w:w="70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56</w:t>
            </w:r>
          </w:p>
        </w:tc>
        <w:tc>
          <w:tcPr>
            <w:tcW w:w="104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2020</w:t>
            </w:r>
          </w:p>
        </w:tc>
        <w:tc>
          <w:tcPr>
            <w:tcW w:w="1500" w:type="dxa"/>
            <w:vAlign w:val="bottom"/>
            <w:shd w:val="clear" w:color="auto" w:fill="D9D9D9"/>
          </w:tcPr>
          <w:p>
            <w:pPr>
              <w:jc w:val="right"/>
              <w:ind w:right="480"/>
              <w:spacing w:after="0"/>
              <w:rPr>
                <w:sz w:val="20"/>
                <w:szCs w:val="20"/>
                <w:color w:val="auto"/>
              </w:rPr>
            </w:pPr>
            <w:r>
              <w:rPr>
                <w:rFonts w:ascii="Arial" w:cs="Arial" w:eastAsia="Arial" w:hAnsi="Arial"/>
                <w:sz w:val="20"/>
                <w:szCs w:val="20"/>
                <w:color w:val="auto"/>
              </w:rPr>
              <w:t>Yes</w:t>
            </w:r>
          </w:p>
        </w:tc>
        <w:tc>
          <w:tcPr>
            <w:tcW w:w="900" w:type="dxa"/>
            <w:vAlign w:val="bottom"/>
            <w:shd w:val="clear" w:color="auto" w:fill="D9D9D9"/>
          </w:tcPr>
          <w:p>
            <w:pPr>
              <w:spacing w:after="0"/>
              <w:rPr>
                <w:sz w:val="24"/>
                <w:szCs w:val="24"/>
                <w:color w:val="auto"/>
              </w:rPr>
            </w:pPr>
          </w:p>
        </w:tc>
        <w:tc>
          <w:tcPr>
            <w:tcW w:w="900" w:type="dxa"/>
            <w:vAlign w:val="bottom"/>
            <w:shd w:val="clear" w:color="auto" w:fill="D9D9D9"/>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2"/>
              </w:rPr>
              <w:t>✓</w:t>
            </w:r>
          </w:p>
        </w:tc>
        <w:tc>
          <w:tcPr>
            <w:tcW w:w="900" w:type="dxa"/>
            <w:vAlign w:val="bottom"/>
            <w:shd w:val="clear" w:color="auto" w:fill="D9D9D9"/>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2"/>
              </w:rPr>
              <w:t>✓</w:t>
            </w:r>
          </w:p>
        </w:tc>
      </w:tr>
      <w:tr>
        <w:trPr>
          <w:trHeight w:val="214"/>
        </w:trPr>
        <w:tc>
          <w:tcPr>
            <w:tcW w:w="4140" w:type="dxa"/>
            <w:vAlign w:val="bottom"/>
            <w:shd w:val="clear" w:color="auto" w:fill="D9D9D9"/>
          </w:tcPr>
          <w:p>
            <w:pPr>
              <w:spacing w:after="0"/>
              <w:rPr>
                <w:sz w:val="20"/>
                <w:szCs w:val="20"/>
                <w:color w:val="auto"/>
              </w:rPr>
            </w:pPr>
            <w:r>
              <w:rPr>
                <w:rFonts w:ascii="Arial" w:cs="Arial" w:eastAsia="Arial" w:hAnsi="Arial"/>
                <w:sz w:val="18"/>
                <w:szCs w:val="18"/>
                <w:color w:val="auto"/>
              </w:rPr>
              <w:t>Vice President and Chief Legal Officer/Cummins</w:t>
            </w:r>
          </w:p>
        </w:tc>
        <w:tc>
          <w:tcPr>
            <w:tcW w:w="700" w:type="dxa"/>
            <w:vAlign w:val="bottom"/>
            <w:shd w:val="clear" w:color="auto" w:fill="D9D9D9"/>
          </w:tcPr>
          <w:p>
            <w:pPr>
              <w:spacing w:after="0"/>
              <w:rPr>
                <w:sz w:val="18"/>
                <w:szCs w:val="18"/>
                <w:color w:val="auto"/>
              </w:rPr>
            </w:pPr>
          </w:p>
        </w:tc>
        <w:tc>
          <w:tcPr>
            <w:tcW w:w="1040" w:type="dxa"/>
            <w:vAlign w:val="bottom"/>
            <w:shd w:val="clear" w:color="auto" w:fill="D9D9D9"/>
          </w:tcPr>
          <w:p>
            <w:pPr>
              <w:spacing w:after="0"/>
              <w:rPr>
                <w:sz w:val="18"/>
                <w:szCs w:val="18"/>
                <w:color w:val="auto"/>
              </w:rPr>
            </w:pPr>
          </w:p>
        </w:tc>
        <w:tc>
          <w:tcPr>
            <w:tcW w:w="15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r>
      <w:tr>
        <w:trPr>
          <w:trHeight w:val="244"/>
        </w:trPr>
        <w:tc>
          <w:tcPr>
            <w:tcW w:w="41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8"/>
                <w:szCs w:val="18"/>
                <w:color w:val="auto"/>
              </w:rPr>
              <w:t>Inc.</w:t>
            </w:r>
          </w:p>
        </w:tc>
        <w:tc>
          <w:tcPr>
            <w:tcW w:w="7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D9D9D9"/>
            </w:tcBorders>
            <w:shd w:val="clear" w:color="auto" w:fill="D9D9D9"/>
          </w:tcPr>
          <w:p>
            <w:pPr>
              <w:spacing w:after="0"/>
              <w:rPr>
                <w:sz w:val="21"/>
                <w:szCs w:val="21"/>
                <w:color w:val="auto"/>
              </w:rPr>
            </w:pPr>
          </w:p>
        </w:tc>
        <w:tc>
          <w:tcPr>
            <w:tcW w:w="15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r>
      <w:tr>
        <w:trPr>
          <w:trHeight w:val="282"/>
        </w:trPr>
        <w:tc>
          <w:tcPr>
            <w:tcW w:w="4140" w:type="dxa"/>
            <w:vAlign w:val="bottom"/>
          </w:tcPr>
          <w:p>
            <w:pPr>
              <w:spacing w:after="0"/>
              <w:rPr>
                <w:sz w:val="20"/>
                <w:szCs w:val="20"/>
                <w:color w:val="auto"/>
              </w:rPr>
            </w:pPr>
            <w:r>
              <w:rPr>
                <w:rFonts w:ascii="Arial" w:cs="Arial" w:eastAsia="Arial" w:hAnsi="Arial"/>
                <w:sz w:val="20"/>
                <w:szCs w:val="20"/>
                <w:b w:val="1"/>
                <w:bCs w:val="1"/>
                <w:color w:val="auto"/>
              </w:rPr>
              <w:t>Thomas A. McEachin</w:t>
            </w:r>
          </w:p>
        </w:tc>
        <w:tc>
          <w:tcPr>
            <w:tcW w:w="700" w:type="dxa"/>
            <w:vAlign w:val="bottom"/>
          </w:tcPr>
          <w:p>
            <w:pPr>
              <w:jc w:val="center"/>
              <w:spacing w:after="0"/>
              <w:rPr>
                <w:sz w:val="20"/>
                <w:szCs w:val="20"/>
                <w:color w:val="auto"/>
              </w:rPr>
            </w:pPr>
            <w:r>
              <w:rPr>
                <w:rFonts w:ascii="Arial" w:cs="Arial" w:eastAsia="Arial" w:hAnsi="Arial"/>
                <w:sz w:val="20"/>
                <w:szCs w:val="20"/>
                <w:color w:val="auto"/>
                <w:w w:val="98"/>
              </w:rPr>
              <w:t>70</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1500" w:type="dxa"/>
            <w:vAlign w:val="bottom"/>
          </w:tcPr>
          <w:p>
            <w:pPr>
              <w:jc w:val="right"/>
              <w:ind w:right="480"/>
              <w:spacing w:after="0"/>
              <w:rPr>
                <w:sz w:val="20"/>
                <w:szCs w:val="20"/>
                <w:color w:val="auto"/>
              </w:rPr>
            </w:pPr>
            <w:r>
              <w:rPr>
                <w:rFonts w:ascii="Arial" w:cs="Arial" w:eastAsia="Arial" w:hAnsi="Arial"/>
                <w:sz w:val="20"/>
                <w:szCs w:val="20"/>
                <w:color w:val="auto"/>
              </w:rPr>
              <w:t>Yes</w:t>
            </w:r>
          </w:p>
        </w:tc>
        <w:tc>
          <w:tcPr>
            <w:tcW w:w="900" w:type="dxa"/>
            <w:vAlign w:val="bottom"/>
          </w:tcPr>
          <w:p>
            <w:pPr>
              <w:spacing w:after="0"/>
              <w:rPr>
                <w:sz w:val="24"/>
                <w:szCs w:val="24"/>
                <w:color w:val="auto"/>
              </w:rPr>
            </w:pP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2"/>
              </w:rPr>
              <w:t>✓</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2"/>
              </w:rPr>
              <w:t>✓</w:t>
            </w: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Former Group Chief Financial Officer/Covidien</w:t>
            </w: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8"/>
                <w:szCs w:val="18"/>
                <w:color w:val="auto"/>
              </w:rPr>
              <w:t>Surgical Solutions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
        </w:trPr>
        <w:tc>
          <w:tcPr>
            <w:tcW w:w="4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40" w:type="dxa"/>
            <w:vAlign w:val="bottom"/>
            <w:shd w:val="clear" w:color="auto" w:fill="D9D9D9"/>
          </w:tcPr>
          <w:p>
            <w:pPr>
              <w:spacing w:after="0"/>
              <w:rPr>
                <w:sz w:val="20"/>
                <w:szCs w:val="20"/>
                <w:color w:val="auto"/>
              </w:rPr>
            </w:pPr>
            <w:r>
              <w:rPr>
                <w:rFonts w:ascii="Arial" w:cs="Arial" w:eastAsia="Arial" w:hAnsi="Arial"/>
                <w:sz w:val="20"/>
                <w:szCs w:val="20"/>
                <w:b w:val="1"/>
                <w:bCs w:val="1"/>
                <w:color w:val="auto"/>
              </w:rPr>
              <w:t>Anthony P. Nader, III</w:t>
            </w:r>
          </w:p>
        </w:tc>
        <w:tc>
          <w:tcPr>
            <w:tcW w:w="70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59</w:t>
            </w:r>
          </w:p>
        </w:tc>
        <w:tc>
          <w:tcPr>
            <w:tcW w:w="104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2020</w:t>
            </w:r>
          </w:p>
        </w:tc>
        <w:tc>
          <w:tcPr>
            <w:tcW w:w="1500" w:type="dxa"/>
            <w:vAlign w:val="bottom"/>
            <w:shd w:val="clear" w:color="auto" w:fill="D9D9D9"/>
          </w:tcPr>
          <w:p>
            <w:pPr>
              <w:jc w:val="right"/>
              <w:ind w:right="480"/>
              <w:spacing w:after="0"/>
              <w:rPr>
                <w:sz w:val="20"/>
                <w:szCs w:val="20"/>
                <w:color w:val="auto"/>
              </w:rPr>
            </w:pPr>
            <w:r>
              <w:rPr>
                <w:rFonts w:ascii="Arial" w:cs="Arial" w:eastAsia="Arial" w:hAnsi="Arial"/>
                <w:sz w:val="20"/>
                <w:szCs w:val="20"/>
                <w:color w:val="auto"/>
              </w:rPr>
              <w:t>Yes</w:t>
            </w:r>
          </w:p>
        </w:tc>
        <w:tc>
          <w:tcPr>
            <w:tcW w:w="900" w:type="dxa"/>
            <w:vAlign w:val="bottom"/>
            <w:shd w:val="clear" w:color="auto" w:fill="D9D9D9"/>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8"/>
              </w:rPr>
              <w:t>✓</w:t>
            </w:r>
            <w:r>
              <w:rPr>
                <w:rFonts w:ascii="Arial" w:cs="Arial" w:eastAsia="Arial" w:hAnsi="Arial"/>
                <w:sz w:val="20"/>
                <w:szCs w:val="20"/>
                <w:color w:val="auto"/>
                <w:w w:val="98"/>
              </w:rPr>
              <w:t>$</w:t>
            </w:r>
          </w:p>
        </w:tc>
        <w:tc>
          <w:tcPr>
            <w:tcW w:w="900" w:type="dxa"/>
            <w:vAlign w:val="bottom"/>
            <w:shd w:val="clear" w:color="auto" w:fill="D9D9D9"/>
          </w:tcPr>
          <w:p>
            <w:pPr>
              <w:spacing w:after="0"/>
              <w:rPr>
                <w:sz w:val="24"/>
                <w:szCs w:val="24"/>
                <w:color w:val="auto"/>
              </w:rPr>
            </w:pPr>
          </w:p>
        </w:tc>
        <w:tc>
          <w:tcPr>
            <w:tcW w:w="90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6"/>
              </w:rPr>
              <w:t>C</w:t>
            </w:r>
          </w:p>
        </w:tc>
      </w:tr>
      <w:tr>
        <w:trPr>
          <w:trHeight w:val="214"/>
        </w:trPr>
        <w:tc>
          <w:tcPr>
            <w:tcW w:w="4140" w:type="dxa"/>
            <w:vAlign w:val="bottom"/>
            <w:shd w:val="clear" w:color="auto" w:fill="D9D9D9"/>
          </w:tcPr>
          <w:p>
            <w:pPr>
              <w:spacing w:after="0"/>
              <w:rPr>
                <w:sz w:val="20"/>
                <w:szCs w:val="20"/>
                <w:color w:val="auto"/>
              </w:rPr>
            </w:pPr>
            <w:r>
              <w:rPr>
                <w:rFonts w:ascii="Arial" w:cs="Arial" w:eastAsia="Arial" w:hAnsi="Arial"/>
                <w:sz w:val="18"/>
                <w:szCs w:val="18"/>
                <w:color w:val="auto"/>
              </w:rPr>
              <w:t>Managing Director/SWaN &amp; Legend Venture</w:t>
            </w:r>
          </w:p>
        </w:tc>
        <w:tc>
          <w:tcPr>
            <w:tcW w:w="700" w:type="dxa"/>
            <w:vAlign w:val="bottom"/>
            <w:shd w:val="clear" w:color="auto" w:fill="D9D9D9"/>
          </w:tcPr>
          <w:p>
            <w:pPr>
              <w:spacing w:after="0"/>
              <w:rPr>
                <w:sz w:val="18"/>
                <w:szCs w:val="18"/>
                <w:color w:val="auto"/>
              </w:rPr>
            </w:pPr>
          </w:p>
        </w:tc>
        <w:tc>
          <w:tcPr>
            <w:tcW w:w="1040" w:type="dxa"/>
            <w:vAlign w:val="bottom"/>
            <w:shd w:val="clear" w:color="auto" w:fill="D9D9D9"/>
          </w:tcPr>
          <w:p>
            <w:pPr>
              <w:spacing w:after="0"/>
              <w:rPr>
                <w:sz w:val="18"/>
                <w:szCs w:val="18"/>
                <w:color w:val="auto"/>
              </w:rPr>
            </w:pPr>
          </w:p>
        </w:tc>
        <w:tc>
          <w:tcPr>
            <w:tcW w:w="15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r>
      <w:tr>
        <w:trPr>
          <w:trHeight w:val="244"/>
        </w:trPr>
        <w:tc>
          <w:tcPr>
            <w:tcW w:w="41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8"/>
                <w:szCs w:val="18"/>
                <w:color w:val="auto"/>
              </w:rPr>
              <w:t>Partners</w:t>
            </w:r>
          </w:p>
        </w:tc>
        <w:tc>
          <w:tcPr>
            <w:tcW w:w="7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D9D9D9"/>
            </w:tcBorders>
            <w:shd w:val="clear" w:color="auto" w:fill="D9D9D9"/>
          </w:tcPr>
          <w:p>
            <w:pPr>
              <w:spacing w:after="0"/>
              <w:rPr>
                <w:sz w:val="21"/>
                <w:szCs w:val="21"/>
                <w:color w:val="auto"/>
              </w:rPr>
            </w:pPr>
          </w:p>
        </w:tc>
        <w:tc>
          <w:tcPr>
            <w:tcW w:w="15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shd w:val="clear" w:color="auto" w:fill="D9D9D9"/>
          </w:tcPr>
          <w:p>
            <w:pPr>
              <w:spacing w:after="0"/>
              <w:rPr>
                <w:sz w:val="21"/>
                <w:szCs w:val="21"/>
                <w:color w:val="auto"/>
              </w:rPr>
            </w:pPr>
          </w:p>
        </w:tc>
      </w:tr>
      <w:tr>
        <w:trPr>
          <w:trHeight w:val="282"/>
        </w:trPr>
        <w:tc>
          <w:tcPr>
            <w:tcW w:w="4140" w:type="dxa"/>
            <w:vAlign w:val="bottom"/>
          </w:tcPr>
          <w:p>
            <w:pPr>
              <w:spacing w:after="0"/>
              <w:rPr>
                <w:sz w:val="20"/>
                <w:szCs w:val="20"/>
                <w:color w:val="auto"/>
              </w:rPr>
            </w:pPr>
            <w:r>
              <w:rPr>
                <w:rFonts w:ascii="Arial" w:cs="Arial" w:eastAsia="Arial" w:hAnsi="Arial"/>
                <w:sz w:val="20"/>
                <w:szCs w:val="20"/>
                <w:b w:val="1"/>
                <w:bCs w:val="1"/>
                <w:color w:val="auto"/>
              </w:rPr>
              <w:t>Gail P. Steinel</w:t>
            </w:r>
          </w:p>
        </w:tc>
        <w:tc>
          <w:tcPr>
            <w:tcW w:w="700" w:type="dxa"/>
            <w:vAlign w:val="bottom"/>
          </w:tcPr>
          <w:p>
            <w:pPr>
              <w:jc w:val="center"/>
              <w:spacing w:after="0"/>
              <w:rPr>
                <w:sz w:val="20"/>
                <w:szCs w:val="20"/>
                <w:color w:val="auto"/>
              </w:rPr>
            </w:pPr>
            <w:r>
              <w:rPr>
                <w:rFonts w:ascii="Arial" w:cs="Arial" w:eastAsia="Arial" w:hAnsi="Arial"/>
                <w:sz w:val="20"/>
                <w:szCs w:val="20"/>
                <w:color w:val="auto"/>
                <w:w w:val="98"/>
              </w:rPr>
              <w:t>66</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2006</w:t>
            </w:r>
          </w:p>
        </w:tc>
        <w:tc>
          <w:tcPr>
            <w:tcW w:w="1500" w:type="dxa"/>
            <w:vAlign w:val="bottom"/>
          </w:tcPr>
          <w:p>
            <w:pPr>
              <w:jc w:val="right"/>
              <w:ind w:right="480"/>
              <w:spacing w:after="0"/>
              <w:rPr>
                <w:sz w:val="20"/>
                <w:szCs w:val="20"/>
                <w:color w:val="auto"/>
              </w:rPr>
            </w:pPr>
            <w:r>
              <w:rPr>
                <w:rFonts w:ascii="Arial" w:cs="Arial" w:eastAsia="Arial" w:hAnsi="Arial"/>
                <w:sz w:val="20"/>
                <w:szCs w:val="20"/>
                <w:color w:val="auto"/>
              </w:rPr>
              <w:t>Yes</w:t>
            </w:r>
          </w:p>
        </w:tc>
        <w:tc>
          <w:tcPr>
            <w:tcW w:w="900" w:type="dxa"/>
            <w:vAlign w:val="bottom"/>
          </w:tcPr>
          <w:p>
            <w:pPr>
              <w:ind w:left="320"/>
              <w:spacing w:after="0"/>
              <w:rPr>
                <w:sz w:val="20"/>
                <w:szCs w:val="20"/>
                <w:color w:val="auto"/>
              </w:rPr>
            </w:pPr>
            <w:r>
              <w:rPr>
                <w:rFonts w:ascii="Arial" w:cs="Arial" w:eastAsia="Arial" w:hAnsi="Arial"/>
                <w:sz w:val="20"/>
                <w:szCs w:val="20"/>
                <w:color w:val="auto"/>
              </w:rPr>
              <w:t>C$</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auto"/>
                <w:w w:val="92"/>
              </w:rPr>
              <w:t>✓</w:t>
            </w:r>
          </w:p>
        </w:tc>
        <w:tc>
          <w:tcPr>
            <w:tcW w:w="900" w:type="dxa"/>
            <w:vAlign w:val="bottom"/>
          </w:tcPr>
          <w:p>
            <w:pPr>
              <w:spacing w:after="0"/>
              <w:rPr>
                <w:sz w:val="24"/>
                <w:szCs w:val="24"/>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Owner/Executive Advisors</w:t>
            </w: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4"/>
        </w:trPr>
        <w:tc>
          <w:tcPr>
            <w:tcW w:w="4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40" w:type="dxa"/>
            <w:vAlign w:val="bottom"/>
            <w:shd w:val="clear" w:color="auto" w:fill="D9D9D9"/>
          </w:tcPr>
          <w:p>
            <w:pPr>
              <w:spacing w:after="0"/>
              <w:rPr>
                <w:sz w:val="20"/>
                <w:szCs w:val="20"/>
                <w:color w:val="auto"/>
              </w:rPr>
            </w:pPr>
            <w:r>
              <w:rPr>
                <w:rFonts w:ascii="Arial" w:cs="Arial" w:eastAsia="Arial" w:hAnsi="Arial"/>
                <w:sz w:val="20"/>
                <w:szCs w:val="20"/>
                <w:b w:val="1"/>
                <w:bCs w:val="1"/>
                <w:color w:val="auto"/>
              </w:rPr>
              <w:t>Donald C. Wood</w:t>
            </w:r>
          </w:p>
        </w:tc>
        <w:tc>
          <w:tcPr>
            <w:tcW w:w="70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62</w:t>
            </w:r>
          </w:p>
        </w:tc>
        <w:tc>
          <w:tcPr>
            <w:tcW w:w="104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98"/>
              </w:rPr>
              <w:t>2003</w:t>
            </w:r>
          </w:p>
        </w:tc>
        <w:tc>
          <w:tcPr>
            <w:tcW w:w="1500" w:type="dxa"/>
            <w:vAlign w:val="bottom"/>
            <w:shd w:val="clear" w:color="auto" w:fill="D9D9D9"/>
          </w:tcPr>
          <w:p>
            <w:pPr>
              <w:jc w:val="right"/>
              <w:ind w:right="48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r>
      <w:tr>
        <w:trPr>
          <w:trHeight w:val="214"/>
        </w:trPr>
        <w:tc>
          <w:tcPr>
            <w:tcW w:w="4140" w:type="dxa"/>
            <w:vAlign w:val="bottom"/>
            <w:shd w:val="clear" w:color="auto" w:fill="D9D9D9"/>
          </w:tcPr>
          <w:p>
            <w:pPr>
              <w:spacing w:after="0"/>
              <w:rPr>
                <w:sz w:val="20"/>
                <w:szCs w:val="20"/>
                <w:color w:val="auto"/>
              </w:rPr>
            </w:pPr>
            <w:r>
              <w:rPr>
                <w:rFonts w:ascii="Arial" w:cs="Arial" w:eastAsia="Arial" w:hAnsi="Arial"/>
                <w:sz w:val="18"/>
                <w:szCs w:val="18"/>
                <w:color w:val="auto"/>
              </w:rPr>
              <w:t>Chief Executive Officer/Federal Realty Investment</w:t>
            </w:r>
          </w:p>
        </w:tc>
        <w:tc>
          <w:tcPr>
            <w:tcW w:w="700" w:type="dxa"/>
            <w:vAlign w:val="bottom"/>
            <w:shd w:val="clear" w:color="auto" w:fill="D9D9D9"/>
          </w:tcPr>
          <w:p>
            <w:pPr>
              <w:spacing w:after="0"/>
              <w:rPr>
                <w:sz w:val="18"/>
                <w:szCs w:val="18"/>
                <w:color w:val="auto"/>
              </w:rPr>
            </w:pPr>
          </w:p>
        </w:tc>
        <w:tc>
          <w:tcPr>
            <w:tcW w:w="1040" w:type="dxa"/>
            <w:vAlign w:val="bottom"/>
            <w:shd w:val="clear" w:color="auto" w:fill="D9D9D9"/>
          </w:tcPr>
          <w:p>
            <w:pPr>
              <w:spacing w:after="0"/>
              <w:rPr>
                <w:sz w:val="18"/>
                <w:szCs w:val="18"/>
                <w:color w:val="auto"/>
              </w:rPr>
            </w:pPr>
          </w:p>
        </w:tc>
        <w:tc>
          <w:tcPr>
            <w:tcW w:w="15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r>
      <w:tr>
        <w:trPr>
          <w:trHeight w:val="220"/>
        </w:trPr>
        <w:tc>
          <w:tcPr>
            <w:tcW w:w="4140" w:type="dxa"/>
            <w:vAlign w:val="bottom"/>
            <w:shd w:val="clear" w:color="auto" w:fill="D9D9D9"/>
          </w:tcPr>
          <w:p>
            <w:pPr>
              <w:spacing w:after="0"/>
              <w:rPr>
                <w:sz w:val="20"/>
                <w:szCs w:val="20"/>
                <w:color w:val="auto"/>
              </w:rPr>
            </w:pPr>
            <w:r>
              <w:rPr>
                <w:rFonts w:ascii="Arial" w:cs="Arial" w:eastAsia="Arial" w:hAnsi="Arial"/>
                <w:sz w:val="18"/>
                <w:szCs w:val="18"/>
                <w:color w:val="auto"/>
              </w:rPr>
              <w:t>Trust</w:t>
            </w:r>
          </w:p>
        </w:tc>
        <w:tc>
          <w:tcPr>
            <w:tcW w:w="700" w:type="dxa"/>
            <w:vAlign w:val="bottom"/>
            <w:shd w:val="clear" w:color="auto" w:fill="D9D9D9"/>
          </w:tcPr>
          <w:p>
            <w:pPr>
              <w:spacing w:after="0"/>
              <w:rPr>
                <w:sz w:val="19"/>
                <w:szCs w:val="19"/>
                <w:color w:val="auto"/>
              </w:rPr>
            </w:pPr>
          </w:p>
        </w:tc>
        <w:tc>
          <w:tcPr>
            <w:tcW w:w="1040" w:type="dxa"/>
            <w:vAlign w:val="bottom"/>
            <w:shd w:val="clear" w:color="auto" w:fill="D9D9D9"/>
          </w:tcPr>
          <w:p>
            <w:pPr>
              <w:spacing w:after="0"/>
              <w:rPr>
                <w:sz w:val="19"/>
                <w:szCs w:val="19"/>
                <w:color w:val="auto"/>
              </w:rPr>
            </w:pPr>
          </w:p>
        </w:tc>
        <w:tc>
          <w:tcPr>
            <w:tcW w:w="150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r>
      <w:tr>
        <w:trPr>
          <w:trHeight w:val="44"/>
        </w:trPr>
        <w:tc>
          <w:tcPr>
            <w:tcW w:w="414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c>
          <w:tcPr>
            <w:tcW w:w="1040" w:type="dxa"/>
            <w:vAlign w:val="bottom"/>
            <w:shd w:val="clear" w:color="auto" w:fill="D9D9D9"/>
          </w:tcPr>
          <w:p>
            <w:pPr>
              <w:spacing w:after="0"/>
              <w:rPr>
                <w:sz w:val="3"/>
                <w:szCs w:val="3"/>
                <w:color w:val="auto"/>
              </w:rPr>
            </w:pPr>
          </w:p>
        </w:tc>
        <w:tc>
          <w:tcPr>
            <w:tcW w:w="1500" w:type="dxa"/>
            <w:vAlign w:val="bottom"/>
            <w:shd w:val="clear" w:color="auto" w:fill="D9D9D9"/>
          </w:tcPr>
          <w:p>
            <w:pPr>
              <w:spacing w:after="0"/>
              <w:rPr>
                <w:sz w:val="3"/>
                <w:szCs w:val="3"/>
                <w:color w:val="auto"/>
              </w:rPr>
            </w:pPr>
          </w:p>
        </w:tc>
        <w:tc>
          <w:tcPr>
            <w:tcW w:w="900" w:type="dxa"/>
            <w:vAlign w:val="bottom"/>
            <w:shd w:val="clear" w:color="auto" w:fill="D9D9D9"/>
          </w:tcPr>
          <w:p>
            <w:pPr>
              <w:spacing w:after="0"/>
              <w:rPr>
                <w:sz w:val="3"/>
                <w:szCs w:val="3"/>
                <w:color w:val="auto"/>
              </w:rPr>
            </w:pPr>
          </w:p>
        </w:tc>
        <w:tc>
          <w:tcPr>
            <w:tcW w:w="900" w:type="dxa"/>
            <w:vAlign w:val="bottom"/>
            <w:shd w:val="clear" w:color="auto" w:fill="D9D9D9"/>
          </w:tcPr>
          <w:p>
            <w:pPr>
              <w:spacing w:after="0"/>
              <w:rPr>
                <w:sz w:val="3"/>
                <w:szCs w:val="3"/>
                <w:color w:val="auto"/>
              </w:rPr>
            </w:pPr>
          </w:p>
        </w:tc>
        <w:tc>
          <w:tcPr>
            <w:tcW w:w="900" w:type="dxa"/>
            <w:vAlign w:val="bottom"/>
            <w:shd w:val="clear" w:color="auto" w:fill="D9D9D9"/>
          </w:tcPr>
          <w:p>
            <w:pPr>
              <w:spacing w:after="0"/>
              <w:rPr>
                <w:sz w:val="3"/>
                <w:szCs w:val="3"/>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Legend:</w:t>
      </w:r>
    </w:p>
    <w:p>
      <w:pPr>
        <w:spacing w:after="0" w:line="2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AC-Audit Committee; CC-Compensation and Human Capital Management Committee; NC-Nominating and Corporate Governance Committee</w:t>
      </w:r>
    </w:p>
    <w:p>
      <w:pPr>
        <w:spacing w:after="0" w:line="50" w:lineRule="exact"/>
        <w:rPr>
          <w:sz w:val="20"/>
          <w:szCs w:val="20"/>
          <w:color w:val="auto"/>
        </w:rPr>
      </w:pPr>
    </w:p>
    <w:p>
      <w:pPr>
        <w:ind w:left="400" w:right="6520"/>
        <w:spacing w:after="0" w:line="287" w:lineRule="auto"/>
        <w:tabs>
          <w:tab w:leader="none" w:pos="7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Indicates Chairman of the Board C Indicates Committee Chair</w:t>
      </w:r>
    </w:p>
    <w:p>
      <w:pPr>
        <w:spacing w:after="0" w:line="5"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  Indicates Audit Committee Financial Expert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913130</wp:posOffset>
                </wp:positionV>
                <wp:extent cx="6400800" cy="1778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135" o:spid="_x0000_s1160" style="position:absolute;margin-left:0pt;margin-top:71.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912495</wp:posOffset>
                </wp:positionV>
                <wp:extent cx="0" cy="1778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71.85pt" to="0.75pt,85.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922020</wp:posOffset>
                </wp:positionV>
                <wp:extent cx="640080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6pt" to="504pt,72.6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912495</wp:posOffset>
                </wp:positionV>
                <wp:extent cx="0" cy="1778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71.85pt" to="503.25pt,85.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1080770</wp:posOffset>
                </wp:positionV>
                <wp:extent cx="64008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1pt" to="504pt,85.1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w:t>
      </w:r>
    </w:p>
    <w:p>
      <w:pPr>
        <w:sectPr>
          <w:pgSz w:w="11880" w:h="15480" w:orient="portrait"/>
          <w:cols w:equalWidth="0" w:num="1">
            <w:col w:w="10080"/>
          </w:cols>
          <w:pgMar w:left="900" w:top="1272" w:right="900" w:bottom="764" w:gutter="0" w:footer="0" w:header="0"/>
          <w:type w:val="continuous"/>
        </w:sectPr>
      </w:pPr>
    </w:p>
    <w:bookmarkStart w:id="122" w:name="page123"/>
    <w:bookmarkEnd w:id="122"/>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ENVIRONMENTAL, SOCIAL AND GOVERNANCE SNAPSHOT</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environmental, social and governance (“ESG”)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116205</wp:posOffset>
            </wp:positionV>
            <wp:extent cx="6423025" cy="1663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7">
                      <a:extLst>
                        <a:ext uri="{28A0092B-C50C-407E-A947-70E740481C1C}"/>
                      </a:extLst>
                    </a:blip>
                    <a:srcRect/>
                    <a:stretch>
                      <a:fillRect/>
                    </a:stretch>
                  </pic:blipFill>
                  <pic:spPr bwMode="auto">
                    <a:xfrm>
                      <a:off x="0" y="0"/>
                      <a:ext cx="6423025" cy="1663700"/>
                    </a:xfrm>
                    <a:prstGeom prst="rect">
                      <a:avLst/>
                    </a:prstGeom>
                    <a:noFill/>
                  </pic:spPr>
                </pic:pic>
              </a:graphicData>
            </a:graphic>
          </wp:anchor>
        </w:drawing>
      </w:r>
    </w:p>
    <w:p>
      <w:pPr>
        <w:sectPr>
          <w:pgSz w:w="11880" w:h="15480" w:orient="portrait"/>
          <w:cols w:equalWidth="0" w:num="1">
            <w:col w:w="10080"/>
          </w:cols>
          <w:pgMar w:left="900" w:top="1272"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Advance</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Decarbonization*</w:t>
      </w:r>
    </w:p>
    <w:p>
      <w:pPr>
        <w:spacing w:after="0" w:line="206" w:lineRule="exact"/>
        <w:rPr>
          <w:sz w:val="20"/>
          <w:szCs w:val="20"/>
          <w:color w:val="auto"/>
        </w:rPr>
      </w:pPr>
    </w:p>
    <w:p>
      <w:pPr>
        <w:jc w:val="center"/>
        <w:ind w:left="200"/>
        <w:spacing w:after="0" w:line="266" w:lineRule="auto"/>
        <w:rPr>
          <w:sz w:val="20"/>
          <w:szCs w:val="20"/>
          <w:color w:val="auto"/>
        </w:rPr>
      </w:pPr>
      <w:r>
        <w:rPr>
          <w:rFonts w:ascii="Arial" w:cs="Arial" w:eastAsia="Arial" w:hAnsi="Arial"/>
          <w:sz w:val="19"/>
          <w:szCs w:val="19"/>
          <w:color w:val="FFFFFF"/>
        </w:rPr>
        <w:t>Minimize the carbon footprint of our Company and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398145</wp:posOffset>
            </wp:positionV>
            <wp:extent cx="1816100" cy="15875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8">
                      <a:extLst>
                        <a:ext uri="{28A0092B-C50C-407E-A947-70E740481C1C}"/>
                      </a:extLst>
                    </a:blip>
                    <a:srcRect/>
                    <a:stretch>
                      <a:fillRect/>
                    </a:stretch>
                  </pic:blipFill>
                  <pic:spPr bwMode="auto">
                    <a:xfrm>
                      <a:off x="0" y="0"/>
                      <a:ext cx="181610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rPr>
          <w:sz w:val="20"/>
          <w:szCs w:val="20"/>
          <w:color w:val="auto"/>
        </w:rPr>
      </w:pPr>
      <w:r>
        <w:rPr>
          <w:rFonts w:ascii="Arial" w:cs="Arial" w:eastAsia="Arial" w:hAnsi="Arial"/>
          <w:sz w:val="24"/>
          <w:szCs w:val="24"/>
          <w:b w:val="1"/>
          <w:bCs w:val="1"/>
          <w:color w:val="FFFFFF"/>
        </w:rPr>
        <w:t>Strengthen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4"/>
          <w:szCs w:val="24"/>
          <w:b w:val="1"/>
          <w:bCs w:val="1"/>
          <w:color w:val="FFFFFF"/>
        </w:rPr>
        <w:t>Resiliency*</w:t>
      </w:r>
    </w:p>
    <w:p>
      <w:pPr>
        <w:spacing w:after="0" w:line="206" w:lineRule="exact"/>
        <w:rPr>
          <w:sz w:val="20"/>
          <w:szCs w:val="20"/>
          <w:color w:val="auto"/>
        </w:rPr>
      </w:pPr>
    </w:p>
    <w:p>
      <w:pPr>
        <w:jc w:val="center"/>
        <w:ind w:left="200"/>
        <w:spacing w:after="0" w:line="248" w:lineRule="auto"/>
        <w:rPr>
          <w:sz w:val="20"/>
          <w:szCs w:val="20"/>
          <w:color w:val="auto"/>
        </w:rPr>
      </w:pPr>
      <w:r>
        <w:rPr>
          <w:rFonts w:ascii="Arial" w:cs="Arial" w:eastAsia="Arial" w:hAnsi="Arial"/>
          <w:sz w:val="20"/>
          <w:szCs w:val="20"/>
          <w:color w:val="FFFFFF"/>
        </w:rPr>
        <w:t>Invest in and manage our assets to protect value from increasing frequency</w:t>
      </w:r>
    </w:p>
    <w:p>
      <w:pPr>
        <w:spacing w:after="0" w:line="7" w:lineRule="exact"/>
        <w:rPr>
          <w:sz w:val="20"/>
          <w:szCs w:val="20"/>
          <w:color w:val="auto"/>
        </w:rPr>
      </w:pPr>
    </w:p>
    <w:p>
      <w:pPr>
        <w:jc w:val="center"/>
        <w:ind w:left="200"/>
        <w:spacing w:after="0" w:line="267" w:lineRule="auto"/>
        <w:rPr>
          <w:sz w:val="20"/>
          <w:szCs w:val="20"/>
          <w:color w:val="auto"/>
        </w:rPr>
      </w:pPr>
      <w:r>
        <w:rPr>
          <w:rFonts w:ascii="Arial" w:cs="Arial" w:eastAsia="Arial" w:hAnsi="Arial"/>
          <w:sz w:val="19"/>
          <w:szCs w:val="19"/>
          <w:color w:val="FFFFFF"/>
        </w:rPr>
        <w:t>and severity of weather related events and other hazards of climate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167640</wp:posOffset>
            </wp:positionV>
            <wp:extent cx="1816100" cy="1511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9">
                      <a:extLst>
                        <a:ext uri="{28A0092B-C50C-407E-A947-70E740481C1C}"/>
                      </a:extLst>
                    </a:blip>
                    <a:srcRect/>
                    <a:stretch>
                      <a:fillRect/>
                    </a:stretch>
                  </pic:blipFill>
                  <pic:spPr bwMode="auto">
                    <a:xfrm>
                      <a:off x="0" y="0"/>
                      <a:ext cx="1816100" cy="151130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Connect</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Communities*</w:t>
      </w:r>
    </w:p>
    <w:p>
      <w:pPr>
        <w:spacing w:after="0" w:line="206" w:lineRule="exact"/>
        <w:rPr>
          <w:sz w:val="20"/>
          <w:szCs w:val="20"/>
          <w:color w:val="auto"/>
        </w:rPr>
      </w:pPr>
    </w:p>
    <w:p>
      <w:pPr>
        <w:jc w:val="center"/>
        <w:ind w:left="200"/>
        <w:spacing w:after="0" w:line="249" w:lineRule="auto"/>
        <w:rPr>
          <w:sz w:val="20"/>
          <w:szCs w:val="20"/>
          <w:color w:val="auto"/>
        </w:rPr>
      </w:pPr>
      <w:r>
        <w:rPr>
          <w:rFonts w:ascii="Arial" w:cs="Arial" w:eastAsia="Arial" w:hAnsi="Arial"/>
          <w:sz w:val="20"/>
          <w:szCs w:val="20"/>
          <w:color w:val="FFFFFF"/>
        </w:rPr>
        <w:t>Use our real estate to contribute to social and economic prosperity of the community and advance social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178435</wp:posOffset>
            </wp:positionV>
            <wp:extent cx="1816100" cy="1511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0">
                      <a:extLst>
                        <a:ext uri="{28A0092B-C50C-407E-A947-70E740481C1C}"/>
                      </a:extLst>
                    </a:blip>
                    <a:srcRect/>
                    <a:stretch>
                      <a:fillRect/>
                    </a:stretch>
                  </pic:blipFill>
                  <pic:spPr bwMode="auto">
                    <a:xfrm>
                      <a:off x="0" y="0"/>
                      <a:ext cx="1816100" cy="15113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400"/>
        <w:spacing w:after="0"/>
        <w:rPr>
          <w:sz w:val="20"/>
          <w:szCs w:val="20"/>
          <w:color w:val="auto"/>
        </w:rPr>
      </w:pPr>
      <w:r>
        <w:rPr>
          <w:rFonts w:ascii="Arial" w:cs="Arial" w:eastAsia="Arial" w:hAnsi="Arial"/>
          <w:sz w:val="24"/>
          <w:szCs w:val="24"/>
          <w:b w:val="1"/>
          <w:bCs w:val="1"/>
          <w:color w:val="FFFFFF"/>
        </w:rPr>
        <w:t>Empower Teams*</w:t>
      </w:r>
    </w:p>
    <w:p>
      <w:pPr>
        <w:spacing w:after="0" w:line="206" w:lineRule="exact"/>
        <w:rPr>
          <w:sz w:val="20"/>
          <w:szCs w:val="20"/>
          <w:color w:val="auto"/>
        </w:rPr>
      </w:pPr>
    </w:p>
    <w:p>
      <w:pPr>
        <w:jc w:val="center"/>
        <w:ind w:left="200"/>
        <w:spacing w:after="0" w:line="265" w:lineRule="auto"/>
        <w:rPr>
          <w:sz w:val="20"/>
          <w:szCs w:val="20"/>
          <w:color w:val="auto"/>
        </w:rPr>
      </w:pPr>
      <w:r>
        <w:rPr>
          <w:rFonts w:ascii="Arial" w:cs="Arial" w:eastAsia="Arial" w:hAnsi="Arial"/>
          <w:sz w:val="19"/>
          <w:szCs w:val="19"/>
          <w:color w:val="FFFFFF"/>
        </w:rPr>
        <w:t>Create a work environment that is diverse, engaging and helps employees grow personally and professionally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709295</wp:posOffset>
                </wp:positionV>
                <wp:extent cx="6400800" cy="17780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144" o:spid="_x0000_s1169" style="position:absolute;margin-left:0pt;margin-top:55.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709295</wp:posOffset>
                </wp:positionV>
                <wp:extent cx="0" cy="17780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55.85pt" to="0.75pt,69.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877570</wp:posOffset>
                </wp:positionV>
                <wp:extent cx="640080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1pt" to="504pt,69.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718820</wp:posOffset>
                </wp:positionV>
                <wp:extent cx="64008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6pt" to="504pt,56.6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709295</wp:posOffset>
                </wp:positionV>
                <wp:extent cx="0" cy="17780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55.85pt" to="503.25pt,69.85pt" o:allowincell="f" strokecolor="#000000" strokeweight="1.5pt"/>
            </w:pict>
          </mc:Fallback>
        </mc:AlternateConten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320" w:right="380" w:hanging="311"/>
        <w:spacing w:after="0" w:line="232"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Science Based Target to reduce Scope 1&amp;2 GHG emissions by 46% by 2030 (2019 baseline)</w:t>
      </w:r>
    </w:p>
    <w:p>
      <w:pPr>
        <w:spacing w:after="0" w:line="1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w:t>
      </w:r>
      <w:r>
        <w:rPr>
          <w:rFonts w:ascii="Symbol" w:cs="Symbol" w:eastAsia="Symbol" w:hAnsi="Symbol"/>
          <w:sz w:val="20"/>
          <w:szCs w:val="20"/>
          <w:color w:val="auto"/>
        </w:rPr>
        <w:t>≈</w:t>
      </w:r>
      <w:r>
        <w:rPr>
          <w:rFonts w:ascii="Arial" w:cs="Arial" w:eastAsia="Arial" w:hAnsi="Arial"/>
          <w:sz w:val="20"/>
          <w:szCs w:val="20"/>
          <w:color w:val="auto"/>
        </w:rPr>
        <w:t>22% Scope 1&amp;2 GHG emissions reduction from 2019 through 2021</w:t>
      </w:r>
    </w:p>
    <w:p>
      <w:pPr>
        <w:spacing w:after="0" w:line="55" w:lineRule="exact"/>
        <w:rPr>
          <w:sz w:val="20"/>
          <w:szCs w:val="20"/>
          <w:color w:val="auto"/>
        </w:rPr>
      </w:pPr>
    </w:p>
    <w:p>
      <w:pPr>
        <w:ind w:left="320" w:right="840" w:hanging="311"/>
        <w:spacing w:after="0" w:line="232"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5 million square feet of LEED certified buildings constructed and in service</w:t>
      </w:r>
    </w:p>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60% of electric consumption in 2021 provided by green sources</w:t>
      </w:r>
    </w:p>
    <w:p>
      <w:pPr>
        <w:spacing w:after="0" w:line="56" w:lineRule="exact"/>
        <w:rPr>
          <w:sz w:val="20"/>
          <w:szCs w:val="20"/>
          <w:color w:val="auto"/>
        </w:rPr>
      </w:pPr>
    </w:p>
    <w:p>
      <w:pPr>
        <w:ind w:left="320" w:right="800" w:hanging="311"/>
        <w:spacing w:after="0" w:line="232"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89% properties fully or partially upgraded with energy efficient LED lighting in landlord controlled areas</w:t>
      </w:r>
    </w:p>
    <w:p>
      <w:pPr>
        <w:spacing w:after="0" w:line="242"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14 MW solar power generating capacity in solar arrays at 25 properties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right="860" w:hanging="311"/>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Climate change scenario analysis using RCP 8.5 showing minimal financial risk over short-, medium- and long-term</w:t>
      </w:r>
    </w:p>
    <w:p>
      <w:pPr>
        <w:spacing w:after="0" w:line="55" w:lineRule="exact"/>
        <w:rPr>
          <w:sz w:val="20"/>
          <w:szCs w:val="20"/>
          <w:color w:val="auto"/>
        </w:rPr>
      </w:pPr>
    </w:p>
    <w:p>
      <w:pPr>
        <w:ind w:right="180"/>
        <w:spacing w:after="0" w:line="25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Management of water usage through technology and landscaping choices </w:t>
      </w: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Focus on increasing waste diverted to recycling</w:t>
      </w:r>
    </w:p>
    <w:p>
      <w:pPr>
        <w:spacing w:after="0" w:line="55" w:lineRule="exact"/>
        <w:rPr>
          <w:sz w:val="20"/>
          <w:szCs w:val="20"/>
          <w:color w:val="auto"/>
        </w:rPr>
      </w:pPr>
    </w:p>
    <w:p>
      <w:pPr>
        <w:ind w:left="320" w:right="380" w:hanging="311"/>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Physical risk exposures incorporated into property level capital planning and investment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right="800" w:hanging="311"/>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$425 million invested in partnership with Primestor Development in historically underrepresented communities</w:t>
      </w:r>
    </w:p>
    <w:p>
      <w:pPr>
        <w:spacing w:after="0" w:line="55" w:lineRule="exact"/>
        <w:rPr>
          <w:sz w:val="20"/>
          <w:szCs w:val="20"/>
          <w:color w:val="auto"/>
        </w:rPr>
      </w:pPr>
    </w:p>
    <w:p>
      <w:pPr>
        <w:ind w:right="2100"/>
        <w:spacing w:after="0" w:line="25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Local cultural programming and events at properties </w:t>
      </w: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Support local philanthropic initiatives and tenants</w:t>
      </w:r>
    </w:p>
    <w:p>
      <w:pPr>
        <w:spacing w:after="0" w:line="55" w:lineRule="exact"/>
        <w:rPr>
          <w:sz w:val="20"/>
          <w:szCs w:val="20"/>
          <w:color w:val="auto"/>
        </w:rPr>
      </w:pPr>
    </w:p>
    <w:p>
      <w:pPr>
        <w:ind w:right="1140"/>
        <w:spacing w:after="0" w:line="25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Feature work of local artists in art installations at our properties </w:t>
      </w: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Significant contributions to tax base of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Competitive pay and benefits</w:t>
      </w:r>
    </w:p>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Average tenure in excess of 8 years</w:t>
      </w:r>
    </w:p>
    <w:p>
      <w:pPr>
        <w:spacing w:after="0" w:line="54" w:lineRule="exact"/>
        <w:rPr>
          <w:sz w:val="20"/>
          <w:szCs w:val="20"/>
          <w:color w:val="auto"/>
        </w:rPr>
      </w:pPr>
    </w:p>
    <w:p>
      <w:pPr>
        <w:jc w:val="both"/>
        <w:ind w:right="520"/>
        <w:spacing w:after="0" w:line="262"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Pay equity analysis shows no pay anomalies based on race or gender </w:t>
      </w: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Women represented 53% of our workforce and 75% of all promotions </w:t>
      </w: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Minorities represented 47% of all new hires and 24% of all promotions</w:t>
      </w:r>
    </w:p>
    <w:p>
      <w:pPr>
        <w:spacing w:after="0" w:line="56" w:lineRule="exact"/>
        <w:rPr>
          <w:sz w:val="20"/>
          <w:szCs w:val="20"/>
          <w:color w:val="auto"/>
        </w:rPr>
      </w:pPr>
    </w:p>
    <w:p>
      <w:pPr>
        <w:ind w:left="320" w:right="360" w:hanging="311"/>
        <w:spacing w:after="0" w:line="232"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Comprehensive health and wellness programs through our Be Well with Federal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-6028690</wp:posOffset>
                </wp:positionV>
                <wp:extent cx="0" cy="17145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74.6999pt" to="-8pt,-461.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-6028690</wp:posOffset>
                </wp:positionV>
                <wp:extent cx="0" cy="17145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74.6999pt" to="351pt,-461.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-5850890</wp:posOffset>
                </wp:positionV>
                <wp:extent cx="0" cy="32385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60.6999pt" to="-8pt,-43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-5850890</wp:posOffset>
                </wp:positionV>
                <wp:extent cx="0" cy="32385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60.6999pt" to="351pt,-43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-5520690</wp:posOffset>
                </wp:positionV>
                <wp:extent cx="0" cy="17145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34.6999pt" to="-8pt,-421.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-5520690</wp:posOffset>
                </wp:positionV>
                <wp:extent cx="0" cy="17145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34.6999pt" to="351pt,-421.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-5342890</wp:posOffset>
                </wp:positionV>
                <wp:extent cx="0" cy="32385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20.6999pt" to="-8pt,-39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-5342890</wp:posOffset>
                </wp:positionV>
                <wp:extent cx="0" cy="32385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20.6999pt" to="351pt,-39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-4736465</wp:posOffset>
                </wp:positionV>
                <wp:extent cx="19748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372.9499pt" to="7.3pt,-372.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-5012690</wp:posOffset>
                </wp:positionV>
                <wp:extent cx="0" cy="2794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94.6999pt" to="-8pt,-372.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-5012690</wp:posOffset>
                </wp:positionV>
                <wp:extent cx="0" cy="2794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94.6999pt" to="351pt,-372.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-4736465</wp:posOffset>
                </wp:positionV>
                <wp:extent cx="436181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372.9499pt" to="351.25pt,-372.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-4622165</wp:posOffset>
                </wp:positionV>
                <wp:extent cx="436181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363.9499pt" to="351.25pt,-363.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-4622165</wp:posOffset>
                </wp:positionV>
                <wp:extent cx="19748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363.9499pt" to="7.3pt,-363.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-4625340</wp:posOffset>
                </wp:positionV>
                <wp:extent cx="0" cy="17780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64.1999pt" to="-8pt,-35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-4625340</wp:posOffset>
                </wp:positionV>
                <wp:extent cx="0" cy="17780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64.1999pt" to="351pt,-35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-4441190</wp:posOffset>
                </wp:positionV>
                <wp:extent cx="0" cy="32385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49.6999pt" to="-8pt,-324.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-4441190</wp:posOffset>
                </wp:positionV>
                <wp:extent cx="0" cy="32385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49.6999pt" to="351pt,-324.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-4110990</wp:posOffset>
                </wp:positionV>
                <wp:extent cx="0" cy="17145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23.6999pt" to="-8pt,-31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-4110990</wp:posOffset>
                </wp:positionV>
                <wp:extent cx="0" cy="17145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23.6999pt" to="351pt,-31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-3933190</wp:posOffset>
                </wp:positionV>
                <wp:extent cx="0" cy="17145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09.6999pt" to="-8pt,-296.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-3933190</wp:posOffset>
                </wp:positionV>
                <wp:extent cx="0" cy="17145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09.6999pt" to="351pt,-296.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-3755390</wp:posOffset>
                </wp:positionV>
                <wp:extent cx="0" cy="32385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95.6999pt" to="-8pt,-27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-3755390</wp:posOffset>
                </wp:positionV>
                <wp:extent cx="0" cy="32385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95.6999pt" to="351pt,-27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-3425190</wp:posOffset>
                </wp:positionV>
                <wp:extent cx="0" cy="17145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69.6999pt" to="-8pt,-256.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-3425190</wp:posOffset>
                </wp:positionV>
                <wp:extent cx="0" cy="17145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69.6999pt" to="351pt,-256.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-3072765</wp:posOffset>
                </wp:positionV>
                <wp:extent cx="19748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241.9499pt" to="7.3pt,-241.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-3247390</wp:posOffset>
                </wp:positionV>
                <wp:extent cx="0" cy="17780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55.6999pt" to="-8pt,-241.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-3247390</wp:posOffset>
                </wp:positionV>
                <wp:extent cx="0" cy="17780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55.6999pt" to="351pt,-241.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-3072765</wp:posOffset>
                </wp:positionV>
                <wp:extent cx="436181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241.9499pt" to="351.25pt,-241.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-2958465</wp:posOffset>
                </wp:positionV>
                <wp:extent cx="436181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232.9499pt" to="351.25pt,-232.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-2958465</wp:posOffset>
                </wp:positionV>
                <wp:extent cx="19748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232.9499pt" to="7.3pt,-232.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-2961640</wp:posOffset>
                </wp:positionV>
                <wp:extent cx="0" cy="45720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72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33.1999pt" to="-8pt,-197.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-2961640</wp:posOffset>
                </wp:positionV>
                <wp:extent cx="0" cy="45720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72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33.1999pt" to="351pt,-197.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-2498090</wp:posOffset>
                </wp:positionV>
                <wp:extent cx="0" cy="17145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96.6999pt" to="-8pt,-183.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-2498090</wp:posOffset>
                </wp:positionV>
                <wp:extent cx="0" cy="17145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96.6999pt" to="351pt,-183.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-2320290</wp:posOffset>
                </wp:positionV>
                <wp:extent cx="0" cy="17145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82.6999pt" to="-8pt,-169.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-2320290</wp:posOffset>
                </wp:positionV>
                <wp:extent cx="0" cy="17145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82.6999pt" to="351pt,-169.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-2142490</wp:posOffset>
                </wp:positionV>
                <wp:extent cx="0" cy="17145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68.6999pt" to="-8pt,-15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-2142490</wp:posOffset>
                </wp:positionV>
                <wp:extent cx="0" cy="17145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68.6999pt" to="351pt,-15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-1964690</wp:posOffset>
                </wp:positionV>
                <wp:extent cx="0" cy="17145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54.6999pt" to="-8pt,-141.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-1964690</wp:posOffset>
                </wp:positionV>
                <wp:extent cx="0" cy="17145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54.6999pt" to="351pt,-141.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-1786890</wp:posOffset>
                </wp:positionV>
                <wp:extent cx="0" cy="14605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40.6999pt" to="-8pt,-129.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-1786890</wp:posOffset>
                </wp:positionV>
                <wp:extent cx="0" cy="14605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40.6999pt" to="351pt,-129.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-1485265</wp:posOffset>
                </wp:positionV>
                <wp:extent cx="19748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116.9499pt" to="7.3pt,-116.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-1634490</wp:posOffset>
                </wp:positionV>
                <wp:extent cx="0" cy="15240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28.6999pt" to="-8pt,-116.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-1634490</wp:posOffset>
                </wp:positionV>
                <wp:extent cx="0" cy="15240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28.6999pt" to="351pt,-116.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-1485265</wp:posOffset>
                </wp:positionV>
                <wp:extent cx="436181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116.9499pt" to="351.25pt,-116.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-1370965</wp:posOffset>
                </wp:positionV>
                <wp:extent cx="436181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107.9499pt" to="351.25pt,-107.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-1370965</wp:posOffset>
                </wp:positionV>
                <wp:extent cx="19748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107.9499pt" to="7.3pt,-107.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-1374140</wp:posOffset>
                </wp:positionV>
                <wp:extent cx="0" cy="30480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08.1999pt" to="-8pt,-84.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-1374140</wp:posOffset>
                </wp:positionV>
                <wp:extent cx="0" cy="30480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08.1999pt" to="351pt,-84.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-1062990</wp:posOffset>
                </wp:positionV>
                <wp:extent cx="0" cy="17145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83.6999pt" to="-8pt,-7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-1062990</wp:posOffset>
                </wp:positionV>
                <wp:extent cx="0" cy="17145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83.6999pt" to="351pt,-7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-885190</wp:posOffset>
                </wp:positionV>
                <wp:extent cx="0" cy="17145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69.6999pt" to="-8pt,-56.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-885190</wp:posOffset>
                </wp:positionV>
                <wp:extent cx="0" cy="17145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69.6999pt" to="351pt,-56.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-707390</wp:posOffset>
                </wp:positionV>
                <wp:extent cx="0" cy="17145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55.6999pt" to="-8pt,-42.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-707390</wp:posOffset>
                </wp:positionV>
                <wp:extent cx="0" cy="17145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55.6999pt" to="351pt,-42.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-529590</wp:posOffset>
                </wp:positionV>
                <wp:extent cx="0" cy="17145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1.6999pt" to="-8pt,-28.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-529590</wp:posOffset>
                </wp:positionV>
                <wp:extent cx="0" cy="17145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1.6999pt" to="351pt,-28.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101600</wp:posOffset>
                </wp:positionV>
                <wp:extent cx="19748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8pt" to="7.3pt,8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-351790</wp:posOffset>
                </wp:positionV>
                <wp:extent cx="0" cy="456565"/>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6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7.6999pt" to="-8pt,8.2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-351790</wp:posOffset>
                </wp:positionV>
                <wp:extent cx="0" cy="456565"/>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6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7.6999pt" to="351pt,8.2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101600</wp:posOffset>
                </wp:positionV>
                <wp:extent cx="436181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8pt" to="351.25pt,8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2600" w:space="460"/>
            <w:col w:w="7020"/>
          </w:cols>
          <w:pgMar w:left="900" w:top="1272"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color w:val="auto"/>
        </w:rPr>
        <w:t>3</w:t>
      </w:r>
    </w:p>
    <w:p>
      <w:pPr>
        <w:sectPr>
          <w:pgSz w:w="11880" w:h="15480" w:orient="portrait"/>
          <w:cols w:equalWidth="0" w:num="1">
            <w:col w:w="10080"/>
          </w:cols>
          <w:pgMar w:left="900" w:top="1272" w:right="900" w:bottom="764" w:gutter="0" w:footer="0" w:header="0"/>
          <w:type w:val="continuous"/>
        </w:sectPr>
      </w:pPr>
    </w:p>
    <w:bookmarkStart w:id="123" w:name="page124"/>
    <w:bookmarkEnd w:id="123"/>
    <w:tbl>
      <w:tblPr>
        <w:tblLayout w:type="fixed"/>
        <w:tblInd w:w="180" w:type="dxa"/>
        <w:tblCellMar>
          <w:top w:w="0" w:type="dxa"/>
          <w:left w:w="0" w:type="dxa"/>
          <w:bottom w:w="0" w:type="dxa"/>
          <w:right w:w="0" w:type="dxa"/>
        </w:tblCellMar>
      </w:tblPr>
      <w:tr>
        <w:trPr>
          <w:trHeight w:val="20"/>
        </w:trPr>
        <w:tc>
          <w:tcPr>
            <w:tcW w:w="2740" w:type="dxa"/>
            <w:vAlign w:val="bottom"/>
            <w:tcBorders>
              <w:right w:val="single" w:sz="8" w:color="auto"/>
            </w:tcBorders>
            <w:vMerge w:val="restart"/>
          </w:tcPr>
          <w:p>
            <w:pPr>
              <w:jc w:val="center"/>
              <w:ind w:right="197"/>
              <w:spacing w:after="0"/>
              <w:rPr>
                <w:sz w:val="20"/>
                <w:szCs w:val="20"/>
                <w:color w:val="auto"/>
              </w:rPr>
            </w:pPr>
            <w:r>
              <w:rPr>
                <w:rFonts w:ascii="Arial" w:cs="Arial" w:eastAsia="Arial" w:hAnsi="Arial"/>
                <w:sz w:val="24"/>
                <w:szCs w:val="24"/>
                <w:b w:val="1"/>
                <w:bCs w:val="1"/>
                <w:color w:val="FFFFFF"/>
              </w:rPr>
              <w:t>Govern Responsibly*</w:t>
            </w: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740" w:type="dxa"/>
            <w:vAlign w:val="bottom"/>
            <w:tcBorders>
              <w:right w:val="single" w:sz="8" w:color="auto"/>
            </w:tcBorders>
            <w:vMerge w:val="continue"/>
          </w:tcPr>
          <w:p>
            <w:pPr>
              <w:spacing w:after="0"/>
              <w:rPr>
                <w:sz w:val="24"/>
                <w:szCs w:val="24"/>
                <w:color w:val="auto"/>
              </w:rPr>
            </w:pPr>
          </w:p>
        </w:tc>
        <w:tc>
          <w:tcPr>
            <w:tcW w:w="7180" w:type="dxa"/>
            <w:vAlign w:val="bottom"/>
            <w:tcBorders>
              <w:right w:val="single" w:sz="8" w:color="auto"/>
            </w:tcBorders>
            <w:gridSpan w:val="3"/>
          </w:tcPr>
          <w:p>
            <w:pPr>
              <w:ind w:left="140"/>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Annual election of all trustees</w:t>
            </w:r>
          </w:p>
        </w:tc>
        <w:tc>
          <w:tcPr>
            <w:tcW w:w="0" w:type="dxa"/>
            <w:vAlign w:val="bottom"/>
          </w:tcPr>
          <w:p>
            <w:pPr>
              <w:spacing w:after="0"/>
              <w:rPr>
                <w:sz w:val="1"/>
                <w:szCs w:val="1"/>
                <w:color w:val="auto"/>
              </w:rPr>
            </w:pPr>
          </w:p>
        </w:tc>
      </w:tr>
      <w:tr>
        <w:trPr>
          <w:trHeight w:val="30"/>
        </w:trPr>
        <w:tc>
          <w:tcPr>
            <w:tcW w:w="2740" w:type="dxa"/>
            <w:vAlign w:val="bottom"/>
            <w:tcBorders>
              <w:right w:val="single" w:sz="8" w:color="auto"/>
            </w:tcBorders>
            <w:vMerge w:val="restart"/>
          </w:tcPr>
          <w:p>
            <w:pPr>
              <w:jc w:val="center"/>
              <w:ind w:right="197"/>
              <w:spacing w:after="0"/>
              <w:rPr>
                <w:sz w:val="20"/>
                <w:szCs w:val="20"/>
                <w:color w:val="auto"/>
              </w:rPr>
            </w:pPr>
            <w:r>
              <w:rPr>
                <w:rFonts w:ascii="Arial" w:cs="Arial" w:eastAsia="Arial" w:hAnsi="Arial"/>
                <w:sz w:val="20"/>
                <w:szCs w:val="20"/>
                <w:color w:val="FFFFFF"/>
                <w:w w:val="99"/>
              </w:rPr>
              <w:t>Establish foundation to run</w:t>
            </w:r>
          </w:p>
        </w:tc>
        <w:tc>
          <w:tcPr>
            <w:tcW w:w="7180" w:type="dxa"/>
            <w:vAlign w:val="bottom"/>
            <w:tcBorders>
              <w:right w:val="single" w:sz="8" w:color="auto"/>
            </w:tcBorders>
            <w:gridSpan w:val="3"/>
            <w:vMerge w:val="restart"/>
          </w:tcPr>
          <w:p>
            <w:pPr>
              <w:ind w:left="140"/>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Independent Non-Executive Chairman</w:t>
            </w:r>
          </w:p>
        </w:tc>
        <w:tc>
          <w:tcPr>
            <w:tcW w:w="0" w:type="dxa"/>
            <w:vAlign w:val="bottom"/>
          </w:tcPr>
          <w:p>
            <w:pPr>
              <w:spacing w:after="0" w:line="20" w:lineRule="exact"/>
              <w:rPr>
                <w:sz w:val="1"/>
                <w:szCs w:val="1"/>
                <w:color w:val="auto"/>
              </w:rPr>
            </w:pPr>
          </w:p>
        </w:tc>
      </w:tr>
      <w:tr>
        <w:trPr>
          <w:trHeight w:val="320"/>
        </w:trPr>
        <w:tc>
          <w:tcPr>
            <w:tcW w:w="2740" w:type="dxa"/>
            <w:vAlign w:val="bottom"/>
            <w:tcBorders>
              <w:right w:val="single" w:sz="8" w:color="auto"/>
            </w:tcBorders>
            <w:vMerge w:val="continue"/>
          </w:tcPr>
          <w:p>
            <w:pPr>
              <w:spacing w:after="0"/>
              <w:rPr>
                <w:sz w:val="24"/>
                <w:szCs w:val="24"/>
                <w:color w:val="auto"/>
              </w:rPr>
            </w:pPr>
          </w:p>
        </w:tc>
        <w:tc>
          <w:tcPr>
            <w:tcW w:w="7180" w:type="dxa"/>
            <w:vAlign w:val="bottom"/>
            <w:tcBorders>
              <w:right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740" w:type="dxa"/>
            <w:vAlign w:val="bottom"/>
            <w:tcBorders>
              <w:right w:val="single" w:sz="8" w:color="auto"/>
            </w:tcBorders>
            <w:vMerge w:val="restart"/>
          </w:tcPr>
          <w:p>
            <w:pPr>
              <w:jc w:val="center"/>
              <w:ind w:right="197"/>
              <w:spacing w:after="0"/>
              <w:rPr>
                <w:sz w:val="20"/>
                <w:szCs w:val="20"/>
                <w:color w:val="auto"/>
              </w:rPr>
            </w:pPr>
            <w:r>
              <w:rPr>
                <w:rFonts w:ascii="Arial" w:cs="Arial" w:eastAsia="Arial" w:hAnsi="Arial"/>
                <w:sz w:val="20"/>
                <w:szCs w:val="20"/>
                <w:color w:val="FFFFFF"/>
                <w:w w:val="99"/>
              </w:rPr>
              <w:t>the Company ethically with</w:t>
            </w:r>
          </w:p>
        </w:tc>
        <w:tc>
          <w:tcPr>
            <w:tcW w:w="7180" w:type="dxa"/>
            <w:vAlign w:val="bottom"/>
            <w:tcBorders>
              <w:right w:val="single" w:sz="8" w:color="auto"/>
            </w:tcBorders>
            <w:gridSpan w:val="3"/>
            <w:vMerge w:val="restart"/>
          </w:tcPr>
          <w:p>
            <w:pPr>
              <w:ind w:left="140"/>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Majority voting and proxy access for trustee elections</w:t>
            </w:r>
          </w:p>
        </w:tc>
        <w:tc>
          <w:tcPr>
            <w:tcW w:w="0" w:type="dxa"/>
            <w:vAlign w:val="bottom"/>
          </w:tcPr>
          <w:p>
            <w:pPr>
              <w:spacing w:after="0" w:line="20" w:lineRule="exact"/>
              <w:rPr>
                <w:sz w:val="1"/>
                <w:szCs w:val="1"/>
                <w:color w:val="auto"/>
              </w:rPr>
            </w:pPr>
          </w:p>
        </w:tc>
      </w:tr>
      <w:tr>
        <w:trPr>
          <w:trHeight w:val="200"/>
        </w:trPr>
        <w:tc>
          <w:tcPr>
            <w:tcW w:w="2740" w:type="dxa"/>
            <w:vAlign w:val="bottom"/>
            <w:tcBorders>
              <w:right w:val="single" w:sz="8" w:color="auto"/>
            </w:tcBorders>
            <w:vMerge w:val="continue"/>
          </w:tcPr>
          <w:p>
            <w:pPr>
              <w:spacing w:after="0"/>
              <w:rPr>
                <w:sz w:val="17"/>
                <w:szCs w:val="17"/>
                <w:color w:val="auto"/>
              </w:rPr>
            </w:pPr>
          </w:p>
        </w:tc>
        <w:tc>
          <w:tcPr>
            <w:tcW w:w="718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740" w:type="dxa"/>
            <w:vAlign w:val="bottom"/>
            <w:tcBorders>
              <w:right w:val="single" w:sz="8" w:color="auto"/>
            </w:tcBorders>
            <w:vMerge w:val="restart"/>
          </w:tcPr>
          <w:p>
            <w:pPr>
              <w:jc w:val="center"/>
              <w:ind w:right="197"/>
              <w:spacing w:after="0"/>
              <w:rPr>
                <w:sz w:val="20"/>
                <w:szCs w:val="20"/>
                <w:color w:val="auto"/>
              </w:rPr>
            </w:pPr>
            <w:r>
              <w:rPr>
                <w:rFonts w:ascii="Arial" w:cs="Arial" w:eastAsia="Arial" w:hAnsi="Arial"/>
                <w:sz w:val="20"/>
                <w:szCs w:val="20"/>
                <w:color w:val="FFFFFF"/>
              </w:rPr>
              <w:t>appropriate fiscal and</w:t>
            </w:r>
          </w:p>
        </w:tc>
        <w:tc>
          <w:tcPr>
            <w:tcW w:w="71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740" w:type="dxa"/>
            <w:vAlign w:val="bottom"/>
            <w:tcBorders>
              <w:right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740" w:type="dxa"/>
            <w:vAlign w:val="bottom"/>
            <w:tcBorders>
              <w:right w:val="single" w:sz="8" w:color="auto"/>
            </w:tcBorders>
          </w:tcPr>
          <w:p>
            <w:pPr>
              <w:jc w:val="center"/>
              <w:ind w:right="197"/>
              <w:spacing w:after="0"/>
              <w:rPr>
                <w:sz w:val="20"/>
                <w:szCs w:val="20"/>
                <w:color w:val="auto"/>
              </w:rPr>
            </w:pPr>
            <w:r>
              <w:rPr>
                <w:rFonts w:ascii="Arial" w:cs="Arial" w:eastAsia="Arial" w:hAnsi="Arial"/>
                <w:sz w:val="20"/>
                <w:szCs w:val="20"/>
                <w:color w:val="FFFFFF"/>
                <w:w w:val="99"/>
              </w:rPr>
              <w:t>decision making controls to</w:t>
            </w:r>
          </w:p>
        </w:tc>
        <w:tc>
          <w:tcPr>
            <w:tcW w:w="7180" w:type="dxa"/>
            <w:vAlign w:val="bottom"/>
            <w:tcBorders>
              <w:right w:val="single" w:sz="8" w:color="auto"/>
            </w:tcBorders>
            <w:gridSpan w:val="3"/>
          </w:tcPr>
          <w:p>
            <w:pPr>
              <w:ind w:left="14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Prohibition on hedging and pledging our shares combined with clawback</w:t>
            </w:r>
          </w:p>
        </w:tc>
        <w:tc>
          <w:tcPr>
            <w:tcW w:w="0" w:type="dxa"/>
            <w:vAlign w:val="bottom"/>
          </w:tcPr>
          <w:p>
            <w:pPr>
              <w:spacing w:after="0"/>
              <w:rPr>
                <w:sz w:val="1"/>
                <w:szCs w:val="1"/>
                <w:color w:val="auto"/>
              </w:rPr>
            </w:pPr>
          </w:p>
        </w:tc>
      </w:tr>
      <w:tr>
        <w:trPr>
          <w:trHeight w:val="240"/>
        </w:trPr>
        <w:tc>
          <w:tcPr>
            <w:tcW w:w="2740" w:type="dxa"/>
            <w:vAlign w:val="bottom"/>
            <w:tcBorders>
              <w:right w:val="single" w:sz="8" w:color="auto"/>
            </w:tcBorders>
          </w:tcPr>
          <w:p>
            <w:pPr>
              <w:jc w:val="center"/>
              <w:ind w:right="197"/>
              <w:spacing w:after="0"/>
              <w:rPr>
                <w:sz w:val="20"/>
                <w:szCs w:val="20"/>
                <w:color w:val="auto"/>
              </w:rPr>
            </w:pPr>
            <w:r>
              <w:rPr>
                <w:rFonts w:ascii="Arial" w:cs="Arial" w:eastAsia="Arial" w:hAnsi="Arial"/>
                <w:sz w:val="20"/>
                <w:szCs w:val="20"/>
                <w:color w:val="FFFFFF"/>
                <w:w w:val="99"/>
              </w:rPr>
              <w:t>manage risk</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policy and equity hold requirements</w:t>
            </w:r>
          </w:p>
        </w:tc>
        <w:tc>
          <w:tcPr>
            <w:tcW w:w="0" w:type="dxa"/>
            <w:vAlign w:val="bottom"/>
          </w:tcPr>
          <w:p>
            <w:pPr>
              <w:spacing w:after="0"/>
              <w:rPr>
                <w:sz w:val="1"/>
                <w:szCs w:val="1"/>
                <w:color w:val="auto"/>
              </w:rPr>
            </w:pPr>
          </w:p>
        </w:tc>
      </w:tr>
      <w:tr>
        <w:trPr>
          <w:trHeight w:val="195"/>
        </w:trPr>
        <w:tc>
          <w:tcPr>
            <w:tcW w:w="2740" w:type="dxa"/>
            <w:vAlign w:val="bottom"/>
            <w:tcBorders>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793750</wp:posOffset>
            </wp:positionV>
            <wp:extent cx="1816100" cy="130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
                      <a:extLst>
                        <a:ext uri="{28A0092B-C50C-407E-A947-70E740481C1C}"/>
                      </a:extLst>
                    </a:blip>
                    <a:srcRect/>
                    <a:stretch>
                      <a:fillRect/>
                    </a:stretch>
                  </pic:blipFill>
                  <pic:spPr bwMode="auto">
                    <a:xfrm>
                      <a:off x="0" y="0"/>
                      <a:ext cx="1816100" cy="130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All information provided is as of December 31, 2022 unless otherwise indicated.</w:t>
      </w:r>
    </w:p>
    <w:p>
      <w:pPr>
        <w:spacing w:after="0" w:line="26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More information about our ESG program can be found in our 2021 Environmental Social and Governance Report which is available under the ESG tab on our website and can be accessed by using this link 2021 ESG Report by Federal 1962 - Issuu/. The report provides additional, detailed information in alignment with the frameworks established by the Global Reporting Initiative, Task Force for Climate Related Financial Disclosures and Sustainability Accounting Standards Board.</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Some of the areas where we have been recognized for our ESG efforts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132080</wp:posOffset>
            </wp:positionV>
            <wp:extent cx="5770245" cy="12255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
                      <a:extLst>
                        <a:ext uri="{28A0092B-C50C-407E-A947-70E740481C1C}"/>
                      </a:extLst>
                    </a:blip>
                    <a:srcRect/>
                    <a:stretch>
                      <a:fillRect/>
                    </a:stretch>
                  </pic:blipFill>
                  <pic:spPr bwMode="auto">
                    <a:xfrm>
                      <a:off x="0" y="0"/>
                      <a:ext cx="5770245" cy="12255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1529080</wp:posOffset>
                </wp:positionV>
                <wp:extent cx="640080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4pt" to="504pt,120.4pt" o:allowincell="f" strokecolor="#FB1717"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auto"/>
        </w:rPr>
        <w:t>Governing the Company</w:t>
      </w:r>
    </w:p>
    <w:p>
      <w:pPr>
        <w:spacing w:after="0" w:line="18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GOVERNANCE DOCUMENTS</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243" w:lineRule="exact"/>
        <w:rPr>
          <w:sz w:val="20"/>
          <w:szCs w:val="20"/>
          <w:color w:val="auto"/>
        </w:rPr>
      </w:pPr>
    </w:p>
    <w:p>
      <w:pPr>
        <w:ind w:left="800" w:hanging="400"/>
        <w:spacing w:after="0"/>
        <w:tabs>
          <w:tab w:leader="none" w:pos="800" w:val="left"/>
        </w:tabs>
        <w:numPr>
          <w:ilvl w:val="0"/>
          <w:numId w:val="79"/>
        </w:numPr>
        <w:rPr>
          <w:rFonts w:ascii="Arial" w:cs="Arial" w:eastAsia="Arial" w:hAnsi="Arial"/>
          <w:sz w:val="20"/>
          <w:szCs w:val="20"/>
          <w:color w:val="FB1717"/>
        </w:rPr>
      </w:pPr>
      <w:r>
        <w:rPr>
          <w:rFonts w:ascii="Arial" w:cs="Arial" w:eastAsia="Arial" w:hAnsi="Arial"/>
          <w:sz w:val="20"/>
          <w:szCs w:val="20"/>
          <w:color w:val="auto"/>
        </w:rPr>
        <w:t>Corporate Governance Guidelines</w:t>
      </w:r>
    </w:p>
    <w:p>
      <w:pPr>
        <w:spacing w:after="0" w:line="10" w:lineRule="exact"/>
        <w:rPr>
          <w:rFonts w:ascii="Arial" w:cs="Arial" w:eastAsia="Arial" w:hAnsi="Arial"/>
          <w:sz w:val="20"/>
          <w:szCs w:val="20"/>
          <w:color w:val="FB1717"/>
        </w:rPr>
      </w:pPr>
    </w:p>
    <w:p>
      <w:pPr>
        <w:ind w:left="800" w:hanging="400"/>
        <w:spacing w:after="0"/>
        <w:tabs>
          <w:tab w:leader="none" w:pos="800" w:val="left"/>
        </w:tabs>
        <w:numPr>
          <w:ilvl w:val="0"/>
          <w:numId w:val="79"/>
        </w:numPr>
        <w:rPr>
          <w:rFonts w:ascii="Arial" w:cs="Arial" w:eastAsia="Arial" w:hAnsi="Arial"/>
          <w:sz w:val="20"/>
          <w:szCs w:val="20"/>
          <w:color w:val="FB1717"/>
        </w:rPr>
      </w:pPr>
      <w:r>
        <w:rPr>
          <w:rFonts w:ascii="Arial" w:cs="Arial" w:eastAsia="Arial" w:hAnsi="Arial"/>
          <w:sz w:val="20"/>
          <w:szCs w:val="20"/>
          <w:color w:val="auto"/>
        </w:rPr>
        <w:t>Code of Business Conduct</w:t>
      </w:r>
    </w:p>
    <w:p>
      <w:pPr>
        <w:spacing w:after="0" w:line="10" w:lineRule="exact"/>
        <w:rPr>
          <w:rFonts w:ascii="Arial" w:cs="Arial" w:eastAsia="Arial" w:hAnsi="Arial"/>
          <w:sz w:val="20"/>
          <w:szCs w:val="20"/>
          <w:color w:val="FB1717"/>
        </w:rPr>
      </w:pPr>
    </w:p>
    <w:p>
      <w:pPr>
        <w:ind w:left="800" w:hanging="400"/>
        <w:spacing w:after="0"/>
        <w:tabs>
          <w:tab w:leader="none" w:pos="800" w:val="left"/>
        </w:tabs>
        <w:numPr>
          <w:ilvl w:val="0"/>
          <w:numId w:val="79"/>
        </w:numPr>
        <w:rPr>
          <w:rFonts w:ascii="Arial" w:cs="Arial" w:eastAsia="Arial" w:hAnsi="Arial"/>
          <w:sz w:val="20"/>
          <w:szCs w:val="20"/>
          <w:color w:val="FB1717"/>
        </w:rPr>
      </w:pPr>
      <w:r>
        <w:rPr>
          <w:rFonts w:ascii="Arial" w:cs="Arial" w:eastAsia="Arial" w:hAnsi="Arial"/>
          <w:sz w:val="20"/>
          <w:szCs w:val="20"/>
          <w:color w:val="auto"/>
        </w:rPr>
        <w:t>Code of Ethics for our Senior Financial Officers</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These documents are reviewed periodically and revised when needed to reflect changing regulatory and governmental requirements and best practices. Complete copies of these documents are available in the Investor/ Corporate Governance section of our website at </w:t>
      </w:r>
      <w:r>
        <w:rPr>
          <w:rFonts w:ascii="Arial" w:cs="Arial" w:eastAsia="Arial" w:hAnsi="Arial"/>
          <w:sz w:val="20"/>
          <w:szCs w:val="20"/>
          <w:i w:val="1"/>
          <w:iCs w:val="1"/>
          <w:u w:val="single" w:color="auto"/>
          <w:color w:val="auto"/>
        </w:rPr>
        <w:t>www.federalrealty.com</w:t>
      </w:r>
      <w:r>
        <w:rPr>
          <w:rFonts w:ascii="Arial" w:cs="Arial" w:eastAsia="Arial" w:hAnsi="Arial"/>
          <w:sz w:val="20"/>
          <w:szCs w:val="20"/>
          <w:color w:val="auto"/>
        </w:rPr>
        <w:t>. Printed copies of these documents are available upon written request to our Investor Relations department at 909 Rose Avenue, Suite 200, North Bethesda, Maryland 20852.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1111885</wp:posOffset>
                </wp:positionV>
                <wp:extent cx="6400800" cy="17780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216" o:spid="_x0000_s1241" style="position:absolute;margin-left:0pt;margin-top:87.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1111250</wp:posOffset>
                </wp:positionV>
                <wp:extent cx="0" cy="17780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87.5pt" to="0.75pt,10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1120775</wp:posOffset>
                </wp:positionV>
                <wp:extent cx="640080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25pt" to="504pt,88.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1111250</wp:posOffset>
                </wp:positionV>
                <wp:extent cx="0" cy="17780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87.5pt" to="503.25pt,10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1279525</wp:posOffset>
                </wp:positionV>
                <wp:extent cx="64008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75pt" to="504pt,100.75pt" o:allowincell="f" strokecolor="#000000" strokeweight="1.5pt"/>
            </w:pict>
          </mc:Fallback>
        </mc:AlternateContent>
      </w:r>
    </w:p>
    <w:p>
      <w:pPr>
        <w:sectPr>
          <w:pgSz w:w="11880" w:h="15480" w:orient="portrait"/>
          <w:cols w:equalWidth="0" w:num="1">
            <w:col w:w="10080"/>
          </w:cols>
          <w:pgMar w:left="900" w:top="1275"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w:t>
      </w:r>
    </w:p>
    <w:p>
      <w:pPr>
        <w:sectPr>
          <w:pgSz w:w="11880" w:h="15480" w:orient="portrait"/>
          <w:cols w:equalWidth="0" w:num="1">
            <w:col w:w="10080"/>
          </w:cols>
          <w:pgMar w:left="900" w:top="1275" w:right="900" w:bottom="764" w:gutter="0" w:footer="0" w:header="0"/>
          <w:type w:val="continuous"/>
        </w:sectPr>
      </w:pPr>
    </w:p>
    <w:bookmarkStart w:id="124" w:name="page125"/>
    <w:bookmarkEnd w:id="124"/>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GOVERNANCE POLICIES AND PROCEDURES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commitment to good governance is an integral part of our business. Highlights of our corporate governance practices include: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360" w:type="dxa"/>
            <w:vAlign w:val="bottom"/>
            <w:tcBorders>
              <w:top w:val="single" w:sz="8" w:color="auto"/>
              <w:left w:val="single" w:sz="8" w:color="auto"/>
            </w:tcBorders>
            <w:shd w:val="clear" w:color="auto" w:fill="D9D9D9"/>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Annual election of Trustees</w:t>
            </w:r>
          </w:p>
        </w:tc>
        <w:tc>
          <w:tcPr>
            <w:tcW w:w="400" w:type="dxa"/>
            <w:vAlign w:val="bottom"/>
            <w:tcBorders>
              <w:top w:val="single" w:sz="8" w:color="auto"/>
            </w:tcBorders>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p>
        </w:tc>
        <w:tc>
          <w:tcPr>
            <w:tcW w:w="2960" w:type="dxa"/>
            <w:vAlign w:val="bottom"/>
            <w:tcBorders>
              <w:top w:val="single" w:sz="8" w:color="auto"/>
            </w:tcBorders>
          </w:tcPr>
          <w:p>
            <w:pPr>
              <w:ind w:left="120"/>
              <w:spacing w:after="0"/>
              <w:rPr>
                <w:sz w:val="20"/>
                <w:szCs w:val="20"/>
                <w:color w:val="auto"/>
              </w:rPr>
            </w:pPr>
            <w:r>
              <w:rPr>
                <w:rFonts w:ascii="Arial" w:cs="Arial" w:eastAsia="Arial" w:hAnsi="Arial"/>
                <w:sz w:val="20"/>
                <w:szCs w:val="20"/>
                <w:color w:val="auto"/>
              </w:rPr>
              <w:t>Independent non-executive</w:t>
            </w:r>
          </w:p>
        </w:tc>
        <w:tc>
          <w:tcPr>
            <w:tcW w:w="3380" w:type="dxa"/>
            <w:vAlign w:val="bottom"/>
            <w:tcBorders>
              <w:top w:val="single" w:sz="8" w:color="auto"/>
              <w:right w:val="single" w:sz="8" w:color="auto"/>
            </w:tcBorders>
            <w:shd w:val="clear" w:color="auto" w:fill="D9D9D9"/>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Board oversight of ESG, cyber</w:t>
            </w:r>
          </w:p>
        </w:tc>
      </w:tr>
      <w:tr>
        <w:trPr>
          <w:trHeight w:val="240"/>
        </w:trPr>
        <w:tc>
          <w:tcPr>
            <w:tcW w:w="3360" w:type="dxa"/>
            <w:vAlign w:val="bottom"/>
            <w:tcBorders>
              <w:left w:val="single" w:sz="8" w:color="auto"/>
            </w:tcBorders>
            <w:shd w:val="clear" w:color="auto" w:fill="D9D9D9"/>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20"/>
                <w:szCs w:val="20"/>
                <w:color w:val="auto"/>
              </w:rPr>
              <w:t>chairman since 2003</w:t>
            </w:r>
          </w:p>
        </w:tc>
        <w:tc>
          <w:tcPr>
            <w:tcW w:w="3380" w:type="dxa"/>
            <w:vAlign w:val="bottom"/>
            <w:tcBorders>
              <w:right w:val="single" w:sz="8" w:color="auto"/>
            </w:tcBorders>
            <w:shd w:val="clear" w:color="auto" w:fill="D9D9D9"/>
          </w:tcPr>
          <w:p>
            <w:pPr>
              <w:ind w:left="520"/>
              <w:spacing w:after="0"/>
              <w:rPr>
                <w:sz w:val="20"/>
                <w:szCs w:val="20"/>
                <w:color w:val="auto"/>
              </w:rPr>
            </w:pPr>
            <w:r>
              <w:rPr>
                <w:rFonts w:ascii="Arial" w:cs="Arial" w:eastAsia="Arial" w:hAnsi="Arial"/>
                <w:sz w:val="20"/>
                <w:szCs w:val="20"/>
                <w:color w:val="auto"/>
              </w:rPr>
              <w:t>security, data protection and</w:t>
            </w:r>
          </w:p>
        </w:tc>
      </w:tr>
      <w:tr>
        <w:trPr>
          <w:trHeight w:val="240"/>
        </w:trPr>
        <w:tc>
          <w:tcPr>
            <w:tcW w:w="3360" w:type="dxa"/>
            <w:vAlign w:val="bottom"/>
            <w:tcBorders>
              <w:left w:val="single" w:sz="8" w:color="auto"/>
            </w:tcBorders>
            <w:shd w:val="clear" w:color="auto" w:fill="D9D9D9"/>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380" w:type="dxa"/>
            <w:vAlign w:val="bottom"/>
            <w:tcBorders>
              <w:right w:val="single" w:sz="8" w:color="auto"/>
            </w:tcBorders>
            <w:shd w:val="clear" w:color="auto" w:fill="D9D9D9"/>
          </w:tcPr>
          <w:p>
            <w:pPr>
              <w:ind w:left="520"/>
              <w:spacing w:after="0"/>
              <w:rPr>
                <w:sz w:val="20"/>
                <w:szCs w:val="20"/>
                <w:color w:val="auto"/>
              </w:rPr>
            </w:pPr>
            <w:r>
              <w:rPr>
                <w:rFonts w:ascii="Arial" w:cs="Arial" w:eastAsia="Arial" w:hAnsi="Arial"/>
                <w:sz w:val="20"/>
                <w:szCs w:val="20"/>
                <w:color w:val="auto"/>
              </w:rPr>
              <w:t>human resources</w:t>
            </w:r>
          </w:p>
        </w:tc>
      </w:tr>
      <w:tr>
        <w:trPr>
          <w:trHeight w:val="200"/>
        </w:trPr>
        <w:tc>
          <w:tcPr>
            <w:tcW w:w="3360" w:type="dxa"/>
            <w:vAlign w:val="bottom"/>
            <w:tcBorders>
              <w:left w:val="single" w:sz="8" w:color="auto"/>
            </w:tcBorders>
            <w:shd w:val="clear" w:color="auto" w:fill="D9D9D9"/>
          </w:tcPr>
          <w:p>
            <w:pPr>
              <w:spacing w:after="0"/>
              <w:rPr>
                <w:sz w:val="17"/>
                <w:szCs w:val="17"/>
                <w:color w:val="auto"/>
              </w:rPr>
            </w:pPr>
          </w:p>
        </w:tc>
        <w:tc>
          <w:tcPr>
            <w:tcW w:w="3360" w:type="dxa"/>
            <w:vAlign w:val="bottom"/>
            <w:gridSpan w:val="2"/>
          </w:tcPr>
          <w:p>
            <w:pPr>
              <w:spacing w:after="0"/>
              <w:rPr>
                <w:sz w:val="17"/>
                <w:szCs w:val="17"/>
                <w:color w:val="auto"/>
              </w:rPr>
            </w:pPr>
          </w:p>
        </w:tc>
        <w:tc>
          <w:tcPr>
            <w:tcW w:w="3380" w:type="dxa"/>
            <w:vAlign w:val="bottom"/>
            <w:tcBorders>
              <w:right w:val="single" w:sz="8" w:color="auto"/>
            </w:tcBorders>
            <w:shd w:val="clear" w:color="auto" w:fill="D9D9D9"/>
          </w:tcPr>
          <w:p>
            <w:pPr>
              <w:spacing w:after="0"/>
              <w:rPr>
                <w:sz w:val="17"/>
                <w:szCs w:val="17"/>
                <w:color w:val="auto"/>
              </w:rPr>
            </w:pPr>
          </w:p>
        </w:tc>
      </w:tr>
      <w:tr>
        <w:trPr>
          <w:trHeight w:val="280"/>
        </w:trPr>
        <w:tc>
          <w:tcPr>
            <w:tcW w:w="3360" w:type="dxa"/>
            <w:vAlign w:val="bottom"/>
            <w:tcBorders>
              <w:left w:val="single" w:sz="8" w:color="auto"/>
            </w:tcBorders>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Annual Board and Trustee</w:t>
            </w:r>
          </w:p>
        </w:tc>
        <w:tc>
          <w:tcPr>
            <w:tcW w:w="3360" w:type="dxa"/>
            <w:vAlign w:val="bottom"/>
            <w:gridSpan w:val="2"/>
            <w:shd w:val="clear" w:color="auto" w:fill="D9D9D9"/>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Majority voting in uncontested</w:t>
            </w:r>
          </w:p>
        </w:tc>
        <w:tc>
          <w:tcPr>
            <w:tcW w:w="3380" w:type="dxa"/>
            <w:vAlign w:val="bottom"/>
            <w:tcBorders>
              <w:right w:val="single" w:sz="8" w:color="auto"/>
            </w:tcBorders>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Proxy access for all</w:t>
            </w:r>
          </w:p>
        </w:tc>
      </w:tr>
      <w:tr>
        <w:trPr>
          <w:trHeight w:val="240"/>
        </w:trPr>
        <w:tc>
          <w:tcPr>
            <w:tcW w:w="3360" w:type="dxa"/>
            <w:vAlign w:val="bottom"/>
            <w:tcBorders>
              <w:left w:val="single" w:sz="8" w:color="auto"/>
            </w:tcBorders>
          </w:tcPr>
          <w:p>
            <w:pPr>
              <w:ind w:left="520"/>
              <w:spacing w:after="0"/>
              <w:rPr>
                <w:sz w:val="20"/>
                <w:szCs w:val="20"/>
                <w:color w:val="auto"/>
              </w:rPr>
            </w:pPr>
            <w:r>
              <w:rPr>
                <w:rFonts w:ascii="Arial" w:cs="Arial" w:eastAsia="Arial" w:hAnsi="Arial"/>
                <w:sz w:val="20"/>
                <w:szCs w:val="20"/>
                <w:color w:val="auto"/>
              </w:rPr>
              <w:t>evaluations</w:t>
            </w:r>
          </w:p>
        </w:tc>
        <w:tc>
          <w:tcPr>
            <w:tcW w:w="400" w:type="dxa"/>
            <w:vAlign w:val="bottom"/>
            <w:shd w:val="clear" w:color="auto" w:fill="D9D9D9"/>
          </w:tcPr>
          <w:p>
            <w:pPr>
              <w:spacing w:after="0"/>
              <w:rPr>
                <w:sz w:val="20"/>
                <w:szCs w:val="20"/>
                <w:color w:val="auto"/>
              </w:rPr>
            </w:pPr>
          </w:p>
        </w:tc>
        <w:tc>
          <w:tcPr>
            <w:tcW w:w="2960" w:type="dxa"/>
            <w:vAlign w:val="bottom"/>
            <w:shd w:val="clear" w:color="auto" w:fill="D9D9D9"/>
          </w:tcPr>
          <w:p>
            <w:pPr>
              <w:ind w:left="120"/>
              <w:spacing w:after="0"/>
              <w:rPr>
                <w:sz w:val="20"/>
                <w:szCs w:val="20"/>
                <w:color w:val="auto"/>
              </w:rPr>
            </w:pPr>
            <w:r>
              <w:rPr>
                <w:rFonts w:ascii="Arial" w:cs="Arial" w:eastAsia="Arial" w:hAnsi="Arial"/>
                <w:sz w:val="20"/>
                <w:szCs w:val="20"/>
                <w:color w:val="auto"/>
              </w:rPr>
              <w:t>elections</w:t>
            </w:r>
          </w:p>
        </w:tc>
        <w:tc>
          <w:tcPr>
            <w:tcW w:w="3380" w:type="dxa"/>
            <w:vAlign w:val="bottom"/>
            <w:tcBorders>
              <w:right w:val="single" w:sz="8" w:color="auto"/>
            </w:tcBorders>
          </w:tcPr>
          <w:p>
            <w:pPr>
              <w:ind w:left="520"/>
              <w:spacing w:after="0"/>
              <w:rPr>
                <w:sz w:val="20"/>
                <w:szCs w:val="20"/>
                <w:color w:val="auto"/>
              </w:rPr>
            </w:pPr>
            <w:r>
              <w:rPr>
                <w:rFonts w:ascii="Arial" w:cs="Arial" w:eastAsia="Arial" w:hAnsi="Arial"/>
                <w:sz w:val="20"/>
                <w:szCs w:val="20"/>
                <w:color w:val="auto"/>
              </w:rPr>
              <w:t>shareholders</w:t>
            </w:r>
          </w:p>
        </w:tc>
      </w:tr>
      <w:tr>
        <w:trPr>
          <w:trHeight w:val="200"/>
        </w:trPr>
        <w:tc>
          <w:tcPr>
            <w:tcW w:w="3360" w:type="dxa"/>
            <w:vAlign w:val="bottom"/>
            <w:tcBorders>
              <w:left w:val="single" w:sz="8" w:color="auto"/>
            </w:tcBorders>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2960" w:type="dxa"/>
            <w:vAlign w:val="bottom"/>
            <w:shd w:val="clear" w:color="auto" w:fill="D9D9D9"/>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r>
      <w:tr>
        <w:trPr>
          <w:trHeight w:val="280"/>
        </w:trPr>
        <w:tc>
          <w:tcPr>
            <w:tcW w:w="3360" w:type="dxa"/>
            <w:vAlign w:val="bottom"/>
            <w:tcBorders>
              <w:left w:val="single" w:sz="8" w:color="auto"/>
            </w:tcBorders>
            <w:shd w:val="clear" w:color="auto" w:fill="D9D9D9"/>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Prohibition on Trustees and</w:t>
            </w:r>
          </w:p>
        </w:tc>
        <w:tc>
          <w:tcPr>
            <w:tcW w:w="400" w:type="dxa"/>
            <w:vAlign w:val="bottom"/>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p>
        </w:tc>
        <w:tc>
          <w:tcPr>
            <w:tcW w:w="2960" w:type="dxa"/>
            <w:vAlign w:val="bottom"/>
          </w:tcPr>
          <w:p>
            <w:pPr>
              <w:ind w:left="120"/>
              <w:spacing w:after="0"/>
              <w:rPr>
                <w:sz w:val="20"/>
                <w:szCs w:val="20"/>
                <w:color w:val="auto"/>
              </w:rPr>
            </w:pPr>
            <w:r>
              <w:rPr>
                <w:rFonts w:ascii="Arial" w:cs="Arial" w:eastAsia="Arial" w:hAnsi="Arial"/>
                <w:sz w:val="20"/>
                <w:szCs w:val="20"/>
                <w:color w:val="auto"/>
              </w:rPr>
              <w:t>Shareholder approval required</w:t>
            </w:r>
          </w:p>
        </w:tc>
        <w:tc>
          <w:tcPr>
            <w:tcW w:w="3380" w:type="dxa"/>
            <w:vAlign w:val="bottom"/>
            <w:tcBorders>
              <w:right w:val="single" w:sz="8" w:color="auto"/>
            </w:tcBorders>
            <w:shd w:val="clear" w:color="auto" w:fill="D9D9D9"/>
          </w:tcPr>
          <w:p>
            <w:pPr>
              <w:ind w:left="120"/>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Robust stock ownership</w:t>
            </w:r>
          </w:p>
        </w:tc>
      </w:tr>
      <w:tr>
        <w:trPr>
          <w:trHeight w:val="240"/>
        </w:trPr>
        <w:tc>
          <w:tcPr>
            <w:tcW w:w="3360" w:type="dxa"/>
            <w:vAlign w:val="bottom"/>
            <w:tcBorders>
              <w:left w:val="single" w:sz="8" w:color="auto"/>
            </w:tcBorders>
            <w:shd w:val="clear" w:color="auto" w:fill="D9D9D9"/>
          </w:tcPr>
          <w:p>
            <w:pPr>
              <w:ind w:left="520"/>
              <w:spacing w:after="0"/>
              <w:rPr>
                <w:sz w:val="20"/>
                <w:szCs w:val="20"/>
                <w:color w:val="auto"/>
              </w:rPr>
            </w:pPr>
            <w:r>
              <w:rPr>
                <w:rFonts w:ascii="Arial" w:cs="Arial" w:eastAsia="Arial" w:hAnsi="Arial"/>
                <w:sz w:val="20"/>
                <w:szCs w:val="20"/>
                <w:color w:val="auto"/>
              </w:rPr>
              <w:t>management hedging and</w:t>
            </w:r>
          </w:p>
        </w:tc>
        <w:tc>
          <w:tcPr>
            <w:tcW w:w="40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20"/>
                <w:szCs w:val="20"/>
                <w:color w:val="auto"/>
              </w:rPr>
              <w:t>to classify our Board</w:t>
            </w:r>
          </w:p>
        </w:tc>
        <w:tc>
          <w:tcPr>
            <w:tcW w:w="3380" w:type="dxa"/>
            <w:vAlign w:val="bottom"/>
            <w:tcBorders>
              <w:right w:val="single" w:sz="8" w:color="auto"/>
            </w:tcBorders>
            <w:shd w:val="clear" w:color="auto" w:fill="D9D9D9"/>
          </w:tcPr>
          <w:p>
            <w:pPr>
              <w:ind w:left="520"/>
              <w:spacing w:after="0"/>
              <w:rPr>
                <w:sz w:val="20"/>
                <w:szCs w:val="20"/>
                <w:color w:val="auto"/>
              </w:rPr>
            </w:pPr>
            <w:r>
              <w:rPr>
                <w:rFonts w:ascii="Arial" w:cs="Arial" w:eastAsia="Arial" w:hAnsi="Arial"/>
                <w:sz w:val="20"/>
                <w:szCs w:val="20"/>
                <w:color w:val="auto"/>
              </w:rPr>
              <w:t>guidelines in place for Trustees</w:t>
            </w:r>
          </w:p>
        </w:tc>
      </w:tr>
      <w:tr>
        <w:trPr>
          <w:trHeight w:val="250"/>
        </w:trPr>
        <w:tc>
          <w:tcPr>
            <w:tcW w:w="3360" w:type="dxa"/>
            <w:vAlign w:val="bottom"/>
            <w:tcBorders>
              <w:left w:val="single" w:sz="8" w:color="auto"/>
              <w:bottom w:val="single" w:sz="8" w:color="D9D9D9"/>
            </w:tcBorders>
            <w:shd w:val="clear" w:color="auto" w:fill="D9D9D9"/>
          </w:tcPr>
          <w:p>
            <w:pPr>
              <w:ind w:left="520"/>
              <w:spacing w:after="0"/>
              <w:rPr>
                <w:sz w:val="20"/>
                <w:szCs w:val="20"/>
                <w:color w:val="auto"/>
              </w:rPr>
            </w:pPr>
            <w:r>
              <w:rPr>
                <w:rFonts w:ascii="Arial" w:cs="Arial" w:eastAsia="Arial" w:hAnsi="Arial"/>
                <w:sz w:val="20"/>
                <w:szCs w:val="20"/>
                <w:color w:val="auto"/>
              </w:rPr>
              <w:t>pledging our shares</w:t>
            </w:r>
          </w:p>
        </w:tc>
        <w:tc>
          <w:tcPr>
            <w:tcW w:w="4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380" w:type="dxa"/>
            <w:vAlign w:val="bottom"/>
            <w:tcBorders>
              <w:bottom w:val="single" w:sz="8" w:color="D9D9D9"/>
              <w:right w:val="single" w:sz="8" w:color="auto"/>
            </w:tcBorders>
            <w:shd w:val="clear" w:color="auto" w:fill="D9D9D9"/>
          </w:tcPr>
          <w:p>
            <w:pPr>
              <w:ind w:left="520"/>
              <w:spacing w:after="0"/>
              <w:rPr>
                <w:sz w:val="20"/>
                <w:szCs w:val="20"/>
                <w:color w:val="auto"/>
              </w:rPr>
            </w:pPr>
            <w:r>
              <w:rPr>
                <w:rFonts w:ascii="Arial" w:cs="Arial" w:eastAsia="Arial" w:hAnsi="Arial"/>
                <w:sz w:val="20"/>
                <w:szCs w:val="20"/>
                <w:color w:val="auto"/>
              </w:rPr>
              <w:t>and senior management</w:t>
            </w:r>
          </w:p>
        </w:tc>
      </w:tr>
      <w:tr>
        <w:trPr>
          <w:trHeight w:val="20"/>
        </w:trPr>
        <w:tc>
          <w:tcPr>
            <w:tcW w:w="336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16" w:lineRule="exact"/>
        <w:rPr>
          <w:sz w:val="20"/>
          <w:szCs w:val="20"/>
          <w:color w:val="auto"/>
        </w:rPr>
      </w:pPr>
    </w:p>
    <w:p>
      <w:pPr>
        <w:spacing w:after="0" w:line="306" w:lineRule="exact"/>
        <w:tabs>
          <w:tab w:leader="none" w:pos="380" w:val="left"/>
        </w:tabs>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ab/>
        <w:t>BOARD LEADERSHIP</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Board has been led by an independent, Non-Executive Chairman for the past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pacing w:after="0" w:line="20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BOARD AND COMMITTEE MEETINGS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4229100</wp:posOffset>
                </wp:positionH>
                <wp:positionV relativeFrom="paragraph">
                  <wp:posOffset>138430</wp:posOffset>
                </wp:positionV>
                <wp:extent cx="0" cy="210820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08200"/>
                        </a:xfrm>
                        <a:prstGeom prst="line">
                          <a:avLst/>
                        </a:prstGeom>
                        <a:solidFill>
                          <a:srgbClr val="FFFFFF"/>
                        </a:solidFill>
                        <a:ln w="25400">
                          <a:solidFill>
                            <a:srgbClr val="FB1717"/>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pt,10.9pt" to="333pt,176.9pt" o:allowincell="f" strokecolor="#FB1717" strokeweight="2pt"/>
            </w:pict>
          </mc:Fallback>
        </mc:AlternateContent>
      </w:r>
    </w:p>
    <w:p>
      <w:pPr>
        <w:sectPr>
          <w:pgSz w:w="11880" w:h="15480" w:orient="portrait"/>
          <w:cols w:equalWidth="0" w:num="1">
            <w:col w:w="10080"/>
          </w:cols>
          <w:pgMar w:left="900" w:top="1272" w:right="900" w:bottom="764" w:gutter="0" w:footer="0" w:header="0"/>
        </w:sectPr>
      </w:pP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met six (6) times in 2022 and each trustee attended at least 75% of the meetings of the Board and the committees on which that trustee serves. Our practice is for all trustees to attend all meetings of each of the Board’s standing committees to ensure that each Trustee is fully informed on all issues facing the Company and has the opportunity to participate in discussions surrounding those issues. Only trustees who are members of the specific committee are entitled to vote on matters presented to that committee. At each quarterly meeting, the Trustees met in executive session with all Trustees and then with just non-management Trustees, all of whom are independent. All Trustees are also expected to attend our annual shareholder meeting and all then-serving Trustees attended the annual shareholder meeting.</w:t>
      </w:r>
    </w:p>
    <w:p>
      <w:pPr>
        <w:spacing w:after="0" w:line="20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BOARD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FB1717"/>
        </w:rPr>
        <w:t>100%</w:t>
      </w:r>
    </w:p>
    <w:p>
      <w:pPr>
        <w:jc w:val="center"/>
        <w:ind w:right="80"/>
        <w:spacing w:after="0"/>
        <w:rPr>
          <w:sz w:val="20"/>
          <w:szCs w:val="20"/>
          <w:color w:val="auto"/>
        </w:rPr>
      </w:pPr>
      <w:r>
        <w:rPr>
          <w:rFonts w:ascii="Arial" w:cs="Arial" w:eastAsia="Arial" w:hAnsi="Arial"/>
          <w:sz w:val="19"/>
          <w:szCs w:val="19"/>
          <w:color w:val="auto"/>
        </w:rPr>
        <w:t>Attendance at the annual</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shareholder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140970</wp:posOffset>
                </wp:positionV>
                <wp:extent cx="20066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6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1.1pt" to="154pt,11.1pt" o:allowincell="f" strokecolor="#000000" strokeweight="2pt"/>
            </w:pict>
          </mc:Fallback>
        </mc:AlternateConten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FB1717"/>
        </w:rPr>
        <w:t>96%</w:t>
      </w:r>
    </w:p>
    <w:p>
      <w:pPr>
        <w:spacing w:after="0" w:line="15" w:lineRule="exact"/>
        <w:rPr>
          <w:sz w:val="20"/>
          <w:szCs w:val="20"/>
          <w:color w:val="auto"/>
        </w:rPr>
      </w:pPr>
    </w:p>
    <w:p>
      <w:pPr>
        <w:jc w:val="center"/>
        <w:ind w:right="60"/>
        <w:spacing w:after="0" w:line="263" w:lineRule="auto"/>
        <w:rPr>
          <w:sz w:val="20"/>
          <w:szCs w:val="20"/>
          <w:color w:val="auto"/>
        </w:rPr>
      </w:pPr>
      <w:r>
        <w:rPr>
          <w:rFonts w:ascii="Arial" w:cs="Arial" w:eastAsia="Arial" w:hAnsi="Arial"/>
          <w:sz w:val="18"/>
          <w:szCs w:val="18"/>
          <w:color w:val="auto"/>
        </w:rPr>
        <w:t>Attendance by Trustees of total Board meetings and meetings of Committees on which they serve</w:t>
      </w:r>
    </w:p>
    <w:p>
      <w:pPr>
        <w:spacing w:after="0" w:line="1076" w:lineRule="exact"/>
        <w:rPr>
          <w:sz w:val="20"/>
          <w:szCs w:val="20"/>
          <w:color w:val="auto"/>
        </w:rPr>
      </w:pPr>
    </w:p>
    <w:p>
      <w:pPr>
        <w:sectPr>
          <w:pgSz w:w="11880" w:h="15480" w:orient="portrait"/>
          <w:cols w:equalWidth="0" w:num="2">
            <w:col w:w="6400" w:space="600"/>
            <w:col w:w="3080"/>
          </w:cols>
          <w:pgMar w:left="900" w:top="1272" w:right="900" w:bottom="764" w:gutter="0" w:footer="0" w:header="0"/>
          <w:type w:val="continuous"/>
        </w:sectPr>
      </w:pP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The Board has three standing committees – the Audit Committee, the Compensation and Human Capital Management Committee (“Compensation Committee”) and the Nominating and Corporate Governance Committee (“NCGC”). Each committee operates under a written charter that is available in the Investors/ Corporate Governance section of our website at </w:t>
      </w:r>
      <w:r>
        <w:rPr>
          <w:rFonts w:ascii="Arial" w:cs="Arial" w:eastAsia="Arial" w:hAnsi="Arial"/>
          <w:sz w:val="20"/>
          <w:szCs w:val="20"/>
          <w:i w:val="1"/>
          <w:iCs w:val="1"/>
          <w:u w:val="single" w:color="auto"/>
          <w:color w:val="auto"/>
        </w:rPr>
        <w:t>www.federalrealty.com</w:t>
      </w:r>
      <w:r>
        <w:rPr>
          <w:rFonts w:ascii="Arial" w:cs="Arial" w:eastAsia="Arial" w:hAnsi="Arial"/>
          <w:sz w:val="20"/>
          <w:szCs w:val="20"/>
          <w:color w:val="auto"/>
        </w:rPr>
        <w:t>. Each committee consists entirely of independent, non-employee trustees.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794385</wp:posOffset>
                </wp:positionV>
                <wp:extent cx="6400800" cy="17780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223" o:spid="_x0000_s1248" style="position:absolute;margin-left:0pt;margin-top:62.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793750</wp:posOffset>
                </wp:positionV>
                <wp:extent cx="0" cy="17780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62.5pt" to="0.75pt,7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803275</wp:posOffset>
                </wp:positionV>
                <wp:extent cx="640080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25pt" to="504pt,63.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793750</wp:posOffset>
                </wp:positionV>
                <wp:extent cx="0" cy="17780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62.5pt" to="503.25pt,7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962025</wp:posOffset>
                </wp:positionV>
                <wp:extent cx="640080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75pt" to="504pt,75.75pt" o:allowincell="f" strokecolor="#000000" strokeweight="1.5pt"/>
            </w:pict>
          </mc:Fallback>
        </mc:AlternateContent>
      </w:r>
    </w:p>
    <w:p>
      <w:pPr>
        <w:sectPr>
          <w:pgSz w:w="11880" w:h="15480" w:orient="portrait"/>
          <w:cols w:equalWidth="0" w:num="1">
            <w:col w:w="10080"/>
          </w:cols>
          <w:pgMar w:left="900" w:top="1272"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color w:val="auto"/>
        </w:rPr>
        <w:t>5</w:t>
      </w:r>
    </w:p>
    <w:p>
      <w:pPr>
        <w:sectPr>
          <w:pgSz w:w="11880" w:h="15480" w:orient="portrait"/>
          <w:cols w:equalWidth="0" w:num="1">
            <w:col w:w="10080"/>
          </w:cols>
          <w:pgMar w:left="900" w:top="1272" w:right="900" w:bottom="764" w:gutter="0" w:footer="0" w:header="0"/>
          <w:type w:val="continuous"/>
        </w:sectPr>
      </w:pPr>
    </w:p>
    <w:bookmarkStart w:id="125" w:name="page126"/>
    <w:bookmarkEnd w:id="125"/>
    <w:p>
      <w:pPr>
        <w:ind w:left="40"/>
        <w:spacing w:after="0"/>
        <w:rPr>
          <w:sz w:val="20"/>
          <w:szCs w:val="20"/>
          <w:color w:val="auto"/>
        </w:rPr>
      </w:pPr>
      <w:r>
        <w:rPr>
          <w:rFonts w:ascii="Arial" w:cs="Arial" w:eastAsia="Arial" w:hAnsi="Arial"/>
          <w:sz w:val="20"/>
          <w:szCs w:val="20"/>
          <w:b w:val="1"/>
          <w:bCs w:val="1"/>
          <w:color w:val="FFFFFF"/>
        </w:rPr>
        <w:t>A</w:t>
      </w:r>
      <w:r>
        <w:rPr>
          <w:rFonts w:ascii="Arial" w:cs="Arial" w:eastAsia="Arial" w:hAnsi="Arial"/>
          <w:sz w:val="15"/>
          <w:szCs w:val="15"/>
          <w:b w:val="1"/>
          <w:bCs w:val="1"/>
          <w:color w:val="FFFFFF"/>
        </w:rPr>
        <w:t>UDIT</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143510</wp:posOffset>
            </wp:positionV>
            <wp:extent cx="713105" cy="783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
                      <a:extLst>
                        <a:ext uri="{28A0092B-C50C-407E-A947-70E740481C1C}"/>
                      </a:extLst>
                    </a:blip>
                    <a:srcRect/>
                    <a:stretch>
                      <a:fillRect/>
                    </a:stretch>
                  </pic:blipFill>
                  <pic:spPr bwMode="auto">
                    <a:xfrm>
                      <a:off x="0" y="0"/>
                      <a:ext cx="713105" cy="78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Members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color w:val="FB1717"/>
        </w:rPr>
        <w:t>Gail P. Steinel (Chair)*</w:t>
      </w:r>
    </w:p>
    <w:p>
      <w:pPr>
        <w:spacing w:after="0" w:line="16" w:lineRule="exact"/>
        <w:rPr>
          <w:sz w:val="20"/>
          <w:szCs w:val="20"/>
          <w:color w:val="auto"/>
        </w:rPr>
      </w:pPr>
    </w:p>
    <w:p>
      <w:pPr>
        <w:ind w:left="40" w:right="960"/>
        <w:spacing w:after="0" w:line="247" w:lineRule="auto"/>
        <w:rPr>
          <w:sz w:val="20"/>
          <w:szCs w:val="20"/>
          <w:color w:val="auto"/>
        </w:rPr>
      </w:pPr>
      <w:r>
        <w:rPr>
          <w:rFonts w:ascii="Arial" w:cs="Arial" w:eastAsia="Arial" w:hAnsi="Arial"/>
          <w:sz w:val="20"/>
          <w:szCs w:val="20"/>
          <w:color w:val="auto"/>
        </w:rPr>
        <w:t>David W. Faeder* Elizabeth I. Holland Anthony P. Nader, III*</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Number of Meetings in 2022: </w:t>
      </w:r>
      <w:r>
        <w:rPr>
          <w:rFonts w:ascii="Arial" w:cs="Arial" w:eastAsia="Arial" w:hAnsi="Arial"/>
          <w:sz w:val="20"/>
          <w:szCs w:val="20"/>
          <w:b w:val="1"/>
          <w:bCs w:val="1"/>
          <w:color w:val="FB1717"/>
        </w:rPr>
        <w:t>4</w:t>
      </w:r>
    </w:p>
    <w:p>
      <w:pPr>
        <w:spacing w:after="0" w:line="213" w:lineRule="exact"/>
        <w:rPr>
          <w:sz w:val="20"/>
          <w:szCs w:val="20"/>
          <w:color w:val="auto"/>
        </w:rPr>
      </w:pPr>
    </w:p>
    <w:p>
      <w:pPr>
        <w:ind w:left="40" w:right="320"/>
        <w:spacing w:after="0" w:line="254" w:lineRule="auto"/>
        <w:tabs>
          <w:tab w:leader="none" w:pos="146" w:val="left"/>
        </w:tabs>
        <w:numPr>
          <w:ilvl w:val="0"/>
          <w:numId w:val="83"/>
        </w:numPr>
        <w:rPr>
          <w:rFonts w:ascii="Arial" w:cs="Arial" w:eastAsia="Arial" w:hAnsi="Arial"/>
          <w:sz w:val="16"/>
          <w:szCs w:val="16"/>
          <w:color w:val="auto"/>
        </w:rPr>
      </w:pPr>
      <w:r>
        <w:rPr>
          <w:rFonts w:ascii="Arial" w:cs="Arial" w:eastAsia="Arial" w:hAnsi="Arial"/>
          <w:sz w:val="16"/>
          <w:szCs w:val="16"/>
          <w:color w:val="auto"/>
        </w:rPr>
        <w:t>Audit committee financial expert as defined by the SEC.</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The Audit Committee’s responsibilities include: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-380365</wp:posOffset>
                </wp:positionV>
                <wp:extent cx="6400165" cy="20320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FB1717"/>
                        </a:solidFill>
                      </wps:spPr>
                      <wps:bodyPr/>
                    </wps:wsp>
                  </a:graphicData>
                </a:graphic>
              </wp:anchor>
            </w:drawing>
          </mc:Choice>
          <mc:Fallback>
            <w:pict>
              <v:rect id="Shape 229" o:spid="_x0000_s1254" style="position:absolute;margin-left:-169.9499pt;margin-top:-29.9499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w:r>
    </w:p>
    <w:p>
      <w:pPr>
        <w:spacing w:after="0" w:line="19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Select and oversee our independent auditor</w:t>
      </w:r>
    </w:p>
    <w:p>
      <w:pPr>
        <w:spacing w:after="0" w:line="256" w:lineRule="exact"/>
        <w:rPr>
          <w:sz w:val="20"/>
          <w:szCs w:val="20"/>
          <w:color w:val="auto"/>
        </w:rPr>
      </w:pPr>
    </w:p>
    <w:p>
      <w:pPr>
        <w:ind w:left="400" w:right="760" w:hanging="391"/>
        <w:spacing w:after="0" w:line="232"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Oversee our financial reporting including reviewing results with management and independent auditors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Oversee internal audit function</w:t>
      </w:r>
    </w:p>
    <w:p>
      <w:pPr>
        <w:spacing w:after="0" w:line="256" w:lineRule="exact"/>
        <w:rPr>
          <w:sz w:val="20"/>
          <w:szCs w:val="20"/>
          <w:color w:val="auto"/>
        </w:rPr>
      </w:pPr>
    </w:p>
    <w:p>
      <w:pPr>
        <w:ind w:left="400" w:right="580" w:hanging="391"/>
        <w:spacing w:after="0" w:line="232"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Oversee adequacy and integrity of financial statements, financial reporting and disclosures</w:t>
      </w:r>
    </w:p>
    <w:p>
      <w:pPr>
        <w:spacing w:after="0" w:line="257" w:lineRule="exact"/>
        <w:rPr>
          <w:sz w:val="20"/>
          <w:szCs w:val="20"/>
          <w:color w:val="auto"/>
        </w:rPr>
      </w:pPr>
    </w:p>
    <w:p>
      <w:pPr>
        <w:ind w:left="400" w:right="60" w:hanging="391"/>
        <w:spacing w:after="0" w:line="232"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Oversee financial risks and risks related to cybersecurity, data security and information protection</w:t>
      </w:r>
    </w:p>
    <w:p>
      <w:pPr>
        <w:spacing w:after="0" w:line="21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Review and approve any related party transactions requiring disclosure</w:t>
      </w:r>
    </w:p>
    <w:p>
      <w:pPr>
        <w:spacing w:after="0" w:line="200" w:lineRule="exact"/>
        <w:rPr>
          <w:sz w:val="20"/>
          <w:szCs w:val="20"/>
          <w:color w:val="auto"/>
        </w:rPr>
      </w:pPr>
    </w:p>
    <w:p>
      <w:pPr>
        <w:sectPr>
          <w:pgSz w:w="11880" w:h="15480" w:orient="portrait"/>
          <w:cols w:equalWidth="0" w:num="2">
            <w:col w:w="2940" w:space="380"/>
            <w:col w:w="6680"/>
          </w:cols>
          <w:pgMar w:left="980" w:top="1310"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C</w:t>
      </w:r>
      <w:r>
        <w:rPr>
          <w:rFonts w:ascii="Arial" w:cs="Arial" w:eastAsia="Arial" w:hAnsi="Arial"/>
          <w:sz w:val="15"/>
          <w:szCs w:val="15"/>
          <w:b w:val="1"/>
          <w:bCs w:val="1"/>
          <w:color w:val="FFFFFF"/>
        </w:rPr>
        <w:t>OMPENSATION</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118110</wp:posOffset>
            </wp:positionV>
            <wp:extent cx="740410" cy="8077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
                      <a:extLst>
                        <a:ext uri="{28A0092B-C50C-407E-A947-70E740481C1C}"/>
                      </a:extLst>
                    </a:blip>
                    <a:srcRect/>
                    <a:stretch>
                      <a:fillRect/>
                    </a:stretch>
                  </pic:blipFill>
                  <pic:spPr bwMode="auto">
                    <a:xfrm>
                      <a:off x="0" y="0"/>
                      <a:ext cx="740410" cy="80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Members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color w:val="FB1717"/>
        </w:rPr>
        <w:t>Elizabeth I. Holland (Chair)</w:t>
      </w:r>
    </w:p>
    <w:p>
      <w:pPr>
        <w:spacing w:after="0" w:line="14" w:lineRule="exact"/>
        <w:rPr>
          <w:sz w:val="20"/>
          <w:szCs w:val="20"/>
          <w:color w:val="auto"/>
        </w:rPr>
      </w:pPr>
    </w:p>
    <w:p>
      <w:pPr>
        <w:ind w:left="40" w:right="920"/>
        <w:spacing w:after="0" w:line="248" w:lineRule="auto"/>
        <w:rPr>
          <w:sz w:val="20"/>
          <w:szCs w:val="20"/>
          <w:color w:val="auto"/>
        </w:rPr>
      </w:pPr>
      <w:r>
        <w:rPr>
          <w:rFonts w:ascii="Arial" w:cs="Arial" w:eastAsia="Arial" w:hAnsi="Arial"/>
          <w:sz w:val="20"/>
          <w:szCs w:val="20"/>
          <w:color w:val="auto"/>
        </w:rPr>
        <w:t>Nicole Y. Lamb-Hale Thomas A. McEachin* Gail P. Steinel</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Number of Meetings in 2022: </w:t>
      </w:r>
      <w:r>
        <w:rPr>
          <w:rFonts w:ascii="Arial" w:cs="Arial" w:eastAsia="Arial" w:hAnsi="Arial"/>
          <w:sz w:val="20"/>
          <w:szCs w:val="20"/>
          <w:b w:val="1"/>
          <w:bCs w:val="1"/>
          <w:color w:val="FB1717"/>
        </w:rPr>
        <w:t>2</w:t>
      </w:r>
    </w:p>
    <w:p>
      <w:pPr>
        <w:spacing w:after="0" w:line="211" w:lineRule="exact"/>
        <w:rPr>
          <w:sz w:val="20"/>
          <w:szCs w:val="20"/>
          <w:color w:val="auto"/>
        </w:rPr>
      </w:pPr>
    </w:p>
    <w:p>
      <w:pPr>
        <w:ind w:left="40" w:right="220"/>
        <w:spacing w:after="0" w:line="254" w:lineRule="auto"/>
        <w:tabs>
          <w:tab w:leader="none" w:pos="146" w:val="left"/>
        </w:tabs>
        <w:numPr>
          <w:ilvl w:val="0"/>
          <w:numId w:val="85"/>
        </w:numPr>
        <w:rPr>
          <w:rFonts w:ascii="Arial" w:cs="Arial" w:eastAsia="Arial" w:hAnsi="Arial"/>
          <w:sz w:val="16"/>
          <w:szCs w:val="16"/>
          <w:color w:val="auto"/>
        </w:rPr>
      </w:pPr>
      <w:r>
        <w:rPr>
          <w:rFonts w:ascii="Arial" w:cs="Arial" w:eastAsia="Arial" w:hAnsi="Arial"/>
          <w:sz w:val="16"/>
          <w:szCs w:val="16"/>
          <w:color w:val="auto"/>
        </w:rPr>
        <w:t>Joined the Committee on October 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1979295</wp:posOffset>
                </wp:positionV>
                <wp:extent cx="6400165" cy="17780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9E8E3"/>
                        </a:solidFill>
                      </wps:spPr>
                      <wps:bodyPr/>
                    </wps:wsp>
                  </a:graphicData>
                </a:graphic>
              </wp:anchor>
            </w:drawing>
          </mc:Choice>
          <mc:Fallback>
            <w:pict>
              <v:rect id="Shape 231" o:spid="_x0000_s1256" style="position:absolute;margin-left:-3.9499pt;margin-top:155.85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1979295</wp:posOffset>
                </wp:positionV>
                <wp:extent cx="0" cy="17780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99pt,155.85pt" to="-3.2499pt,169.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2147570</wp:posOffset>
                </wp:positionV>
                <wp:extent cx="64008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69.1pt" to="500pt,169.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1988820</wp:posOffset>
                </wp:positionV>
                <wp:extent cx="64008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56.6pt" to="500pt,156.6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6340475</wp:posOffset>
                </wp:positionH>
                <wp:positionV relativeFrom="paragraph">
                  <wp:posOffset>1979295</wp:posOffset>
                </wp:positionV>
                <wp:extent cx="0" cy="17780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25pt,155.85pt" to="499.25pt,169.85pt" o:allowincell="f" strokecolor="#000000" strokeweight="1.5pt"/>
            </w:pict>
          </mc:Fallback>
        </mc:AlternateConten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Additional information on the Audit Committee is included in the Audit Committee Report and “Proposal 3: Ratification of Independent Registered Public Accounting Firm” beginning on page 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121285</wp:posOffset>
                </wp:positionV>
                <wp:extent cx="6400165" cy="20320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FB1717"/>
                        </a:solidFill>
                      </wps:spPr>
                      <wps:bodyPr/>
                    </wps:wsp>
                  </a:graphicData>
                </a:graphic>
              </wp:anchor>
            </w:drawing>
          </mc:Choice>
          <mc:Fallback>
            <w:pict>
              <v:rect id="Shape 236" o:spid="_x0000_s1261" style="position:absolute;margin-left:-169.9499pt;margin-top:9.55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The Compensation Committee’s responsibilities include:</w:t>
      </w:r>
    </w:p>
    <w:p>
      <w:pPr>
        <w:spacing w:after="0" w:line="254" w:lineRule="exact"/>
        <w:rPr>
          <w:sz w:val="20"/>
          <w:szCs w:val="20"/>
          <w:color w:val="auto"/>
        </w:rPr>
      </w:pPr>
    </w:p>
    <w:p>
      <w:pPr>
        <w:ind w:left="400" w:right="1120" w:hanging="391"/>
        <w:spacing w:after="0" w:line="233"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Evaluate performance of our CEO and recommend annual compensation and benefits for our CEO</w:t>
      </w:r>
    </w:p>
    <w:p>
      <w:pPr>
        <w:spacing w:after="0" w:line="255" w:lineRule="exact"/>
        <w:rPr>
          <w:sz w:val="20"/>
          <w:szCs w:val="20"/>
          <w:color w:val="auto"/>
        </w:rPr>
      </w:pPr>
    </w:p>
    <w:p>
      <w:pPr>
        <w:ind w:left="400" w:right="40" w:hanging="391"/>
        <w:spacing w:after="0" w:line="233"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Review and approve compensation and benefits for our senior officers, including our NEOs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Administer certain other benefit plans of the Company</w:t>
      </w:r>
    </w:p>
    <w:p>
      <w:pPr>
        <w:spacing w:after="0" w:line="254" w:lineRule="exact"/>
        <w:rPr>
          <w:sz w:val="20"/>
          <w:szCs w:val="20"/>
          <w:color w:val="auto"/>
        </w:rPr>
      </w:pPr>
    </w:p>
    <w:p>
      <w:pPr>
        <w:ind w:left="400" w:right="660" w:hanging="391"/>
        <w:spacing w:after="0" w:line="233"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Review and approve employment related agreements for senior officers, including our NEOs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Administer and make equity awards under our long-term plan</w:t>
      </w:r>
    </w:p>
    <w:p>
      <w:pPr>
        <w:spacing w:after="0" w:line="254" w:lineRule="exact"/>
        <w:rPr>
          <w:sz w:val="20"/>
          <w:szCs w:val="20"/>
          <w:color w:val="auto"/>
        </w:rPr>
      </w:pPr>
    </w:p>
    <w:p>
      <w:pPr>
        <w:ind w:left="400" w:right="100" w:hanging="391"/>
        <w:spacing w:after="0" w:line="233"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Oversee key strategies and human resource policies and practices for all employees</w:t>
      </w:r>
    </w:p>
    <w:p>
      <w:pPr>
        <w:spacing w:after="0" w:line="255"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The Compensation Committee report is included at page 30 of this proxy statement and more detail on the work of the Compensation Committee is included in the “Compensation Discussion and Analysis” beginning on page 19.</w:t>
      </w:r>
    </w:p>
    <w:p>
      <w:pPr>
        <w:spacing w:after="0" w:line="200" w:lineRule="exact"/>
        <w:rPr>
          <w:sz w:val="20"/>
          <w:szCs w:val="20"/>
          <w:color w:val="auto"/>
        </w:rPr>
      </w:pPr>
    </w:p>
    <w:p>
      <w:pPr>
        <w:sectPr>
          <w:pgSz w:w="11880" w:h="15480" w:orient="portrait"/>
          <w:cols w:equalWidth="0" w:num="2">
            <w:col w:w="2940" w:space="380"/>
            <w:col w:w="6680"/>
          </w:cols>
          <w:pgMar w:left="980" w:top="1310"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40" w:val="left"/>
          <w:tab w:leader="none" w:pos="308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6</w:t>
      </w:r>
    </w:p>
    <w:p>
      <w:pPr>
        <w:sectPr>
          <w:pgSz w:w="11880" w:h="15480" w:orient="portrait"/>
          <w:cols w:equalWidth="0" w:num="1">
            <w:col w:w="10000"/>
          </w:cols>
          <w:pgMar w:left="980" w:top="1310" w:right="900" w:bottom="764" w:gutter="0" w:footer="0" w:header="0"/>
          <w:type w:val="continuous"/>
        </w:sectPr>
      </w:pPr>
    </w:p>
    <w:bookmarkStart w:id="126" w:name="page127"/>
    <w:bookmarkEnd w:id="126"/>
    <w:p>
      <w:pPr>
        <w:ind w:left="120"/>
        <w:spacing w:after="0"/>
        <w:rPr>
          <w:sz w:val="20"/>
          <w:szCs w:val="20"/>
          <w:color w:val="auto"/>
        </w:rPr>
      </w:pPr>
      <w:r>
        <w:rPr>
          <w:rFonts w:ascii="Arial" w:cs="Arial" w:eastAsia="Arial" w:hAnsi="Arial"/>
          <w:sz w:val="20"/>
          <w:szCs w:val="20"/>
          <w:b w:val="1"/>
          <w:bCs w:val="1"/>
          <w:color w:val="FFFFFF"/>
        </w:rPr>
        <w:t>N</w:t>
      </w:r>
      <w:r>
        <w:rPr>
          <w:rFonts w:ascii="Arial" w:cs="Arial" w:eastAsia="Arial" w:hAnsi="Arial"/>
          <w:sz w:val="15"/>
          <w:szCs w:val="15"/>
          <w:b w:val="1"/>
          <w:bCs w:val="1"/>
          <w:color w:val="FFFFFF"/>
        </w:rPr>
        <w:t>OMINATING</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144780</wp:posOffset>
            </wp:positionV>
            <wp:extent cx="740410" cy="8077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5">
                      <a:extLst>
                        <a:ext uri="{28A0092B-C50C-407E-A947-70E740481C1C}"/>
                      </a:extLst>
                    </a:blip>
                    <a:srcRect/>
                    <a:stretch>
                      <a:fillRect/>
                    </a:stretch>
                  </pic:blipFill>
                  <pic:spPr bwMode="auto">
                    <a:xfrm>
                      <a:off x="0" y="0"/>
                      <a:ext cx="740410" cy="80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Members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FB1717"/>
        </w:rPr>
        <w:t>Anthony P. Nader, III (Chair)*</w:t>
      </w:r>
    </w:p>
    <w:p>
      <w:pPr>
        <w:spacing w:after="0" w:line="16" w:lineRule="exact"/>
        <w:rPr>
          <w:sz w:val="20"/>
          <w:szCs w:val="20"/>
          <w:color w:val="auto"/>
        </w:rPr>
      </w:pPr>
    </w:p>
    <w:p>
      <w:pPr>
        <w:ind w:left="120" w:right="840"/>
        <w:spacing w:after="0" w:line="247" w:lineRule="auto"/>
        <w:rPr>
          <w:sz w:val="20"/>
          <w:szCs w:val="20"/>
          <w:color w:val="auto"/>
        </w:rPr>
      </w:pPr>
      <w:r>
        <w:rPr>
          <w:rFonts w:ascii="Arial" w:cs="Arial" w:eastAsia="Arial" w:hAnsi="Arial"/>
          <w:sz w:val="20"/>
          <w:szCs w:val="20"/>
          <w:color w:val="auto"/>
        </w:rPr>
        <w:t>David W. Faeder Nicole Y. Lamb-Hale Thomas A. McEachin**</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Number of Meetings in 2022: </w:t>
      </w:r>
      <w:r>
        <w:rPr>
          <w:rFonts w:ascii="Arial" w:cs="Arial" w:eastAsia="Arial" w:hAnsi="Arial"/>
          <w:sz w:val="20"/>
          <w:szCs w:val="20"/>
          <w:b w:val="1"/>
          <w:bCs w:val="1"/>
          <w:color w:val="FB1717"/>
        </w:rPr>
        <w:t>2</w:t>
      </w:r>
    </w:p>
    <w:p>
      <w:pPr>
        <w:spacing w:after="0" w:line="213" w:lineRule="exact"/>
        <w:rPr>
          <w:sz w:val="20"/>
          <w:szCs w:val="20"/>
          <w:color w:val="auto"/>
        </w:rPr>
      </w:pPr>
    </w:p>
    <w:p>
      <w:pPr>
        <w:ind w:left="120" w:right="60"/>
        <w:spacing w:after="0" w:line="257" w:lineRule="auto"/>
        <w:tabs>
          <w:tab w:leader="none" w:pos="22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Committee chair as of October 1, 2022 **Joined the committee on October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The Nominating Committee’s responsibilities include: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-520065</wp:posOffset>
                </wp:positionV>
                <wp:extent cx="6400165" cy="20320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FB1717"/>
                        </a:solidFill>
                      </wps:spPr>
                      <wps:bodyPr/>
                    </wps:wsp>
                  </a:graphicData>
                </a:graphic>
              </wp:anchor>
            </w:drawing>
          </mc:Choice>
          <mc:Fallback>
            <w:pict>
              <v:rect id="Shape 238" o:spid="_x0000_s1263" style="position:absolute;margin-left:-169.9499pt;margin-top:-40.9499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w:r>
    </w:p>
    <w:p>
      <w:pPr>
        <w:spacing w:after="0" w:line="19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Identify and recommend individuals to stand for election to the Board</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Develop and oversee corporate governance policies and procedures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Oversee annual trustee evaluation process</w:t>
      </w:r>
    </w:p>
    <w:p>
      <w:pPr>
        <w:spacing w:after="0" w:line="256" w:lineRule="exact"/>
        <w:rPr>
          <w:sz w:val="20"/>
          <w:szCs w:val="20"/>
          <w:color w:val="auto"/>
        </w:rPr>
      </w:pPr>
    </w:p>
    <w:p>
      <w:pPr>
        <w:ind w:left="400" w:right="140" w:hanging="391"/>
        <w:spacing w:after="0" w:line="232"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Recommend members of the Board to serve on its committees and in leadership roles</w:t>
      </w:r>
    </w:p>
    <w:p>
      <w:pPr>
        <w:spacing w:after="0" w:line="257" w:lineRule="exact"/>
        <w:rPr>
          <w:sz w:val="20"/>
          <w:szCs w:val="20"/>
          <w:color w:val="auto"/>
        </w:rPr>
      </w:pPr>
    </w:p>
    <w:p>
      <w:pPr>
        <w:ind w:left="400" w:right="20" w:hanging="391"/>
        <w:spacing w:after="0" w:line="232"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color w:val="auto"/>
        </w:rPr>
        <w:t xml:space="preserve"> Oversee corporate responsibility and ESG efforts and monitor priorities and progress on goals</w:t>
      </w:r>
    </w:p>
    <w:p>
      <w:pPr>
        <w:spacing w:after="0" w:line="925" w:lineRule="exact"/>
        <w:rPr>
          <w:sz w:val="20"/>
          <w:szCs w:val="20"/>
          <w:color w:val="auto"/>
        </w:rPr>
      </w:pPr>
    </w:p>
    <w:p>
      <w:pPr>
        <w:sectPr>
          <w:pgSz w:w="11880" w:h="15480" w:orient="portrait"/>
          <w:cols w:equalWidth="0" w:num="2">
            <w:col w:w="3020" w:space="380"/>
            <w:col w:w="6680"/>
          </w:cols>
          <w:pgMar w:left="900" w:top="1310" w:right="900" w:bottom="764" w:gutter="0" w:footer="0" w:header="0"/>
        </w:sectPr>
      </w:pPr>
    </w:p>
    <w:p>
      <w:pPr>
        <w:spacing w:after="0" w:line="1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BOARD’S ROLE IN RISK OVERSIGHT</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3552825</wp:posOffset>
                </wp:positionV>
                <wp:extent cx="6400800" cy="17780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239" o:spid="_x0000_s1264" style="position:absolute;margin-left:0pt;margin-top:279.7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3552190</wp:posOffset>
                </wp:positionV>
                <wp:extent cx="0" cy="17780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79.7pt" to="0.75pt,293.7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3561715</wp:posOffset>
                </wp:positionV>
                <wp:extent cx="64008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0.45pt" to="504pt,280.4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3552190</wp:posOffset>
                </wp:positionV>
                <wp:extent cx="0" cy="17780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279.7pt" to="503.25pt,293.7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3720465</wp:posOffset>
                </wp:positionV>
                <wp:extent cx="640080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2.95pt" to="504pt,292.95pt" o:allowincell="f" strokecolor="#000000" strokeweight="1.5pt"/>
            </w:pict>
          </mc:Fallback>
        </mc:AlternateContent>
      </w:r>
    </w:p>
    <w:p>
      <w:pPr>
        <w:sectPr>
          <w:pgSz w:w="11880" w:h="15480" w:orient="portrait"/>
          <w:cols w:equalWidth="0" w:num="1">
            <w:col w:w="10080"/>
          </w:cols>
          <w:pgMar w:left="900" w:top="1310"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color w:val="auto"/>
        </w:rPr>
        <w:t>7</w:t>
      </w:r>
    </w:p>
    <w:p>
      <w:pPr>
        <w:sectPr>
          <w:pgSz w:w="11880" w:h="15480" w:orient="portrait"/>
          <w:cols w:equalWidth="0" w:num="1">
            <w:col w:w="10080"/>
          </w:cols>
          <w:pgMar w:left="900" w:top="1310" w:right="900" w:bottom="764" w:gutter="0" w:footer="0" w:header="0"/>
          <w:type w:val="continuous"/>
        </w:sectPr>
      </w:pPr>
    </w:p>
    <w:bookmarkStart w:id="127" w:name="page128"/>
    <w:bookmarkEnd w:id="127"/>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880110</wp:posOffset>
            </wp:positionH>
            <wp:positionV relativeFrom="page">
              <wp:posOffset>847090</wp:posOffset>
            </wp:positionV>
            <wp:extent cx="5770880" cy="50330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6">
                      <a:extLst>
                        <a:ext uri="{28A0092B-C50C-407E-A947-70E740481C1C}"/>
                      </a:extLst>
                    </a:blip>
                    <a:srcRect/>
                    <a:stretch>
                      <a:fillRect/>
                    </a:stretch>
                  </pic:blipFill>
                  <pic:spPr bwMode="auto">
                    <a:xfrm>
                      <a:off x="0" y="0"/>
                      <a:ext cx="5770880" cy="5033010"/>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14"/>
          <w:szCs w:val="14"/>
          <w:b w:val="1"/>
          <w:bCs w:val="1"/>
          <w:color w:val="FFFFFF"/>
        </w:rPr>
        <w:t>BOARD OF TRUSTEES</w:t>
      </w:r>
    </w:p>
    <w:p>
      <w:pPr>
        <w:sectPr>
          <w:pgSz w:w="11880" w:h="15480" w:orient="portrait"/>
          <w:cols w:equalWidth="0" w:num="1">
            <w:col w:w="10080"/>
          </w:cols>
          <w:pgMar w:left="900" w:top="1440"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Audit Committee</w:t>
      </w:r>
    </w:p>
    <w:p>
      <w:pPr>
        <w:spacing w:after="0" w:line="155" w:lineRule="exact"/>
        <w:rPr>
          <w:sz w:val="20"/>
          <w:szCs w:val="20"/>
          <w:color w:val="auto"/>
        </w:rPr>
      </w:pPr>
    </w:p>
    <w:p>
      <w:pPr>
        <w:ind w:left="1160" w:right="100" w:hanging="174"/>
        <w:spacing w:after="0" w:line="321" w:lineRule="auto"/>
        <w:tabs>
          <w:tab w:leader="none" w:pos="1160" w:val="left"/>
        </w:tabs>
        <w:numPr>
          <w:ilvl w:val="0"/>
          <w:numId w:val="90"/>
        </w:numPr>
        <w:rPr>
          <w:rFonts w:ascii="Arial" w:cs="Arial" w:eastAsia="Arial" w:hAnsi="Arial"/>
          <w:sz w:val="13"/>
          <w:szCs w:val="13"/>
          <w:color w:val="auto"/>
        </w:rPr>
      </w:pPr>
      <w:r>
        <w:rPr>
          <w:rFonts w:ascii="Arial" w:cs="Arial" w:eastAsia="Arial" w:hAnsi="Arial"/>
          <w:sz w:val="14"/>
          <w:szCs w:val="14"/>
          <w:color w:val="auto"/>
        </w:rPr>
        <w:t>Integrity of financial reporting and controls over financial reporting</w:t>
      </w:r>
    </w:p>
    <w:p>
      <w:pPr>
        <w:spacing w:after="0" w:line="273" w:lineRule="exact"/>
        <w:rPr>
          <w:rFonts w:ascii="Arial" w:cs="Arial" w:eastAsia="Arial" w:hAnsi="Arial"/>
          <w:sz w:val="13"/>
          <w:szCs w:val="13"/>
          <w:color w:val="auto"/>
        </w:rPr>
      </w:pPr>
    </w:p>
    <w:p>
      <w:pPr>
        <w:ind w:left="1160" w:hanging="174"/>
        <w:spacing w:after="0" w:line="187" w:lineRule="auto"/>
        <w:tabs>
          <w:tab w:leader="none" w:pos="1160" w:val="left"/>
        </w:tabs>
        <w:numPr>
          <w:ilvl w:val="0"/>
          <w:numId w:val="90"/>
        </w:numPr>
        <w:rPr>
          <w:rFonts w:ascii="Arial" w:cs="Arial" w:eastAsia="Arial" w:hAnsi="Arial"/>
          <w:sz w:val="27"/>
          <w:szCs w:val="27"/>
          <w:color w:val="auto"/>
          <w:vertAlign w:val="subscript"/>
        </w:rPr>
      </w:pPr>
      <w:r>
        <w:rPr>
          <w:rFonts w:ascii="Arial" w:cs="Arial" w:eastAsia="Arial" w:hAnsi="Arial"/>
          <w:sz w:val="15"/>
          <w:szCs w:val="15"/>
          <w:color w:val="auto"/>
        </w:rPr>
        <w:t>Performance and independence of our independent auditors</w:t>
      </w:r>
    </w:p>
    <w:p>
      <w:pPr>
        <w:spacing w:after="0" w:line="305" w:lineRule="exact"/>
        <w:rPr>
          <w:rFonts w:ascii="Arial" w:cs="Arial" w:eastAsia="Arial" w:hAnsi="Arial"/>
          <w:sz w:val="27"/>
          <w:szCs w:val="27"/>
          <w:color w:val="auto"/>
          <w:vertAlign w:val="subscript"/>
        </w:rPr>
      </w:pPr>
    </w:p>
    <w:p>
      <w:pPr>
        <w:ind w:left="1160" w:right="120" w:hanging="174"/>
        <w:spacing w:after="0" w:line="252" w:lineRule="auto"/>
        <w:tabs>
          <w:tab w:leader="none" w:pos="1160" w:val="left"/>
        </w:tabs>
        <w:numPr>
          <w:ilvl w:val="0"/>
          <w:numId w:val="90"/>
        </w:numPr>
        <w:rPr>
          <w:rFonts w:ascii="Arial" w:cs="Arial" w:eastAsia="Arial" w:hAnsi="Arial"/>
          <w:sz w:val="14"/>
          <w:szCs w:val="14"/>
          <w:color w:val="auto"/>
        </w:rPr>
      </w:pPr>
      <w:r>
        <w:rPr>
          <w:rFonts w:ascii="Arial" w:cs="Arial" w:eastAsia="Arial" w:hAnsi="Arial"/>
          <w:sz w:val="16"/>
          <w:szCs w:val="16"/>
          <w:color w:val="auto"/>
        </w:rPr>
        <w:t>Performance of our internal audit function</w:t>
      </w:r>
    </w:p>
    <w:p>
      <w:pPr>
        <w:spacing w:after="0" w:line="307" w:lineRule="exact"/>
        <w:rPr>
          <w:rFonts w:ascii="Arial" w:cs="Arial" w:eastAsia="Arial" w:hAnsi="Arial"/>
          <w:sz w:val="14"/>
          <w:szCs w:val="14"/>
          <w:color w:val="auto"/>
        </w:rPr>
      </w:pPr>
    </w:p>
    <w:p>
      <w:pPr>
        <w:ind w:left="1160" w:right="220" w:hanging="174"/>
        <w:spacing w:after="0" w:line="251" w:lineRule="auto"/>
        <w:tabs>
          <w:tab w:leader="none" w:pos="1160" w:val="left"/>
        </w:tabs>
        <w:numPr>
          <w:ilvl w:val="0"/>
          <w:numId w:val="90"/>
        </w:numPr>
        <w:rPr>
          <w:rFonts w:ascii="Arial" w:cs="Arial" w:eastAsia="Arial" w:hAnsi="Arial"/>
          <w:sz w:val="14"/>
          <w:szCs w:val="14"/>
          <w:color w:val="auto"/>
        </w:rPr>
      </w:pPr>
      <w:r>
        <w:rPr>
          <w:rFonts w:ascii="Arial" w:cs="Arial" w:eastAsia="Arial" w:hAnsi="Arial"/>
          <w:sz w:val="16"/>
          <w:szCs w:val="16"/>
          <w:color w:val="auto"/>
        </w:rPr>
        <w:t>Cyber security and data privacy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4"/>
        <w:spacing w:after="0"/>
        <w:rPr>
          <w:sz w:val="20"/>
          <w:szCs w:val="20"/>
          <w:color w:val="auto"/>
        </w:rPr>
      </w:pPr>
      <w:r>
        <w:rPr>
          <w:rFonts w:ascii="Arial" w:cs="Arial" w:eastAsia="Arial" w:hAnsi="Arial"/>
          <w:sz w:val="14"/>
          <w:szCs w:val="14"/>
          <w:b w:val="1"/>
          <w:bCs w:val="1"/>
          <w:color w:val="auto"/>
        </w:rPr>
        <w:t>Compensation and Human Capital</w:t>
      </w:r>
    </w:p>
    <w:p>
      <w:pPr>
        <w:spacing w:after="0" w:line="60" w:lineRule="exact"/>
        <w:rPr>
          <w:sz w:val="20"/>
          <w:szCs w:val="20"/>
          <w:color w:val="auto"/>
        </w:rPr>
      </w:pPr>
    </w:p>
    <w:p>
      <w:pPr>
        <w:jc w:val="center"/>
        <w:ind w:right="94"/>
        <w:spacing w:after="0"/>
        <w:rPr>
          <w:sz w:val="20"/>
          <w:szCs w:val="20"/>
          <w:color w:val="auto"/>
        </w:rPr>
      </w:pPr>
      <w:r>
        <w:rPr>
          <w:rFonts w:ascii="Arial" w:cs="Arial" w:eastAsia="Arial" w:hAnsi="Arial"/>
          <w:sz w:val="16"/>
          <w:szCs w:val="16"/>
          <w:b w:val="1"/>
          <w:bCs w:val="1"/>
          <w:color w:val="auto"/>
        </w:rPr>
        <w:t>Management Committee</w:t>
      </w:r>
    </w:p>
    <w:p>
      <w:pPr>
        <w:spacing w:after="0" w:line="137" w:lineRule="exact"/>
        <w:rPr>
          <w:sz w:val="20"/>
          <w:szCs w:val="20"/>
          <w:color w:val="auto"/>
        </w:rPr>
      </w:pPr>
    </w:p>
    <w:p>
      <w:pPr>
        <w:ind w:left="186" w:right="40" w:hanging="185"/>
        <w:spacing w:after="0" w:line="255" w:lineRule="auto"/>
        <w:tabs>
          <w:tab w:leader="none" w:pos="186" w:val="left"/>
        </w:tabs>
        <w:numPr>
          <w:ilvl w:val="0"/>
          <w:numId w:val="91"/>
        </w:numPr>
        <w:rPr>
          <w:rFonts w:ascii="Arial" w:cs="Arial" w:eastAsia="Arial" w:hAnsi="Arial"/>
          <w:sz w:val="14"/>
          <w:szCs w:val="14"/>
          <w:color w:val="auto"/>
        </w:rPr>
      </w:pPr>
      <w:r>
        <w:rPr>
          <w:rFonts w:ascii="Arial" w:cs="Arial" w:eastAsia="Arial" w:hAnsi="Arial"/>
          <w:sz w:val="16"/>
          <w:szCs w:val="16"/>
          <w:color w:val="auto"/>
        </w:rPr>
        <w:t>Ability to attract, retain and motivate talent needed to achieve business objectives</w:t>
      </w:r>
    </w:p>
    <w:p>
      <w:pPr>
        <w:spacing w:after="0" w:line="117" w:lineRule="exact"/>
        <w:rPr>
          <w:rFonts w:ascii="Arial" w:cs="Arial" w:eastAsia="Arial" w:hAnsi="Arial"/>
          <w:sz w:val="14"/>
          <w:szCs w:val="14"/>
          <w:color w:val="auto"/>
        </w:rPr>
      </w:pPr>
    </w:p>
    <w:p>
      <w:pPr>
        <w:ind w:left="186" w:hanging="186"/>
        <w:spacing w:after="0" w:line="202" w:lineRule="auto"/>
        <w:tabs>
          <w:tab w:leader="none" w:pos="186" w:val="left"/>
        </w:tabs>
        <w:numPr>
          <w:ilvl w:val="0"/>
          <w:numId w:val="91"/>
        </w:numPr>
        <w:rPr>
          <w:rFonts w:ascii="Arial" w:cs="Arial" w:eastAsia="Arial" w:hAnsi="Arial"/>
          <w:sz w:val="28"/>
          <w:szCs w:val="28"/>
          <w:color w:val="auto"/>
          <w:vertAlign w:val="subscript"/>
        </w:rPr>
      </w:pPr>
      <w:r>
        <w:rPr>
          <w:rFonts w:ascii="Arial" w:cs="Arial" w:eastAsia="Arial" w:hAnsi="Arial"/>
          <w:sz w:val="16"/>
          <w:szCs w:val="16"/>
          <w:color w:val="auto"/>
        </w:rPr>
        <w:t>Use of our compensation plans to align interests of our executives with our shareholders</w:t>
      </w:r>
    </w:p>
    <w:p>
      <w:pPr>
        <w:spacing w:after="0" w:line="100" w:lineRule="exact"/>
        <w:rPr>
          <w:rFonts w:ascii="Arial" w:cs="Arial" w:eastAsia="Arial" w:hAnsi="Arial"/>
          <w:sz w:val="28"/>
          <w:szCs w:val="28"/>
          <w:color w:val="auto"/>
          <w:vertAlign w:val="subscript"/>
        </w:rPr>
      </w:pPr>
    </w:p>
    <w:p>
      <w:pPr>
        <w:ind w:left="186" w:right="40" w:hanging="186"/>
        <w:spacing w:after="0" w:line="187" w:lineRule="auto"/>
        <w:tabs>
          <w:tab w:leader="none" w:pos="186" w:val="left"/>
        </w:tabs>
        <w:numPr>
          <w:ilvl w:val="0"/>
          <w:numId w:val="91"/>
        </w:numPr>
        <w:rPr>
          <w:rFonts w:ascii="Arial" w:cs="Arial" w:eastAsia="Arial" w:hAnsi="Arial"/>
          <w:sz w:val="27"/>
          <w:szCs w:val="27"/>
          <w:color w:val="auto"/>
          <w:vertAlign w:val="subscript"/>
        </w:rPr>
      </w:pPr>
      <w:r>
        <w:rPr>
          <w:rFonts w:ascii="Arial" w:cs="Arial" w:eastAsia="Arial" w:hAnsi="Arial"/>
          <w:sz w:val="15"/>
          <w:szCs w:val="15"/>
          <w:color w:val="auto"/>
        </w:rPr>
        <w:t>Influence of incentive compensation programs on excessive risk taking</w:t>
      </w:r>
    </w:p>
    <w:p>
      <w:pPr>
        <w:spacing w:after="0" w:line="168" w:lineRule="exact"/>
        <w:rPr>
          <w:rFonts w:ascii="Arial" w:cs="Arial" w:eastAsia="Arial" w:hAnsi="Arial"/>
          <w:sz w:val="27"/>
          <w:szCs w:val="27"/>
          <w:color w:val="auto"/>
          <w:vertAlign w:val="subscript"/>
        </w:rPr>
      </w:pPr>
    </w:p>
    <w:p>
      <w:pPr>
        <w:ind w:left="186" w:hanging="186"/>
        <w:spacing w:after="0"/>
        <w:tabs>
          <w:tab w:leader="none" w:pos="186" w:val="left"/>
        </w:tabs>
        <w:numPr>
          <w:ilvl w:val="0"/>
          <w:numId w:val="91"/>
        </w:numPr>
        <w:rPr>
          <w:rFonts w:ascii="Arial" w:cs="Arial" w:eastAsia="Arial" w:hAnsi="Arial"/>
          <w:sz w:val="28"/>
          <w:szCs w:val="28"/>
          <w:color w:val="auto"/>
          <w:vertAlign w:val="subscript"/>
        </w:rPr>
      </w:pPr>
      <w:r>
        <w:rPr>
          <w:rFonts w:ascii="Arial" w:cs="Arial" w:eastAsia="Arial" w:hAnsi="Arial"/>
          <w:sz w:val="16"/>
          <w:szCs w:val="16"/>
          <w:color w:val="auto"/>
        </w:rPr>
        <w:t>Succession planning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44"/>
        <w:spacing w:after="0"/>
        <w:rPr>
          <w:sz w:val="20"/>
          <w:szCs w:val="20"/>
          <w:color w:val="auto"/>
        </w:rPr>
      </w:pPr>
      <w:r>
        <w:rPr>
          <w:rFonts w:ascii="Arial" w:cs="Arial" w:eastAsia="Arial" w:hAnsi="Arial"/>
          <w:sz w:val="16"/>
          <w:szCs w:val="16"/>
          <w:b w:val="1"/>
          <w:bCs w:val="1"/>
          <w:color w:val="auto"/>
        </w:rPr>
        <w:t>Nominating and Corporate</w:t>
      </w:r>
    </w:p>
    <w:p>
      <w:pPr>
        <w:spacing w:after="0" w:line="37" w:lineRule="exact"/>
        <w:rPr>
          <w:sz w:val="20"/>
          <w:szCs w:val="20"/>
          <w:color w:val="auto"/>
        </w:rPr>
      </w:pPr>
    </w:p>
    <w:p>
      <w:pPr>
        <w:jc w:val="center"/>
        <w:ind w:right="644"/>
        <w:spacing w:after="0"/>
        <w:rPr>
          <w:sz w:val="20"/>
          <w:szCs w:val="20"/>
          <w:color w:val="auto"/>
        </w:rPr>
      </w:pPr>
      <w:r>
        <w:rPr>
          <w:rFonts w:ascii="Arial" w:cs="Arial" w:eastAsia="Arial" w:hAnsi="Arial"/>
          <w:sz w:val="16"/>
          <w:szCs w:val="16"/>
          <w:b w:val="1"/>
          <w:bCs w:val="1"/>
          <w:color w:val="auto"/>
        </w:rPr>
        <w:t>Governance Committee</w:t>
      </w:r>
    </w:p>
    <w:p>
      <w:pPr>
        <w:spacing w:after="0" w:line="137" w:lineRule="exact"/>
        <w:rPr>
          <w:sz w:val="20"/>
          <w:szCs w:val="20"/>
          <w:color w:val="auto"/>
        </w:rPr>
      </w:pPr>
    </w:p>
    <w:p>
      <w:pPr>
        <w:ind w:left="176" w:right="900" w:hanging="175"/>
        <w:spacing w:after="0" w:line="255" w:lineRule="auto"/>
        <w:tabs>
          <w:tab w:leader="none" w:pos="176" w:val="left"/>
        </w:tabs>
        <w:numPr>
          <w:ilvl w:val="0"/>
          <w:numId w:val="92"/>
        </w:numPr>
        <w:rPr>
          <w:rFonts w:ascii="Arial" w:cs="Arial" w:eastAsia="Arial" w:hAnsi="Arial"/>
          <w:sz w:val="14"/>
          <w:szCs w:val="14"/>
          <w:color w:val="auto"/>
        </w:rPr>
      </w:pPr>
      <w:r>
        <w:rPr>
          <w:rFonts w:ascii="Arial" w:cs="Arial" w:eastAsia="Arial" w:hAnsi="Arial"/>
          <w:sz w:val="16"/>
          <w:szCs w:val="16"/>
          <w:color w:val="auto"/>
        </w:rPr>
        <w:t>Composition, leadership, independence and operation of Board and committees</w:t>
      </w:r>
    </w:p>
    <w:p>
      <w:pPr>
        <w:spacing w:after="0" w:line="117" w:lineRule="exact"/>
        <w:rPr>
          <w:rFonts w:ascii="Arial" w:cs="Arial" w:eastAsia="Arial" w:hAnsi="Arial"/>
          <w:sz w:val="14"/>
          <w:szCs w:val="14"/>
          <w:color w:val="auto"/>
        </w:rPr>
      </w:pPr>
    </w:p>
    <w:p>
      <w:pPr>
        <w:ind w:left="176" w:right="760" w:hanging="176"/>
        <w:spacing w:after="0" w:line="187" w:lineRule="auto"/>
        <w:tabs>
          <w:tab w:leader="none" w:pos="176" w:val="left"/>
        </w:tabs>
        <w:numPr>
          <w:ilvl w:val="0"/>
          <w:numId w:val="92"/>
        </w:numPr>
        <w:rPr>
          <w:rFonts w:ascii="Arial" w:cs="Arial" w:eastAsia="Arial" w:hAnsi="Arial"/>
          <w:sz w:val="27"/>
          <w:szCs w:val="27"/>
          <w:color w:val="auto"/>
          <w:vertAlign w:val="subscript"/>
        </w:rPr>
      </w:pPr>
      <w:r>
        <w:rPr>
          <w:rFonts w:ascii="Arial" w:cs="Arial" w:eastAsia="Arial" w:hAnsi="Arial"/>
          <w:sz w:val="15"/>
          <w:szCs w:val="15"/>
          <w:color w:val="auto"/>
        </w:rPr>
        <w:t>Conducting annual evaluations of Board and Trustees</w:t>
      </w:r>
    </w:p>
    <w:p>
      <w:pPr>
        <w:spacing w:after="0" w:line="305" w:lineRule="exact"/>
        <w:rPr>
          <w:rFonts w:ascii="Arial" w:cs="Arial" w:eastAsia="Arial" w:hAnsi="Arial"/>
          <w:sz w:val="27"/>
          <w:szCs w:val="27"/>
          <w:color w:val="auto"/>
          <w:vertAlign w:val="subscript"/>
        </w:rPr>
      </w:pPr>
    </w:p>
    <w:p>
      <w:pPr>
        <w:ind w:left="176" w:right="900" w:hanging="176"/>
        <w:spacing w:after="0" w:line="212" w:lineRule="auto"/>
        <w:tabs>
          <w:tab w:leader="none" w:pos="176" w:val="left"/>
        </w:tabs>
        <w:numPr>
          <w:ilvl w:val="0"/>
          <w:numId w:val="92"/>
        </w:numPr>
        <w:rPr>
          <w:rFonts w:ascii="Arial" w:cs="Arial" w:eastAsia="Arial" w:hAnsi="Arial"/>
          <w:sz w:val="27"/>
          <w:szCs w:val="27"/>
          <w:color w:val="auto"/>
          <w:vertAlign w:val="subscript"/>
        </w:rPr>
      </w:pPr>
      <w:r>
        <w:rPr>
          <w:rFonts w:ascii="Arial" w:cs="Arial" w:eastAsia="Arial" w:hAnsi="Arial"/>
          <w:sz w:val="15"/>
          <w:szCs w:val="15"/>
          <w:color w:val="auto"/>
        </w:rPr>
        <w:t>Compliance with our corporate governance documents and applicable laws and regulations</w:t>
      </w:r>
    </w:p>
    <w:p>
      <w:pPr>
        <w:spacing w:after="0" w:line="114" w:lineRule="exact"/>
        <w:rPr>
          <w:rFonts w:ascii="Arial" w:cs="Arial" w:eastAsia="Arial" w:hAnsi="Arial"/>
          <w:sz w:val="27"/>
          <w:szCs w:val="27"/>
          <w:color w:val="auto"/>
          <w:vertAlign w:val="subscript"/>
        </w:rPr>
      </w:pPr>
    </w:p>
    <w:p>
      <w:pPr>
        <w:ind w:left="176" w:right="760" w:hanging="175"/>
        <w:spacing w:after="0" w:line="260" w:lineRule="auto"/>
        <w:tabs>
          <w:tab w:leader="none" w:pos="176" w:val="left"/>
        </w:tabs>
        <w:numPr>
          <w:ilvl w:val="0"/>
          <w:numId w:val="92"/>
        </w:numPr>
        <w:rPr>
          <w:rFonts w:ascii="Arial" w:cs="Arial" w:eastAsia="Arial" w:hAnsi="Arial"/>
          <w:sz w:val="14"/>
          <w:szCs w:val="14"/>
          <w:color w:val="auto"/>
        </w:rPr>
      </w:pPr>
      <w:r>
        <w:rPr>
          <w:rFonts w:ascii="Arial" w:cs="Arial" w:eastAsia="Arial" w:hAnsi="Arial"/>
          <w:sz w:val="16"/>
          <w:szCs w:val="16"/>
          <w:color w:val="auto"/>
        </w:rPr>
        <w:t>ESG risks and issues that could affect Company performance or reputation and progress made on ESG goals</w:t>
      </w:r>
    </w:p>
    <w:p>
      <w:pPr>
        <w:spacing w:after="0" w:line="200" w:lineRule="exact"/>
        <w:rPr>
          <w:sz w:val="20"/>
          <w:szCs w:val="20"/>
          <w:color w:val="auto"/>
        </w:rPr>
      </w:pPr>
    </w:p>
    <w:p>
      <w:pPr>
        <w:sectPr>
          <w:pgSz w:w="11880" w:h="15480" w:orient="portrait"/>
          <w:cols w:equalWidth="0" w:num="3">
            <w:col w:w="3560" w:space="354"/>
            <w:col w:w="2686" w:space="244"/>
            <w:col w:w="3236"/>
          </w:cols>
          <w:pgMar w:left="900" w:top="1440" w:right="900" w:bottom="764" w:gutter="0" w:footer="0" w:header="0"/>
          <w:type w:val="continuous"/>
        </w:sectPr>
      </w:pPr>
    </w:p>
    <w:p>
      <w:pPr>
        <w:spacing w:after="0" w:line="261" w:lineRule="exact"/>
        <w:rPr>
          <w:sz w:val="20"/>
          <w:szCs w:val="20"/>
          <w:color w:val="auto"/>
        </w:rPr>
      </w:pPr>
    </w:p>
    <w:tbl>
      <w:tblPr>
        <w:tblLayout w:type="fixed"/>
        <w:tblInd w:w="900" w:type="dxa"/>
        <w:tblCellMar>
          <w:top w:w="0" w:type="dxa"/>
          <w:left w:w="0" w:type="dxa"/>
          <w:bottom w:w="0" w:type="dxa"/>
          <w:right w:w="0" w:type="dxa"/>
        </w:tblCellMar>
      </w:tblPr>
      <w:tr>
        <w:trPr>
          <w:trHeight w:val="345"/>
        </w:trPr>
        <w:tc>
          <w:tcPr>
            <w:tcW w:w="200" w:type="dxa"/>
            <w:vAlign w:val="bottom"/>
            <w:shd w:val="clear" w:color="auto" w:fill="F2F2F2"/>
          </w:tcPr>
          <w:p>
            <w:pPr>
              <w:spacing w:after="0"/>
              <w:rPr>
                <w:sz w:val="24"/>
                <w:szCs w:val="24"/>
                <w:color w:val="auto"/>
              </w:rPr>
            </w:pPr>
          </w:p>
        </w:tc>
        <w:tc>
          <w:tcPr>
            <w:tcW w:w="2680" w:type="dxa"/>
            <w:vAlign w:val="bottom"/>
            <w:shd w:val="clear" w:color="auto" w:fill="F2F2F2"/>
          </w:tcPr>
          <w:p>
            <w:pPr>
              <w:spacing w:after="0"/>
              <w:rPr>
                <w:sz w:val="24"/>
                <w:szCs w:val="24"/>
                <w:color w:val="auto"/>
              </w:rPr>
            </w:pPr>
          </w:p>
        </w:tc>
        <w:tc>
          <w:tcPr>
            <w:tcW w:w="5800" w:type="dxa"/>
            <w:vAlign w:val="bottom"/>
            <w:shd w:val="clear" w:color="auto" w:fill="F2F2F2"/>
          </w:tcPr>
          <w:p>
            <w:pPr>
              <w:ind w:left="500"/>
              <w:spacing w:after="0"/>
              <w:rPr>
                <w:sz w:val="20"/>
                <w:szCs w:val="20"/>
                <w:color w:val="auto"/>
              </w:rPr>
            </w:pPr>
            <w:r>
              <w:rPr>
                <w:rFonts w:ascii="Arial" w:cs="Arial" w:eastAsia="Arial" w:hAnsi="Arial"/>
                <w:sz w:val="16"/>
                <w:szCs w:val="16"/>
                <w:b w:val="1"/>
                <w:bCs w:val="1"/>
                <w:color w:val="auto"/>
              </w:rPr>
              <w:t>COMPANY MANAGEMENT</w:t>
            </w:r>
          </w:p>
        </w:tc>
      </w:tr>
      <w:tr>
        <w:trPr>
          <w:trHeight w:val="133"/>
        </w:trPr>
        <w:tc>
          <w:tcPr>
            <w:tcW w:w="2880" w:type="dxa"/>
            <w:vAlign w:val="bottom"/>
            <w:tcBorders>
              <w:bottom w:val="single" w:sz="8" w:color="auto"/>
            </w:tcBorders>
            <w:gridSpan w:val="2"/>
            <w:shd w:val="clear" w:color="auto" w:fill="F2F2F2"/>
          </w:tcPr>
          <w:p>
            <w:pPr>
              <w:spacing w:after="0"/>
              <w:rPr>
                <w:sz w:val="11"/>
                <w:szCs w:val="11"/>
                <w:color w:val="auto"/>
              </w:rPr>
            </w:pPr>
          </w:p>
        </w:tc>
        <w:tc>
          <w:tcPr>
            <w:tcW w:w="5800" w:type="dxa"/>
            <w:vAlign w:val="bottom"/>
            <w:tcBorders>
              <w:bottom w:val="single" w:sz="8" w:color="auto"/>
            </w:tcBorders>
            <w:shd w:val="clear" w:color="auto" w:fill="F2F2F2"/>
          </w:tcPr>
          <w:p>
            <w:pPr>
              <w:spacing w:after="0"/>
              <w:rPr>
                <w:sz w:val="11"/>
                <w:szCs w:val="11"/>
                <w:color w:val="auto"/>
              </w:rPr>
            </w:pPr>
          </w:p>
        </w:tc>
      </w:tr>
      <w:tr>
        <w:trPr>
          <w:trHeight w:val="23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Regular reporting on material risks</w:t>
            </w:r>
          </w:p>
        </w:tc>
        <w:tc>
          <w:tcPr>
            <w:tcW w:w="5800" w:type="dxa"/>
            <w:vAlign w:val="bottom"/>
          </w:tcPr>
          <w:p>
            <w:pPr>
              <w:ind w:left="100"/>
              <w:spacing w:after="0"/>
              <w:rPr>
                <w:sz w:val="20"/>
                <w:szCs w:val="20"/>
                <w:color w:val="auto"/>
              </w:rPr>
            </w:pPr>
            <w:r>
              <w:rPr>
                <w:rFonts w:ascii="Arial" w:cs="Arial" w:eastAsia="Arial" w:hAnsi="Arial"/>
                <w:sz w:val="16"/>
                <w:szCs w:val="16"/>
                <w:color w:val="auto"/>
              </w:rPr>
              <w:t>Presentation for approval by the Board of significant transactions and other</w:t>
            </w:r>
          </w:p>
        </w:tc>
      </w:tr>
      <w:tr>
        <w:trPr>
          <w:trHeight w:val="203"/>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including:</w:t>
            </w:r>
          </w:p>
        </w:tc>
        <w:tc>
          <w:tcPr>
            <w:tcW w:w="5800" w:type="dxa"/>
            <w:vAlign w:val="bottom"/>
          </w:tcPr>
          <w:p>
            <w:pPr>
              <w:ind w:left="100"/>
              <w:spacing w:after="0"/>
              <w:rPr>
                <w:sz w:val="20"/>
                <w:szCs w:val="20"/>
                <w:color w:val="auto"/>
              </w:rPr>
            </w:pPr>
            <w:r>
              <w:rPr>
                <w:rFonts w:ascii="Arial" w:cs="Arial" w:eastAsia="Arial" w:hAnsi="Arial"/>
                <w:sz w:val="16"/>
                <w:szCs w:val="16"/>
                <w:color w:val="auto"/>
              </w:rPr>
              <w:t>matters including:</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2680" w:type="dxa"/>
            <w:vAlign w:val="bottom"/>
          </w:tcPr>
          <w:p>
            <w:pPr>
              <w:ind w:left="60"/>
              <w:spacing w:after="0"/>
              <w:rPr>
                <w:sz w:val="20"/>
                <w:szCs w:val="20"/>
                <w:color w:val="auto"/>
              </w:rPr>
            </w:pPr>
            <w:r>
              <w:rPr>
                <w:rFonts w:ascii="Arial" w:cs="Arial" w:eastAsia="Arial" w:hAnsi="Arial"/>
                <w:sz w:val="16"/>
                <w:szCs w:val="16"/>
                <w:color w:val="auto"/>
              </w:rPr>
              <w:t>Market Conditions</w:t>
            </w:r>
          </w:p>
        </w:tc>
        <w:tc>
          <w:tcPr>
            <w:tcW w:w="58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5"/>
                <w:szCs w:val="15"/>
                <w:color w:val="auto"/>
              </w:rPr>
              <w:t>Acquisition/disposition of properties above a specified dollar value</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2680" w:type="dxa"/>
            <w:vAlign w:val="bottom"/>
          </w:tcPr>
          <w:p>
            <w:pPr>
              <w:ind w:left="60"/>
              <w:spacing w:after="0"/>
              <w:rPr>
                <w:sz w:val="20"/>
                <w:szCs w:val="20"/>
                <w:color w:val="auto"/>
              </w:rPr>
            </w:pPr>
            <w:r>
              <w:rPr>
                <w:rFonts w:ascii="Arial" w:cs="Arial" w:eastAsia="Arial" w:hAnsi="Arial"/>
                <w:sz w:val="16"/>
                <w:szCs w:val="16"/>
                <w:color w:val="auto"/>
              </w:rPr>
              <w:t>Tenant credit risk</w:t>
            </w:r>
          </w:p>
        </w:tc>
        <w:tc>
          <w:tcPr>
            <w:tcW w:w="58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5"/>
                <w:szCs w:val="15"/>
                <w:color w:val="auto"/>
              </w:rPr>
              <w:t>Development/redevelopment projects above a specified dollar value</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2680" w:type="dxa"/>
            <w:vAlign w:val="bottom"/>
          </w:tcPr>
          <w:p>
            <w:pPr>
              <w:ind w:left="60"/>
              <w:spacing w:after="0"/>
              <w:rPr>
                <w:sz w:val="20"/>
                <w:szCs w:val="20"/>
                <w:color w:val="auto"/>
              </w:rPr>
            </w:pPr>
            <w:r>
              <w:rPr>
                <w:rFonts w:ascii="Arial" w:cs="Arial" w:eastAsia="Arial" w:hAnsi="Arial"/>
                <w:sz w:val="16"/>
                <w:szCs w:val="16"/>
                <w:color w:val="auto"/>
              </w:rPr>
              <w:t>Leasing activity/occupancy levels</w:t>
            </w:r>
          </w:p>
        </w:tc>
        <w:tc>
          <w:tcPr>
            <w:tcW w:w="58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5"/>
                <w:szCs w:val="15"/>
                <w:color w:val="auto"/>
              </w:rPr>
              <w:t>Capital market activities including debt and equity issuances</w:t>
            </w:r>
          </w:p>
        </w:tc>
      </w:tr>
      <w:tr>
        <w:trPr>
          <w:trHeight w:val="239"/>
        </w:trPr>
        <w:tc>
          <w:tcPr>
            <w:tcW w:w="2880" w:type="dxa"/>
            <w:vAlign w:val="bottom"/>
            <w:gridSpan w:val="2"/>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5"/>
                <w:szCs w:val="15"/>
                <w:color w:val="auto"/>
              </w:rPr>
              <w:t>Status of development projects</w:t>
            </w:r>
          </w:p>
        </w:tc>
        <w:tc>
          <w:tcPr>
            <w:tcW w:w="58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5"/>
                <w:szCs w:val="15"/>
                <w:color w:val="auto"/>
              </w:rPr>
              <w:t>Appointment of executive officers and consideration of all other officers</w:t>
            </w:r>
          </w:p>
        </w:tc>
      </w:tr>
      <w:tr>
        <w:trPr>
          <w:trHeight w:val="239"/>
        </w:trPr>
        <w:tc>
          <w:tcPr>
            <w:tcW w:w="2880" w:type="dxa"/>
            <w:vAlign w:val="bottom"/>
            <w:gridSpan w:val="2"/>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5"/>
                <w:szCs w:val="15"/>
                <w:color w:val="auto"/>
              </w:rPr>
              <w:t>Compliance with financial covenants</w:t>
            </w:r>
          </w:p>
        </w:tc>
        <w:tc>
          <w:tcPr>
            <w:tcW w:w="58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5"/>
                <w:szCs w:val="15"/>
                <w:color w:val="auto"/>
              </w:rPr>
              <w:t>Transactions with related parties and conflicts of interest</w:t>
            </w:r>
          </w:p>
        </w:tc>
      </w:tr>
    </w:tbl>
    <w:p>
      <w:pPr>
        <w:spacing w:after="0" w:line="55" w:lineRule="exact"/>
        <w:rPr>
          <w:sz w:val="20"/>
          <w:szCs w:val="20"/>
          <w:color w:val="auto"/>
        </w:rPr>
      </w:pPr>
    </w:p>
    <w:p>
      <w:pPr>
        <w:ind w:left="1160" w:hanging="174"/>
        <w:spacing w:after="0"/>
        <w:tabs>
          <w:tab w:leader="none" w:pos="1160" w:val="left"/>
        </w:tabs>
        <w:numPr>
          <w:ilvl w:val="1"/>
          <w:numId w:val="93"/>
        </w:numPr>
        <w:rPr>
          <w:rFonts w:ascii="Arial" w:cs="Arial" w:eastAsia="Arial" w:hAnsi="Arial"/>
          <w:sz w:val="14"/>
          <w:szCs w:val="14"/>
          <w:color w:val="auto"/>
        </w:rPr>
      </w:pPr>
      <w:r>
        <w:rPr>
          <w:rFonts w:ascii="Arial" w:cs="Arial" w:eastAsia="Arial" w:hAnsi="Arial"/>
          <w:sz w:val="16"/>
          <w:szCs w:val="16"/>
          <w:color w:val="auto"/>
        </w:rPr>
        <w:t>Access to debt and equity capital</w:t>
      </w:r>
    </w:p>
    <w:p>
      <w:pPr>
        <w:spacing w:after="0" w:line="55" w:lineRule="exact"/>
        <w:rPr>
          <w:rFonts w:ascii="Arial" w:cs="Arial" w:eastAsia="Arial" w:hAnsi="Arial"/>
          <w:sz w:val="14"/>
          <w:szCs w:val="14"/>
          <w:color w:val="auto"/>
        </w:rPr>
      </w:pPr>
    </w:p>
    <w:p>
      <w:pPr>
        <w:ind w:left="1160" w:hanging="174"/>
        <w:spacing w:after="0"/>
        <w:tabs>
          <w:tab w:leader="none" w:pos="1160" w:val="left"/>
        </w:tabs>
        <w:numPr>
          <w:ilvl w:val="1"/>
          <w:numId w:val="93"/>
        </w:numPr>
        <w:rPr>
          <w:rFonts w:ascii="Arial" w:cs="Arial" w:eastAsia="Arial" w:hAnsi="Arial"/>
          <w:sz w:val="14"/>
          <w:szCs w:val="14"/>
          <w:color w:val="auto"/>
        </w:rPr>
      </w:pPr>
      <w:r>
        <w:rPr>
          <w:rFonts w:ascii="Arial" w:cs="Arial" w:eastAsia="Arial" w:hAnsi="Arial"/>
          <w:sz w:val="16"/>
          <w:szCs w:val="16"/>
          <w:color w:val="auto"/>
        </w:rPr>
        <w:t>Capital needs of the Company</w:t>
      </w:r>
    </w:p>
    <w:p>
      <w:pPr>
        <w:spacing w:after="0" w:line="55" w:lineRule="exact"/>
        <w:rPr>
          <w:rFonts w:ascii="Arial" w:cs="Arial" w:eastAsia="Arial" w:hAnsi="Arial"/>
          <w:sz w:val="14"/>
          <w:szCs w:val="14"/>
          <w:color w:val="auto"/>
        </w:rPr>
      </w:pPr>
    </w:p>
    <w:p>
      <w:pPr>
        <w:ind w:left="1160" w:hanging="174"/>
        <w:spacing w:after="0"/>
        <w:tabs>
          <w:tab w:leader="none" w:pos="1160" w:val="left"/>
        </w:tabs>
        <w:numPr>
          <w:ilvl w:val="1"/>
          <w:numId w:val="93"/>
        </w:numPr>
        <w:rPr>
          <w:rFonts w:ascii="Arial" w:cs="Arial" w:eastAsia="Arial" w:hAnsi="Arial"/>
          <w:sz w:val="14"/>
          <w:szCs w:val="14"/>
          <w:color w:val="auto"/>
        </w:rPr>
      </w:pPr>
      <w:r>
        <w:rPr>
          <w:rFonts w:ascii="Arial" w:cs="Arial" w:eastAsia="Arial" w:hAnsi="Arial"/>
          <w:sz w:val="16"/>
          <w:szCs w:val="16"/>
          <w:color w:val="auto"/>
        </w:rPr>
        <w:t>Existing and potential legal claims</w:t>
      </w:r>
    </w:p>
    <w:p>
      <w:pPr>
        <w:spacing w:after="0" w:line="55" w:lineRule="exact"/>
        <w:rPr>
          <w:rFonts w:ascii="Arial" w:cs="Arial" w:eastAsia="Arial" w:hAnsi="Arial"/>
          <w:sz w:val="14"/>
          <w:szCs w:val="14"/>
          <w:color w:val="auto"/>
        </w:rPr>
      </w:pPr>
    </w:p>
    <w:p>
      <w:pPr>
        <w:ind w:left="1160" w:hanging="174"/>
        <w:spacing w:after="0"/>
        <w:tabs>
          <w:tab w:leader="none" w:pos="1160" w:val="left"/>
        </w:tabs>
        <w:numPr>
          <w:ilvl w:val="1"/>
          <w:numId w:val="93"/>
        </w:numPr>
        <w:rPr>
          <w:rFonts w:ascii="Arial" w:cs="Arial" w:eastAsia="Arial" w:hAnsi="Arial"/>
          <w:sz w:val="14"/>
          <w:szCs w:val="14"/>
          <w:color w:val="auto"/>
        </w:rPr>
      </w:pPr>
      <w:r>
        <w:rPr>
          <w:rFonts w:ascii="Arial" w:cs="Arial" w:eastAsia="Arial" w:hAnsi="Arial"/>
          <w:sz w:val="16"/>
          <w:szCs w:val="16"/>
          <w:color w:val="auto"/>
        </w:rPr>
        <w:t>ESG risks and progress on goals</w:t>
      </w:r>
    </w:p>
    <w:p>
      <w:pPr>
        <w:spacing w:after="0" w:line="298" w:lineRule="exact"/>
        <w:rPr>
          <w:rFonts w:ascii="Arial" w:cs="Arial" w:eastAsia="Arial" w:hAnsi="Arial"/>
          <w:sz w:val="14"/>
          <w:szCs w:val="14"/>
          <w:color w:val="auto"/>
        </w:rPr>
      </w:pPr>
    </w:p>
    <w:p>
      <w:pPr>
        <w:spacing w:after="0" w:line="268" w:lineRule="exact"/>
        <w:rPr>
          <w:rFonts w:ascii="Arial" w:cs="Arial" w:eastAsia="Arial" w:hAnsi="Arial"/>
          <w:sz w:val="14"/>
          <w:szCs w:val="14"/>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BOARD AND COMMITTEE EVALUATION PROCESS</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Board and each standing committee conducts an annual evaluation that covers overall effectiveness of the Board and the committee as well as the effectiveness of each individual trustee. The NCGC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1708785</wp:posOffset>
                </wp:positionV>
                <wp:extent cx="6400800" cy="17780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245" o:spid="_x0000_s1270" style="position:absolute;margin-left:0pt;margin-top:134.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1708150</wp:posOffset>
                </wp:positionV>
                <wp:extent cx="0" cy="17780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34.5pt" to="0.75pt,14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1717675</wp:posOffset>
                </wp:positionV>
                <wp:extent cx="64008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25pt" to="504pt,135.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1708150</wp:posOffset>
                </wp:positionV>
                <wp:extent cx="0" cy="17780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34.5pt" to="503.25pt,14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1876425</wp:posOffset>
                </wp:positionV>
                <wp:extent cx="640080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75pt" to="504pt,147.75pt" o:allowincell="f" strokecolor="#000000" strokeweight="1.5pt"/>
            </w:pict>
          </mc:Fallback>
        </mc:AlternateContent>
      </w:r>
    </w:p>
    <w:p>
      <w:pPr>
        <w:sectPr>
          <w:pgSz w:w="11880" w:h="15480" w:orient="portrait"/>
          <w:cols w:equalWidth="0" w:num="1">
            <w:col w:w="10080"/>
          </w:cols>
          <w:pgMar w:left="900" w:top="1440"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8</w:t>
      </w:r>
    </w:p>
    <w:p>
      <w:pPr>
        <w:sectPr>
          <w:pgSz w:w="11880" w:h="15480" w:orient="portrait"/>
          <w:cols w:equalWidth="0" w:num="1">
            <w:col w:w="10080"/>
          </w:cols>
          <w:pgMar w:left="900" w:top="1440" w:right="900" w:bottom="764" w:gutter="0" w:footer="0" w:header="0"/>
          <w:type w:val="continuous"/>
        </w:sectPr>
      </w:pPr>
    </w:p>
    <w:bookmarkStart w:id="128" w:name="page129"/>
    <w:bookmarkEnd w:id="128"/>
    <w:p>
      <w:pPr>
        <w:ind w:left="1280"/>
        <w:spacing w:after="0"/>
        <w:rPr>
          <w:sz w:val="20"/>
          <w:szCs w:val="20"/>
          <w:color w:val="auto"/>
        </w:rPr>
      </w:pPr>
      <w:r>
        <w:rPr>
          <w:rFonts w:ascii="Arial" w:cs="Arial" w:eastAsia="Arial" w:hAnsi="Arial"/>
          <w:sz w:val="18"/>
          <w:szCs w:val="18"/>
          <w:b w:val="1"/>
          <w:bCs w:val="1"/>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800100</wp:posOffset>
                </wp:positionV>
                <wp:extent cx="104140" cy="32004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20040"/>
                        </a:xfrm>
                        <a:prstGeom prst="rect">
                          <a:avLst/>
                        </a:prstGeom>
                        <a:solidFill>
                          <a:srgbClr val="D9D9D9"/>
                        </a:solidFill>
                      </wps:spPr>
                      <wps:bodyPr/>
                    </wps:wsp>
                  </a:graphicData>
                </a:graphic>
              </wp:anchor>
            </w:drawing>
          </mc:Choice>
          <mc:Fallback>
            <w:pict>
              <v:rect id="Shape 250" o:spid="_x0000_s1275" style="position:absolute;margin-left:45pt;margin-top:63pt;width:8.2pt;height:25.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9D9D9"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670560</wp:posOffset>
                </wp:positionH>
                <wp:positionV relativeFrom="page">
                  <wp:posOffset>800100</wp:posOffset>
                </wp:positionV>
                <wp:extent cx="2964180" cy="31750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317500"/>
                        </a:xfrm>
                        <a:prstGeom prst="rect">
                          <a:avLst/>
                        </a:prstGeom>
                        <a:solidFill>
                          <a:srgbClr val="D9D9D9"/>
                        </a:solidFill>
                      </wps:spPr>
                      <wps:bodyPr/>
                    </wps:wsp>
                  </a:graphicData>
                </a:graphic>
              </wp:anchor>
            </w:drawing>
          </mc:Choice>
          <mc:Fallback>
            <w:pict>
              <v:rect id="Shape 251" o:spid="_x0000_s1276" style="position:absolute;margin-left:52.8pt;margin-top:63pt;width:233.4pt;height: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9D9D9"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3629660</wp:posOffset>
                </wp:positionH>
                <wp:positionV relativeFrom="page">
                  <wp:posOffset>800100</wp:posOffset>
                </wp:positionV>
                <wp:extent cx="104140" cy="32004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20040"/>
                        </a:xfrm>
                        <a:prstGeom prst="rect">
                          <a:avLst/>
                        </a:prstGeom>
                        <a:solidFill>
                          <a:srgbClr val="D9D9D9"/>
                        </a:solidFill>
                      </wps:spPr>
                      <wps:bodyPr/>
                    </wps:wsp>
                  </a:graphicData>
                </a:graphic>
              </wp:anchor>
            </w:drawing>
          </mc:Choice>
          <mc:Fallback>
            <w:pict>
              <v:rect id="Shape 252" o:spid="_x0000_s1277" style="position:absolute;margin-left:285.8pt;margin-top:63pt;width:8.2pt;height:25.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9D9D9"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571500</wp:posOffset>
                </wp:positionH>
                <wp:positionV relativeFrom="page">
                  <wp:posOffset>1114425</wp:posOffset>
                </wp:positionV>
                <wp:extent cx="101600" cy="577215"/>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77215"/>
                        </a:xfrm>
                        <a:prstGeom prst="rect">
                          <a:avLst/>
                        </a:prstGeom>
                        <a:solidFill>
                          <a:srgbClr val="D9D9D9"/>
                        </a:solidFill>
                      </wps:spPr>
                      <wps:bodyPr/>
                    </wps:wsp>
                  </a:graphicData>
                </a:graphic>
              </wp:anchor>
            </w:drawing>
          </mc:Choice>
          <mc:Fallback>
            <w:pict>
              <v:rect id="Shape 253" o:spid="_x0000_s1278" style="position:absolute;margin-left:45pt;margin-top:87.75pt;width:8pt;height:4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9D9D9" stroked="f">
                <w10:wrap anchorx="page" anchory="page"/>
              </v:rect>
            </w:pict>
          </mc:Fallback>
        </mc:AlternateContent>
        <w:t>COMMITTEE ASSESSMENTS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177800</wp:posOffset>
                </wp:positionV>
                <wp:extent cx="101600" cy="57658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76580"/>
                        </a:xfrm>
                        <a:prstGeom prst="rect">
                          <a:avLst/>
                        </a:prstGeom>
                        <a:solidFill>
                          <a:srgbClr val="D9D9D9"/>
                        </a:solidFill>
                      </wps:spPr>
                      <wps:bodyPr/>
                    </wps:wsp>
                  </a:graphicData>
                </a:graphic>
              </wp:anchor>
            </w:drawing>
          </mc:Choice>
          <mc:Fallback>
            <w:pict>
              <v:rect id="Shape 254" o:spid="_x0000_s1279" style="position:absolute;margin-left:241pt;margin-top:14pt;width:8pt;height:4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749300</wp:posOffset>
                </wp:positionV>
                <wp:extent cx="104140" cy="23368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9D9D9"/>
                        </a:solidFill>
                      </wps:spPr>
                      <wps:bodyPr/>
                    </wps:wsp>
                  </a:graphicData>
                </a:graphic>
              </wp:anchor>
            </w:drawing>
          </mc:Choice>
          <mc:Fallback>
            <w:pict>
              <v:rect id="Shape 255" o:spid="_x0000_s1280" style="position:absolute;margin-left:0pt;margin-top:59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751840</wp:posOffset>
                </wp:positionV>
                <wp:extent cx="2964180" cy="22860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9D9D9"/>
                        </a:solidFill>
                      </wps:spPr>
                      <wps:bodyPr/>
                    </wps:wsp>
                  </a:graphicData>
                </a:graphic>
              </wp:anchor>
            </w:drawing>
          </mc:Choice>
          <mc:Fallback>
            <w:pict>
              <v:rect id="Shape 256" o:spid="_x0000_s1281" style="position:absolute;margin-left:7.8pt;margin-top:59.2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749300</wp:posOffset>
                </wp:positionV>
                <wp:extent cx="104140" cy="23368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9D9D9"/>
                        </a:solidFill>
                      </wps:spPr>
                      <wps:bodyPr/>
                    </wps:wsp>
                  </a:graphicData>
                </a:graphic>
              </wp:anchor>
            </w:drawing>
          </mc:Choice>
          <mc:Fallback>
            <w:pict>
              <v:rect id="Shape 257" o:spid="_x0000_s1282" style="position:absolute;margin-left:240.8pt;margin-top:59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15240</wp:posOffset>
                </wp:positionV>
                <wp:extent cx="29210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0" cy="4763"/>
                        </a:xfrm>
                        <a:prstGeom prst="line">
                          <a:avLst/>
                        </a:prstGeom>
                        <a:solidFill>
                          <a:srgbClr val="FFFFFF"/>
                        </a:solidFill>
                        <a:ln w="25400">
                          <a:solidFill>
                            <a:srgbClr val="FB1717"/>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1.2pt" to="241pt,1.2pt" o:allowincell="f" strokecolor="#FB1717" strokeweight="2pt"/>
            </w:pict>
          </mc:Fallback>
        </mc:AlternateContent>
      </w:r>
    </w:p>
    <w:p>
      <w:pPr>
        <w:spacing w:after="0" w:line="319" w:lineRule="exact"/>
        <w:rPr>
          <w:sz w:val="20"/>
          <w:szCs w:val="20"/>
          <w:color w:val="auto"/>
        </w:rPr>
      </w:pPr>
    </w:p>
    <w:p>
      <w:pPr>
        <w:ind w:left="220" w:right="180"/>
        <w:spacing w:after="0" w:line="251" w:lineRule="auto"/>
        <w:rPr>
          <w:sz w:val="20"/>
          <w:szCs w:val="20"/>
          <w:color w:val="auto"/>
        </w:rPr>
      </w:pPr>
      <w:r>
        <w:rPr>
          <w:rFonts w:ascii="Arial" w:cs="Arial" w:eastAsia="Arial" w:hAnsi="Arial"/>
          <w:sz w:val="18"/>
          <w:szCs w:val="18"/>
          <w:color w:val="auto"/>
        </w:rPr>
        <w:t>Annual assessment by each committee of its effectiveness using a committee specific list of topics to guide an in-depth discussion of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349885</wp:posOffset>
                </wp:positionV>
                <wp:extent cx="101600" cy="93218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9D9D9"/>
                        </a:solidFill>
                      </wps:spPr>
                      <wps:bodyPr/>
                    </wps:wsp>
                  </a:graphicData>
                </a:graphic>
              </wp:anchor>
            </w:drawing>
          </mc:Choice>
          <mc:Fallback>
            <w:pict>
              <v:rect id="Shape 259" o:spid="_x0000_s1284" style="position:absolute;margin-left:241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349885</wp:posOffset>
                </wp:positionV>
                <wp:extent cx="101600" cy="93218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9D9D9"/>
                        </a:solidFill>
                      </wps:spPr>
                      <wps:bodyPr/>
                    </wps:wsp>
                  </a:graphicData>
                </a:graphic>
              </wp:anchor>
            </w:drawing>
          </mc:Choice>
          <mc:Fallback>
            <w:pict>
              <v:rect id="Shape 260" o:spid="_x0000_s1285" style="position:absolute;margin-left:0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1276985</wp:posOffset>
                </wp:positionV>
                <wp:extent cx="104140" cy="23114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1140"/>
                        </a:xfrm>
                        <a:prstGeom prst="rect">
                          <a:avLst/>
                        </a:prstGeom>
                        <a:solidFill>
                          <a:srgbClr val="D9D9D9"/>
                        </a:solidFill>
                      </wps:spPr>
                      <wps:bodyPr/>
                    </wps:wsp>
                  </a:graphicData>
                </a:graphic>
              </wp:anchor>
            </w:drawing>
          </mc:Choice>
          <mc:Fallback>
            <w:pict>
              <v:rect id="Shape 261" o:spid="_x0000_s1286" style="position:absolute;margin-left:0pt;margin-top:100.55pt;width:8.2pt;height:1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1280160</wp:posOffset>
                </wp:positionV>
                <wp:extent cx="2964180" cy="22860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9D9D9"/>
                        </a:solidFill>
                      </wps:spPr>
                      <wps:bodyPr/>
                    </wps:wsp>
                  </a:graphicData>
                </a:graphic>
              </wp:anchor>
            </w:drawing>
          </mc:Choice>
          <mc:Fallback>
            <w:pict>
              <v:rect id="Shape 262" o:spid="_x0000_s1287" style="position:absolute;margin-left:7.8pt;margin-top:100.8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1276985</wp:posOffset>
                </wp:positionV>
                <wp:extent cx="104140" cy="23114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1140"/>
                        </a:xfrm>
                        <a:prstGeom prst="rect">
                          <a:avLst/>
                        </a:prstGeom>
                        <a:solidFill>
                          <a:srgbClr val="D9D9D9"/>
                        </a:solidFill>
                      </wps:spPr>
                      <wps:bodyPr/>
                    </wps:wsp>
                  </a:graphicData>
                </a:graphic>
              </wp:anchor>
            </w:drawing>
          </mc:Choice>
          <mc:Fallback>
            <w:pict>
              <v:rect id="Shape 263" o:spid="_x0000_s1288" style="position:absolute;margin-left:240.8pt;margin-top:100.55pt;width:8.2pt;height:1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Topics include:</w:t>
      </w:r>
    </w:p>
    <w:p>
      <w:pPr>
        <w:spacing w:after="0" w:line="33" w:lineRule="exact"/>
        <w:rPr>
          <w:sz w:val="20"/>
          <w:szCs w:val="20"/>
          <w:color w:val="auto"/>
        </w:rPr>
      </w:pPr>
    </w:p>
    <w:p>
      <w:pPr>
        <w:ind w:left="480" w:hanging="240"/>
        <w:spacing w:after="0"/>
        <w:tabs>
          <w:tab w:leader="none" w:pos="480" w:val="left"/>
        </w:tabs>
        <w:numPr>
          <w:ilvl w:val="1"/>
          <w:numId w:val="94"/>
        </w:numPr>
        <w:rPr>
          <w:rFonts w:ascii="Arial" w:cs="Arial" w:eastAsia="Arial" w:hAnsi="Arial"/>
          <w:sz w:val="18"/>
          <w:szCs w:val="18"/>
          <w:color w:val="FB1717"/>
        </w:rPr>
      </w:pPr>
      <w:r>
        <w:rPr>
          <w:rFonts w:ascii="Arial" w:cs="Arial" w:eastAsia="Arial" w:hAnsi="Arial"/>
          <w:sz w:val="18"/>
          <w:szCs w:val="18"/>
          <w:color w:val="auto"/>
        </w:rPr>
        <w:t>Skills and expertise of committee members</w:t>
      </w:r>
    </w:p>
    <w:p>
      <w:pPr>
        <w:spacing w:after="0" w:line="13" w:lineRule="exact"/>
        <w:rPr>
          <w:rFonts w:ascii="Arial" w:cs="Arial" w:eastAsia="Arial" w:hAnsi="Arial"/>
          <w:sz w:val="18"/>
          <w:szCs w:val="18"/>
          <w:color w:val="FB1717"/>
        </w:rPr>
      </w:pPr>
    </w:p>
    <w:p>
      <w:pPr>
        <w:ind w:left="480" w:hanging="240"/>
        <w:spacing w:after="0"/>
        <w:tabs>
          <w:tab w:leader="none" w:pos="480" w:val="left"/>
        </w:tabs>
        <w:numPr>
          <w:ilvl w:val="1"/>
          <w:numId w:val="94"/>
        </w:numPr>
        <w:rPr>
          <w:rFonts w:ascii="Arial" w:cs="Arial" w:eastAsia="Arial" w:hAnsi="Arial"/>
          <w:sz w:val="18"/>
          <w:szCs w:val="18"/>
          <w:color w:val="FB1717"/>
        </w:rPr>
      </w:pPr>
      <w:r>
        <w:rPr>
          <w:rFonts w:ascii="Arial" w:cs="Arial" w:eastAsia="Arial" w:hAnsi="Arial"/>
          <w:sz w:val="18"/>
          <w:szCs w:val="18"/>
          <w:color w:val="auto"/>
        </w:rPr>
        <w:t>Adherence to committee charter</w:t>
      </w:r>
    </w:p>
    <w:p>
      <w:pPr>
        <w:spacing w:after="0" w:line="12" w:lineRule="exact"/>
        <w:rPr>
          <w:rFonts w:ascii="Arial" w:cs="Arial" w:eastAsia="Arial" w:hAnsi="Arial"/>
          <w:sz w:val="18"/>
          <w:szCs w:val="18"/>
          <w:color w:val="FB1717"/>
        </w:rPr>
      </w:pPr>
    </w:p>
    <w:p>
      <w:pPr>
        <w:ind w:left="480" w:hanging="240"/>
        <w:spacing w:after="0"/>
        <w:tabs>
          <w:tab w:leader="none" w:pos="480" w:val="left"/>
        </w:tabs>
        <w:numPr>
          <w:ilvl w:val="1"/>
          <w:numId w:val="94"/>
        </w:numPr>
        <w:rPr>
          <w:rFonts w:ascii="Arial" w:cs="Arial" w:eastAsia="Arial" w:hAnsi="Arial"/>
          <w:sz w:val="18"/>
          <w:szCs w:val="18"/>
          <w:color w:val="FB1717"/>
        </w:rPr>
      </w:pPr>
      <w:r>
        <w:rPr>
          <w:rFonts w:ascii="Arial" w:cs="Arial" w:eastAsia="Arial" w:hAnsi="Arial"/>
          <w:sz w:val="18"/>
          <w:szCs w:val="18"/>
          <w:color w:val="auto"/>
        </w:rPr>
        <w:t>Committee specific topics</w:t>
      </w:r>
    </w:p>
    <w:p>
      <w:pPr>
        <w:spacing w:after="0" w:line="18" w:lineRule="exact"/>
        <w:rPr>
          <w:rFonts w:ascii="Arial" w:cs="Arial" w:eastAsia="Arial" w:hAnsi="Arial"/>
          <w:sz w:val="18"/>
          <w:szCs w:val="18"/>
          <w:color w:val="FB1717"/>
        </w:rPr>
      </w:pPr>
    </w:p>
    <w:p>
      <w:pPr>
        <w:ind w:left="460" w:right="1300" w:hanging="240"/>
        <w:spacing w:after="0" w:line="248" w:lineRule="auto"/>
        <w:tabs>
          <w:tab w:leader="none" w:pos="450" w:val="left"/>
        </w:tabs>
        <w:numPr>
          <w:ilvl w:val="0"/>
          <w:numId w:val="94"/>
        </w:numPr>
        <w:rPr>
          <w:rFonts w:ascii="Arial" w:cs="Arial" w:eastAsia="Arial" w:hAnsi="Arial"/>
          <w:sz w:val="18"/>
          <w:szCs w:val="18"/>
          <w:color w:val="FB1717"/>
        </w:rPr>
      </w:pPr>
      <w:r>
        <w:rPr>
          <w:rFonts w:ascii="Arial" w:cs="Arial" w:eastAsia="Arial" w:hAnsi="Arial"/>
          <w:sz w:val="18"/>
          <w:szCs w:val="18"/>
          <w:color w:val="auto"/>
        </w:rPr>
        <w:t>Information provided by and access to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721995</wp:posOffset>
                </wp:positionV>
                <wp:extent cx="104140" cy="34544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45440"/>
                        </a:xfrm>
                        <a:prstGeom prst="rect">
                          <a:avLst/>
                        </a:prstGeom>
                        <a:solidFill>
                          <a:srgbClr val="D9D9D9"/>
                        </a:solidFill>
                      </wps:spPr>
                      <wps:bodyPr/>
                    </wps:wsp>
                  </a:graphicData>
                </a:graphic>
              </wp:anchor>
            </w:drawing>
          </mc:Choice>
          <mc:Fallback>
            <w:pict>
              <v:rect id="Shape 264" o:spid="_x0000_s1289" style="position:absolute;margin-left:0pt;margin-top:56.85pt;width:8.2pt;height: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722630</wp:posOffset>
                </wp:positionV>
                <wp:extent cx="2964180" cy="34290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342900"/>
                        </a:xfrm>
                        <a:prstGeom prst="rect">
                          <a:avLst/>
                        </a:prstGeom>
                        <a:solidFill>
                          <a:srgbClr val="D9D9D9"/>
                        </a:solidFill>
                      </wps:spPr>
                      <wps:bodyPr/>
                    </wps:wsp>
                  </a:graphicData>
                </a:graphic>
              </wp:anchor>
            </w:drawing>
          </mc:Choice>
          <mc:Fallback>
            <w:pict>
              <v:rect id="Shape 265" o:spid="_x0000_s1290" style="position:absolute;margin-left:7.8pt;margin-top:56.9pt;width:233.4pt;height: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721995</wp:posOffset>
                </wp:positionV>
                <wp:extent cx="104140" cy="34544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45440"/>
                        </a:xfrm>
                        <a:prstGeom prst="rect">
                          <a:avLst/>
                        </a:prstGeom>
                        <a:solidFill>
                          <a:srgbClr val="D9D9D9"/>
                        </a:solidFill>
                      </wps:spPr>
                      <wps:bodyPr/>
                    </wps:wsp>
                  </a:graphicData>
                </a:graphic>
              </wp:anchor>
            </w:drawing>
          </mc:Choice>
          <mc:Fallback>
            <w:pict>
              <v:rect id="Shape 266" o:spid="_x0000_s1291" style="position:absolute;margin-left:240.8pt;margin-top:56.85pt;width:8.2pt;height: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1062355</wp:posOffset>
                </wp:positionV>
                <wp:extent cx="101600" cy="56388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63880"/>
                        </a:xfrm>
                        <a:prstGeom prst="rect">
                          <a:avLst/>
                        </a:prstGeom>
                        <a:solidFill>
                          <a:srgbClr val="D9D9D9"/>
                        </a:solidFill>
                      </wps:spPr>
                      <wps:bodyPr/>
                    </wps:wsp>
                  </a:graphicData>
                </a:graphic>
              </wp:anchor>
            </w:drawing>
          </mc:Choice>
          <mc:Fallback>
            <w:pict>
              <v:rect id="Shape 267" o:spid="_x0000_s1292" style="position:absolute;margin-left:0pt;margin-top:83.65pt;width:8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CONTINUAL FEEDBACK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177800</wp:posOffset>
                </wp:positionV>
                <wp:extent cx="101600" cy="56388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63880"/>
                        </a:xfrm>
                        <a:prstGeom prst="rect">
                          <a:avLst/>
                        </a:prstGeom>
                        <a:solidFill>
                          <a:srgbClr val="D9D9D9"/>
                        </a:solidFill>
                      </wps:spPr>
                      <wps:bodyPr/>
                    </wps:wsp>
                  </a:graphicData>
                </a:graphic>
              </wp:anchor>
            </w:drawing>
          </mc:Choice>
          <mc:Fallback>
            <w:pict>
              <v:rect id="Shape 268" o:spid="_x0000_s1293" style="position:absolute;margin-left:241pt;margin-top:14pt;width:8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736600</wp:posOffset>
                </wp:positionV>
                <wp:extent cx="104140" cy="15748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157480"/>
                        </a:xfrm>
                        <a:prstGeom prst="rect">
                          <a:avLst/>
                        </a:prstGeom>
                        <a:solidFill>
                          <a:srgbClr val="D9D9D9"/>
                        </a:solidFill>
                      </wps:spPr>
                      <wps:bodyPr/>
                    </wps:wsp>
                  </a:graphicData>
                </a:graphic>
              </wp:anchor>
            </w:drawing>
          </mc:Choice>
          <mc:Fallback>
            <w:pict>
              <v:rect id="Shape 269" o:spid="_x0000_s1294" style="position:absolute;margin-left:240.8pt;margin-top:58pt;width:8.2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15240</wp:posOffset>
                </wp:positionV>
                <wp:extent cx="292100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0" cy="4763"/>
                        </a:xfrm>
                        <a:prstGeom prst="line">
                          <a:avLst/>
                        </a:prstGeom>
                        <a:solidFill>
                          <a:srgbClr val="FFFFFF"/>
                        </a:solidFill>
                        <a:ln w="25400">
                          <a:solidFill>
                            <a:srgbClr val="FB1717"/>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1.2pt" to="241pt,1.2pt" o:allowincell="f" strokecolor="#FB1717" strokeweight="2pt"/>
            </w:pict>
          </mc:Fallback>
        </mc:AlternateContent>
      </w:r>
    </w:p>
    <w:p>
      <w:pPr>
        <w:spacing w:after="0" w:line="319" w:lineRule="exact"/>
        <w:rPr>
          <w:sz w:val="20"/>
          <w:szCs w:val="20"/>
          <w:color w:val="auto"/>
        </w:rPr>
      </w:pPr>
    </w:p>
    <w:p>
      <w:pPr>
        <w:ind w:left="220"/>
        <w:spacing w:after="0" w:line="252" w:lineRule="auto"/>
        <w:rPr>
          <w:sz w:val="20"/>
          <w:szCs w:val="20"/>
          <w:color w:val="auto"/>
        </w:rPr>
      </w:pPr>
      <w:r>
        <w:rPr>
          <w:rFonts w:ascii="Arial" w:cs="Arial" w:eastAsia="Arial" w:hAnsi="Arial"/>
          <w:sz w:val="18"/>
          <w:szCs w:val="18"/>
          <w:color w:val="auto"/>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104140" cy="156845"/>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156845"/>
                        </a:xfrm>
                        <a:prstGeom prst="rect">
                          <a:avLst/>
                        </a:prstGeom>
                        <a:solidFill>
                          <a:srgbClr val="D9D9D9"/>
                        </a:solidFill>
                      </wps:spPr>
                      <wps:bodyPr/>
                    </wps:wsp>
                  </a:graphicData>
                </a:graphic>
              </wp:anchor>
            </w:drawing>
          </mc:Choice>
          <mc:Fallback>
            <w:pict>
              <v:rect id="Shape 271" o:spid="_x0000_s1296" style="position:absolute;margin-left:0pt;margin-top:-2.3999pt;width:8.2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121920</wp:posOffset>
                </wp:positionV>
                <wp:extent cx="3162300" cy="15494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154940"/>
                        </a:xfrm>
                        <a:prstGeom prst="rect">
                          <a:avLst/>
                        </a:prstGeom>
                        <a:solidFill>
                          <a:srgbClr val="D9D9D9"/>
                        </a:solidFill>
                      </wps:spPr>
                      <wps:bodyPr/>
                    </wps:wsp>
                  </a:graphicData>
                </a:graphic>
              </wp:anchor>
            </w:drawing>
          </mc:Choice>
          <mc:Fallback>
            <w:pict>
              <v:rect id="Shape 272" o:spid="_x0000_s1297" style="position:absolute;margin-left:0pt;margin-top:9.6pt;width:24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8"/>
          <w:szCs w:val="18"/>
          <w:b w:val="1"/>
          <w:bCs w:val="1"/>
          <w:color w:val="auto"/>
        </w:rPr>
        <w:t>TRUSTEE EVALUATIONS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-139700</wp:posOffset>
                </wp:positionH>
                <wp:positionV relativeFrom="paragraph">
                  <wp:posOffset>-136525</wp:posOffset>
                </wp:positionV>
                <wp:extent cx="104775" cy="319405"/>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319405"/>
                        </a:xfrm>
                        <a:prstGeom prst="rect">
                          <a:avLst/>
                        </a:prstGeom>
                        <a:solidFill>
                          <a:srgbClr val="D9D9D9"/>
                        </a:solidFill>
                      </wps:spPr>
                      <wps:bodyPr/>
                    </wps:wsp>
                  </a:graphicData>
                </a:graphic>
              </wp:anchor>
            </w:drawing>
          </mc:Choice>
          <mc:Fallback>
            <w:pict>
              <v:rect id="Shape 273" o:spid="_x0000_s1298" style="position:absolute;margin-left:-11pt;margin-top:-10.7499pt;width:8.25pt;height:25.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-136525</wp:posOffset>
                </wp:positionV>
                <wp:extent cx="2963545" cy="316865"/>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316865"/>
                        </a:xfrm>
                        <a:prstGeom prst="rect">
                          <a:avLst/>
                        </a:prstGeom>
                        <a:solidFill>
                          <a:srgbClr val="D9D9D9"/>
                        </a:solidFill>
                      </wps:spPr>
                      <wps:bodyPr/>
                    </wps:wsp>
                  </a:graphicData>
                </a:graphic>
              </wp:anchor>
            </w:drawing>
          </mc:Choice>
          <mc:Fallback>
            <w:pict>
              <v:rect id="Shape 274" o:spid="_x0000_s1299" style="position:absolute;margin-left:-3.1499pt;margin-top:-10.7499pt;width:233.35pt;height:2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-136525</wp:posOffset>
                </wp:positionV>
                <wp:extent cx="104140" cy="319405"/>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19405"/>
                        </a:xfrm>
                        <a:prstGeom prst="rect">
                          <a:avLst/>
                        </a:prstGeom>
                        <a:solidFill>
                          <a:srgbClr val="D9D9D9"/>
                        </a:solidFill>
                      </wps:spPr>
                      <wps:bodyPr/>
                    </wps:wsp>
                  </a:graphicData>
                </a:graphic>
              </wp:anchor>
            </w:drawing>
          </mc:Choice>
          <mc:Fallback>
            <w:pict>
              <v:rect id="Shape 275" o:spid="_x0000_s1300" style="position:absolute;margin-left:229.8pt;margin-top:-10.7499pt;width:8.2pt;height:25.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177800</wp:posOffset>
                </wp:positionV>
                <wp:extent cx="101600" cy="57658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76580"/>
                        </a:xfrm>
                        <a:prstGeom prst="rect">
                          <a:avLst/>
                        </a:prstGeom>
                        <a:solidFill>
                          <a:srgbClr val="D9D9D9"/>
                        </a:solidFill>
                      </wps:spPr>
                      <wps:bodyPr/>
                    </wps:wsp>
                  </a:graphicData>
                </a:graphic>
              </wp:anchor>
            </w:drawing>
          </mc:Choice>
          <mc:Fallback>
            <w:pict>
              <v:rect id="Shape 276" o:spid="_x0000_s1301" style="position:absolute;margin-left:-11pt;margin-top:14pt;width:8pt;height:4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2921000</wp:posOffset>
                </wp:positionH>
                <wp:positionV relativeFrom="paragraph">
                  <wp:posOffset>177800</wp:posOffset>
                </wp:positionV>
                <wp:extent cx="101600" cy="57658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76580"/>
                        </a:xfrm>
                        <a:prstGeom prst="rect">
                          <a:avLst/>
                        </a:prstGeom>
                        <a:solidFill>
                          <a:srgbClr val="D9D9D9"/>
                        </a:solidFill>
                      </wps:spPr>
                      <wps:bodyPr/>
                    </wps:wsp>
                  </a:graphicData>
                </a:graphic>
              </wp:anchor>
            </w:drawing>
          </mc:Choice>
          <mc:Fallback>
            <w:pict>
              <v:rect id="Shape 277" o:spid="_x0000_s1302" style="position:absolute;margin-left:230pt;margin-top:14pt;width:8pt;height:4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749300</wp:posOffset>
                </wp:positionV>
                <wp:extent cx="104775" cy="23368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233680"/>
                        </a:xfrm>
                        <a:prstGeom prst="rect">
                          <a:avLst/>
                        </a:prstGeom>
                        <a:solidFill>
                          <a:srgbClr val="D9D9D9"/>
                        </a:solidFill>
                      </wps:spPr>
                      <wps:bodyPr/>
                    </wps:wsp>
                  </a:graphicData>
                </a:graphic>
              </wp:anchor>
            </w:drawing>
          </mc:Choice>
          <mc:Fallback>
            <w:pict>
              <v:rect id="Shape 278" o:spid="_x0000_s1303" style="position:absolute;margin-left:-11pt;margin-top:59pt;width:8.25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751840</wp:posOffset>
                </wp:positionV>
                <wp:extent cx="2963545" cy="22860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28600"/>
                        </a:xfrm>
                        <a:prstGeom prst="rect">
                          <a:avLst/>
                        </a:prstGeom>
                        <a:solidFill>
                          <a:srgbClr val="D9D9D9"/>
                        </a:solidFill>
                      </wps:spPr>
                      <wps:bodyPr/>
                    </wps:wsp>
                  </a:graphicData>
                </a:graphic>
              </wp:anchor>
            </w:drawing>
          </mc:Choice>
          <mc:Fallback>
            <w:pict>
              <v:rect id="Shape 279" o:spid="_x0000_s1304" style="position:absolute;margin-left:-3.1499pt;margin-top:59.2pt;width:233.3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749300</wp:posOffset>
                </wp:positionV>
                <wp:extent cx="104140" cy="23368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9D9D9"/>
                        </a:solidFill>
                      </wps:spPr>
                      <wps:bodyPr/>
                    </wps:wsp>
                  </a:graphicData>
                </a:graphic>
              </wp:anchor>
            </w:drawing>
          </mc:Choice>
          <mc:Fallback>
            <w:pict>
              <v:rect id="Shape 280" o:spid="_x0000_s1305" style="position:absolute;margin-left:229.8pt;margin-top:59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292100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0" cy="4763"/>
                        </a:xfrm>
                        <a:prstGeom prst="line">
                          <a:avLst/>
                        </a:prstGeom>
                        <a:solidFill>
                          <a:srgbClr val="FFFFFF"/>
                        </a:solidFill>
                        <a:ln w="25400">
                          <a:solidFill>
                            <a:srgbClr val="FB1717"/>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30pt,1.2pt" o:allowincell="f" strokecolor="#FB1717" strokeweight="2pt"/>
            </w:pict>
          </mc:Fallback>
        </mc:AlternateContent>
      </w:r>
    </w:p>
    <w:p>
      <w:pPr>
        <w:spacing w:after="0" w:line="31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Each Trustee completes a confidential questionnaire evaluating the performance of each other trustee with the results provided to the chair of the NCGC.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349885</wp:posOffset>
                </wp:positionV>
                <wp:extent cx="101600" cy="93218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9D9D9"/>
                        </a:solidFill>
                      </wps:spPr>
                      <wps:bodyPr/>
                    </wps:wsp>
                  </a:graphicData>
                </a:graphic>
              </wp:anchor>
            </w:drawing>
          </mc:Choice>
          <mc:Fallback>
            <w:pict>
              <v:rect id="Shape 282" o:spid="_x0000_s1307" style="position:absolute;margin-left:230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349885</wp:posOffset>
                </wp:positionV>
                <wp:extent cx="101600" cy="93218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9D9D9"/>
                        </a:solidFill>
                      </wps:spPr>
                      <wps:bodyPr/>
                    </wps:wsp>
                  </a:graphicData>
                </a:graphic>
              </wp:anchor>
            </w:drawing>
          </mc:Choice>
          <mc:Fallback>
            <w:pict>
              <v:rect id="Shape 283" o:spid="_x0000_s1308" style="position:absolute;margin-left:-11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1276985</wp:posOffset>
                </wp:positionV>
                <wp:extent cx="104775" cy="23368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233680"/>
                        </a:xfrm>
                        <a:prstGeom prst="rect">
                          <a:avLst/>
                        </a:prstGeom>
                        <a:solidFill>
                          <a:srgbClr val="D9D9D9"/>
                        </a:solidFill>
                      </wps:spPr>
                      <wps:bodyPr/>
                    </wps:wsp>
                  </a:graphicData>
                </a:graphic>
              </wp:anchor>
            </w:drawing>
          </mc:Choice>
          <mc:Fallback>
            <w:pict>
              <v:rect id="Shape 284" o:spid="_x0000_s1309" style="position:absolute;margin-left:-11pt;margin-top:100.55pt;width:8.25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1280160</wp:posOffset>
                </wp:positionV>
                <wp:extent cx="2963545" cy="22860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28600"/>
                        </a:xfrm>
                        <a:prstGeom prst="rect">
                          <a:avLst/>
                        </a:prstGeom>
                        <a:solidFill>
                          <a:srgbClr val="D9D9D9"/>
                        </a:solidFill>
                      </wps:spPr>
                      <wps:bodyPr/>
                    </wps:wsp>
                  </a:graphicData>
                </a:graphic>
              </wp:anchor>
            </w:drawing>
          </mc:Choice>
          <mc:Fallback>
            <w:pict>
              <v:rect id="Shape 285" o:spid="_x0000_s1310" style="position:absolute;margin-left:-3.1499pt;margin-top:100.8pt;width:233.3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1276985</wp:posOffset>
                </wp:positionV>
                <wp:extent cx="104140" cy="23368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9D9D9"/>
                        </a:solidFill>
                      </wps:spPr>
                      <wps:bodyPr/>
                    </wps:wsp>
                  </a:graphicData>
                </a:graphic>
              </wp:anchor>
            </w:drawing>
          </mc:Choice>
          <mc:Fallback>
            <w:pict>
              <v:rect id="Shape 286" o:spid="_x0000_s1311" style="position:absolute;margin-left:229.8pt;margin-top:100.55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Topics include:</w:t>
      </w:r>
    </w:p>
    <w:p>
      <w:pPr>
        <w:spacing w:after="0" w:line="39" w:lineRule="exact"/>
        <w:rPr>
          <w:sz w:val="20"/>
          <w:szCs w:val="20"/>
          <w:color w:val="auto"/>
        </w:rPr>
      </w:pPr>
    </w:p>
    <w:p>
      <w:pPr>
        <w:ind w:left="240" w:right="820" w:hanging="240"/>
        <w:spacing w:after="0" w:line="248" w:lineRule="auto"/>
        <w:tabs>
          <w:tab w:leader="none" w:pos="230" w:val="left"/>
        </w:tabs>
        <w:numPr>
          <w:ilvl w:val="0"/>
          <w:numId w:val="95"/>
        </w:numPr>
        <w:rPr>
          <w:rFonts w:ascii="Arial" w:cs="Arial" w:eastAsia="Arial" w:hAnsi="Arial"/>
          <w:sz w:val="18"/>
          <w:szCs w:val="18"/>
          <w:color w:val="FB1717"/>
        </w:rPr>
      </w:pPr>
      <w:r>
        <w:rPr>
          <w:rFonts w:ascii="Arial" w:cs="Arial" w:eastAsia="Arial" w:hAnsi="Arial"/>
          <w:sz w:val="18"/>
          <w:szCs w:val="18"/>
          <w:color w:val="auto"/>
        </w:rPr>
        <w:t>Preparedness for meetings and understanding company business</w:t>
      </w:r>
    </w:p>
    <w:p>
      <w:pPr>
        <w:spacing w:after="0" w:line="6" w:lineRule="exact"/>
        <w:rPr>
          <w:rFonts w:ascii="Arial" w:cs="Arial" w:eastAsia="Arial" w:hAnsi="Arial"/>
          <w:sz w:val="18"/>
          <w:szCs w:val="18"/>
          <w:color w:val="FB1717"/>
        </w:rPr>
      </w:pPr>
    </w:p>
    <w:p>
      <w:pPr>
        <w:ind w:left="260" w:hanging="240"/>
        <w:spacing w:after="0"/>
        <w:tabs>
          <w:tab w:leader="none" w:pos="260" w:val="left"/>
        </w:tabs>
        <w:numPr>
          <w:ilvl w:val="1"/>
          <w:numId w:val="95"/>
        </w:numPr>
        <w:rPr>
          <w:rFonts w:ascii="Arial" w:cs="Arial" w:eastAsia="Arial" w:hAnsi="Arial"/>
          <w:sz w:val="18"/>
          <w:szCs w:val="18"/>
          <w:color w:val="FB1717"/>
        </w:rPr>
      </w:pPr>
      <w:r>
        <w:rPr>
          <w:rFonts w:ascii="Arial" w:cs="Arial" w:eastAsia="Arial" w:hAnsi="Arial"/>
          <w:sz w:val="18"/>
          <w:szCs w:val="18"/>
          <w:color w:val="auto"/>
        </w:rPr>
        <w:t>Overall contributions to Board and Committees</w:t>
      </w:r>
    </w:p>
    <w:p>
      <w:pPr>
        <w:spacing w:after="0" w:line="12" w:lineRule="exact"/>
        <w:rPr>
          <w:rFonts w:ascii="Arial" w:cs="Arial" w:eastAsia="Arial" w:hAnsi="Arial"/>
          <w:sz w:val="18"/>
          <w:szCs w:val="18"/>
          <w:color w:val="FB1717"/>
        </w:rPr>
      </w:pPr>
    </w:p>
    <w:p>
      <w:pPr>
        <w:ind w:left="260" w:hanging="240"/>
        <w:spacing w:after="0"/>
        <w:tabs>
          <w:tab w:leader="none" w:pos="260" w:val="left"/>
        </w:tabs>
        <w:numPr>
          <w:ilvl w:val="1"/>
          <w:numId w:val="95"/>
        </w:numPr>
        <w:rPr>
          <w:rFonts w:ascii="Arial" w:cs="Arial" w:eastAsia="Arial" w:hAnsi="Arial"/>
          <w:sz w:val="18"/>
          <w:szCs w:val="18"/>
          <w:color w:val="FB1717"/>
        </w:rPr>
      </w:pPr>
      <w:r>
        <w:rPr>
          <w:rFonts w:ascii="Arial" w:cs="Arial" w:eastAsia="Arial" w:hAnsi="Arial"/>
          <w:sz w:val="18"/>
          <w:szCs w:val="18"/>
          <w:color w:val="auto"/>
        </w:rPr>
        <w:t>Skill set</w:t>
      </w:r>
    </w:p>
    <w:p>
      <w:pPr>
        <w:spacing w:after="0" w:line="13" w:lineRule="exact"/>
        <w:rPr>
          <w:rFonts w:ascii="Arial" w:cs="Arial" w:eastAsia="Arial" w:hAnsi="Arial"/>
          <w:sz w:val="18"/>
          <w:szCs w:val="18"/>
          <w:color w:val="FB1717"/>
        </w:rPr>
      </w:pPr>
    </w:p>
    <w:p>
      <w:pPr>
        <w:ind w:left="260" w:hanging="240"/>
        <w:spacing w:after="0"/>
        <w:tabs>
          <w:tab w:leader="none" w:pos="260" w:val="left"/>
        </w:tabs>
        <w:numPr>
          <w:ilvl w:val="1"/>
          <w:numId w:val="95"/>
        </w:numPr>
        <w:rPr>
          <w:rFonts w:ascii="Arial" w:cs="Arial" w:eastAsia="Arial" w:hAnsi="Arial"/>
          <w:sz w:val="18"/>
          <w:szCs w:val="18"/>
          <w:color w:val="FB1717"/>
        </w:rPr>
      </w:pPr>
      <w:r>
        <w:rPr>
          <w:rFonts w:ascii="Arial" w:cs="Arial" w:eastAsia="Arial" w:hAnsi="Arial"/>
          <w:sz w:val="18"/>
          <w:szCs w:val="18"/>
          <w:color w:val="auto"/>
        </w:rPr>
        <w:t>Effectiveness in leadership roles (if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279400</wp:posOffset>
                </wp:positionV>
                <wp:extent cx="101600" cy="79248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9D9D9"/>
                        </a:solidFill>
                      </wps:spPr>
                      <wps:bodyPr/>
                    </wps:wsp>
                  </a:graphicData>
                </a:graphic>
              </wp:anchor>
            </w:drawing>
          </mc:Choice>
          <mc:Fallback>
            <w:pict>
              <v:rect id="Shape 287" o:spid="_x0000_s1312" style="position:absolute;margin-left:230pt;margin-top:22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279400</wp:posOffset>
                </wp:positionV>
                <wp:extent cx="101600" cy="79248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9D9D9"/>
                        </a:solidFill>
                      </wps:spPr>
                      <wps:bodyPr/>
                    </wps:wsp>
                  </a:graphicData>
                </a:graphic>
              </wp:anchor>
            </w:drawing>
          </mc:Choice>
          <mc:Fallback>
            <w:pict>
              <v:rect id="Shape 288" o:spid="_x0000_s1313" style="position:absolute;margin-left:-11pt;margin-top:22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1066800</wp:posOffset>
                </wp:positionV>
                <wp:extent cx="104775" cy="23368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233680"/>
                        </a:xfrm>
                        <a:prstGeom prst="rect">
                          <a:avLst/>
                        </a:prstGeom>
                        <a:solidFill>
                          <a:srgbClr val="D9D9D9"/>
                        </a:solidFill>
                      </wps:spPr>
                      <wps:bodyPr/>
                    </wps:wsp>
                  </a:graphicData>
                </a:graphic>
              </wp:anchor>
            </w:drawing>
          </mc:Choice>
          <mc:Fallback>
            <w:pict>
              <v:rect id="Shape 289" o:spid="_x0000_s1314" style="position:absolute;margin-left:-11pt;margin-top:84pt;width:8.25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1069340</wp:posOffset>
                </wp:positionV>
                <wp:extent cx="2963545" cy="22860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28600"/>
                        </a:xfrm>
                        <a:prstGeom prst="rect">
                          <a:avLst/>
                        </a:prstGeom>
                        <a:solidFill>
                          <a:srgbClr val="D9D9D9"/>
                        </a:solidFill>
                      </wps:spPr>
                      <wps:bodyPr/>
                    </wps:wsp>
                  </a:graphicData>
                </a:graphic>
              </wp:anchor>
            </w:drawing>
          </mc:Choice>
          <mc:Fallback>
            <w:pict>
              <v:rect id="Shape 290" o:spid="_x0000_s1315" style="position:absolute;margin-left:-3.1499pt;margin-top:84.2pt;width:233.3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1066800</wp:posOffset>
                </wp:positionV>
                <wp:extent cx="104140" cy="23368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9D9D9"/>
                        </a:solidFill>
                      </wps:spPr>
                      <wps:bodyPr/>
                    </wps:wsp>
                  </a:graphicData>
                </a:graphic>
              </wp:anchor>
            </w:drawing>
          </mc:Choice>
          <mc:Fallback>
            <w:pict>
              <v:rect id="Shape 291" o:spid="_x0000_s1316" style="position:absolute;margin-left:229.8pt;margin-top:84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One-on-One Discussions</w:t>
      </w:r>
    </w:p>
    <w:p>
      <w:pPr>
        <w:spacing w:after="0" w:line="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chair of NCGC discusses the individual assessments and overall Board effectiveness with each trustee. The Board chairman conducts the same process for the NCGC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273685</wp:posOffset>
                </wp:positionV>
                <wp:extent cx="101600" cy="79248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9D9D9"/>
                        </a:solidFill>
                      </wps:spPr>
                      <wps:bodyPr/>
                    </wps:wsp>
                  </a:graphicData>
                </a:graphic>
              </wp:anchor>
            </w:drawing>
          </mc:Choice>
          <mc:Fallback>
            <w:pict>
              <v:rect id="Shape 292" o:spid="_x0000_s1317" style="position:absolute;margin-left:230pt;margin-top:21.55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273685</wp:posOffset>
                </wp:positionV>
                <wp:extent cx="101600" cy="79248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9D9D9"/>
                        </a:solidFill>
                      </wps:spPr>
                      <wps:bodyPr/>
                    </wps:wsp>
                  </a:graphicData>
                </a:graphic>
              </wp:anchor>
            </w:drawing>
          </mc:Choice>
          <mc:Fallback>
            <w:pict>
              <v:rect id="Shape 293" o:spid="_x0000_s1318" style="position:absolute;margin-left:-11pt;margin-top:21.55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1061085</wp:posOffset>
                </wp:positionV>
                <wp:extent cx="104775" cy="20574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205740"/>
                        </a:xfrm>
                        <a:prstGeom prst="rect">
                          <a:avLst/>
                        </a:prstGeom>
                        <a:solidFill>
                          <a:srgbClr val="D9D9D9"/>
                        </a:solidFill>
                      </wps:spPr>
                      <wps:bodyPr/>
                    </wps:wsp>
                  </a:graphicData>
                </a:graphic>
              </wp:anchor>
            </w:drawing>
          </mc:Choice>
          <mc:Fallback>
            <w:pict>
              <v:rect id="Shape 294" o:spid="_x0000_s1319" style="position:absolute;margin-left:-11pt;margin-top:83.55pt;width:8.25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1064260</wp:posOffset>
                </wp:positionV>
                <wp:extent cx="2963545" cy="20320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03200"/>
                        </a:xfrm>
                        <a:prstGeom prst="rect">
                          <a:avLst/>
                        </a:prstGeom>
                        <a:solidFill>
                          <a:srgbClr val="D9D9D9"/>
                        </a:solidFill>
                      </wps:spPr>
                      <wps:bodyPr/>
                    </wps:wsp>
                  </a:graphicData>
                </a:graphic>
              </wp:anchor>
            </w:drawing>
          </mc:Choice>
          <mc:Fallback>
            <w:pict>
              <v:rect id="Shape 295" o:spid="_x0000_s1320" style="position:absolute;margin-left:-3.1499pt;margin-top:83.8pt;width:233.3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1061085</wp:posOffset>
                </wp:positionV>
                <wp:extent cx="104140" cy="20574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05740"/>
                        </a:xfrm>
                        <a:prstGeom prst="rect">
                          <a:avLst/>
                        </a:prstGeom>
                        <a:solidFill>
                          <a:srgbClr val="D9D9D9"/>
                        </a:solidFill>
                      </wps:spPr>
                      <wps:bodyPr/>
                    </wps:wsp>
                  </a:graphicData>
                </a:graphic>
              </wp:anchor>
            </w:drawing>
          </mc:Choice>
          <mc:Fallback>
            <w:pict>
              <v:rect id="Shape 296" o:spid="_x0000_s1321" style="position:absolute;margin-left:229.8pt;margin-top:83.55pt;width:8.2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Summary and Action Taken</w:t>
      </w:r>
    </w:p>
    <w:p>
      <w:pPr>
        <w:spacing w:after="0" w:line="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1880" w:h="15480" w:orient="portrait"/>
          <w:cols w:equalWidth="0" w:num="2">
            <w:col w:w="4800" w:space="520"/>
            <w:col w:w="4760"/>
          </w:cols>
          <w:pgMar w:left="900" w:top="1269" w:right="900" w:bottom="764"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SUCCESSION PLANNING</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19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COMMUNICATIONS WITH THE BOARD</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pacing w:after="0" w:line="19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COMPENSATION COMMITTEE INTERLOCKS AND INSIDER PARTICIPATION</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Compensation Committee currently consists of Ms. Holland, Ms. Lamb-Hale, Mr. McEachin and Ms. Steinel. From January 1 through September 30, 2022, Mr. Ordan, a former trustee, also served on the Compensation Committee. There are no Compensation Committee interlocks and no member of the Compensation Committee serves, or has in the past served, as an employee or officer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6400800" cy="17780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297" o:spid="_x0000_s1322" style="position:absolute;margin-left:0pt;margin-top:9.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125095</wp:posOffset>
                </wp:positionV>
                <wp:extent cx="0" cy="17780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85pt" to="0.75pt,23.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40080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pt" to="504pt,10.6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125095</wp:posOffset>
                </wp:positionV>
                <wp:extent cx="0" cy="17780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85pt" to="503.25pt,23.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293370</wp:posOffset>
                </wp:positionV>
                <wp:extent cx="640080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pt" to="504pt,23.1pt" o:allowincell="f" strokecolor="#000000" strokeweight="1.5pt"/>
            </w:pict>
          </mc:Fallback>
        </mc:AlternateContent>
      </w:r>
    </w:p>
    <w:p>
      <w:pPr>
        <w:sectPr>
          <w:pgSz w:w="11880" w:h="15480" w:orient="portrait"/>
          <w:cols w:equalWidth="0" w:num="1">
            <w:col w:w="10080"/>
          </w:cols>
          <w:pgMar w:left="900" w:top="1269" w:right="900" w:bottom="764" w:gutter="0" w:footer="0" w:header="0"/>
          <w:type w:val="continuous"/>
        </w:sectPr>
      </w:pPr>
    </w:p>
    <w:p>
      <w:pPr>
        <w:spacing w:after="0" w:line="245"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color w:val="auto"/>
        </w:rPr>
        <w:t>9</w:t>
      </w:r>
    </w:p>
    <w:p>
      <w:pPr>
        <w:sectPr>
          <w:pgSz w:w="11880" w:h="15480" w:orient="portrait"/>
          <w:cols w:equalWidth="0" w:num="1">
            <w:col w:w="10080"/>
          </w:cols>
          <w:pgMar w:left="900" w:top="1269" w:right="900" w:bottom="764" w:gutter="0" w:footer="0" w:header="0"/>
          <w:type w:val="continuous"/>
        </w:sectPr>
      </w:pPr>
    </w:p>
    <w:bookmarkStart w:id="129" w:name="page130"/>
    <w:bookmarkEnd w:id="129"/>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RELATED PARTY TRANSACTIONS</w:t>
      </w:r>
    </w:p>
    <w:p>
      <w:pPr>
        <w:spacing w:after="0" w:line="25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have no related party transactions with any of our Trustees that are required to be disclosed. None of our named executive officers has any indebtedness to the Company or any relationship with the Company other than as an employee and shareholder. Employment and change-in-control arrangements between the Company and the named executive officers are described in the “Potential Payments on Termination of Employment and Change-in-Control” section below.</w:t>
      </w:r>
    </w:p>
    <w:p>
      <w:pPr>
        <w:spacing w:after="0" w:line="20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TRUSTEE INDEPENDENCE</w:t>
      </w:r>
    </w:p>
    <w:p>
      <w:pPr>
        <w:spacing w:after="0" w:line="2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in three of the Company’s small shop tenants. The Board determined that Mr. Nader’s passive investment in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640080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5pt" to="504pt,11.05pt" o:allowincell="f" strokecolor="#FB1717" strokeweight="3pt"/>
            </w:pict>
          </mc:Fallback>
        </mc:AlternateConten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auto"/>
        </w:rPr>
        <w:t>Proposal 1: Election of Trustees</w:t>
      </w: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On recommendation of the NCGC, our Board has nominated seven (7) candidates for election as trustees at the 2023 annual meeting of shareholders. All of the nominees are incumbent trustees and all nominees other than Mr. McEachin were elected by our shareholders in May 2022. Mr. McEachin was appointed to the Board in October 2022 to fill the vacancy created by the resignation of Mark S. Ordan. More detailed biographical information on each nominee can be found beginning on page 14.</w:t>
      </w:r>
    </w:p>
    <w:p>
      <w:pPr>
        <w:spacing w:after="0" w:line="24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At the 2023 Annual Meeting, each trustee will be elected to hold office for a one-year term expiring at the 2024 annual meeting of shareholders and until his or her successor is elected and qualified.</w:t>
      </w:r>
    </w:p>
    <w:p>
      <w:pPr>
        <w:spacing w:after="0" w:line="20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VOTE REQUIRED AND MAJORITY VOTING STANDARD</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You are entitled to cast one vote per share for each of the seven nominees. Proxies may not be voted for more than seven individuals. In an uncontested election such as this one, our Bylaws require that a nominee receive a majority of votes cast in order to be elected. Accordingly, any nominee who does not receive a majority of votes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6400800" cy="17780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03" o:spid="_x0000_s1328" style="position:absolute;margin-left:0pt;margin-top:9.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124460</wp:posOffset>
                </wp:positionV>
                <wp:extent cx="0" cy="17780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8pt" to="0.75pt,23.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133985</wp:posOffset>
                </wp:positionV>
                <wp:extent cx="640080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5pt" to="504pt,10.5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124460</wp:posOffset>
                </wp:positionV>
                <wp:extent cx="0" cy="17780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8pt" to="503.25pt,23.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292735</wp:posOffset>
                </wp:positionV>
                <wp:extent cx="64008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05pt" to="504pt,23.05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45"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10</w:t>
      </w:r>
    </w:p>
    <w:p>
      <w:pPr>
        <w:sectPr>
          <w:pgSz w:w="11880" w:h="15480" w:orient="portrait"/>
          <w:cols w:equalWidth="0" w:num="1">
            <w:col w:w="10080"/>
          </w:cols>
          <w:pgMar w:left="900" w:top="1272" w:right="900" w:bottom="764" w:gutter="0" w:footer="0" w:header="0"/>
          <w:type w:val="continuous"/>
        </w:sectPr>
      </w:pPr>
    </w:p>
    <w:bookmarkStart w:id="130" w:name="page131"/>
    <w:bookmarkEnd w:id="130"/>
    <w:p>
      <w:pPr>
        <w:jc w:val="both"/>
        <w:spacing w:after="0" w:line="248" w:lineRule="auto"/>
        <w:rPr>
          <w:sz w:val="20"/>
          <w:szCs w:val="20"/>
          <w:color w:val="auto"/>
        </w:rPr>
      </w:pPr>
      <w:r>
        <w:rPr>
          <w:rFonts w:ascii="Arial" w:cs="Arial" w:eastAsia="Arial" w:hAnsi="Arial"/>
          <w:sz w:val="20"/>
          <w:szCs w:val="20"/>
          <w:color w:val="auto"/>
        </w:rPr>
        <w:t>cast will be required to resign from the Board within ninety (90) days. Broker non-votes and abstentions, if any, will not be treated as votes cast and as a result, will have no effect on the outcome of the vote for this proposal. Over the past 5 years, each nominee who has previously stood for election has received 93% or more of the votes cast at each shareholder meeting at which that nominee stood for election.</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Prior to 2023, any nominee who did not receive a majority of the votes cast was required to submit a resignation but the Board had the ability to choose not to accept that resignation. The Board modified this policy to now require resignation with no ability for the Board to override that resignation. The Board believed this change was appropriate in order to ensure that shareholders had the ultimate say in electing their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6401435" cy="4832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
                      <a:extLst>
                        <a:ext uri="{28A0092B-C50C-407E-A947-70E740481C1C}"/>
                      </a:extLst>
                    </a:blip>
                    <a:srcRect/>
                    <a:stretch>
                      <a:fillRect/>
                    </a:stretch>
                  </pic:blipFill>
                  <pic:spPr bwMode="auto">
                    <a:xfrm>
                      <a:off x="0" y="0"/>
                      <a:ext cx="6401435" cy="48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8"/>
          <w:szCs w:val="28"/>
          <w:color w:val="auto"/>
        </w:rPr>
        <w:t xml:space="preserve">Our Board recommends a vote </w:t>
      </w:r>
      <w:r>
        <w:rPr>
          <w:rFonts w:ascii="Arial" w:cs="Arial" w:eastAsia="Arial" w:hAnsi="Arial"/>
          <w:sz w:val="28"/>
          <w:szCs w:val="28"/>
          <w:b w:val="1"/>
          <w:bCs w:val="1"/>
          <w:color w:val="auto"/>
        </w:rPr>
        <w:t>FOR</w:t>
      </w:r>
      <w:r>
        <w:rPr>
          <w:rFonts w:ascii="Arial" w:cs="Arial" w:eastAsia="Arial" w:hAnsi="Arial"/>
          <w:sz w:val="28"/>
          <w:szCs w:val="28"/>
          <w:color w:val="auto"/>
        </w:rPr>
        <w:t xml:space="preserve"> each of the seven nominees</w:t>
      </w:r>
    </w:p>
    <w:p>
      <w:pPr>
        <w:spacing w:after="0" w:line="200" w:lineRule="exact"/>
        <w:rPr>
          <w:sz w:val="20"/>
          <w:szCs w:val="20"/>
          <w:color w:val="auto"/>
        </w:rPr>
      </w:pPr>
    </w:p>
    <w:p>
      <w:pPr>
        <w:spacing w:after="0" w:line="27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NOMINEE CHARACTERISTICS AND SELECTION</w:t>
      </w: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NCGC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committee assesses the contribution that a particular candidate’s skills and expertise will make with respect to guiding our strategy and management when considered as a whole with the skills and expertise of other trustees.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3410585</wp:posOffset>
                </wp:positionV>
                <wp:extent cx="6400800" cy="17780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09" o:spid="_x0000_s1334" style="position:absolute;margin-left:0pt;margin-top:268.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3409950</wp:posOffset>
                </wp:positionV>
                <wp:extent cx="0" cy="17780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68.5pt" to="0.75pt,28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3419475</wp:posOffset>
                </wp:positionV>
                <wp:extent cx="640080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9.25pt" to="504pt,269.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3409950</wp:posOffset>
                </wp:positionV>
                <wp:extent cx="0" cy="17780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268.5pt" to="503.25pt,28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3578225</wp:posOffset>
                </wp:positionV>
                <wp:extent cx="640080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1.75pt" to="504pt,281.7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11</w:t>
      </w:r>
    </w:p>
    <w:p>
      <w:pPr>
        <w:sectPr>
          <w:pgSz w:w="11880" w:h="15480" w:orient="portrait"/>
          <w:cols w:equalWidth="0" w:num="1">
            <w:col w:w="10080"/>
          </w:cols>
          <w:pgMar w:left="900" w:top="1316" w:right="900" w:bottom="764" w:gutter="0" w:footer="0" w:header="0"/>
          <w:type w:val="continuous"/>
        </w:sectPr>
      </w:pPr>
    </w:p>
    <w:bookmarkStart w:id="131" w:name="page132"/>
    <w:bookmarkEnd w:id="131"/>
    <w:p>
      <w:pPr>
        <w:jc w:val="both"/>
        <w:spacing w:after="0" w:line="243" w:lineRule="auto"/>
        <w:rPr>
          <w:sz w:val="20"/>
          <w:szCs w:val="20"/>
          <w:color w:val="auto"/>
        </w:rPr>
      </w:pPr>
      <w:r>
        <w:rPr>
          <w:rFonts w:ascii="Arial" w:cs="Arial" w:eastAsia="Arial" w:hAnsi="Arial"/>
          <w:sz w:val="20"/>
          <w:szCs w:val="20"/>
          <w:color w:val="auto"/>
        </w:rPr>
        <w:t>nominate that individual. Further information on each nominee’s qualifications and relevant experience is provided in the individual biographical descriptions below starting on page 14.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8"/>
              </w:rPr>
              <w:t>Faeder</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Holland</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Lamb-Hale</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McEachin</w:t>
            </w:r>
          </w:p>
        </w:tc>
        <w:tc>
          <w:tcPr>
            <w:tcW w:w="720" w:type="dxa"/>
            <w:vAlign w:val="bottom"/>
          </w:tcPr>
          <w:p>
            <w:pPr>
              <w:jc w:val="center"/>
              <w:ind w:right="131"/>
              <w:spacing w:after="0"/>
              <w:rPr>
                <w:sz w:val="20"/>
                <w:szCs w:val="20"/>
                <w:color w:val="auto"/>
              </w:rPr>
            </w:pPr>
            <w:r>
              <w:rPr>
                <w:rFonts w:ascii="Arial" w:cs="Arial" w:eastAsia="Arial" w:hAnsi="Arial"/>
                <w:sz w:val="16"/>
                <w:szCs w:val="16"/>
                <w:color w:val="auto"/>
                <w:w w:val="96"/>
              </w:rPr>
              <w:t>Nader</w:t>
            </w:r>
          </w:p>
        </w:tc>
        <w:tc>
          <w:tcPr>
            <w:tcW w:w="900" w:type="dxa"/>
            <w:vAlign w:val="bottom"/>
          </w:tcPr>
          <w:p>
            <w:pPr>
              <w:jc w:val="center"/>
              <w:spacing w:after="0"/>
              <w:rPr>
                <w:sz w:val="20"/>
                <w:szCs w:val="20"/>
                <w:color w:val="auto"/>
              </w:rPr>
            </w:pPr>
            <w:r>
              <w:rPr>
                <w:rFonts w:ascii="Arial" w:cs="Arial" w:eastAsia="Arial" w:hAnsi="Arial"/>
                <w:sz w:val="16"/>
                <w:szCs w:val="16"/>
                <w:color w:val="auto"/>
              </w:rPr>
              <w:t>Steinel</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color w:val="auto"/>
              </w:rPr>
              <w:t>Wood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Borders>
              <w:bottom w:val="single" w:sz="8" w:color="FB1717"/>
            </w:tcBorders>
            <w:shd w:val="clear" w:color="auto" w:fill="FB1717"/>
          </w:tcPr>
          <w:p>
            <w:pPr>
              <w:spacing w:after="0"/>
              <w:rPr>
                <w:sz w:val="22"/>
                <w:szCs w:val="22"/>
                <w:color w:val="auto"/>
              </w:rPr>
            </w:pPr>
          </w:p>
        </w:tc>
        <w:tc>
          <w:tcPr>
            <w:tcW w:w="7560" w:type="dxa"/>
            <w:vAlign w:val="bottom"/>
            <w:tcBorders>
              <w:bottom w:val="single" w:sz="8" w:color="FB1717"/>
            </w:tcBorders>
            <w:gridSpan w:val="6"/>
            <w:shd w:val="clear" w:color="auto" w:fill="FB1717"/>
          </w:tcPr>
          <w:p>
            <w:pPr>
              <w:jc w:val="center"/>
              <w:ind w:left="2909"/>
              <w:spacing w:after="0"/>
              <w:rPr>
                <w:sz w:val="20"/>
                <w:szCs w:val="20"/>
                <w:color w:val="auto"/>
              </w:rPr>
            </w:pPr>
            <w:r>
              <w:rPr>
                <w:rFonts w:ascii="Arial" w:cs="Arial" w:eastAsia="Arial" w:hAnsi="Arial"/>
                <w:sz w:val="20"/>
                <w:szCs w:val="20"/>
                <w:b w:val="1"/>
                <w:bCs w:val="1"/>
                <w:color w:val="FFFFFF"/>
                <w:w w:val="99"/>
              </w:rPr>
              <w:t>NOMINEE QUALIFICATIONS AND EXPERIENCE</w:t>
            </w:r>
          </w:p>
        </w:tc>
        <w:tc>
          <w:tcPr>
            <w:tcW w:w="720" w:type="dxa"/>
            <w:vAlign w:val="bottom"/>
            <w:tcBorders>
              <w:bottom w:val="single" w:sz="8" w:color="FB1717"/>
              <w:right w:val="single" w:sz="8" w:color="FB1717"/>
            </w:tcBorders>
            <w:shd w:val="clear" w:color="auto" w:fill="FB1717"/>
          </w:tcPr>
          <w:p>
            <w:pPr>
              <w:spacing w:after="0"/>
              <w:rPr>
                <w:sz w:val="22"/>
                <w:szCs w:val="22"/>
                <w:color w:val="auto"/>
              </w:rPr>
            </w:pPr>
          </w:p>
        </w:tc>
        <w:tc>
          <w:tcPr>
            <w:tcW w:w="900" w:type="dxa"/>
            <w:vAlign w:val="bottom"/>
            <w:tcBorders>
              <w:bottom w:val="single" w:sz="8" w:color="FB1717"/>
              <w:right w:val="single" w:sz="8" w:color="FB1717"/>
            </w:tcBorders>
            <w:shd w:val="clear" w:color="auto" w:fill="FB1717"/>
          </w:tcPr>
          <w:p>
            <w:pPr>
              <w:spacing w:after="0"/>
              <w:rPr>
                <w:sz w:val="22"/>
                <w:szCs w:val="22"/>
                <w:color w:val="auto"/>
              </w:rPr>
            </w:pPr>
          </w:p>
        </w:tc>
        <w:tc>
          <w:tcPr>
            <w:tcW w:w="860" w:type="dxa"/>
            <w:vAlign w:val="bottom"/>
            <w:tcBorders>
              <w:bottom w:val="single" w:sz="8" w:color="FB1717"/>
            </w:tcBorders>
            <w:shd w:val="clear" w:color="auto" w:fill="FB1717"/>
          </w:tcPr>
          <w:p>
            <w:pPr>
              <w:spacing w:after="0"/>
              <w:rPr>
                <w:sz w:val="22"/>
                <w:szCs w:val="22"/>
                <w:color w:val="auto"/>
              </w:rPr>
            </w:pPr>
          </w:p>
        </w:tc>
        <w:tc>
          <w:tcPr>
            <w:tcW w:w="40" w:type="dxa"/>
            <w:vAlign w:val="bottom"/>
            <w:tcBorders>
              <w:bottom w:val="single" w:sz="8" w:color="FB1717"/>
              <w:right w:val="single" w:sz="8" w:color="FB1717"/>
            </w:tcBorders>
            <w:shd w:val="clear" w:color="auto" w:fill="FB1717"/>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9D9D9"/>
          </w:tcPr>
          <w:p>
            <w:pPr>
              <w:spacing w:after="0"/>
              <w:rPr>
                <w:sz w:val="22"/>
                <w:szCs w:val="22"/>
                <w:color w:val="auto"/>
              </w:rPr>
            </w:pPr>
          </w:p>
        </w:tc>
        <w:tc>
          <w:tcPr>
            <w:tcW w:w="3780" w:type="dxa"/>
            <w:vAlign w:val="bottom"/>
            <w:tcBorders>
              <w:right w:val="single" w:sz="8" w:color="D9D9D9"/>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Qualification/Experience</w:t>
            </w:r>
          </w:p>
        </w:tc>
        <w:tc>
          <w:tcPr>
            <w:tcW w:w="90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180" w:type="dxa"/>
            <w:vAlign w:val="bottom"/>
            <w:shd w:val="clear" w:color="auto" w:fill="D9D9D9"/>
          </w:tcPr>
          <w:p>
            <w:pPr>
              <w:spacing w:after="0"/>
              <w:rPr>
                <w:sz w:val="22"/>
                <w:szCs w:val="22"/>
                <w:color w:val="auto"/>
              </w:rPr>
            </w:pPr>
          </w:p>
        </w:tc>
        <w:tc>
          <w:tcPr>
            <w:tcW w:w="72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860" w:type="dxa"/>
            <w:vAlign w:val="bottom"/>
            <w:shd w:val="clear" w:color="auto" w:fill="D9D9D9"/>
          </w:tcPr>
          <w:p>
            <w:pPr>
              <w:spacing w:after="0"/>
              <w:rPr>
                <w:sz w:val="22"/>
                <w:szCs w:val="22"/>
                <w:color w:val="auto"/>
              </w:rPr>
            </w:pPr>
          </w:p>
        </w:tc>
        <w:tc>
          <w:tcPr>
            <w:tcW w:w="40" w:type="dxa"/>
            <w:vAlign w:val="bottom"/>
            <w:tcBorders>
              <w:right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shd w:val="clear" w:color="auto" w:fill="D9D9D9"/>
          </w:tcPr>
          <w:p>
            <w:pPr>
              <w:spacing w:after="0"/>
              <w:rPr>
                <w:sz w:val="6"/>
                <w:szCs w:val="6"/>
                <w:color w:val="auto"/>
              </w:rPr>
            </w:pPr>
          </w:p>
        </w:tc>
        <w:tc>
          <w:tcPr>
            <w:tcW w:w="378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180" w:type="dxa"/>
            <w:vAlign w:val="bottom"/>
            <w:tcBorders>
              <w:bottom w:val="single" w:sz="8" w:color="auto"/>
            </w:tcBorders>
            <w:shd w:val="clear" w:color="auto" w:fill="D9D9D9"/>
          </w:tcPr>
          <w:p>
            <w:pPr>
              <w:spacing w:after="0"/>
              <w:rPr>
                <w:sz w:val="6"/>
                <w:szCs w:val="6"/>
                <w:color w:val="auto"/>
              </w:rPr>
            </w:pPr>
          </w:p>
        </w:tc>
        <w:tc>
          <w:tcPr>
            <w:tcW w:w="72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860" w:type="dxa"/>
            <w:vAlign w:val="bottom"/>
            <w:tcBorders>
              <w:bottom w:val="single" w:sz="8" w:color="auto"/>
            </w:tcBorders>
            <w:shd w:val="clear" w:color="auto" w:fill="D9D9D9"/>
          </w:tcPr>
          <w:p>
            <w:pPr>
              <w:spacing w:after="0"/>
              <w:rPr>
                <w:sz w:val="6"/>
                <w:szCs w:val="6"/>
                <w:color w:val="auto"/>
              </w:rPr>
            </w:pPr>
          </w:p>
        </w:tc>
        <w:tc>
          <w:tcPr>
            <w:tcW w:w="40" w:type="dxa"/>
            <w:vAlign w:val="bottom"/>
            <w:tcBorders>
              <w:bottom w:val="single" w:sz="8" w:color="auto"/>
              <w:right w:val="single" w:sz="8" w:color="D9D9D9"/>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Strategic Planning and Leadership</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CEO/Executive Management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19"/>
                <w:szCs w:val="19"/>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8"/>
        </w:trPr>
        <w:tc>
          <w:tcPr>
            <w:tcW w:w="20" w:type="dxa"/>
            <w:vAlign w:val="bottom"/>
            <w:tcBorders>
              <w:bottom w:val="single" w:sz="8" w:color="auto"/>
            </w:tcBorders>
          </w:tcPr>
          <w:p>
            <w:pPr>
              <w:spacing w:after="0"/>
              <w:rPr>
                <w:sz w:val="6"/>
                <w:szCs w:val="6"/>
                <w:color w:val="auto"/>
              </w:rPr>
            </w:pPr>
          </w:p>
        </w:tc>
        <w:tc>
          <w:tcPr>
            <w:tcW w:w="378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REIT/Public Company Executive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Public Company Board Service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Financial Expertise/Literacy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Real Estate Investing/Finance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Retail Industry</w:t>
            </w: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Risk Management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Human Capital Management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Corporate Governance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23"/>
                <w:szCs w:val="23"/>
                <w:color w:val="auto"/>
              </w:rPr>
            </w:pPr>
          </w:p>
        </w:tc>
        <w:tc>
          <w:tcPr>
            <w:tcW w:w="720" w:type="dxa"/>
            <w:vAlign w:val="bottom"/>
            <w:tcBorders>
              <w:right w:val="single" w:sz="8" w:color="auto"/>
            </w:tcBorders>
          </w:tcPr>
          <w:p>
            <w:pPr>
              <w:jc w:val="center"/>
              <w:ind w:right="131"/>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color w:val="auto"/>
              </w:rPr>
              <w:t>Sustainability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FB1717"/>
            </w:tcBorders>
          </w:tcPr>
          <w:p>
            <w:pPr>
              <w:spacing w:after="0"/>
              <w:rPr>
                <w:sz w:val="5"/>
                <w:szCs w:val="5"/>
                <w:color w:val="auto"/>
              </w:rPr>
            </w:pPr>
          </w:p>
        </w:tc>
        <w:tc>
          <w:tcPr>
            <w:tcW w:w="3780" w:type="dxa"/>
            <w:vAlign w:val="bottom"/>
            <w:tcBorders>
              <w:bottom w:val="single" w:sz="8" w:color="FB1717"/>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FB1717"/>
            </w:tcBorders>
            <w:shd w:val="clear" w:color="auto" w:fill="FB1717"/>
          </w:tcPr>
          <w:p>
            <w:pPr>
              <w:spacing w:after="0"/>
              <w:rPr>
                <w:sz w:val="21"/>
                <w:szCs w:val="21"/>
                <w:color w:val="auto"/>
              </w:rPr>
            </w:pPr>
          </w:p>
        </w:tc>
        <w:tc>
          <w:tcPr>
            <w:tcW w:w="3780" w:type="dxa"/>
            <w:vAlign w:val="bottom"/>
            <w:tcBorders>
              <w:bottom w:val="single" w:sz="8" w:color="FB1717"/>
              <w:right w:val="single" w:sz="8" w:color="FB1717"/>
            </w:tcBorders>
            <w:shd w:val="clear" w:color="auto" w:fill="FB1717"/>
          </w:tcPr>
          <w:p>
            <w:pPr>
              <w:spacing w:after="0"/>
              <w:rPr>
                <w:sz w:val="21"/>
                <w:szCs w:val="21"/>
                <w:color w:val="auto"/>
              </w:rPr>
            </w:pPr>
          </w:p>
        </w:tc>
        <w:tc>
          <w:tcPr>
            <w:tcW w:w="2700" w:type="dxa"/>
            <w:vAlign w:val="bottom"/>
            <w:tcBorders>
              <w:bottom w:val="single" w:sz="8" w:color="FB1717"/>
              <w:right w:val="single" w:sz="8" w:color="FB1717"/>
            </w:tcBorders>
            <w:gridSpan w:val="3"/>
            <w:shd w:val="clear" w:color="auto" w:fill="FB1717"/>
          </w:tcPr>
          <w:p>
            <w:pPr>
              <w:jc w:val="center"/>
              <w:ind w:left="190"/>
              <w:spacing w:after="0" w:line="227" w:lineRule="exact"/>
              <w:rPr>
                <w:sz w:val="20"/>
                <w:szCs w:val="20"/>
                <w:color w:val="auto"/>
              </w:rPr>
            </w:pPr>
            <w:r>
              <w:rPr>
                <w:rFonts w:ascii="Arial" w:cs="Arial" w:eastAsia="Arial" w:hAnsi="Arial"/>
                <w:sz w:val="20"/>
                <w:szCs w:val="20"/>
                <w:b w:val="1"/>
                <w:bCs w:val="1"/>
                <w:color w:val="FFFFFF"/>
              </w:rPr>
              <w:t>DEMOGRAPHICS</w:t>
            </w:r>
          </w:p>
        </w:tc>
        <w:tc>
          <w:tcPr>
            <w:tcW w:w="900" w:type="dxa"/>
            <w:vAlign w:val="bottom"/>
            <w:tcBorders>
              <w:bottom w:val="single" w:sz="8" w:color="FB1717"/>
              <w:right w:val="single" w:sz="8" w:color="FB1717"/>
            </w:tcBorders>
            <w:shd w:val="clear" w:color="auto" w:fill="FB1717"/>
          </w:tcPr>
          <w:p>
            <w:pPr>
              <w:spacing w:after="0"/>
              <w:rPr>
                <w:sz w:val="21"/>
                <w:szCs w:val="21"/>
                <w:color w:val="auto"/>
              </w:rPr>
            </w:pPr>
          </w:p>
        </w:tc>
        <w:tc>
          <w:tcPr>
            <w:tcW w:w="180" w:type="dxa"/>
            <w:vAlign w:val="bottom"/>
            <w:tcBorders>
              <w:bottom w:val="single" w:sz="8" w:color="FB1717"/>
            </w:tcBorders>
            <w:shd w:val="clear" w:color="auto" w:fill="FB1717"/>
          </w:tcPr>
          <w:p>
            <w:pPr>
              <w:spacing w:after="0"/>
              <w:rPr>
                <w:sz w:val="21"/>
                <w:szCs w:val="21"/>
                <w:color w:val="auto"/>
              </w:rPr>
            </w:pPr>
          </w:p>
        </w:tc>
        <w:tc>
          <w:tcPr>
            <w:tcW w:w="720" w:type="dxa"/>
            <w:vAlign w:val="bottom"/>
            <w:tcBorders>
              <w:bottom w:val="single" w:sz="8" w:color="FB1717"/>
              <w:right w:val="single" w:sz="8" w:color="FB1717"/>
            </w:tcBorders>
            <w:shd w:val="clear" w:color="auto" w:fill="FB1717"/>
          </w:tcPr>
          <w:p>
            <w:pPr>
              <w:spacing w:after="0"/>
              <w:rPr>
                <w:sz w:val="21"/>
                <w:szCs w:val="21"/>
                <w:color w:val="auto"/>
              </w:rPr>
            </w:pPr>
          </w:p>
        </w:tc>
        <w:tc>
          <w:tcPr>
            <w:tcW w:w="900" w:type="dxa"/>
            <w:vAlign w:val="bottom"/>
            <w:tcBorders>
              <w:bottom w:val="single" w:sz="8" w:color="FB1717"/>
              <w:right w:val="single" w:sz="8" w:color="FB1717"/>
            </w:tcBorders>
            <w:shd w:val="clear" w:color="auto" w:fill="FB1717"/>
          </w:tcPr>
          <w:p>
            <w:pPr>
              <w:spacing w:after="0"/>
              <w:rPr>
                <w:sz w:val="21"/>
                <w:szCs w:val="21"/>
                <w:color w:val="auto"/>
              </w:rPr>
            </w:pPr>
          </w:p>
        </w:tc>
        <w:tc>
          <w:tcPr>
            <w:tcW w:w="860" w:type="dxa"/>
            <w:vAlign w:val="bottom"/>
            <w:tcBorders>
              <w:bottom w:val="single" w:sz="8" w:color="FB1717"/>
            </w:tcBorders>
            <w:shd w:val="clear" w:color="auto" w:fill="FB1717"/>
          </w:tcPr>
          <w:p>
            <w:pPr>
              <w:spacing w:after="0"/>
              <w:rPr>
                <w:sz w:val="21"/>
                <w:szCs w:val="21"/>
                <w:color w:val="auto"/>
              </w:rPr>
            </w:pPr>
          </w:p>
        </w:tc>
        <w:tc>
          <w:tcPr>
            <w:tcW w:w="40" w:type="dxa"/>
            <w:vAlign w:val="bottom"/>
            <w:tcBorders>
              <w:bottom w:val="single" w:sz="8" w:color="FB1717"/>
              <w:right w:val="single" w:sz="8" w:color="FB1717"/>
            </w:tcBorders>
            <w:shd w:val="clear" w:color="auto" w:fill="FB1717"/>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9D9D9"/>
          </w:tcPr>
          <w:p>
            <w:pPr>
              <w:spacing w:after="0"/>
              <w:rPr>
                <w:sz w:val="22"/>
                <w:szCs w:val="22"/>
                <w:color w:val="auto"/>
              </w:rPr>
            </w:pPr>
          </w:p>
        </w:tc>
        <w:tc>
          <w:tcPr>
            <w:tcW w:w="3780" w:type="dxa"/>
            <w:vAlign w:val="bottom"/>
            <w:tcBorders>
              <w:right w:val="single" w:sz="8" w:color="D9D9D9"/>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Race/Ethnicity</w:t>
            </w:r>
          </w:p>
        </w:tc>
        <w:tc>
          <w:tcPr>
            <w:tcW w:w="90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180" w:type="dxa"/>
            <w:vAlign w:val="bottom"/>
            <w:shd w:val="clear" w:color="auto" w:fill="D9D9D9"/>
          </w:tcPr>
          <w:p>
            <w:pPr>
              <w:spacing w:after="0"/>
              <w:rPr>
                <w:sz w:val="22"/>
                <w:szCs w:val="22"/>
                <w:color w:val="auto"/>
              </w:rPr>
            </w:pPr>
          </w:p>
        </w:tc>
        <w:tc>
          <w:tcPr>
            <w:tcW w:w="720" w:type="dxa"/>
            <w:vAlign w:val="bottom"/>
            <w:tcBorders>
              <w:right w:val="single" w:sz="8" w:color="D9D9D9"/>
            </w:tcBorders>
            <w:shd w:val="clear" w:color="auto" w:fill="D9D9D9"/>
          </w:tcPr>
          <w:p>
            <w:pPr>
              <w:spacing w:after="0"/>
              <w:rPr>
                <w:sz w:val="22"/>
                <w:szCs w:val="22"/>
                <w:color w:val="auto"/>
              </w:rPr>
            </w:pPr>
          </w:p>
        </w:tc>
        <w:tc>
          <w:tcPr>
            <w:tcW w:w="900" w:type="dxa"/>
            <w:vAlign w:val="bottom"/>
            <w:tcBorders>
              <w:right w:val="single" w:sz="8" w:color="D9D9D9"/>
            </w:tcBorders>
            <w:shd w:val="clear" w:color="auto" w:fill="D9D9D9"/>
          </w:tcPr>
          <w:p>
            <w:pPr>
              <w:spacing w:after="0"/>
              <w:rPr>
                <w:sz w:val="22"/>
                <w:szCs w:val="22"/>
                <w:color w:val="auto"/>
              </w:rPr>
            </w:pPr>
          </w:p>
        </w:tc>
        <w:tc>
          <w:tcPr>
            <w:tcW w:w="860" w:type="dxa"/>
            <w:vAlign w:val="bottom"/>
            <w:shd w:val="clear" w:color="auto" w:fill="D9D9D9"/>
          </w:tcPr>
          <w:p>
            <w:pPr>
              <w:spacing w:after="0"/>
              <w:rPr>
                <w:sz w:val="22"/>
                <w:szCs w:val="22"/>
                <w:color w:val="auto"/>
              </w:rPr>
            </w:pPr>
          </w:p>
        </w:tc>
        <w:tc>
          <w:tcPr>
            <w:tcW w:w="40" w:type="dxa"/>
            <w:vAlign w:val="bottom"/>
            <w:tcBorders>
              <w:right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shd w:val="clear" w:color="auto" w:fill="D9D9D9"/>
          </w:tcPr>
          <w:p>
            <w:pPr>
              <w:spacing w:after="0"/>
              <w:rPr>
                <w:sz w:val="6"/>
                <w:szCs w:val="6"/>
                <w:color w:val="auto"/>
              </w:rPr>
            </w:pPr>
          </w:p>
        </w:tc>
        <w:tc>
          <w:tcPr>
            <w:tcW w:w="378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180" w:type="dxa"/>
            <w:vAlign w:val="bottom"/>
            <w:tcBorders>
              <w:bottom w:val="single" w:sz="8" w:color="auto"/>
            </w:tcBorders>
            <w:shd w:val="clear" w:color="auto" w:fill="D9D9D9"/>
          </w:tcPr>
          <w:p>
            <w:pPr>
              <w:spacing w:after="0"/>
              <w:rPr>
                <w:sz w:val="6"/>
                <w:szCs w:val="6"/>
                <w:color w:val="auto"/>
              </w:rPr>
            </w:pPr>
          </w:p>
        </w:tc>
        <w:tc>
          <w:tcPr>
            <w:tcW w:w="72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860" w:type="dxa"/>
            <w:vAlign w:val="bottom"/>
            <w:tcBorders>
              <w:bottom w:val="single" w:sz="8" w:color="auto"/>
            </w:tcBorders>
            <w:shd w:val="clear" w:color="auto" w:fill="D9D9D9"/>
          </w:tcPr>
          <w:p>
            <w:pPr>
              <w:spacing w:after="0"/>
              <w:rPr>
                <w:sz w:val="6"/>
                <w:szCs w:val="6"/>
                <w:color w:val="auto"/>
              </w:rPr>
            </w:pPr>
          </w:p>
        </w:tc>
        <w:tc>
          <w:tcPr>
            <w:tcW w:w="40" w:type="dxa"/>
            <w:vAlign w:val="bottom"/>
            <w:tcBorders>
              <w:bottom w:val="single" w:sz="8" w:color="auto"/>
              <w:right w:val="single" w:sz="8" w:color="D9D9D9"/>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Borders>
              <w:right w:val="single" w:sz="8" w:color="auto"/>
            </w:tcBorders>
          </w:tcPr>
          <w:p>
            <w:pPr>
              <w:ind w:left="200"/>
              <w:spacing w:after="0" w:line="190" w:lineRule="exact"/>
              <w:rPr>
                <w:sz w:val="20"/>
                <w:szCs w:val="20"/>
                <w:color w:val="auto"/>
              </w:rPr>
            </w:pPr>
            <w:r>
              <w:rPr>
                <w:rFonts w:ascii="Arial" w:cs="Arial" w:eastAsia="Arial" w:hAnsi="Arial"/>
                <w:sz w:val="18"/>
                <w:szCs w:val="18"/>
                <w:color w:val="auto"/>
              </w:rPr>
              <w:t>Black or African American</w:t>
            </w:r>
          </w:p>
        </w:tc>
        <w:tc>
          <w:tcPr>
            <w:tcW w:w="9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Borders>
              <w:right w:val="single" w:sz="8" w:color="auto"/>
            </w:tcBorders>
          </w:tcPr>
          <w:p>
            <w:pPr>
              <w:ind w:left="200"/>
              <w:spacing w:after="0" w:line="190" w:lineRule="exact"/>
              <w:rPr>
                <w:sz w:val="20"/>
                <w:szCs w:val="20"/>
                <w:color w:val="auto"/>
              </w:rPr>
            </w:pPr>
            <w:r>
              <w:rPr>
                <w:rFonts w:ascii="Arial" w:cs="Arial" w:eastAsia="Arial" w:hAnsi="Arial"/>
                <w:sz w:val="18"/>
                <w:szCs w:val="18"/>
                <w:color w:val="auto"/>
              </w:rPr>
              <w:t>White</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right w:val="single" w:sz="8" w:color="auto"/>
            </w:tcBorders>
          </w:tcPr>
          <w:p>
            <w:pPr>
              <w:jc w:val="center"/>
              <w:ind w:right="131"/>
              <w:spacing w:after="0" w:line="19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gridSpan w:val="2"/>
          </w:tcPr>
          <w:p>
            <w:pPr>
              <w:jc w:val="center"/>
              <w:ind w:right="40"/>
              <w:spacing w:after="0" w:line="190" w:lineRule="exact"/>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50"/>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D9D9D9"/>
          </w:tcPr>
          <w:p>
            <w:pPr>
              <w:spacing w:after="0"/>
              <w:rPr>
                <w:sz w:val="21"/>
                <w:szCs w:val="21"/>
                <w:color w:val="auto"/>
              </w:rPr>
            </w:pPr>
          </w:p>
        </w:tc>
        <w:tc>
          <w:tcPr>
            <w:tcW w:w="3780" w:type="dxa"/>
            <w:vAlign w:val="bottom"/>
            <w:tcBorders>
              <w:right w:val="single" w:sz="8" w:color="D9D9D9"/>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Gender</w:t>
            </w:r>
          </w:p>
        </w:tc>
        <w:tc>
          <w:tcPr>
            <w:tcW w:w="900" w:type="dxa"/>
            <w:vAlign w:val="bottom"/>
            <w:tcBorders>
              <w:right w:val="single" w:sz="8" w:color="D9D9D9"/>
            </w:tcBorders>
            <w:shd w:val="clear" w:color="auto" w:fill="D9D9D9"/>
          </w:tcPr>
          <w:p>
            <w:pPr>
              <w:spacing w:after="0"/>
              <w:rPr>
                <w:sz w:val="21"/>
                <w:szCs w:val="21"/>
                <w:color w:val="auto"/>
              </w:rPr>
            </w:pPr>
          </w:p>
        </w:tc>
        <w:tc>
          <w:tcPr>
            <w:tcW w:w="900" w:type="dxa"/>
            <w:vAlign w:val="bottom"/>
            <w:tcBorders>
              <w:right w:val="single" w:sz="8" w:color="D9D9D9"/>
            </w:tcBorders>
            <w:shd w:val="clear" w:color="auto" w:fill="D9D9D9"/>
          </w:tcPr>
          <w:p>
            <w:pPr>
              <w:spacing w:after="0"/>
              <w:rPr>
                <w:sz w:val="21"/>
                <w:szCs w:val="21"/>
                <w:color w:val="auto"/>
              </w:rPr>
            </w:pPr>
          </w:p>
        </w:tc>
        <w:tc>
          <w:tcPr>
            <w:tcW w:w="900" w:type="dxa"/>
            <w:vAlign w:val="bottom"/>
            <w:tcBorders>
              <w:right w:val="single" w:sz="8" w:color="D9D9D9"/>
            </w:tcBorders>
            <w:shd w:val="clear" w:color="auto" w:fill="D9D9D9"/>
          </w:tcPr>
          <w:p>
            <w:pPr>
              <w:spacing w:after="0"/>
              <w:rPr>
                <w:sz w:val="21"/>
                <w:szCs w:val="21"/>
                <w:color w:val="auto"/>
              </w:rPr>
            </w:pPr>
          </w:p>
        </w:tc>
        <w:tc>
          <w:tcPr>
            <w:tcW w:w="900" w:type="dxa"/>
            <w:vAlign w:val="bottom"/>
            <w:tcBorders>
              <w:right w:val="single" w:sz="8" w:color="D9D9D9"/>
            </w:tcBorders>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720" w:type="dxa"/>
            <w:vAlign w:val="bottom"/>
            <w:tcBorders>
              <w:right w:val="single" w:sz="8" w:color="D9D9D9"/>
            </w:tcBorders>
            <w:shd w:val="clear" w:color="auto" w:fill="D9D9D9"/>
          </w:tcPr>
          <w:p>
            <w:pPr>
              <w:spacing w:after="0"/>
              <w:rPr>
                <w:sz w:val="21"/>
                <w:szCs w:val="21"/>
                <w:color w:val="auto"/>
              </w:rPr>
            </w:pPr>
          </w:p>
        </w:tc>
        <w:tc>
          <w:tcPr>
            <w:tcW w:w="900" w:type="dxa"/>
            <w:vAlign w:val="bottom"/>
            <w:tcBorders>
              <w:right w:val="single" w:sz="8" w:color="D9D9D9"/>
            </w:tcBorders>
            <w:shd w:val="clear" w:color="auto" w:fill="D9D9D9"/>
          </w:tcPr>
          <w:p>
            <w:pPr>
              <w:spacing w:after="0"/>
              <w:rPr>
                <w:sz w:val="21"/>
                <w:szCs w:val="21"/>
                <w:color w:val="auto"/>
              </w:rPr>
            </w:pPr>
          </w:p>
        </w:tc>
        <w:tc>
          <w:tcPr>
            <w:tcW w:w="860" w:type="dxa"/>
            <w:vAlign w:val="bottom"/>
            <w:shd w:val="clear" w:color="auto" w:fill="D9D9D9"/>
          </w:tcPr>
          <w:p>
            <w:pPr>
              <w:spacing w:after="0"/>
              <w:rPr>
                <w:sz w:val="21"/>
                <w:szCs w:val="21"/>
                <w:color w:val="auto"/>
              </w:rPr>
            </w:pPr>
          </w:p>
        </w:tc>
        <w:tc>
          <w:tcPr>
            <w:tcW w:w="40" w:type="dxa"/>
            <w:vAlign w:val="bottom"/>
            <w:tcBorders>
              <w:right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shd w:val="clear" w:color="auto" w:fill="D9D9D9"/>
          </w:tcPr>
          <w:p>
            <w:pPr>
              <w:spacing w:after="0"/>
              <w:rPr>
                <w:sz w:val="6"/>
                <w:szCs w:val="6"/>
                <w:color w:val="auto"/>
              </w:rPr>
            </w:pPr>
          </w:p>
        </w:tc>
        <w:tc>
          <w:tcPr>
            <w:tcW w:w="378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180" w:type="dxa"/>
            <w:vAlign w:val="bottom"/>
            <w:tcBorders>
              <w:bottom w:val="single" w:sz="8" w:color="auto"/>
            </w:tcBorders>
            <w:shd w:val="clear" w:color="auto" w:fill="D9D9D9"/>
          </w:tcPr>
          <w:p>
            <w:pPr>
              <w:spacing w:after="0"/>
              <w:rPr>
                <w:sz w:val="6"/>
                <w:szCs w:val="6"/>
                <w:color w:val="auto"/>
              </w:rPr>
            </w:pPr>
          </w:p>
        </w:tc>
        <w:tc>
          <w:tcPr>
            <w:tcW w:w="720" w:type="dxa"/>
            <w:vAlign w:val="bottom"/>
            <w:tcBorders>
              <w:bottom w:val="single" w:sz="8" w:color="auto"/>
              <w:right w:val="single" w:sz="8" w:color="D9D9D9"/>
            </w:tcBorders>
            <w:shd w:val="clear" w:color="auto" w:fill="D9D9D9"/>
          </w:tcPr>
          <w:p>
            <w:pPr>
              <w:spacing w:after="0"/>
              <w:rPr>
                <w:sz w:val="6"/>
                <w:szCs w:val="6"/>
                <w:color w:val="auto"/>
              </w:rPr>
            </w:pPr>
          </w:p>
        </w:tc>
        <w:tc>
          <w:tcPr>
            <w:tcW w:w="900" w:type="dxa"/>
            <w:vAlign w:val="bottom"/>
            <w:tcBorders>
              <w:bottom w:val="single" w:sz="8" w:color="auto"/>
              <w:right w:val="single" w:sz="8" w:color="D9D9D9"/>
            </w:tcBorders>
            <w:shd w:val="clear" w:color="auto" w:fill="D9D9D9"/>
          </w:tcPr>
          <w:p>
            <w:pPr>
              <w:spacing w:after="0"/>
              <w:rPr>
                <w:sz w:val="6"/>
                <w:szCs w:val="6"/>
                <w:color w:val="auto"/>
              </w:rPr>
            </w:pPr>
          </w:p>
        </w:tc>
        <w:tc>
          <w:tcPr>
            <w:tcW w:w="860" w:type="dxa"/>
            <w:vAlign w:val="bottom"/>
            <w:tcBorders>
              <w:bottom w:val="single" w:sz="8" w:color="auto"/>
            </w:tcBorders>
            <w:shd w:val="clear" w:color="auto" w:fill="D9D9D9"/>
          </w:tcPr>
          <w:p>
            <w:pPr>
              <w:spacing w:after="0"/>
              <w:rPr>
                <w:sz w:val="6"/>
                <w:szCs w:val="6"/>
                <w:color w:val="auto"/>
              </w:rPr>
            </w:pPr>
          </w:p>
        </w:tc>
        <w:tc>
          <w:tcPr>
            <w:tcW w:w="40" w:type="dxa"/>
            <w:vAlign w:val="bottom"/>
            <w:tcBorders>
              <w:bottom w:val="single" w:sz="8" w:color="auto"/>
              <w:right w:val="single" w:sz="8" w:color="D9D9D9"/>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Borders>
              <w:right w:val="single" w:sz="8" w:color="auto"/>
            </w:tcBorders>
          </w:tcPr>
          <w:p>
            <w:pPr>
              <w:ind w:left="200"/>
              <w:spacing w:after="0" w:line="190" w:lineRule="exact"/>
              <w:rPr>
                <w:sz w:val="20"/>
                <w:szCs w:val="20"/>
                <w:color w:val="auto"/>
              </w:rPr>
            </w:pPr>
            <w:r>
              <w:rPr>
                <w:rFonts w:ascii="Arial" w:cs="Arial" w:eastAsia="Arial" w:hAnsi="Arial"/>
                <w:sz w:val="18"/>
                <w:szCs w:val="18"/>
                <w:color w:val="auto"/>
              </w:rPr>
              <w:t>Female</w:t>
            </w:r>
          </w:p>
        </w:tc>
        <w:tc>
          <w:tcPr>
            <w:tcW w:w="9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2"/>
              </w:rPr>
              <w:t>Š</w:t>
            </w:r>
          </w:p>
        </w:tc>
        <w:tc>
          <w:tcPr>
            <w:tcW w:w="8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Male</w:t>
            </w:r>
          </w:p>
        </w:tc>
        <w:tc>
          <w:tcPr>
            <w:tcW w:w="9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82"/>
              </w:rPr>
              <w:t>Š</w:t>
            </w:r>
          </w:p>
        </w:tc>
        <w:tc>
          <w:tcPr>
            <w:tcW w:w="180" w:type="dxa"/>
            <w:vAlign w:val="bottom"/>
          </w:tcPr>
          <w:p>
            <w:pPr>
              <w:spacing w:after="0"/>
              <w:rPr>
                <w:sz w:val="21"/>
                <w:szCs w:val="21"/>
                <w:color w:val="auto"/>
              </w:rPr>
            </w:pPr>
          </w:p>
        </w:tc>
        <w:tc>
          <w:tcPr>
            <w:tcW w:w="720" w:type="dxa"/>
            <w:vAlign w:val="bottom"/>
            <w:tcBorders>
              <w:right w:val="single" w:sz="8" w:color="auto"/>
            </w:tcBorders>
          </w:tcPr>
          <w:p>
            <w:pPr>
              <w:jc w:val="center"/>
              <w:ind w:right="131"/>
              <w:spacing w:after="0" w:line="200" w:lineRule="exact"/>
              <w:rPr>
                <w:sz w:val="20"/>
                <w:szCs w:val="20"/>
                <w:color w:val="auto"/>
              </w:rPr>
            </w:pPr>
            <w:r>
              <w:rPr>
                <w:rFonts w:ascii="Arial" w:cs="Arial" w:eastAsia="Arial" w:hAnsi="Arial"/>
                <w:sz w:val="18"/>
                <w:szCs w:val="18"/>
                <w:color w:val="auto"/>
                <w:w w:val="82"/>
              </w:rPr>
              <w:t>Š</w:t>
            </w: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gridSpan w:val="2"/>
          </w:tcPr>
          <w:p>
            <w:pPr>
              <w:jc w:val="center"/>
              <w:ind w:right="40"/>
              <w:spacing w:after="0" w:line="200" w:lineRule="exact"/>
              <w:rPr>
                <w:sz w:val="20"/>
                <w:szCs w:val="20"/>
                <w:color w:val="auto"/>
              </w:rPr>
            </w:pPr>
            <w:r>
              <w:rPr>
                <w:rFonts w:ascii="Arial" w:cs="Arial" w:eastAsia="Arial" w:hAnsi="Arial"/>
                <w:sz w:val="18"/>
                <w:szCs w:val="18"/>
                <w:color w:val="auto"/>
                <w:w w:val="82"/>
              </w:rPr>
              <w:t>Š</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-4083050</wp:posOffset>
            </wp:positionV>
            <wp:extent cx="183515" cy="3752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
                      <a:extLst>
                        <a:ext uri="{28A0092B-C50C-407E-A947-70E740481C1C}"/>
                      </a:extLst>
                    </a:blip>
                    <a:srcRect/>
                    <a:stretch>
                      <a:fillRect/>
                    </a:stretch>
                  </pic:blipFill>
                  <pic:spPr bwMode="auto">
                    <a:xfrm>
                      <a:off x="0" y="0"/>
                      <a:ext cx="183515" cy="37528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-3633470</wp:posOffset>
            </wp:positionV>
            <wp:extent cx="210820" cy="1924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
                      <a:extLst>
                        <a:ext uri="{28A0092B-C50C-407E-A947-70E740481C1C}"/>
                      </a:extLst>
                    </a:blip>
                    <a:srcRect/>
                    <a:stretch>
                      <a:fillRect/>
                    </a:stretch>
                  </pic:blipFill>
                  <pic:spPr bwMode="auto">
                    <a:xfrm>
                      <a:off x="0" y="0"/>
                      <a:ext cx="210820" cy="19240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-3324225</wp:posOffset>
            </wp:positionV>
            <wp:extent cx="201295" cy="1377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
                      <a:extLst>
                        <a:ext uri="{28A0092B-C50C-407E-A947-70E740481C1C}"/>
                      </a:extLst>
                    </a:blip>
                    <a:srcRect/>
                    <a:stretch>
                      <a:fillRect/>
                    </a:stretch>
                  </pic:blipFill>
                  <pic:spPr bwMode="auto">
                    <a:xfrm>
                      <a:off x="0" y="0"/>
                      <a:ext cx="201295" cy="13779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-3121660</wp:posOffset>
            </wp:positionV>
            <wp:extent cx="210820" cy="2019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
                      <a:extLst>
                        <a:ext uri="{28A0092B-C50C-407E-A947-70E740481C1C}"/>
                      </a:extLst>
                    </a:blip>
                    <a:srcRect/>
                    <a:stretch>
                      <a:fillRect/>
                    </a:stretch>
                  </pic:blipFill>
                  <pic:spPr bwMode="auto">
                    <a:xfrm>
                      <a:off x="0" y="0"/>
                      <a:ext cx="210820" cy="20193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-2846070</wp:posOffset>
            </wp:positionV>
            <wp:extent cx="201930" cy="1924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
                      <a:extLst>
                        <a:ext uri="{28A0092B-C50C-407E-A947-70E740481C1C}"/>
                      </a:extLst>
                    </a:blip>
                    <a:srcRect/>
                    <a:stretch>
                      <a:fillRect/>
                    </a:stretch>
                  </pic:blipFill>
                  <pic:spPr bwMode="auto">
                    <a:xfrm>
                      <a:off x="0" y="0"/>
                      <a:ext cx="201930" cy="19240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-2597785</wp:posOffset>
            </wp:positionV>
            <wp:extent cx="210820" cy="2108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3">
                      <a:extLst>
                        <a:ext uri="{28A0092B-C50C-407E-A947-70E740481C1C}"/>
                      </a:extLst>
                    </a:blip>
                    <a:srcRect/>
                    <a:stretch>
                      <a:fillRect/>
                    </a:stretch>
                  </pic:blipFill>
                  <pic:spPr bwMode="auto">
                    <a:xfrm>
                      <a:off x="0" y="0"/>
                      <a:ext cx="210820" cy="21082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-2331085</wp:posOffset>
            </wp:positionV>
            <wp:extent cx="210820" cy="2108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4">
                      <a:extLst>
                        <a:ext uri="{28A0092B-C50C-407E-A947-70E740481C1C}"/>
                      </a:extLst>
                    </a:blip>
                    <a:srcRect/>
                    <a:stretch>
                      <a:fillRect/>
                    </a:stretch>
                  </pic:blipFill>
                  <pic:spPr bwMode="auto">
                    <a:xfrm>
                      <a:off x="0" y="0"/>
                      <a:ext cx="210820" cy="21082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-2058035</wp:posOffset>
            </wp:positionV>
            <wp:extent cx="173990" cy="2044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5">
                      <a:extLst>
                        <a:ext uri="{28A0092B-C50C-407E-A947-70E740481C1C}"/>
                      </a:extLst>
                    </a:blip>
                    <a:srcRect/>
                    <a:stretch>
                      <a:fillRect/>
                    </a:stretch>
                  </pic:blipFill>
                  <pic:spPr bwMode="auto">
                    <a:xfrm>
                      <a:off x="0" y="0"/>
                      <a:ext cx="173990" cy="20447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-1751965</wp:posOffset>
            </wp:positionV>
            <wp:extent cx="219710" cy="165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6">
                      <a:extLst>
                        <a:ext uri="{28A0092B-C50C-407E-A947-70E740481C1C}"/>
                      </a:extLst>
                    </a:blip>
                    <a:srcRect/>
                    <a:stretch>
                      <a:fillRect/>
                    </a:stretch>
                  </pic:blipFill>
                  <pic:spPr bwMode="auto">
                    <a:xfrm>
                      <a:off x="0" y="0"/>
                      <a:ext cx="219710" cy="165100"/>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-1530985</wp:posOffset>
            </wp:positionV>
            <wp:extent cx="247015" cy="2108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7">
                      <a:extLst>
                        <a:ext uri="{28A0092B-C50C-407E-A947-70E740481C1C}"/>
                      </a:extLst>
                    </a:blip>
                    <a:srcRect/>
                    <a:stretch>
                      <a:fillRect/>
                    </a:stretch>
                  </pic:blipFill>
                  <pic:spPr bwMode="auto">
                    <a:xfrm>
                      <a:off x="0" y="0"/>
                      <a:ext cx="247015" cy="210820"/>
                    </a:xfrm>
                    <a:prstGeom prst="rect">
                      <a:avLst/>
                    </a:prstGeom>
                    <a:noFill/>
                  </pic:spPr>
                </pic:pic>
              </a:graphicData>
            </a:graphic>
          </wp:anchor>
        </w:drawing>
      </w:r>
    </w:p>
    <w:p>
      <w:pPr>
        <w:spacing w:after="0" w:line="27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To identify, recruit and evaluate qualified candidates for the Board, the Board first looks to individuals known to current Board members through business and other relationships. Mr. McEachin who was appointed to the Board in 2022 was identified by a trustee.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2024 Annual Meeting” section starting at page 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1178560</wp:posOffset>
                </wp:positionV>
                <wp:extent cx="6400800" cy="17780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24" o:spid="_x0000_s1349" style="position:absolute;margin-left:0pt;margin-top:92.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1177925</wp:posOffset>
                </wp:positionV>
                <wp:extent cx="0" cy="17780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2.75pt" to="0.75pt,106.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1187450</wp:posOffset>
                </wp:positionV>
                <wp:extent cx="640080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504pt,9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1177925</wp:posOffset>
                </wp:positionV>
                <wp:extent cx="0" cy="17780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2.75pt" to="503.25pt,106.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1346200</wp:posOffset>
                </wp:positionV>
                <wp:extent cx="640080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pt" to="504pt,106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12</w:t>
      </w:r>
    </w:p>
    <w:p>
      <w:pPr>
        <w:sectPr>
          <w:pgSz w:w="11880" w:h="15480" w:orient="portrait"/>
          <w:cols w:equalWidth="0" w:num="1">
            <w:col w:w="10080"/>
          </w:cols>
          <w:pgMar w:left="900" w:top="1316" w:right="900" w:bottom="764" w:gutter="0" w:footer="0" w:header="0"/>
          <w:type w:val="continuous"/>
        </w:sectPr>
      </w:pPr>
    </w:p>
    <w:bookmarkStart w:id="132" w:name="page133"/>
    <w:bookmarkEnd w:id="132"/>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NOMINEE DIVERSITY AND TENURE</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45"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920" w:type="dxa"/>
            <w:vAlign w:val="bottom"/>
          </w:tcPr>
          <w:p>
            <w:pPr>
              <w:spacing w:after="0"/>
              <w:rPr>
                <w:sz w:val="19"/>
                <w:szCs w:val="19"/>
                <w:color w:val="auto"/>
              </w:rPr>
            </w:pPr>
          </w:p>
        </w:tc>
        <w:tc>
          <w:tcPr>
            <w:tcW w:w="1620" w:type="dxa"/>
            <w:vAlign w:val="bottom"/>
          </w:tcPr>
          <w:p>
            <w:pPr>
              <w:jc w:val="center"/>
              <w:ind w:right="255"/>
              <w:spacing w:after="0"/>
              <w:rPr>
                <w:sz w:val="20"/>
                <w:szCs w:val="20"/>
                <w:color w:val="auto"/>
              </w:rPr>
            </w:pPr>
            <w:r>
              <w:rPr>
                <w:rFonts w:ascii="Arial" w:cs="Arial" w:eastAsia="Arial" w:hAnsi="Arial"/>
                <w:sz w:val="20"/>
                <w:szCs w:val="20"/>
                <w:color w:val="FB1717"/>
              </w:rPr>
              <w:t>AGE</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gridSpan w:val="3"/>
          </w:tcPr>
          <w:p>
            <w:pPr>
              <w:jc w:val="center"/>
              <w:ind w:left="303"/>
              <w:spacing w:after="0"/>
              <w:rPr>
                <w:sz w:val="20"/>
                <w:szCs w:val="20"/>
                <w:color w:val="auto"/>
              </w:rPr>
            </w:pPr>
            <w:r>
              <w:rPr>
                <w:rFonts w:ascii="Arial" w:cs="Arial" w:eastAsia="Arial" w:hAnsi="Arial"/>
                <w:sz w:val="20"/>
                <w:szCs w:val="20"/>
                <w:color w:val="FB1717"/>
                <w:w w:val="99"/>
              </w:rPr>
              <w:t>TENURE</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4"/>
          </w:tcPr>
          <w:p>
            <w:pPr>
              <w:jc w:val="center"/>
              <w:spacing w:after="0"/>
              <w:rPr>
                <w:sz w:val="20"/>
                <w:szCs w:val="20"/>
                <w:color w:val="auto"/>
              </w:rPr>
            </w:pPr>
            <w:r>
              <w:rPr>
                <w:rFonts w:ascii="Arial" w:cs="Arial" w:eastAsia="Arial" w:hAnsi="Arial"/>
                <w:sz w:val="20"/>
                <w:szCs w:val="20"/>
                <w:color w:val="FB1717"/>
                <w:w w:val="99"/>
              </w:rPr>
              <w:t>GENDER &amp; ETHNIC DIVERSITY</w:t>
            </w:r>
          </w:p>
        </w:tc>
        <w:tc>
          <w:tcPr>
            <w:tcW w:w="0" w:type="dxa"/>
            <w:vAlign w:val="bottom"/>
          </w:tcPr>
          <w:p>
            <w:pPr>
              <w:spacing w:after="0"/>
              <w:rPr>
                <w:sz w:val="1"/>
                <w:szCs w:val="1"/>
                <w:color w:val="auto"/>
              </w:rPr>
            </w:pPr>
          </w:p>
        </w:tc>
      </w:tr>
      <w:tr>
        <w:trPr>
          <w:trHeight w:val="53"/>
        </w:trPr>
        <w:tc>
          <w:tcPr>
            <w:tcW w:w="9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40" w:type="dxa"/>
            <w:vAlign w:val="bottom"/>
            <w:tcBorders>
              <w:right w:val="single" w:sz="8" w:color="auto"/>
            </w:tcBorders>
            <w:vMerge w:val="restart"/>
          </w:tcPr>
          <w:p>
            <w:pPr>
              <w:jc w:val="center"/>
              <w:ind w:right="277"/>
              <w:spacing w:after="0"/>
              <w:rPr>
                <w:sz w:val="20"/>
                <w:szCs w:val="20"/>
                <w:color w:val="auto"/>
              </w:rPr>
            </w:pPr>
            <w:r>
              <w:rPr>
                <w:rFonts w:ascii="Arial" w:cs="Arial" w:eastAsia="Arial" w:hAnsi="Arial"/>
                <w:sz w:val="17"/>
                <w:szCs w:val="17"/>
                <w:color w:val="FB1716"/>
              </w:rPr>
              <w:t>Females</w:t>
            </w:r>
          </w:p>
        </w:tc>
        <w:tc>
          <w:tcPr>
            <w:tcW w:w="0" w:type="dxa"/>
            <w:vAlign w:val="bottom"/>
          </w:tcPr>
          <w:p>
            <w:pPr>
              <w:spacing w:after="0"/>
              <w:rPr>
                <w:sz w:val="1"/>
                <w:szCs w:val="1"/>
                <w:color w:val="auto"/>
              </w:rPr>
            </w:pPr>
          </w:p>
        </w:tc>
      </w:tr>
      <w:tr>
        <w:trPr>
          <w:trHeight w:val="199"/>
        </w:trPr>
        <w:tc>
          <w:tcPr>
            <w:tcW w:w="920" w:type="dxa"/>
            <w:vAlign w:val="bottom"/>
            <w:tcBorders>
              <w:left w:val="single" w:sz="8" w:color="auto"/>
            </w:tcBorders>
          </w:tcPr>
          <w:p>
            <w:pPr>
              <w:spacing w:after="0"/>
              <w:rPr>
                <w:sz w:val="17"/>
                <w:szCs w:val="17"/>
                <w:color w:val="auto"/>
              </w:rPr>
            </w:pPr>
          </w:p>
        </w:tc>
        <w:tc>
          <w:tcPr>
            <w:tcW w:w="1620" w:type="dxa"/>
            <w:vAlign w:val="bottom"/>
            <w:vMerge w:val="restart"/>
          </w:tcPr>
          <w:p>
            <w:pPr>
              <w:jc w:val="right"/>
              <w:ind w:right="1395"/>
              <w:spacing w:after="0"/>
              <w:rPr>
                <w:sz w:val="20"/>
                <w:szCs w:val="20"/>
                <w:color w:val="auto"/>
              </w:rPr>
            </w:pPr>
            <w:r>
              <w:rPr>
                <w:rFonts w:ascii="Calibri" w:cs="Calibri" w:eastAsia="Calibri" w:hAnsi="Calibri"/>
                <w:sz w:val="17"/>
                <w:szCs w:val="17"/>
                <w:b w:val="1"/>
                <w:bCs w:val="1"/>
                <w:color w:val="FFFFFF"/>
              </w:rPr>
              <w:t>1</w:t>
            </w:r>
          </w:p>
        </w:tc>
        <w:tc>
          <w:tcPr>
            <w:tcW w:w="1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20" w:type="dxa"/>
            <w:vAlign w:val="bottom"/>
            <w:vMerge w:val="restart"/>
            <w:shd w:val="clear" w:color="auto" w:fill="FB1716"/>
          </w:tcPr>
          <w:p>
            <w:pPr>
              <w:jc w:val="right"/>
              <w:spacing w:after="0"/>
              <w:rPr>
                <w:sz w:val="20"/>
                <w:szCs w:val="20"/>
                <w:color w:val="auto"/>
              </w:rPr>
            </w:pPr>
            <w:r>
              <w:rPr>
                <w:rFonts w:ascii="Arial" w:cs="Arial" w:eastAsia="Arial" w:hAnsi="Arial"/>
                <w:sz w:val="19"/>
                <w:szCs w:val="19"/>
                <w:color w:val="FFFFFF"/>
              </w:rPr>
              <w:t>3</w:t>
            </w:r>
          </w:p>
        </w:tc>
        <w:tc>
          <w:tcPr>
            <w:tcW w:w="220" w:type="dxa"/>
            <w:vAlign w:val="bottom"/>
            <w:shd w:val="clear" w:color="auto" w:fill="FB1716"/>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920" w:type="dxa"/>
            <w:vAlign w:val="bottom"/>
            <w:tcBorders>
              <w:left w:val="single" w:sz="8" w:color="auto"/>
            </w:tcBorders>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Borders>
              <w:bottom w:val="single" w:sz="8" w:color="FB1614"/>
            </w:tcBorders>
          </w:tcPr>
          <w:p>
            <w:pPr>
              <w:spacing w:after="0"/>
              <w:rPr>
                <w:sz w:val="24"/>
                <w:szCs w:val="24"/>
                <w:color w:val="auto"/>
              </w:rPr>
            </w:pPr>
          </w:p>
        </w:tc>
        <w:tc>
          <w:tcPr>
            <w:tcW w:w="4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595959"/>
              </w:rPr>
              <w:t>50s</w:t>
            </w:r>
          </w:p>
        </w:tc>
        <w:tc>
          <w:tcPr>
            <w:tcW w:w="26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FB1614"/>
            </w:tcBorders>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color w:val="595959"/>
              </w:rPr>
              <w:t>&lt; 5 years</w:t>
            </w:r>
          </w:p>
        </w:tc>
        <w:tc>
          <w:tcPr>
            <w:tcW w:w="240" w:type="dxa"/>
            <w:vAlign w:val="bottom"/>
            <w:tcBorders>
              <w:right w:val="single" w:sz="8" w:color="auto"/>
            </w:tcBorders>
          </w:tcPr>
          <w:p>
            <w:pPr>
              <w:spacing w:after="0"/>
              <w:rPr>
                <w:sz w:val="24"/>
                <w:szCs w:val="24"/>
                <w:color w:val="auto"/>
              </w:rPr>
            </w:pPr>
          </w:p>
        </w:tc>
        <w:tc>
          <w:tcPr>
            <w:tcW w:w="420" w:type="dxa"/>
            <w:vAlign w:val="bottom"/>
            <w:tcBorders>
              <w:bottom w:val="single" w:sz="8" w:color="FB1716"/>
            </w:tcBorders>
            <w:vMerge w:val="continue"/>
            <w:shd w:val="clear" w:color="auto" w:fill="FB1716"/>
          </w:tcPr>
          <w:p>
            <w:pPr>
              <w:spacing w:after="0"/>
              <w:rPr>
                <w:sz w:val="24"/>
                <w:szCs w:val="24"/>
                <w:color w:val="auto"/>
              </w:rPr>
            </w:pPr>
          </w:p>
        </w:tc>
        <w:tc>
          <w:tcPr>
            <w:tcW w:w="220" w:type="dxa"/>
            <w:vAlign w:val="bottom"/>
            <w:tcBorders>
              <w:bottom w:val="single" w:sz="8" w:color="FB1716"/>
            </w:tcBorders>
            <w:shd w:val="clear" w:color="auto" w:fill="FB1716"/>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ind w:right="297"/>
              <w:spacing w:after="0" w:line="185" w:lineRule="exact"/>
              <w:rPr>
                <w:sz w:val="20"/>
                <w:szCs w:val="20"/>
                <w:color w:val="auto"/>
              </w:rPr>
            </w:pPr>
            <w:r>
              <w:rPr>
                <w:rFonts w:ascii="Arial" w:cs="Arial" w:eastAsia="Arial" w:hAnsi="Arial"/>
                <w:sz w:val="17"/>
                <w:szCs w:val="17"/>
                <w:color w:val="FB1716"/>
              </w:rPr>
              <w:t>43%</w:t>
            </w:r>
          </w:p>
        </w:tc>
        <w:tc>
          <w:tcPr>
            <w:tcW w:w="0" w:type="dxa"/>
            <w:vAlign w:val="bottom"/>
          </w:tcPr>
          <w:p>
            <w:pPr>
              <w:spacing w:after="0"/>
              <w:rPr>
                <w:sz w:val="1"/>
                <w:szCs w:val="1"/>
                <w:color w:val="auto"/>
              </w:rPr>
            </w:pPr>
          </w:p>
        </w:tc>
      </w:tr>
      <w:tr>
        <w:trPr>
          <w:trHeight w:val="121"/>
        </w:trPr>
        <w:tc>
          <w:tcPr>
            <w:tcW w:w="920" w:type="dxa"/>
            <w:vAlign w:val="bottom"/>
            <w:tcBorders>
              <w:left w:val="single" w:sz="8" w:color="auto"/>
            </w:tcBorders>
            <w:vMerge w:val="restart"/>
          </w:tcPr>
          <w:p>
            <w:pPr>
              <w:jc w:val="right"/>
              <w:spacing w:after="0"/>
              <w:rPr>
                <w:sz w:val="20"/>
                <w:szCs w:val="20"/>
                <w:color w:val="auto"/>
              </w:rPr>
            </w:pPr>
            <w:r>
              <w:rPr>
                <w:rFonts w:ascii="Calibri" w:cs="Calibri" w:eastAsia="Calibri" w:hAnsi="Calibri"/>
                <w:sz w:val="17"/>
                <w:szCs w:val="17"/>
                <w:b w:val="1"/>
                <w:bCs w:val="1"/>
                <w:color w:val="auto"/>
              </w:rPr>
              <w:t>3</w:t>
            </w:r>
          </w:p>
        </w:tc>
        <w:tc>
          <w:tcPr>
            <w:tcW w:w="1620" w:type="dxa"/>
            <w:vAlign w:val="bottom"/>
          </w:tcPr>
          <w:p>
            <w:pPr>
              <w:jc w:val="right"/>
              <w:ind w:right="775"/>
              <w:spacing w:after="0" w:line="122" w:lineRule="exact"/>
              <w:rPr>
                <w:sz w:val="20"/>
                <w:szCs w:val="20"/>
                <w:color w:val="auto"/>
              </w:rPr>
            </w:pPr>
            <w:r>
              <w:rPr>
                <w:rFonts w:ascii="Calibri" w:cs="Calibri" w:eastAsia="Calibri" w:hAnsi="Calibri"/>
                <w:sz w:val="13"/>
                <w:szCs w:val="13"/>
                <w:b w:val="1"/>
                <w:bCs w:val="1"/>
                <w:color w:val="FFFFFF"/>
              </w:rPr>
              <w:t>3</w:t>
            </w:r>
          </w:p>
        </w:tc>
        <w:tc>
          <w:tcPr>
            <w:tcW w:w="100" w:type="dxa"/>
            <w:vAlign w:val="bottom"/>
          </w:tcPr>
          <w:p>
            <w:pPr>
              <w:spacing w:after="0"/>
              <w:rPr>
                <w:sz w:val="10"/>
                <w:szCs w:val="10"/>
                <w:color w:val="auto"/>
              </w:rPr>
            </w:pPr>
          </w:p>
        </w:tc>
        <w:tc>
          <w:tcPr>
            <w:tcW w:w="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7"/>
                <w:szCs w:val="17"/>
                <w:color w:val="595959"/>
              </w:rPr>
              <w:t>60s</w:t>
            </w:r>
          </w:p>
        </w:tc>
        <w:tc>
          <w:tcPr>
            <w:tcW w:w="260" w:type="dxa"/>
            <w:vAlign w:val="bottom"/>
            <w:tcBorders>
              <w:right w:val="single" w:sz="8" w:color="auto"/>
            </w:tcBorders>
          </w:tcPr>
          <w:p>
            <w:pPr>
              <w:spacing w:after="0"/>
              <w:rPr>
                <w:sz w:val="10"/>
                <w:szCs w:val="10"/>
                <w:color w:val="auto"/>
              </w:rPr>
            </w:pPr>
          </w:p>
        </w:tc>
        <w:tc>
          <w:tcPr>
            <w:tcW w:w="740" w:type="dxa"/>
            <w:vAlign w:val="bottom"/>
            <w:vMerge w:val="restart"/>
          </w:tcPr>
          <w:p>
            <w:pPr>
              <w:jc w:val="right"/>
              <w:ind w:right="126"/>
              <w:spacing w:after="0"/>
              <w:rPr>
                <w:sz w:val="20"/>
                <w:szCs w:val="20"/>
                <w:color w:val="auto"/>
              </w:rPr>
            </w:pPr>
            <w:r>
              <w:rPr>
                <w:rFonts w:ascii="Calibri" w:cs="Calibri" w:eastAsia="Calibri" w:hAnsi="Calibri"/>
                <w:sz w:val="20"/>
                <w:szCs w:val="20"/>
                <w:b w:val="1"/>
                <w:bCs w:val="1"/>
                <w:color w:val="FFFFFF"/>
              </w:rPr>
              <w:t>3</w:t>
            </w:r>
          </w:p>
        </w:tc>
        <w:tc>
          <w:tcPr>
            <w:tcW w:w="1140" w:type="dxa"/>
            <w:vAlign w:val="bottom"/>
            <w:vMerge w:val="restart"/>
          </w:tcPr>
          <w:p>
            <w:pPr>
              <w:jc w:val="right"/>
              <w:ind w:right="223"/>
              <w:spacing w:after="0"/>
              <w:rPr>
                <w:sz w:val="20"/>
                <w:szCs w:val="20"/>
                <w:color w:val="auto"/>
              </w:rPr>
            </w:pPr>
            <w:r>
              <w:rPr>
                <w:rFonts w:ascii="Calibri" w:cs="Calibri" w:eastAsia="Calibri" w:hAnsi="Calibri"/>
                <w:sz w:val="20"/>
                <w:szCs w:val="20"/>
                <w:b w:val="1"/>
                <w:bCs w:val="1"/>
                <w:color w:val="FFFFFF"/>
              </w:rPr>
              <w:t>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right w:val="single" w:sz="8" w:color="auto"/>
            </w:tcBorders>
            <w:vMerge w:val="restart"/>
          </w:tcPr>
          <w:p>
            <w:pPr>
              <w:ind w:left="20"/>
              <w:spacing w:after="0"/>
              <w:rPr>
                <w:sz w:val="20"/>
                <w:szCs w:val="20"/>
                <w:color w:val="auto"/>
              </w:rPr>
            </w:pPr>
            <w:r>
              <w:rPr>
                <w:rFonts w:ascii="Calibri" w:cs="Calibri" w:eastAsia="Calibri" w:hAnsi="Calibri"/>
                <w:sz w:val="17"/>
                <w:szCs w:val="17"/>
                <w:color w:val="595959"/>
              </w:rPr>
              <w:t>5-10 years</w:t>
            </w:r>
          </w:p>
        </w:tc>
        <w:tc>
          <w:tcPr>
            <w:tcW w:w="240" w:type="dxa"/>
            <w:vAlign w:val="bottom"/>
            <w:tcBorders>
              <w:right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ind w:right="297"/>
              <w:spacing w:after="0"/>
              <w:rPr>
                <w:sz w:val="20"/>
                <w:szCs w:val="20"/>
                <w:color w:val="auto"/>
              </w:rPr>
            </w:pPr>
            <w:r>
              <w:rPr>
                <w:rFonts w:ascii="Arial" w:cs="Arial" w:eastAsia="Arial" w:hAnsi="Arial"/>
                <w:sz w:val="17"/>
                <w:szCs w:val="17"/>
                <w:color w:val="FB1716"/>
              </w:rPr>
              <w:t>Ethnic</w:t>
            </w:r>
          </w:p>
        </w:tc>
        <w:tc>
          <w:tcPr>
            <w:tcW w:w="0" w:type="dxa"/>
            <w:vAlign w:val="bottom"/>
          </w:tcPr>
          <w:p>
            <w:pPr>
              <w:spacing w:after="0"/>
              <w:rPr>
                <w:sz w:val="1"/>
                <w:szCs w:val="1"/>
                <w:color w:val="auto"/>
              </w:rPr>
            </w:pPr>
          </w:p>
        </w:tc>
      </w:tr>
      <w:tr>
        <w:trPr>
          <w:trHeight w:val="41"/>
        </w:trPr>
        <w:tc>
          <w:tcPr>
            <w:tcW w:w="920" w:type="dxa"/>
            <w:vAlign w:val="bottom"/>
            <w:tcBorders>
              <w:left w:val="single" w:sz="8" w:color="auto"/>
            </w:tcBorders>
            <w:vMerge w:val="continue"/>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74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920" w:type="dxa"/>
            <w:vAlign w:val="bottom"/>
            <w:tcBorders>
              <w:left w:val="single" w:sz="8" w:color="auto"/>
            </w:tcBorders>
            <w:vMerge w:val="continue"/>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6A6A6"/>
            </w:tcBorders>
            <w:shd w:val="clear" w:color="auto" w:fill="A6A6A6"/>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shd w:val="clear" w:color="auto" w:fill="A6A6A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920" w:type="dxa"/>
            <w:vAlign w:val="bottom"/>
            <w:tcBorders>
              <w:left w:val="single" w:sz="8" w:color="auto"/>
            </w:tcBorders>
            <w:vMerge w:val="continue"/>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7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920" w:type="dxa"/>
            <w:vAlign w:val="bottom"/>
            <w:tcBorders>
              <w:left w:val="single" w:sz="8" w:color="auto"/>
            </w:tcBorders>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7"/>
                <w:szCs w:val="17"/>
                <w:color w:val="595959"/>
              </w:rPr>
              <w:t>70s</w:t>
            </w:r>
          </w:p>
        </w:tc>
        <w:tc>
          <w:tcPr>
            <w:tcW w:w="2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right w:val="single" w:sz="8" w:color="auto"/>
            </w:tcBorders>
            <w:vMerge w:val="restart"/>
          </w:tcPr>
          <w:p>
            <w:pPr>
              <w:ind w:left="20"/>
              <w:spacing w:after="0"/>
              <w:rPr>
                <w:sz w:val="20"/>
                <w:szCs w:val="20"/>
                <w:color w:val="auto"/>
              </w:rPr>
            </w:pPr>
            <w:r>
              <w:rPr>
                <w:rFonts w:ascii="Calibri" w:cs="Calibri" w:eastAsia="Calibri" w:hAnsi="Calibri"/>
                <w:sz w:val="17"/>
                <w:szCs w:val="17"/>
                <w:color w:val="595959"/>
              </w:rPr>
              <w:t>&gt; 10 years</w:t>
            </w:r>
          </w:p>
        </w:tc>
        <w:tc>
          <w:tcPr>
            <w:tcW w:w="240" w:type="dxa"/>
            <w:vAlign w:val="bottom"/>
            <w:tcBorders>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tcBorders>
            <w:vMerge w:val="continue"/>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20" w:type="dxa"/>
            <w:vAlign w:val="bottom"/>
            <w:shd w:val="clear" w:color="auto" w:fill="000000"/>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920" w:type="dxa"/>
            <w:vAlign w:val="bottom"/>
            <w:tcBorders>
              <w:left w:val="single" w:sz="8" w:color="auto"/>
            </w:tcBorders>
            <w:vMerge w:val="continue"/>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vMerge w:val="restart"/>
          </w:tcPr>
          <w:p>
            <w:pPr>
              <w:jc w:val="right"/>
              <w:ind w:right="723"/>
              <w:spacing w:after="0" w:line="208" w:lineRule="exact"/>
              <w:rPr>
                <w:sz w:val="20"/>
                <w:szCs w:val="20"/>
                <w:color w:val="auto"/>
              </w:rPr>
            </w:pPr>
            <w:r>
              <w:rPr>
                <w:rFonts w:ascii="Calibri" w:cs="Calibri" w:eastAsia="Calibri" w:hAnsi="Calibri"/>
                <w:sz w:val="20"/>
                <w:szCs w:val="20"/>
                <w:b w:val="1"/>
                <w:bCs w:val="1"/>
                <w:color w:val="auto"/>
              </w:rPr>
              <w:t>1</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420" w:type="dxa"/>
            <w:vAlign w:val="bottom"/>
            <w:vMerge w:val="restart"/>
            <w:shd w:val="clear" w:color="auto" w:fill="000000"/>
          </w:tcPr>
          <w:p>
            <w:pPr>
              <w:jc w:val="right"/>
              <w:ind w:right="66"/>
              <w:spacing w:after="0" w:line="208" w:lineRule="exact"/>
              <w:rPr>
                <w:sz w:val="20"/>
                <w:szCs w:val="20"/>
                <w:color w:val="auto"/>
              </w:rPr>
            </w:pPr>
            <w:r>
              <w:rPr>
                <w:rFonts w:ascii="Arial" w:cs="Arial" w:eastAsia="Arial" w:hAnsi="Arial"/>
                <w:sz w:val="19"/>
                <w:szCs w:val="19"/>
                <w:color w:val="FFFFFF"/>
              </w:rPr>
              <w:t>2</w:t>
            </w:r>
          </w:p>
        </w:tc>
        <w:tc>
          <w:tcPr>
            <w:tcW w:w="22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vMerge w:val="restart"/>
          </w:tcPr>
          <w:p>
            <w:pPr>
              <w:jc w:val="center"/>
              <w:ind w:right="297"/>
              <w:spacing w:after="0" w:line="191" w:lineRule="exact"/>
              <w:rPr>
                <w:sz w:val="20"/>
                <w:szCs w:val="20"/>
                <w:color w:val="auto"/>
              </w:rPr>
            </w:pPr>
            <w:r>
              <w:rPr>
                <w:rFonts w:ascii="Arial" w:cs="Arial" w:eastAsia="Arial" w:hAnsi="Arial"/>
                <w:sz w:val="17"/>
                <w:szCs w:val="17"/>
                <w:color w:val="FB1716"/>
              </w:rPr>
              <w:t>Minority</w:t>
            </w:r>
          </w:p>
        </w:tc>
        <w:tc>
          <w:tcPr>
            <w:tcW w:w="0" w:type="dxa"/>
            <w:vAlign w:val="bottom"/>
          </w:tcPr>
          <w:p>
            <w:pPr>
              <w:spacing w:after="0"/>
              <w:rPr>
                <w:sz w:val="1"/>
                <w:szCs w:val="1"/>
                <w:color w:val="auto"/>
              </w:rPr>
            </w:pPr>
          </w:p>
        </w:tc>
      </w:tr>
      <w:tr>
        <w:trPr>
          <w:trHeight w:val="153"/>
        </w:trPr>
        <w:tc>
          <w:tcPr>
            <w:tcW w:w="920" w:type="dxa"/>
            <w:vAlign w:val="bottom"/>
            <w:tcBorders>
              <w:left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20" w:type="dxa"/>
            <w:vAlign w:val="bottom"/>
            <w:vMerge w:val="continue"/>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20" w:type="dxa"/>
            <w:vAlign w:val="bottom"/>
            <w:tcBorders>
              <w:bottom w:val="single" w:sz="8" w:color="auto"/>
            </w:tcBorders>
            <w:shd w:val="clear" w:color="auto" w:fill="000000"/>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jc w:val="center"/>
              <w:ind w:right="357"/>
              <w:spacing w:after="0" w:line="135" w:lineRule="exact"/>
              <w:rPr>
                <w:sz w:val="20"/>
                <w:szCs w:val="20"/>
                <w:color w:val="auto"/>
              </w:rPr>
            </w:pPr>
            <w:r>
              <w:rPr>
                <w:rFonts w:ascii="Arial" w:cs="Arial" w:eastAsia="Arial" w:hAnsi="Arial"/>
                <w:sz w:val="15"/>
                <w:szCs w:val="15"/>
                <w:color w:val="FB1716"/>
              </w:rPr>
              <w:t>29%</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3120" w:type="dxa"/>
            <w:vAlign w:val="bottom"/>
            <w:gridSpan w:val="4"/>
          </w:tcPr>
          <w:p>
            <w:pPr>
              <w:jc w:val="center"/>
              <w:spacing w:after="0"/>
              <w:rPr>
                <w:sz w:val="20"/>
                <w:szCs w:val="20"/>
                <w:color w:val="auto"/>
              </w:rPr>
            </w:pPr>
            <w:r>
              <w:rPr>
                <w:rFonts w:ascii="Arial" w:cs="Arial" w:eastAsia="Arial" w:hAnsi="Arial"/>
                <w:sz w:val="18"/>
                <w:szCs w:val="18"/>
                <w:color w:val="auto"/>
              </w:rPr>
              <w:t>Average age of independent trustees</w:t>
            </w:r>
          </w:p>
        </w:tc>
        <w:tc>
          <w:tcPr>
            <w:tcW w:w="260" w:type="dxa"/>
            <w:vAlign w:val="bottom"/>
          </w:tcPr>
          <w:p>
            <w:pPr>
              <w:spacing w:after="0"/>
              <w:rPr>
                <w:sz w:val="24"/>
                <w:szCs w:val="24"/>
                <w:color w:val="auto"/>
              </w:rPr>
            </w:pPr>
          </w:p>
        </w:tc>
        <w:tc>
          <w:tcPr>
            <w:tcW w:w="3180" w:type="dxa"/>
            <w:vAlign w:val="bottom"/>
            <w:gridSpan w:val="5"/>
          </w:tcPr>
          <w:p>
            <w:pPr>
              <w:jc w:val="center"/>
              <w:spacing w:after="0"/>
              <w:rPr>
                <w:sz w:val="20"/>
                <w:szCs w:val="20"/>
                <w:color w:val="auto"/>
              </w:rPr>
            </w:pPr>
            <w:r>
              <w:rPr>
                <w:rFonts w:ascii="Arial" w:cs="Arial" w:eastAsia="Arial" w:hAnsi="Arial"/>
                <w:sz w:val="18"/>
                <w:szCs w:val="18"/>
                <w:color w:val="auto"/>
                <w:w w:val="99"/>
              </w:rPr>
              <w:t>Average tenure of independent trustees</w:t>
            </w:r>
          </w:p>
        </w:tc>
        <w:tc>
          <w:tcPr>
            <w:tcW w:w="240" w:type="dxa"/>
            <w:vAlign w:val="bottom"/>
          </w:tcPr>
          <w:p>
            <w:pPr>
              <w:spacing w:after="0"/>
              <w:rPr>
                <w:sz w:val="24"/>
                <w:szCs w:val="24"/>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auto"/>
                <w:w w:val="99"/>
              </w:rPr>
              <w:t>Committees chaired by women</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620" w:type="dxa"/>
            <w:vAlign w:val="bottom"/>
          </w:tcPr>
          <w:p>
            <w:pPr>
              <w:jc w:val="center"/>
              <w:ind w:right="255"/>
              <w:spacing w:after="0"/>
              <w:rPr>
                <w:sz w:val="20"/>
                <w:szCs w:val="20"/>
                <w:color w:val="auto"/>
              </w:rPr>
            </w:pPr>
            <w:r>
              <w:rPr>
                <w:rFonts w:ascii="Arial" w:cs="Arial" w:eastAsia="Arial" w:hAnsi="Arial"/>
                <w:sz w:val="18"/>
                <w:szCs w:val="18"/>
                <w:b w:val="1"/>
                <w:bCs w:val="1"/>
                <w:color w:val="FB1717"/>
              </w:rPr>
              <w:t>62.3 years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gridSpan w:val="3"/>
          </w:tcPr>
          <w:p>
            <w:pPr>
              <w:jc w:val="center"/>
              <w:ind w:left="303"/>
              <w:spacing w:after="0"/>
              <w:rPr>
                <w:sz w:val="20"/>
                <w:szCs w:val="20"/>
                <w:color w:val="auto"/>
              </w:rPr>
            </w:pPr>
            <w:r>
              <w:rPr>
                <w:rFonts w:ascii="Arial" w:cs="Arial" w:eastAsia="Arial" w:hAnsi="Arial"/>
                <w:sz w:val="18"/>
                <w:szCs w:val="18"/>
                <w:b w:val="1"/>
                <w:bCs w:val="1"/>
                <w:color w:val="FB1717"/>
              </w:rPr>
              <w:t>8.3 years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57"/>
              <w:spacing w:after="0"/>
              <w:rPr>
                <w:sz w:val="20"/>
                <w:szCs w:val="20"/>
                <w:color w:val="auto"/>
              </w:rPr>
            </w:pPr>
            <w:r>
              <w:rPr>
                <w:rFonts w:ascii="Arial" w:cs="Arial" w:eastAsia="Arial" w:hAnsi="Arial"/>
                <w:sz w:val="18"/>
                <w:szCs w:val="18"/>
                <w:b w:val="1"/>
                <w:bCs w:val="1"/>
                <w:color w:val="FB1717"/>
                <w:w w:val="99"/>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-1470660</wp:posOffset>
            </wp:positionV>
            <wp:extent cx="956310" cy="984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8">
                      <a:extLst>
                        <a:ext uri="{28A0092B-C50C-407E-A947-70E740481C1C}"/>
                      </a:extLst>
                    </a:blip>
                    <a:srcRect/>
                    <a:stretch>
                      <a:fillRect/>
                    </a:stretch>
                  </pic:blipFill>
                  <pic:spPr bwMode="auto">
                    <a:xfrm>
                      <a:off x="0" y="0"/>
                      <a:ext cx="956310" cy="984885"/>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-1482090</wp:posOffset>
            </wp:positionV>
            <wp:extent cx="986790" cy="944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9">
                      <a:extLst>
                        <a:ext uri="{28A0092B-C50C-407E-A947-70E740481C1C}"/>
                      </a:extLst>
                    </a:blip>
                    <a:srcRect/>
                    <a:stretch>
                      <a:fillRect/>
                    </a:stretch>
                  </pic:blipFill>
                  <pic:spPr bwMode="auto">
                    <a:xfrm>
                      <a:off x="0" y="0"/>
                      <a:ext cx="986790" cy="944880"/>
                    </a:xfrm>
                    <a:prstGeom prst="rect">
                      <a:avLst/>
                    </a:prstGeom>
                    <a:noFill/>
                  </pic:spPr>
                </pic:pic>
              </a:graphicData>
            </a:graphic>
          </wp:anchor>
        </w:drawing>
      </w:r>
    </w:p>
    <w:p>
      <w:pPr>
        <w:spacing w:after="0" w:line="19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OUR NOMINEES</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following biographical descriptions set forth certain information with respect to each nominee for election at the 2023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4056380</wp:posOffset>
                </wp:positionV>
                <wp:extent cx="6400800" cy="17780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31" o:spid="_x0000_s1356" style="position:absolute;margin-left:0pt;margin-top:319.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4055745</wp:posOffset>
                </wp:positionV>
                <wp:extent cx="0" cy="17780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319.35pt" to="0.75pt,333.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4065270</wp:posOffset>
                </wp:positionV>
                <wp:extent cx="6400800"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0.1pt" to="504pt,320.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4055745</wp:posOffset>
                </wp:positionV>
                <wp:extent cx="0" cy="17780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319.35pt" to="503.25pt,333.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4224020</wp:posOffset>
                </wp:positionV>
                <wp:extent cx="6400800"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2.6pt" to="504pt,332.6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13</w:t>
      </w:r>
    </w:p>
    <w:p>
      <w:pPr>
        <w:sectPr>
          <w:pgSz w:w="11880" w:h="15480" w:orient="portrait"/>
          <w:cols w:equalWidth="0" w:num="1">
            <w:col w:w="10080"/>
          </w:cols>
          <w:pgMar w:left="900" w:top="1272" w:right="900" w:bottom="764" w:gutter="0" w:footer="0" w:header="0"/>
          <w:type w:val="continuous"/>
        </w:sectPr>
      </w:pPr>
    </w:p>
    <w:bookmarkStart w:id="133" w:name="page134"/>
    <w:bookmarkEnd w:id="133"/>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6400800" cy="78860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50">
                      <a:extLst>
                        <a:ext uri="{28A0092B-C50C-407E-A947-70E740481C1C}"/>
                      </a:extLst>
                    </a:blip>
                    <a:srcRect/>
                    <a:stretch>
                      <a:fillRect/>
                    </a:stretch>
                  </pic:blipFill>
                  <pic:spPr bwMode="auto">
                    <a:xfrm>
                      <a:off x="0" y="0"/>
                      <a:ext cx="6400800" cy="788606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20"/>
          <w:szCs w:val="20"/>
          <w:b w:val="1"/>
          <w:bCs w:val="1"/>
          <w:color w:val="auto"/>
        </w:rPr>
        <w:t>DAVID W. FAEDER</w:t>
      </w:r>
    </w:p>
    <w:p>
      <w:pPr>
        <w:ind w:left="2420"/>
        <w:spacing w:after="0"/>
        <w:rPr>
          <w:sz w:val="20"/>
          <w:szCs w:val="20"/>
          <w:color w:val="auto"/>
        </w:rPr>
      </w:pPr>
      <w:r>
        <w:rPr>
          <w:rFonts w:ascii="Arial" w:cs="Arial" w:eastAsia="Arial" w:hAnsi="Arial"/>
          <w:sz w:val="20"/>
          <w:szCs w:val="20"/>
          <w:color w:val="auto"/>
        </w:rPr>
        <w:t>Age: 66</w:t>
      </w:r>
    </w:p>
    <w:p>
      <w:pPr>
        <w:ind w:left="2420"/>
        <w:spacing w:after="0"/>
        <w:rPr>
          <w:sz w:val="20"/>
          <w:szCs w:val="20"/>
          <w:color w:val="auto"/>
        </w:rPr>
      </w:pPr>
      <w:r>
        <w:rPr>
          <w:rFonts w:ascii="Arial" w:cs="Arial" w:eastAsia="Arial" w:hAnsi="Arial"/>
          <w:sz w:val="20"/>
          <w:szCs w:val="20"/>
          <w:color w:val="auto"/>
        </w:rPr>
        <w:t>Trustee Since: 2003</w:t>
      </w:r>
    </w:p>
    <w:p>
      <w:pPr>
        <w:ind w:left="2420"/>
        <w:spacing w:after="0"/>
        <w:rPr>
          <w:sz w:val="20"/>
          <w:szCs w:val="20"/>
          <w:color w:val="auto"/>
        </w:rPr>
      </w:pPr>
      <w:r>
        <w:rPr>
          <w:rFonts w:ascii="Arial" w:cs="Arial" w:eastAsia="Arial" w:hAnsi="Arial"/>
          <w:sz w:val="20"/>
          <w:szCs w:val="20"/>
          <w:b w:val="1"/>
          <w:bCs w:val="1"/>
          <w:color w:val="auto"/>
        </w:rPr>
        <w:t>Non-Executive Chairman</w:t>
      </w:r>
    </w:p>
    <w:p>
      <w:pPr>
        <w:spacing w:after="0" w:line="6"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Managing Partner Fountain</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Square Properties and</w:t>
      </w:r>
    </w:p>
    <w:p>
      <w:pPr>
        <w:ind w:left="2420"/>
        <w:spacing w:after="0"/>
        <w:rPr>
          <w:sz w:val="20"/>
          <w:szCs w:val="20"/>
          <w:color w:val="auto"/>
        </w:rPr>
      </w:pPr>
      <w:r>
        <w:rPr>
          <w:rFonts w:ascii="Arial" w:cs="Arial" w:eastAsia="Arial" w:hAnsi="Arial"/>
          <w:sz w:val="20"/>
          <w:szCs w:val="20"/>
          <w:color w:val="auto"/>
        </w:rPr>
        <w:t>Managing Member</w:t>
      </w:r>
    </w:p>
    <w:p>
      <w:pPr>
        <w:ind w:left="2420"/>
        <w:spacing w:after="0"/>
        <w:rPr>
          <w:sz w:val="20"/>
          <w:szCs w:val="20"/>
          <w:color w:val="auto"/>
        </w:rPr>
      </w:pPr>
      <w:r>
        <w:rPr>
          <w:rFonts w:ascii="Arial" w:cs="Arial" w:eastAsia="Arial" w:hAnsi="Arial"/>
          <w:sz w:val="20"/>
          <w:szCs w:val="20"/>
          <w:color w:val="auto"/>
        </w:rPr>
        <w:t>Kensington Senior Living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166370</wp:posOffset>
                </wp:positionV>
                <wp:extent cx="6400800" cy="14605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46050"/>
                        </a:xfrm>
                        <a:prstGeom prst="rect">
                          <a:avLst/>
                        </a:prstGeom>
                        <a:solidFill>
                          <a:srgbClr val="E6E6E6"/>
                        </a:solidFill>
                      </wps:spPr>
                      <wps:bodyPr/>
                    </wps:wsp>
                  </a:graphicData>
                </a:graphic>
              </wp:anchor>
            </w:drawing>
          </mc:Choice>
          <mc:Fallback>
            <w:pict>
              <v:rect id="Shape 337" o:spid="_x0000_s1362" style="position:absolute;margin-left:-4pt;margin-top:13.1pt;width:50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0" w:lineRule="exact"/>
        <w:rPr>
          <w:sz w:val="20"/>
          <w:szCs w:val="20"/>
          <w:color w:val="auto"/>
        </w:rPr>
      </w:pPr>
    </w:p>
    <w:p>
      <w:pPr>
        <w:spacing w:after="0" w:line="318" w:lineRule="exact"/>
        <w:rPr>
          <w:sz w:val="20"/>
          <w:szCs w:val="20"/>
          <w:color w:val="auto"/>
        </w:rPr>
      </w:pPr>
    </w:p>
    <w:p>
      <w:pPr>
        <w:jc w:val="both"/>
        <w:ind w:left="340" w:right="100"/>
        <w:spacing w:after="0" w:line="239" w:lineRule="auto"/>
        <w:rPr>
          <w:sz w:val="20"/>
          <w:szCs w:val="20"/>
          <w:color w:val="auto"/>
        </w:rPr>
      </w:pPr>
      <w:r>
        <w:rPr>
          <w:rFonts w:ascii="Arial" w:cs="Arial" w:eastAsia="Arial" w:hAnsi="Arial"/>
          <w:sz w:val="20"/>
          <w:szCs w:val="20"/>
          <w:color w:val="auto"/>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Skills and Qualifications</w:t>
      </w:r>
    </w:p>
    <w:p>
      <w:pPr>
        <w:spacing w:after="0" w:line="4" w:lineRule="exact"/>
        <w:rPr>
          <w:sz w:val="20"/>
          <w:szCs w:val="20"/>
          <w:color w:val="auto"/>
        </w:rPr>
      </w:pPr>
    </w:p>
    <w:p>
      <w:pPr>
        <w:jc w:val="both"/>
        <w:ind w:left="340" w:right="100"/>
        <w:spacing w:after="0" w:line="239" w:lineRule="auto"/>
        <w:rPr>
          <w:sz w:val="20"/>
          <w:szCs w:val="20"/>
          <w:color w:val="auto"/>
        </w:rPr>
      </w:pPr>
      <w:r>
        <w:rPr>
          <w:rFonts w:ascii="Arial" w:cs="Arial" w:eastAsia="Arial" w:hAnsi="Arial"/>
          <w:sz w:val="20"/>
          <w:szCs w:val="20"/>
          <w:color w:val="auto"/>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Other Public Company Directorships:</w:t>
      </w:r>
    </w:p>
    <w:p>
      <w:pPr>
        <w:ind w:left="340"/>
        <w:spacing w:after="0"/>
        <w:rPr>
          <w:sz w:val="20"/>
          <w:szCs w:val="20"/>
          <w:color w:val="auto"/>
        </w:rPr>
      </w:pPr>
      <w:r>
        <w:rPr>
          <w:rFonts w:ascii="Arial" w:cs="Arial" w:eastAsia="Arial" w:hAnsi="Arial"/>
          <w:sz w:val="20"/>
          <w:szCs w:val="20"/>
          <w:color w:val="auto"/>
        </w:rPr>
        <w:t>Arlington Asset Investment Corp.</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Committees:</w:t>
      </w:r>
    </w:p>
    <w:p>
      <w:pPr>
        <w:ind w:left="340"/>
        <w:spacing w:after="0"/>
        <w:rPr>
          <w:sz w:val="20"/>
          <w:szCs w:val="20"/>
          <w:color w:val="auto"/>
        </w:rPr>
      </w:pPr>
      <w:r>
        <w:rPr>
          <w:rFonts w:ascii="Arial" w:cs="Arial" w:eastAsia="Arial" w:hAnsi="Arial"/>
          <w:sz w:val="20"/>
          <w:szCs w:val="20"/>
          <w:color w:val="auto"/>
        </w:rPr>
        <w:t>Audit Committee</w:t>
      </w:r>
    </w:p>
    <w:p>
      <w:pPr>
        <w:ind w:left="340"/>
        <w:spacing w:after="0"/>
        <w:rPr>
          <w:sz w:val="20"/>
          <w:szCs w:val="20"/>
          <w:color w:val="auto"/>
        </w:rPr>
      </w:pPr>
      <w:r>
        <w:rPr>
          <w:rFonts w:ascii="Arial" w:cs="Arial" w:eastAsia="Arial" w:hAnsi="Arial"/>
          <w:sz w:val="20"/>
          <w:szCs w:val="20"/>
          <w:color w:val="auto"/>
        </w:rPr>
        <w:t>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51435</wp:posOffset>
                </wp:positionV>
                <wp:extent cx="6400800" cy="14605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46050"/>
                        </a:xfrm>
                        <a:prstGeom prst="rect">
                          <a:avLst/>
                        </a:prstGeom>
                        <a:solidFill>
                          <a:srgbClr val="E6E6E6"/>
                        </a:solidFill>
                      </wps:spPr>
                      <wps:bodyPr/>
                    </wps:wsp>
                  </a:graphicData>
                </a:graphic>
              </wp:anchor>
            </w:drawing>
          </mc:Choice>
          <mc:Fallback>
            <w:pict>
              <v:rect id="Shape 338" o:spid="_x0000_s1363" style="position:absolute;margin-left:-4pt;margin-top:4.05pt;width:50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-50165</wp:posOffset>
                </wp:positionH>
                <wp:positionV relativeFrom="paragraph">
                  <wp:posOffset>350520</wp:posOffset>
                </wp:positionV>
                <wp:extent cx="6400165" cy="17780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9E8E3"/>
                        </a:solidFill>
                      </wps:spPr>
                      <wps:bodyPr/>
                    </wps:wsp>
                  </a:graphicData>
                </a:graphic>
              </wp:anchor>
            </w:drawing>
          </mc:Choice>
          <mc:Fallback>
            <w:pict>
              <v:rect id="Shape 339" o:spid="_x0000_s1364" style="position:absolute;margin-left:-3.9499pt;margin-top:27.6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350520</wp:posOffset>
                </wp:positionV>
                <wp:extent cx="0" cy="17780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99pt,27.6pt" to="-3.2499pt,41.6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360045</wp:posOffset>
                </wp:positionV>
                <wp:extent cx="6400800"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8.35pt" to="500pt,28.3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518795</wp:posOffset>
                </wp:positionV>
                <wp:extent cx="640080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40.85pt" to="500pt,40.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6340475</wp:posOffset>
                </wp:positionH>
                <wp:positionV relativeFrom="paragraph">
                  <wp:posOffset>350520</wp:posOffset>
                </wp:positionV>
                <wp:extent cx="0" cy="17780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25pt,27.6pt" to="499.25pt,41.6pt" o:allowincell="f" strokecolor="#000000" strokeweight="1.5pt"/>
            </w:pict>
          </mc:Fallback>
        </mc:AlternateConten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ELIZABETH I.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-276225</wp:posOffset>
            </wp:positionV>
            <wp:extent cx="2508250" cy="1408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51">
                      <a:extLst>
                        <a:ext uri="{28A0092B-C50C-407E-A947-70E740481C1C}"/>
                      </a:extLst>
                    </a:blip>
                    <a:srcRect/>
                    <a:stretch>
                      <a:fillRect/>
                    </a:stretch>
                  </pic:blipFill>
                  <pic:spPr bwMode="auto">
                    <a:xfrm>
                      <a:off x="0" y="0"/>
                      <a:ext cx="2508250" cy="140843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-276225</wp:posOffset>
            </wp:positionV>
            <wp:extent cx="2508250" cy="1408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52">
                      <a:extLst>
                        <a:ext uri="{28A0092B-C50C-407E-A947-70E740481C1C}"/>
                      </a:extLst>
                    </a:blip>
                    <a:srcRect/>
                    <a:stretch>
                      <a:fillRect/>
                    </a:stretch>
                  </pic:blipFill>
                  <pic:spPr bwMode="auto">
                    <a:xfrm>
                      <a:off x="0" y="0"/>
                      <a:ext cx="2508250" cy="140843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20"/>
          <w:szCs w:val="20"/>
          <w:color w:val="auto"/>
        </w:rPr>
        <w:t>Age: 57</w:t>
      </w:r>
    </w:p>
    <w:p>
      <w:pPr>
        <w:ind w:left="2060"/>
        <w:spacing w:after="0"/>
        <w:rPr>
          <w:sz w:val="20"/>
          <w:szCs w:val="20"/>
          <w:color w:val="auto"/>
        </w:rPr>
      </w:pPr>
      <w:r>
        <w:rPr>
          <w:rFonts w:ascii="Arial" w:cs="Arial" w:eastAsia="Arial" w:hAnsi="Arial"/>
          <w:sz w:val="20"/>
          <w:szCs w:val="20"/>
          <w:color w:val="auto"/>
        </w:rPr>
        <w:t>Trustee Since: 2017</w:t>
      </w:r>
    </w:p>
    <w:p>
      <w:pPr>
        <w:ind w:left="2060"/>
        <w:spacing w:after="0"/>
        <w:rPr>
          <w:sz w:val="20"/>
          <w:szCs w:val="20"/>
          <w:color w:val="auto"/>
        </w:rPr>
      </w:pPr>
      <w:r>
        <w:rPr>
          <w:rFonts w:ascii="Arial" w:cs="Arial" w:eastAsia="Arial" w:hAnsi="Arial"/>
          <w:sz w:val="20"/>
          <w:szCs w:val="20"/>
          <w:color w:val="auto"/>
        </w:rPr>
        <w:t>Chief Executive Officer</w:t>
      </w:r>
    </w:p>
    <w:p>
      <w:pPr>
        <w:ind w:left="2060"/>
        <w:spacing w:after="0"/>
        <w:rPr>
          <w:sz w:val="20"/>
          <w:szCs w:val="20"/>
          <w:color w:val="auto"/>
        </w:rPr>
      </w:pPr>
      <w:r>
        <w:rPr>
          <w:rFonts w:ascii="Arial" w:cs="Arial" w:eastAsia="Arial" w:hAnsi="Arial"/>
          <w:sz w:val="20"/>
          <w:szCs w:val="20"/>
          <w:color w:val="auto"/>
        </w:rPr>
        <w:t>Abbell Credit Corporation</w:t>
      </w:r>
    </w:p>
    <w:p>
      <w:pPr>
        <w:spacing w:after="0" w:line="6"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and Abbell Associates,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00"/>
        <w:spacing w:after="0" w:line="239" w:lineRule="auto"/>
        <w:rPr>
          <w:sz w:val="20"/>
          <w:szCs w:val="20"/>
          <w:color w:val="auto"/>
        </w:rPr>
      </w:pPr>
      <w:r>
        <w:rPr>
          <w:rFonts w:ascii="Arial" w:cs="Arial" w:eastAsia="Arial" w:hAnsi="Arial"/>
          <w:sz w:val="20"/>
          <w:szCs w:val="20"/>
          <w:color w:val="auto"/>
        </w:rPr>
        <w:t>Ms. Holland is the Chief Executive Officer of Abbell Credit Corporation and Abbell Associates, LLC, a private retail real estate company. She has held that position since 1997.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1000 Friends of Iowa, a non-profit organization focused on responsible land use, and Primo Center for Women &amp; Children whose mission is to provide family shelter and permanent supportive housing and other supportive services to homeless families in Chicago.</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Skills and Qualifications</w:t>
      </w:r>
    </w:p>
    <w:p>
      <w:pPr>
        <w:spacing w:after="0" w:line="4" w:lineRule="exact"/>
        <w:rPr>
          <w:sz w:val="20"/>
          <w:szCs w:val="20"/>
          <w:color w:val="auto"/>
        </w:rPr>
      </w:pPr>
    </w:p>
    <w:p>
      <w:pPr>
        <w:jc w:val="both"/>
        <w:ind w:right="100"/>
        <w:spacing w:after="0" w:line="239" w:lineRule="auto"/>
        <w:rPr>
          <w:sz w:val="20"/>
          <w:szCs w:val="20"/>
          <w:color w:val="auto"/>
        </w:rPr>
      </w:pPr>
      <w:r>
        <w:rPr>
          <w:rFonts w:ascii="Arial" w:cs="Arial" w:eastAsia="Arial" w:hAnsi="Arial"/>
          <w:sz w:val="20"/>
          <w:szCs w:val="20"/>
          <w:color w:val="auto"/>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Public Company Directorships:</w:t>
      </w:r>
    </w:p>
    <w:p>
      <w:pPr>
        <w:spacing w:after="0"/>
        <w:rPr>
          <w:sz w:val="20"/>
          <w:szCs w:val="20"/>
          <w:color w:val="auto"/>
        </w:rPr>
      </w:pPr>
      <w:r>
        <w:rPr>
          <w:rFonts w:ascii="Arial" w:cs="Arial" w:eastAsia="Arial" w:hAnsi="Arial"/>
          <w:sz w:val="20"/>
          <w:szCs w:val="20"/>
          <w:color w:val="auto"/>
        </w:rPr>
        <w:t>VICI Properties, Inc.</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w:t>
      </w:r>
    </w:p>
    <w:p>
      <w:pPr>
        <w:spacing w:after="0"/>
        <w:rPr>
          <w:sz w:val="20"/>
          <w:szCs w:val="20"/>
          <w:color w:val="auto"/>
        </w:rPr>
      </w:pPr>
      <w:r>
        <w:rPr>
          <w:rFonts w:ascii="Arial" w:cs="Arial" w:eastAsia="Arial" w:hAnsi="Arial"/>
          <w:sz w:val="20"/>
          <w:szCs w:val="20"/>
          <w:color w:val="auto"/>
        </w:rPr>
        <w:t>Audit Committee</w:t>
      </w:r>
    </w:p>
    <w:p>
      <w:pPr>
        <w:spacing w:after="0"/>
        <w:rPr>
          <w:sz w:val="20"/>
          <w:szCs w:val="20"/>
          <w:color w:val="auto"/>
        </w:rPr>
      </w:pPr>
      <w:r>
        <w:rPr>
          <w:rFonts w:ascii="Arial" w:cs="Arial" w:eastAsia="Arial" w:hAnsi="Arial"/>
          <w:sz w:val="20"/>
          <w:szCs w:val="20"/>
          <w:color w:val="auto"/>
        </w:rPr>
        <w:t>Compensation Committee (Chair)</w:t>
      </w:r>
    </w:p>
    <w:p>
      <w:pPr>
        <w:spacing w:after="0" w:line="200" w:lineRule="exact"/>
        <w:rPr>
          <w:sz w:val="20"/>
          <w:szCs w:val="20"/>
          <w:color w:val="auto"/>
        </w:rPr>
      </w:pPr>
    </w:p>
    <w:p>
      <w:pPr>
        <w:sectPr>
          <w:pgSz w:w="11880" w:h="15480" w:orient="portrait"/>
          <w:cols w:equalWidth="0" w:num="2">
            <w:col w:w="4840" w:space="440"/>
            <w:col w:w="4500"/>
          </w:cols>
          <w:pgMar w:left="980" w:top="1440" w:right="1120" w:bottom="764" w:gutter="0" w:footer="0" w:header="0"/>
        </w:sectPr>
      </w:pPr>
    </w:p>
    <w:p>
      <w:pPr>
        <w:spacing w:after="0" w:line="399" w:lineRule="exact"/>
        <w:rPr>
          <w:sz w:val="20"/>
          <w:szCs w:val="20"/>
          <w:color w:val="auto"/>
        </w:rPr>
      </w:pPr>
    </w:p>
    <w:p>
      <w:pPr>
        <w:spacing w:after="0"/>
        <w:tabs>
          <w:tab w:leader="none" w:pos="1340" w:val="left"/>
          <w:tab w:leader="none" w:pos="308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14</w:t>
      </w:r>
    </w:p>
    <w:p>
      <w:pPr>
        <w:sectPr>
          <w:pgSz w:w="11880" w:h="15480" w:orient="portrait"/>
          <w:cols w:equalWidth="0" w:num="1">
            <w:col w:w="9780"/>
          </w:cols>
          <w:pgMar w:left="980" w:top="1440" w:right="1120" w:bottom="764" w:gutter="0" w:footer="0" w:header="0"/>
          <w:type w:val="continuous"/>
        </w:sectPr>
      </w:pPr>
    </w:p>
    <w:bookmarkStart w:id="134" w:name="page135"/>
    <w:bookmarkEnd w:id="134"/>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6400800" cy="775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53">
                      <a:extLst>
                        <a:ext uri="{28A0092B-C50C-407E-A947-70E740481C1C}"/>
                      </a:extLst>
                    </a:blip>
                    <a:srcRect/>
                    <a:stretch>
                      <a:fillRect/>
                    </a:stretch>
                  </pic:blipFill>
                  <pic:spPr bwMode="auto">
                    <a:xfrm>
                      <a:off x="0" y="0"/>
                      <a:ext cx="6400800" cy="775716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9"/>
          <w:szCs w:val="19"/>
          <w:b w:val="1"/>
          <w:bCs w:val="1"/>
          <w:color w:val="auto"/>
        </w:rPr>
        <w:t>NICOLE Y. LAMB-HALE</w:t>
      </w:r>
    </w:p>
    <w:p>
      <w:pPr>
        <w:ind w:left="2200"/>
        <w:spacing w:after="0" w:line="233" w:lineRule="auto"/>
        <w:rPr>
          <w:sz w:val="20"/>
          <w:szCs w:val="20"/>
          <w:color w:val="auto"/>
        </w:rPr>
      </w:pPr>
      <w:r>
        <w:rPr>
          <w:rFonts w:ascii="Arial" w:cs="Arial" w:eastAsia="Arial" w:hAnsi="Arial"/>
          <w:sz w:val="20"/>
          <w:szCs w:val="20"/>
          <w:color w:val="auto"/>
        </w:rPr>
        <w:t>Age: 56</w:t>
      </w:r>
    </w:p>
    <w:p>
      <w:pPr>
        <w:ind w:left="2200"/>
        <w:spacing w:after="0" w:line="225" w:lineRule="auto"/>
        <w:rPr>
          <w:sz w:val="20"/>
          <w:szCs w:val="20"/>
          <w:color w:val="auto"/>
        </w:rPr>
      </w:pPr>
      <w:r>
        <w:rPr>
          <w:rFonts w:ascii="Arial" w:cs="Arial" w:eastAsia="Arial" w:hAnsi="Arial"/>
          <w:sz w:val="20"/>
          <w:szCs w:val="20"/>
          <w:color w:val="auto"/>
        </w:rPr>
        <w:t>Trustee Since: 2020</w:t>
      </w:r>
    </w:p>
    <w:p>
      <w:pPr>
        <w:ind w:left="2200"/>
        <w:spacing w:after="0" w:line="225" w:lineRule="auto"/>
        <w:rPr>
          <w:sz w:val="20"/>
          <w:szCs w:val="20"/>
          <w:color w:val="auto"/>
        </w:rPr>
      </w:pPr>
      <w:r>
        <w:rPr>
          <w:rFonts w:ascii="Arial" w:cs="Arial" w:eastAsia="Arial" w:hAnsi="Arial"/>
          <w:sz w:val="20"/>
          <w:szCs w:val="20"/>
          <w:color w:val="auto"/>
        </w:rPr>
        <w:t>Vice President and Chief</w:t>
      </w:r>
    </w:p>
    <w:p>
      <w:pPr>
        <w:ind w:left="2200"/>
        <w:spacing w:after="0" w:line="228" w:lineRule="auto"/>
        <w:rPr>
          <w:sz w:val="20"/>
          <w:szCs w:val="20"/>
          <w:color w:val="auto"/>
        </w:rPr>
      </w:pPr>
      <w:r>
        <w:rPr>
          <w:rFonts w:ascii="Arial" w:cs="Arial" w:eastAsia="Arial" w:hAnsi="Arial"/>
          <w:sz w:val="20"/>
          <w:szCs w:val="20"/>
          <w:color w:val="auto"/>
        </w:rPr>
        <w:t>Legal Officer Cummins</w:t>
      </w:r>
    </w:p>
    <w:p>
      <w:pPr>
        <w:ind w:left="2200"/>
        <w:spacing w:after="0" w:line="225" w:lineRule="auto"/>
        <w:rPr>
          <w:sz w:val="20"/>
          <w:szCs w:val="20"/>
          <w:color w:val="auto"/>
        </w:rPr>
      </w:pPr>
      <w:r>
        <w:rPr>
          <w:rFonts w:ascii="Arial" w:cs="Arial" w:eastAsia="Arial" w:hAnsi="Arial"/>
          <w:sz w:val="20"/>
          <w:szCs w:val="20"/>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Ms. Lamb-Hale is the Vice President and Chief Legal Officer of Cummins Inc., a position she has held since 2021, overseeing all legal affairs and related risk management. Prior to that, she was a Managing Director at Kroll, a global governance, risk and transparency consultant (2016-2021), a Senior Vice President at Albright Stonebridge</w:t>
      </w:r>
    </w:p>
    <w:p>
      <w:pPr>
        <w:spacing w:after="0" w:line="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various non-profit groups including the American Leadership Initiative and the Center for International Private Enterprise.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Skills and Qualifications</w:t>
      </w:r>
    </w:p>
    <w:p>
      <w:pPr>
        <w:jc w:val="both"/>
        <w:spacing w:after="0" w:line="225" w:lineRule="auto"/>
        <w:rPr>
          <w:sz w:val="20"/>
          <w:szCs w:val="20"/>
          <w:color w:val="auto"/>
        </w:rPr>
      </w:pPr>
      <w:r>
        <w:rPr>
          <w:rFonts w:ascii="Arial" w:cs="Arial" w:eastAsia="Arial" w:hAnsi="Arial"/>
          <w:sz w:val="20"/>
          <w:szCs w:val="20"/>
          <w:color w:val="auto"/>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w:t>
      </w:r>
    </w:p>
    <w:p>
      <w:pPr>
        <w:spacing w:after="0" w:line="223" w:lineRule="auto"/>
        <w:rPr>
          <w:sz w:val="20"/>
          <w:szCs w:val="20"/>
          <w:color w:val="auto"/>
        </w:rPr>
      </w:pPr>
      <w:r>
        <w:rPr>
          <w:rFonts w:ascii="Arial" w:cs="Arial" w:eastAsia="Arial" w:hAnsi="Arial"/>
          <w:sz w:val="20"/>
          <w:szCs w:val="20"/>
          <w:color w:val="auto"/>
        </w:rPr>
        <w:t>Compensation Committee</w:t>
      </w:r>
    </w:p>
    <w:p>
      <w:pPr>
        <w:spacing w:after="0" w:line="225" w:lineRule="auto"/>
        <w:rPr>
          <w:sz w:val="20"/>
          <w:szCs w:val="20"/>
          <w:color w:val="auto"/>
        </w:rPr>
      </w:pPr>
      <w:r>
        <w:rPr>
          <w:rFonts w:ascii="Arial" w:cs="Arial" w:eastAsia="Arial" w:hAnsi="Arial"/>
          <w:sz w:val="20"/>
          <w:szCs w:val="20"/>
          <w:color w:val="auto"/>
        </w:rPr>
        <w:t>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805815</wp:posOffset>
                </wp:positionV>
                <wp:extent cx="6400165" cy="17780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9E8E3"/>
                        </a:solidFill>
                      </wps:spPr>
                      <wps:bodyPr/>
                    </wps:wsp>
                  </a:graphicData>
                </a:graphic>
              </wp:anchor>
            </w:drawing>
          </mc:Choice>
          <mc:Fallback>
            <w:pict>
              <v:rect id="Shape 347" o:spid="_x0000_s1372" style="position:absolute;margin-left:-20.9499pt;margin-top:63.45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-257175</wp:posOffset>
                </wp:positionH>
                <wp:positionV relativeFrom="paragraph">
                  <wp:posOffset>805180</wp:posOffset>
                </wp:positionV>
                <wp:extent cx="0" cy="17780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99pt,63.4pt" to="-20.2499pt,77.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-266700</wp:posOffset>
                </wp:positionH>
                <wp:positionV relativeFrom="paragraph">
                  <wp:posOffset>814705</wp:posOffset>
                </wp:positionV>
                <wp:extent cx="640080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64.15pt" to="483pt,64.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-266700</wp:posOffset>
                </wp:positionH>
                <wp:positionV relativeFrom="paragraph">
                  <wp:posOffset>973455</wp:posOffset>
                </wp:positionV>
                <wp:extent cx="64008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76.65pt" to="483pt,76.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6124575</wp:posOffset>
                </wp:positionH>
                <wp:positionV relativeFrom="paragraph">
                  <wp:posOffset>805180</wp:posOffset>
                </wp:positionV>
                <wp:extent cx="0" cy="17780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25pt,63.4pt" to="482.25pt,77.4pt" o:allowincell="f" strokecolor="#000000" strokeweight="1.5pt"/>
            </w:pict>
          </mc:Fallback>
        </mc:AlternateConten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THOMAS A. McEACHIN</w:t>
      </w:r>
    </w:p>
    <w:p>
      <w:pPr>
        <w:ind w:left="2100"/>
        <w:spacing w:after="0" w:line="223" w:lineRule="auto"/>
        <w:rPr>
          <w:sz w:val="20"/>
          <w:szCs w:val="20"/>
          <w:color w:val="auto"/>
        </w:rPr>
      </w:pPr>
      <w:r>
        <w:rPr>
          <w:rFonts w:ascii="Arial" w:cs="Arial" w:eastAsia="Arial" w:hAnsi="Arial"/>
          <w:sz w:val="20"/>
          <w:szCs w:val="20"/>
          <w:color w:val="auto"/>
        </w:rPr>
        <w:t>Age: 70</w:t>
      </w:r>
    </w:p>
    <w:p>
      <w:pPr>
        <w:ind w:left="2100"/>
        <w:spacing w:after="0" w:line="225" w:lineRule="auto"/>
        <w:rPr>
          <w:sz w:val="20"/>
          <w:szCs w:val="20"/>
          <w:color w:val="auto"/>
        </w:rPr>
      </w:pPr>
      <w:r>
        <w:rPr>
          <w:rFonts w:ascii="Arial" w:cs="Arial" w:eastAsia="Arial" w:hAnsi="Arial"/>
          <w:sz w:val="20"/>
          <w:szCs w:val="20"/>
          <w:color w:val="auto"/>
        </w:rPr>
        <w:t>Trustee Since: 2022</w:t>
      </w:r>
    </w:p>
    <w:p>
      <w:pPr>
        <w:ind w:left="2100"/>
        <w:spacing w:after="0" w:line="226" w:lineRule="auto"/>
        <w:rPr>
          <w:sz w:val="20"/>
          <w:szCs w:val="20"/>
          <w:color w:val="auto"/>
        </w:rPr>
      </w:pPr>
      <w:r>
        <w:rPr>
          <w:rFonts w:ascii="Arial" w:cs="Arial" w:eastAsia="Arial" w:hAnsi="Arial"/>
          <w:sz w:val="20"/>
          <w:szCs w:val="20"/>
          <w:color w:val="auto"/>
        </w:rPr>
        <w:t>Retired Vice President</w:t>
      </w:r>
    </w:p>
    <w:p>
      <w:pPr>
        <w:ind w:left="2100"/>
        <w:spacing w:after="0"/>
        <w:rPr>
          <w:sz w:val="20"/>
          <w:szCs w:val="20"/>
          <w:color w:val="auto"/>
        </w:rPr>
      </w:pPr>
      <w:r>
        <w:rPr>
          <w:rFonts w:ascii="Arial" w:cs="Arial" w:eastAsia="Arial" w:hAnsi="Arial"/>
          <w:sz w:val="19"/>
          <w:szCs w:val="19"/>
          <w:color w:val="auto"/>
        </w:rPr>
        <w:t>and Group Chief Financial</w:t>
      </w:r>
    </w:p>
    <w:p>
      <w:pPr>
        <w:ind w:left="2100"/>
        <w:spacing w:after="0" w:line="225" w:lineRule="auto"/>
        <w:rPr>
          <w:sz w:val="20"/>
          <w:szCs w:val="20"/>
          <w:color w:val="auto"/>
        </w:rPr>
      </w:pPr>
      <w:r>
        <w:rPr>
          <w:rFonts w:ascii="Arial" w:cs="Arial" w:eastAsia="Arial" w:hAnsi="Arial"/>
          <w:sz w:val="20"/>
          <w:szCs w:val="20"/>
          <w:color w:val="auto"/>
        </w:rPr>
        <w:t>Officer Covidien Surgical</w:t>
      </w:r>
    </w:p>
    <w:p>
      <w:pPr>
        <w:ind w:left="2100"/>
        <w:spacing w:after="0" w:line="223" w:lineRule="auto"/>
        <w:rPr>
          <w:sz w:val="20"/>
          <w:szCs w:val="20"/>
          <w:color w:val="auto"/>
        </w:rPr>
      </w:pPr>
      <w:r>
        <w:rPr>
          <w:rFonts w:ascii="Arial" w:cs="Arial" w:eastAsia="Arial" w:hAnsi="Arial"/>
          <w:sz w:val="20"/>
          <w:szCs w:val="20"/>
          <w:color w:val="auto"/>
        </w:rPr>
        <w:t>Solutions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and an MBA from Stanford University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Skills and Qualifications</w:t>
      </w:r>
    </w:p>
    <w:p>
      <w:pPr>
        <w:jc w:val="both"/>
        <w:ind w:right="240"/>
        <w:spacing w:after="0" w:line="216" w:lineRule="auto"/>
        <w:rPr>
          <w:sz w:val="20"/>
          <w:szCs w:val="20"/>
          <w:color w:val="auto"/>
        </w:rPr>
      </w:pPr>
      <w:r>
        <w:rPr>
          <w:rFonts w:ascii="Arial" w:cs="Arial" w:eastAsia="Arial" w:hAnsi="Arial"/>
          <w:sz w:val="20"/>
          <w:szCs w:val="20"/>
          <w:color w:val="auto"/>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Public Company Directorships:</w:t>
      </w:r>
    </w:p>
    <w:p>
      <w:pPr>
        <w:spacing w:after="0" w:line="218" w:lineRule="auto"/>
        <w:rPr>
          <w:sz w:val="20"/>
          <w:szCs w:val="20"/>
          <w:color w:val="auto"/>
        </w:rPr>
      </w:pPr>
      <w:r>
        <w:rPr>
          <w:rFonts w:ascii="Arial" w:cs="Arial" w:eastAsia="Arial" w:hAnsi="Arial"/>
          <w:sz w:val="20"/>
          <w:szCs w:val="20"/>
          <w:color w:val="auto"/>
        </w:rPr>
        <w:t>Pediatrix Medical Group, Inc.</w:t>
      </w:r>
    </w:p>
    <w:p>
      <w:pPr>
        <w:spacing w:after="0" w:line="216" w:lineRule="auto"/>
        <w:rPr>
          <w:sz w:val="20"/>
          <w:szCs w:val="20"/>
          <w:color w:val="auto"/>
        </w:rPr>
      </w:pPr>
      <w:r>
        <w:rPr>
          <w:rFonts w:ascii="Arial" w:cs="Arial" w:eastAsia="Arial" w:hAnsi="Arial"/>
          <w:sz w:val="20"/>
          <w:szCs w:val="20"/>
          <w:color w:val="auto"/>
        </w:rPr>
        <w:t>Surgalign Holdings, Inc.</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w:t>
      </w:r>
    </w:p>
    <w:p>
      <w:pPr>
        <w:spacing w:after="0" w:line="218" w:lineRule="auto"/>
        <w:rPr>
          <w:sz w:val="20"/>
          <w:szCs w:val="20"/>
          <w:color w:val="auto"/>
        </w:rPr>
      </w:pPr>
      <w:r>
        <w:rPr>
          <w:rFonts w:ascii="Arial" w:cs="Arial" w:eastAsia="Arial" w:hAnsi="Arial"/>
          <w:sz w:val="20"/>
          <w:szCs w:val="20"/>
          <w:color w:val="auto"/>
        </w:rPr>
        <w:t>Compensation Committee</w:t>
      </w:r>
    </w:p>
    <w:p>
      <w:pPr>
        <w:spacing w:after="0" w:line="223" w:lineRule="auto"/>
        <w:rPr>
          <w:sz w:val="20"/>
          <w:szCs w:val="20"/>
          <w:color w:val="auto"/>
        </w:rPr>
      </w:pPr>
      <w:r>
        <w:rPr>
          <w:rFonts w:ascii="Arial" w:cs="Arial" w:eastAsia="Arial" w:hAnsi="Arial"/>
          <w:sz w:val="20"/>
          <w:szCs w:val="20"/>
          <w:color w:val="auto"/>
        </w:rPr>
        <w:t>Nominating Committee</w:t>
      </w:r>
    </w:p>
    <w:p>
      <w:pPr>
        <w:spacing w:after="0" w:line="200" w:lineRule="exact"/>
        <w:rPr>
          <w:sz w:val="20"/>
          <w:szCs w:val="20"/>
          <w:color w:val="auto"/>
        </w:rPr>
      </w:pPr>
    </w:p>
    <w:p>
      <w:pPr>
        <w:sectPr>
          <w:pgSz w:w="11880" w:h="15480" w:orient="portrait"/>
          <w:cols w:equalWidth="0" w:num="2">
            <w:col w:w="4440" w:space="540"/>
            <w:col w:w="4600"/>
          </w:cols>
          <w:pgMar w:left="1320" w:top="1440" w:right="980" w:bottom="764" w:gutter="0" w:footer="0" w:header="0"/>
        </w:sectPr>
      </w:pPr>
    </w:p>
    <w:p>
      <w:pPr>
        <w:spacing w:after="0" w:line="200" w:lineRule="exact"/>
        <w:rPr>
          <w:sz w:val="20"/>
          <w:szCs w:val="20"/>
          <w:color w:val="auto"/>
        </w:rPr>
      </w:pPr>
    </w:p>
    <w:p>
      <w:pPr>
        <w:spacing w:after="0" w:line="388" w:lineRule="exact"/>
        <w:rPr>
          <w:sz w:val="20"/>
          <w:szCs w:val="20"/>
          <w:color w:val="auto"/>
        </w:rPr>
      </w:pPr>
    </w:p>
    <w:p>
      <w:pPr>
        <w:ind w:left="6300"/>
        <w:spacing w:after="0"/>
        <w:tabs>
          <w:tab w:leader="none" w:pos="7640" w:val="left"/>
          <w:tab w:leader="none" w:pos="938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15</w:t>
      </w:r>
    </w:p>
    <w:p>
      <w:pPr>
        <w:sectPr>
          <w:pgSz w:w="11880" w:h="15480" w:orient="portrait"/>
          <w:cols w:equalWidth="0" w:num="1">
            <w:col w:w="9580"/>
          </w:cols>
          <w:pgMar w:left="1320" w:top="1440" w:right="980" w:bottom="764" w:gutter="0" w:footer="0" w:header="0"/>
          <w:type w:val="continuous"/>
        </w:sectPr>
      </w:pPr>
    </w:p>
    <w:bookmarkStart w:id="135" w:name="page136"/>
    <w:bookmarkEnd w:id="135"/>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6400800" cy="78867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54">
                      <a:extLst>
                        <a:ext uri="{28A0092B-C50C-407E-A947-70E740481C1C}"/>
                      </a:extLst>
                    </a:blip>
                    <a:srcRect/>
                    <a:stretch>
                      <a:fillRect/>
                    </a:stretch>
                  </pic:blipFill>
                  <pic:spPr bwMode="auto">
                    <a:xfrm>
                      <a:off x="0" y="0"/>
                      <a:ext cx="6400800" cy="7886700"/>
                    </a:xfrm>
                    <a:prstGeom prst="rect">
                      <a:avLst/>
                    </a:prstGeom>
                    <a:noFill/>
                  </pic:spPr>
                </pic:pic>
              </a:graphicData>
            </a:graphic>
          </wp:anchor>
        </w:drawing>
      </w:r>
    </w:p>
    <w:tbl>
      <w:tblPr>
        <w:tblLayout w:type="fixed"/>
        <w:tblInd w:w="246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20"/>
                <w:szCs w:val="20"/>
                <w:b w:val="1"/>
                <w:bCs w:val="1"/>
                <w:color w:val="auto"/>
              </w:rPr>
              <w:t>ANTHONY P. NADER, III</w:t>
            </w:r>
          </w:p>
        </w:tc>
        <w:tc>
          <w:tcPr>
            <w:tcW w:w="3120" w:type="dxa"/>
            <w:vAlign w:val="bottom"/>
          </w:tcPr>
          <w:p>
            <w:pPr>
              <w:ind w:left="1340"/>
              <w:spacing w:after="0"/>
              <w:rPr>
                <w:sz w:val="20"/>
                <w:szCs w:val="20"/>
                <w:color w:val="auto"/>
              </w:rPr>
            </w:pPr>
            <w:r>
              <w:rPr>
                <w:rFonts w:ascii="Arial" w:cs="Arial" w:eastAsia="Arial" w:hAnsi="Arial"/>
                <w:sz w:val="20"/>
                <w:szCs w:val="20"/>
                <w:b w:val="1"/>
                <w:bCs w:val="1"/>
                <w:color w:val="auto"/>
              </w:rPr>
              <w:t>GAIL P. STEINEL</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auto"/>
              </w:rPr>
              <w:t>Age: 59</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auto"/>
              </w:rPr>
              <w:t>Age: 66</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auto"/>
              </w:rPr>
              <w:t>Trustee Since: 2020</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auto"/>
                <w:w w:val="98"/>
              </w:rPr>
              <w:t>Trustee Since: 2006</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auto"/>
              </w:rPr>
              <w:t>Managing Director of</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auto"/>
              </w:rPr>
              <w:t>Owner of Executive</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auto"/>
              </w:rPr>
              <w:t>SWaN &amp; Legend Venture</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auto"/>
              </w:rPr>
              <w:t>Advisors</w:t>
            </w:r>
          </w:p>
        </w:tc>
      </w:tr>
      <w:tr>
        <w:trPr>
          <w:trHeight w:val="226"/>
        </w:trPr>
        <w:tc>
          <w:tcPr>
            <w:tcW w:w="3600" w:type="dxa"/>
            <w:vAlign w:val="bottom"/>
          </w:tcPr>
          <w:p>
            <w:pPr>
              <w:spacing w:after="0" w:line="226" w:lineRule="exact"/>
              <w:rPr>
                <w:sz w:val="20"/>
                <w:szCs w:val="20"/>
                <w:color w:val="auto"/>
              </w:rPr>
            </w:pPr>
            <w:r>
              <w:rPr>
                <w:rFonts w:ascii="Arial" w:cs="Arial" w:eastAsia="Arial" w:hAnsi="Arial"/>
                <w:sz w:val="20"/>
                <w:szCs w:val="20"/>
                <w:color w:val="auto"/>
              </w:rPr>
              <w:t>Partners</w:t>
            </w:r>
          </w:p>
        </w:tc>
        <w:tc>
          <w:tcPr>
            <w:tcW w:w="312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9680"/>
          </w:cols>
          <w:pgMar w:left="980" w:top="1440" w:right="122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40"/>
        <w:spacing w:after="0" w:line="227" w:lineRule="auto"/>
        <w:rPr>
          <w:sz w:val="20"/>
          <w:szCs w:val="20"/>
          <w:color w:val="auto"/>
        </w:rPr>
      </w:pPr>
      <w:r>
        <w:rPr>
          <w:rFonts w:ascii="Arial" w:cs="Arial" w:eastAsia="Arial" w:hAnsi="Arial"/>
          <w:sz w:val="20"/>
          <w:szCs w:val="20"/>
          <w:color w:val="auto"/>
        </w:rPr>
        <w:t>Mr. Nader is a Managing Director of SWaN &amp; Legend Venture Partners, an investment firm that Mr. Nader co-founded in 2006, making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serves as the Chairman of the Inova Health System Board of Trustees. Mr. Nader has been designated by the Board as an audit committee financial expert in accordance with the SEC definition.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Skills and Qualifications</w:t>
      </w:r>
    </w:p>
    <w:p>
      <w:pPr>
        <w:jc w:val="both"/>
        <w:ind w:left="340"/>
        <w:spacing w:after="0" w:line="227" w:lineRule="auto"/>
        <w:rPr>
          <w:sz w:val="20"/>
          <w:szCs w:val="20"/>
          <w:color w:val="auto"/>
        </w:rPr>
      </w:pPr>
      <w:r>
        <w:rPr>
          <w:rFonts w:ascii="Arial" w:cs="Arial" w:eastAsia="Arial" w:hAnsi="Arial"/>
          <w:sz w:val="20"/>
          <w:szCs w:val="20"/>
          <w:color w:val="auto"/>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Other Public Company Directorships:</w:t>
      </w:r>
    </w:p>
    <w:p>
      <w:pPr>
        <w:ind w:left="340"/>
        <w:spacing w:after="0" w:line="229" w:lineRule="auto"/>
        <w:rPr>
          <w:sz w:val="20"/>
          <w:szCs w:val="20"/>
          <w:color w:val="auto"/>
        </w:rPr>
      </w:pPr>
      <w:r>
        <w:rPr>
          <w:rFonts w:ascii="Arial" w:cs="Arial" w:eastAsia="Arial" w:hAnsi="Arial"/>
          <w:sz w:val="20"/>
          <w:szCs w:val="20"/>
          <w:color w:val="auto"/>
        </w:rPr>
        <w:t>Arlington Asset Investment Corp.</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Committees:</w:t>
      </w:r>
    </w:p>
    <w:p>
      <w:pPr>
        <w:ind w:left="340"/>
        <w:spacing w:after="0" w:line="225" w:lineRule="auto"/>
        <w:rPr>
          <w:sz w:val="20"/>
          <w:szCs w:val="20"/>
          <w:color w:val="auto"/>
        </w:rPr>
      </w:pPr>
      <w:r>
        <w:rPr>
          <w:rFonts w:ascii="Arial" w:cs="Arial" w:eastAsia="Arial" w:hAnsi="Arial"/>
          <w:sz w:val="20"/>
          <w:szCs w:val="20"/>
          <w:color w:val="auto"/>
        </w:rPr>
        <w:t>Audit Committee</w:t>
      </w:r>
    </w:p>
    <w:p>
      <w:pPr>
        <w:ind w:left="340"/>
        <w:spacing w:after="0" w:line="229" w:lineRule="auto"/>
        <w:rPr>
          <w:sz w:val="20"/>
          <w:szCs w:val="20"/>
          <w:color w:val="auto"/>
        </w:rPr>
      </w:pPr>
      <w:r>
        <w:rPr>
          <w:rFonts w:ascii="Arial" w:cs="Arial" w:eastAsia="Arial" w:hAnsi="Arial"/>
          <w:sz w:val="20"/>
          <w:szCs w:val="20"/>
          <w:color w:val="auto"/>
        </w:rPr>
        <w:t>Nominating Committee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479425</wp:posOffset>
                </wp:positionV>
                <wp:extent cx="6400165" cy="17780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9E8E3"/>
                        </a:solidFill>
                      </wps:spPr>
                      <wps:bodyPr/>
                    </wps:wsp>
                  </a:graphicData>
                </a:graphic>
              </wp:anchor>
            </w:drawing>
          </mc:Choice>
          <mc:Fallback>
            <w:pict>
              <v:rect id="Shape 353" o:spid="_x0000_s1378" style="position:absolute;margin-left:-3.9499pt;margin-top:37.75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478790</wp:posOffset>
                </wp:positionV>
                <wp:extent cx="0" cy="17780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99pt,37.7pt" to="-3.2499pt,51.7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488315</wp:posOffset>
                </wp:positionV>
                <wp:extent cx="640080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38.45pt" to="500pt,38.4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647065</wp:posOffset>
                </wp:positionV>
                <wp:extent cx="64008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50.95pt" to="500pt,50.9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6340475</wp:posOffset>
                </wp:positionH>
                <wp:positionV relativeFrom="paragraph">
                  <wp:posOffset>478790</wp:posOffset>
                </wp:positionV>
                <wp:extent cx="0" cy="17780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25pt,37.7pt" to="499.25pt,51.7pt" o:allowincell="f" strokecolor="#000000" strokeweight="1.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Ms. Steinel is the owner of Executive Advisors (2007-present), a business that provides consulting services to chief executives and senior officers and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on the boards of Invesque, Inc., a Toronto stock exchange company that invests in a highly diversified portfolio of properties across the health care spectrum throughout the US and Canada,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Skills and Qualifications</w:t>
      </w:r>
    </w:p>
    <w:p>
      <w:pPr>
        <w:jc w:val="both"/>
        <w:spacing w:after="0" w:line="226" w:lineRule="auto"/>
        <w:rPr>
          <w:sz w:val="20"/>
          <w:szCs w:val="20"/>
          <w:color w:val="auto"/>
        </w:rPr>
      </w:pPr>
      <w:r>
        <w:rPr>
          <w:rFonts w:ascii="Arial" w:cs="Arial" w:eastAsia="Arial" w:hAnsi="Arial"/>
          <w:sz w:val="20"/>
          <w:szCs w:val="20"/>
          <w:color w:val="auto"/>
        </w:rPr>
        <w:t>Ms. Steinel’s history as a CPA combined with her more than 35 years of experience in auditing, leadership, leadership development and financial systems provides us with valuable insights on</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leadership, leadership development, risk management and systems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 Public Company Directorships:</w:t>
      </w:r>
    </w:p>
    <w:p>
      <w:pPr>
        <w:spacing w:after="0" w:line="225" w:lineRule="auto"/>
        <w:rPr>
          <w:sz w:val="20"/>
          <w:szCs w:val="20"/>
          <w:color w:val="auto"/>
        </w:rPr>
      </w:pPr>
      <w:r>
        <w:rPr>
          <w:rFonts w:ascii="Arial" w:cs="Arial" w:eastAsia="Arial" w:hAnsi="Arial"/>
          <w:sz w:val="20"/>
          <w:szCs w:val="20"/>
          <w:color w:val="auto"/>
        </w:rPr>
        <w:t>MTS Systems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w:t>
      </w:r>
    </w:p>
    <w:p>
      <w:pPr>
        <w:spacing w:after="0" w:line="229" w:lineRule="auto"/>
        <w:rPr>
          <w:sz w:val="20"/>
          <w:szCs w:val="20"/>
          <w:color w:val="auto"/>
        </w:rPr>
      </w:pPr>
      <w:r>
        <w:rPr>
          <w:rFonts w:ascii="Arial" w:cs="Arial" w:eastAsia="Arial" w:hAnsi="Arial"/>
          <w:sz w:val="20"/>
          <w:szCs w:val="20"/>
          <w:color w:val="auto"/>
        </w:rPr>
        <w:t>Audit Committee (Chair)</w:t>
      </w:r>
    </w:p>
    <w:p>
      <w:pPr>
        <w:spacing w:after="0" w:line="225" w:lineRule="auto"/>
        <w:rPr>
          <w:sz w:val="20"/>
          <w:szCs w:val="20"/>
          <w:color w:val="auto"/>
        </w:rPr>
      </w:pPr>
      <w:r>
        <w:rPr>
          <w:rFonts w:ascii="Arial" w:cs="Arial" w:eastAsia="Arial" w:hAnsi="Arial"/>
          <w:sz w:val="20"/>
          <w:szCs w:val="20"/>
          <w:color w:val="auto"/>
        </w:rPr>
        <w:t>Compensation Committee</w:t>
      </w:r>
    </w:p>
    <w:p>
      <w:pPr>
        <w:spacing w:after="0" w:line="200" w:lineRule="exact"/>
        <w:rPr>
          <w:sz w:val="20"/>
          <w:szCs w:val="20"/>
          <w:color w:val="auto"/>
        </w:rPr>
      </w:pPr>
    </w:p>
    <w:p>
      <w:pPr>
        <w:sectPr>
          <w:pgSz w:w="11880" w:h="15480" w:orient="portrait"/>
          <w:cols w:equalWidth="0" w:num="2">
            <w:col w:w="4740" w:space="540"/>
            <w:col w:w="4400"/>
          </w:cols>
          <w:pgMar w:left="980" w:top="1440" w:right="1220" w:bottom="764" w:gutter="0" w:footer="0" w:header="0"/>
          <w:type w:val="continuous"/>
        </w:sectPr>
      </w:pPr>
    </w:p>
    <w:p>
      <w:pPr>
        <w:spacing w:after="0" w:line="387" w:lineRule="exact"/>
        <w:rPr>
          <w:sz w:val="20"/>
          <w:szCs w:val="20"/>
          <w:color w:val="auto"/>
        </w:rPr>
      </w:pPr>
    </w:p>
    <w:p>
      <w:pPr>
        <w:spacing w:after="0"/>
        <w:tabs>
          <w:tab w:leader="none" w:pos="1340" w:val="left"/>
          <w:tab w:leader="none" w:pos="308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16</w:t>
      </w:r>
    </w:p>
    <w:p>
      <w:pPr>
        <w:sectPr>
          <w:pgSz w:w="11880" w:h="15480" w:orient="portrait"/>
          <w:cols w:equalWidth="0" w:num="1">
            <w:col w:w="9680"/>
          </w:cols>
          <w:pgMar w:left="980" w:top="1440" w:right="1220" w:bottom="764" w:gutter="0" w:footer="0" w:header="0"/>
          <w:type w:val="continuous"/>
        </w:sectPr>
      </w:pPr>
    </w:p>
    <w:bookmarkStart w:id="136" w:name="page137"/>
    <w:bookmarkEnd w:id="136"/>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6400800" cy="47129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55">
                      <a:extLst>
                        <a:ext uri="{28A0092B-C50C-407E-A947-70E740481C1C}"/>
                      </a:extLst>
                    </a:blip>
                    <a:srcRect/>
                    <a:stretch>
                      <a:fillRect/>
                    </a:stretch>
                  </pic:blipFill>
                  <pic:spPr bwMode="auto">
                    <a:xfrm>
                      <a:off x="0" y="0"/>
                      <a:ext cx="6400800" cy="471297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0"/>
          <w:szCs w:val="20"/>
          <w:b w:val="1"/>
          <w:bCs w:val="1"/>
          <w:color w:val="auto"/>
        </w:rPr>
        <w:t>DONALD C. WOOD</w:t>
      </w:r>
    </w:p>
    <w:p>
      <w:pPr>
        <w:ind w:left="2580"/>
        <w:spacing w:after="0"/>
        <w:rPr>
          <w:sz w:val="20"/>
          <w:szCs w:val="20"/>
          <w:color w:val="auto"/>
        </w:rPr>
      </w:pPr>
      <w:r>
        <w:rPr>
          <w:rFonts w:ascii="Arial" w:cs="Arial" w:eastAsia="Arial" w:hAnsi="Arial"/>
          <w:sz w:val="20"/>
          <w:szCs w:val="20"/>
          <w:color w:val="auto"/>
        </w:rPr>
        <w:t>Age: 62</w:t>
      </w:r>
    </w:p>
    <w:p>
      <w:pPr>
        <w:ind w:left="2580"/>
        <w:spacing w:after="0" w:line="235" w:lineRule="auto"/>
        <w:rPr>
          <w:sz w:val="20"/>
          <w:szCs w:val="20"/>
          <w:color w:val="auto"/>
        </w:rPr>
      </w:pPr>
      <w:r>
        <w:rPr>
          <w:rFonts w:ascii="Arial" w:cs="Arial" w:eastAsia="Arial" w:hAnsi="Arial"/>
          <w:sz w:val="20"/>
          <w:szCs w:val="20"/>
          <w:color w:val="auto"/>
        </w:rPr>
        <w:t>Trustee Since: 2003</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Chief Executive Officer of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420" w:right="320"/>
        <w:spacing w:after="0" w:line="237" w:lineRule="auto"/>
        <w:rPr>
          <w:sz w:val="20"/>
          <w:szCs w:val="20"/>
          <w:color w:val="auto"/>
        </w:rPr>
      </w:pPr>
      <w:r>
        <w:rPr>
          <w:rFonts w:ascii="Arial" w:cs="Arial" w:eastAsia="Arial" w:hAnsi="Arial"/>
          <w:sz w:val="20"/>
          <w:szCs w:val="20"/>
          <w:color w:val="auto"/>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Skills and Qualifications</w:t>
      </w:r>
    </w:p>
    <w:p>
      <w:pPr>
        <w:spacing w:after="0" w:line="2" w:lineRule="exact"/>
        <w:rPr>
          <w:sz w:val="20"/>
          <w:szCs w:val="20"/>
          <w:color w:val="auto"/>
        </w:rPr>
      </w:pPr>
    </w:p>
    <w:p>
      <w:pPr>
        <w:jc w:val="both"/>
        <w:ind w:left="420" w:right="320"/>
        <w:spacing w:after="0" w:line="237" w:lineRule="auto"/>
        <w:rPr>
          <w:sz w:val="20"/>
          <w:szCs w:val="20"/>
          <w:color w:val="auto"/>
        </w:rPr>
      </w:pPr>
      <w:r>
        <w:rPr>
          <w:rFonts w:ascii="Arial" w:cs="Arial" w:eastAsia="Arial" w:hAnsi="Arial"/>
          <w:sz w:val="20"/>
          <w:szCs w:val="20"/>
          <w:color w:val="auto"/>
        </w:rPr>
        <w:t>Mr. Wood’s 25 years of experience with Federal, including his responsibilities as chief executive officer and as a REIT CFO, provide the Board with familiarity and details on all aspects of the operations and financial condition of the Company.</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Prior Public Company Directorships:</w:t>
      </w:r>
    </w:p>
    <w:p>
      <w:pPr>
        <w:ind w:left="420"/>
        <w:spacing w:after="0" w:line="237" w:lineRule="auto"/>
        <w:rPr>
          <w:sz w:val="20"/>
          <w:szCs w:val="20"/>
          <w:color w:val="auto"/>
        </w:rPr>
      </w:pPr>
      <w:r>
        <w:rPr>
          <w:rFonts w:ascii="Arial" w:cs="Arial" w:eastAsia="Arial" w:hAnsi="Arial"/>
          <w:sz w:val="20"/>
          <w:szCs w:val="20"/>
          <w:color w:val="auto"/>
        </w:rPr>
        <w:t>Quality Care Properties</w:t>
      </w:r>
    </w:p>
    <w:p>
      <w:pPr>
        <w:ind w:left="420"/>
        <w:spacing w:after="0" w:line="238" w:lineRule="auto"/>
        <w:rPr>
          <w:sz w:val="20"/>
          <w:szCs w:val="20"/>
          <w:color w:val="auto"/>
        </w:rPr>
      </w:pPr>
      <w:r>
        <w:rPr>
          <w:rFonts w:ascii="Arial" w:cs="Arial" w:eastAsia="Arial" w:hAnsi="Arial"/>
          <w:sz w:val="20"/>
          <w:szCs w:val="20"/>
          <w:color w:val="auto"/>
        </w:rPr>
        <w:t>Post Properties</w:t>
      </w:r>
    </w:p>
    <w:p>
      <w:pPr>
        <w:spacing w:after="0" w:line="200" w:lineRule="exact"/>
        <w:rPr>
          <w:sz w:val="20"/>
          <w:szCs w:val="20"/>
          <w:color w:val="auto"/>
        </w:rPr>
      </w:pPr>
    </w:p>
    <w:p>
      <w:pPr>
        <w:spacing w:after="0" w:line="238" w:lineRule="exact"/>
        <w:rPr>
          <w:sz w:val="20"/>
          <w:szCs w:val="20"/>
          <w:color w:val="auto"/>
        </w:rPr>
      </w:pPr>
    </w:p>
    <w:p>
      <w:pPr>
        <w:spacing w:after="0" w:line="295" w:lineRule="exact"/>
        <w:tabs>
          <w:tab w:leader="none" w:pos="380" w:val="left"/>
        </w:tabs>
        <w:rPr>
          <w:sz w:val="20"/>
          <w:szCs w:val="20"/>
          <w:color w:val="auto"/>
        </w:rPr>
      </w:pPr>
      <w:r>
        <w:rPr>
          <w:rFonts w:ascii="Arial Unicode MS" w:cs="Arial Unicode MS" w:eastAsia="Arial Unicode MS" w:hAnsi="Arial Unicode MS"/>
          <w:sz w:val="20"/>
          <w:szCs w:val="20"/>
          <w:color w:val="FB1717"/>
        </w:rPr>
        <w:t>➢</w:t>
      </w:r>
      <w:r>
        <w:rPr>
          <w:sz w:val="20"/>
          <w:szCs w:val="20"/>
          <w:color w:val="auto"/>
        </w:rPr>
        <w:tab/>
      </w:r>
      <w:r>
        <w:rPr>
          <w:rFonts w:ascii="Arial" w:cs="Arial" w:eastAsia="Arial" w:hAnsi="Arial"/>
          <w:sz w:val="19"/>
          <w:szCs w:val="19"/>
          <w:b w:val="1"/>
          <w:bCs w:val="1"/>
          <w:color w:val="auto"/>
        </w:rPr>
        <w:t>TRUSTEE COMPENSATION</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As of December 31, 2022, our standard arrangement for compensation for our non-management trustees included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60" w:type="dxa"/>
            <w:vAlign w:val="bottom"/>
            <w:shd w:val="clear" w:color="auto" w:fill="FB1717"/>
          </w:tcPr>
          <w:p>
            <w:pPr>
              <w:ind w:left="40"/>
              <w:spacing w:after="0"/>
              <w:rPr>
                <w:sz w:val="20"/>
                <w:szCs w:val="20"/>
                <w:color w:val="auto"/>
              </w:rPr>
            </w:pPr>
            <w:r>
              <w:rPr>
                <w:rFonts w:ascii="Arial" w:cs="Arial" w:eastAsia="Arial" w:hAnsi="Arial"/>
                <w:sz w:val="18"/>
                <w:szCs w:val="18"/>
                <w:b w:val="1"/>
                <w:bCs w:val="1"/>
                <w:color w:val="FFFFFF"/>
              </w:rPr>
              <w:t>Trustee Compensation Element</w:t>
            </w:r>
          </w:p>
        </w:tc>
        <w:tc>
          <w:tcPr>
            <w:tcW w:w="1440" w:type="dxa"/>
            <w:vAlign w:val="bottom"/>
            <w:gridSpan w:val="2"/>
            <w:shd w:val="clear" w:color="auto" w:fill="FB1717"/>
          </w:tcPr>
          <w:p>
            <w:pPr>
              <w:ind w:left="360"/>
              <w:spacing w:after="0"/>
              <w:rPr>
                <w:sz w:val="20"/>
                <w:szCs w:val="20"/>
                <w:color w:val="auto"/>
              </w:rPr>
            </w:pPr>
            <w:r>
              <w:rPr>
                <w:rFonts w:ascii="Arial" w:cs="Arial" w:eastAsia="Arial" w:hAnsi="Arial"/>
                <w:sz w:val="18"/>
                <w:szCs w:val="18"/>
                <w:b w:val="1"/>
                <w:bCs w:val="1"/>
                <w:color w:val="FFFFFF"/>
              </w:rPr>
              <w:t>Amount</w:t>
            </w:r>
          </w:p>
        </w:tc>
        <w:tc>
          <w:tcPr>
            <w:tcW w:w="2180" w:type="dxa"/>
            <w:vAlign w:val="bottom"/>
            <w:shd w:val="clear" w:color="auto" w:fill="FB1717"/>
          </w:tcPr>
          <w:p>
            <w:pPr>
              <w:ind w:left="60"/>
              <w:spacing w:after="0"/>
              <w:rPr>
                <w:sz w:val="20"/>
                <w:szCs w:val="20"/>
                <w:color w:val="auto"/>
              </w:rPr>
            </w:pPr>
            <w:r>
              <w:rPr>
                <w:rFonts w:ascii="Arial" w:cs="Arial" w:eastAsia="Arial" w:hAnsi="Arial"/>
                <w:sz w:val="18"/>
                <w:szCs w:val="18"/>
                <w:b w:val="1"/>
                <w:bCs w:val="1"/>
                <w:color w:val="FFFFFF"/>
              </w:rPr>
              <w:t>Payment Form</w:t>
            </w:r>
          </w:p>
        </w:tc>
      </w:tr>
      <w:tr>
        <w:trPr>
          <w:trHeight w:val="64"/>
        </w:trPr>
        <w:tc>
          <w:tcPr>
            <w:tcW w:w="3760" w:type="dxa"/>
            <w:vAlign w:val="bottom"/>
            <w:shd w:val="clear" w:color="auto" w:fill="FB1717"/>
          </w:tcPr>
          <w:p>
            <w:pPr>
              <w:spacing w:after="0"/>
              <w:rPr>
                <w:sz w:val="5"/>
                <w:szCs w:val="5"/>
                <w:color w:val="auto"/>
              </w:rPr>
            </w:pPr>
          </w:p>
        </w:tc>
        <w:tc>
          <w:tcPr>
            <w:tcW w:w="600" w:type="dxa"/>
            <w:vAlign w:val="bottom"/>
            <w:shd w:val="clear" w:color="auto" w:fill="FB1717"/>
          </w:tcPr>
          <w:p>
            <w:pPr>
              <w:spacing w:after="0"/>
              <w:rPr>
                <w:sz w:val="5"/>
                <w:szCs w:val="5"/>
                <w:color w:val="auto"/>
              </w:rPr>
            </w:pPr>
          </w:p>
        </w:tc>
        <w:tc>
          <w:tcPr>
            <w:tcW w:w="840" w:type="dxa"/>
            <w:vAlign w:val="bottom"/>
            <w:shd w:val="clear" w:color="auto" w:fill="FB1717"/>
          </w:tcPr>
          <w:p>
            <w:pPr>
              <w:spacing w:after="0"/>
              <w:rPr>
                <w:sz w:val="5"/>
                <w:szCs w:val="5"/>
                <w:color w:val="auto"/>
              </w:rPr>
            </w:pPr>
          </w:p>
        </w:tc>
        <w:tc>
          <w:tcPr>
            <w:tcW w:w="2180" w:type="dxa"/>
            <w:vAlign w:val="bottom"/>
            <w:shd w:val="clear" w:color="auto" w:fill="FB1717"/>
          </w:tcPr>
          <w:p>
            <w:pPr>
              <w:spacing w:after="0"/>
              <w:rPr>
                <w:sz w:val="5"/>
                <w:szCs w:val="5"/>
                <w:color w:val="auto"/>
              </w:rPr>
            </w:pPr>
          </w:p>
        </w:tc>
      </w:tr>
      <w:tr>
        <w:trPr>
          <w:trHeight w:val="296"/>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Board Service</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4"/>
        </w:trPr>
        <w:tc>
          <w:tcPr>
            <w:tcW w:w="3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6"/>
        </w:trPr>
        <w:tc>
          <w:tcPr>
            <w:tcW w:w="3760" w:type="dxa"/>
            <w:vAlign w:val="bottom"/>
          </w:tcPr>
          <w:p>
            <w:pPr>
              <w:ind w:left="40"/>
              <w:spacing w:after="0"/>
              <w:rPr>
                <w:sz w:val="20"/>
                <w:szCs w:val="20"/>
                <w:color w:val="auto"/>
              </w:rPr>
            </w:pPr>
            <w:r>
              <w:rPr>
                <w:rFonts w:ascii="Arial" w:cs="Arial" w:eastAsia="Arial" w:hAnsi="Arial"/>
                <w:sz w:val="18"/>
                <w:szCs w:val="18"/>
                <w:color w:val="auto"/>
              </w:rPr>
              <w:t>Annual Retainer</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2180" w:type="dxa"/>
            <w:vAlign w:val="bottom"/>
          </w:tcPr>
          <w:p>
            <w:pPr>
              <w:ind w:left="60"/>
              <w:spacing w:after="0"/>
              <w:rPr>
                <w:sz w:val="20"/>
                <w:szCs w:val="20"/>
                <w:color w:val="auto"/>
              </w:rPr>
            </w:pPr>
            <w:r>
              <w:rPr>
                <w:rFonts w:ascii="Arial" w:cs="Arial" w:eastAsia="Arial" w:hAnsi="Arial"/>
                <w:sz w:val="18"/>
                <w:szCs w:val="18"/>
                <w:color w:val="auto"/>
              </w:rPr>
              <w:t>40% cash; 60% equity</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auto"/>
              </w:rPr>
              <w:t>Annual Retainer Non-Executive Chairman</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2180" w:type="dxa"/>
            <w:vAlign w:val="bottom"/>
          </w:tcPr>
          <w:p>
            <w:pPr>
              <w:ind w:left="60"/>
              <w:spacing w:after="0"/>
              <w:rPr>
                <w:sz w:val="20"/>
                <w:szCs w:val="20"/>
                <w:color w:val="auto"/>
              </w:rPr>
            </w:pPr>
            <w:r>
              <w:rPr>
                <w:rFonts w:ascii="Arial" w:cs="Arial" w:eastAsia="Arial" w:hAnsi="Arial"/>
                <w:sz w:val="18"/>
                <w:szCs w:val="18"/>
                <w:color w:val="auto"/>
              </w:rPr>
              <w:t>60% cash; 40% equity</w:t>
            </w:r>
          </w:p>
        </w:tc>
      </w:tr>
      <w:tr>
        <w:trPr>
          <w:trHeight w:val="34"/>
        </w:trPr>
        <w:tc>
          <w:tcPr>
            <w:tcW w:w="3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366"/>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Committee Chairs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4"/>
        </w:trPr>
        <w:tc>
          <w:tcPr>
            <w:tcW w:w="3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6"/>
        </w:trPr>
        <w:tc>
          <w:tcPr>
            <w:tcW w:w="376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2180" w:type="dxa"/>
            <w:vAlign w:val="bottom"/>
          </w:tcPr>
          <w:p>
            <w:pPr>
              <w:ind w:left="60"/>
              <w:spacing w:after="0"/>
              <w:rPr>
                <w:sz w:val="20"/>
                <w:szCs w:val="20"/>
                <w:color w:val="auto"/>
              </w:rPr>
            </w:pPr>
            <w:r>
              <w:rPr>
                <w:rFonts w:ascii="Arial" w:cs="Arial" w:eastAsia="Arial" w:hAnsi="Arial"/>
                <w:sz w:val="18"/>
                <w:szCs w:val="18"/>
                <w:color w:val="auto"/>
              </w:rPr>
              <w:t>Cash</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auto"/>
              </w:rPr>
              <w:t>Compensation Committee</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2180" w:type="dxa"/>
            <w:vAlign w:val="bottom"/>
          </w:tcPr>
          <w:p>
            <w:pPr>
              <w:ind w:left="60"/>
              <w:spacing w:after="0"/>
              <w:rPr>
                <w:sz w:val="20"/>
                <w:szCs w:val="20"/>
                <w:color w:val="auto"/>
              </w:rPr>
            </w:pPr>
            <w:r>
              <w:rPr>
                <w:rFonts w:ascii="Arial" w:cs="Arial" w:eastAsia="Arial" w:hAnsi="Arial"/>
                <w:sz w:val="18"/>
                <w:szCs w:val="18"/>
                <w:color w:val="auto"/>
              </w:rPr>
              <w:t>Cash</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auto"/>
              </w:rPr>
              <w:t>Nominating Committee</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2180" w:type="dxa"/>
            <w:vAlign w:val="bottom"/>
          </w:tcPr>
          <w:p>
            <w:pPr>
              <w:ind w:left="60"/>
              <w:spacing w:after="0"/>
              <w:rPr>
                <w:sz w:val="20"/>
                <w:szCs w:val="20"/>
                <w:color w:val="auto"/>
              </w:rPr>
            </w:pPr>
            <w:r>
              <w:rPr>
                <w:rFonts w:ascii="Arial" w:cs="Arial" w:eastAsia="Arial" w:hAnsi="Arial"/>
                <w:sz w:val="18"/>
                <w:szCs w:val="18"/>
                <w:color w:val="auto"/>
              </w:rPr>
              <w:t>Cash</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2489200</wp:posOffset>
                </wp:positionH>
                <wp:positionV relativeFrom="paragraph">
                  <wp:posOffset>-1727835</wp:posOffset>
                </wp:positionV>
                <wp:extent cx="0" cy="18415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136.0499pt" to="196pt,-121.5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3289300</wp:posOffset>
                </wp:positionH>
                <wp:positionV relativeFrom="paragraph">
                  <wp:posOffset>-1727835</wp:posOffset>
                </wp:positionV>
                <wp:extent cx="0" cy="18415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136.0499pt" to="259pt,-121.5499pt" o:allowincell="f" strokecolor="#FFFFFF" strokeweight="1.5pt"/>
            </w:pict>
          </mc:Fallback>
        </mc:AlternateConten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All amounts are prorated for any partial years of service and shares issued are fully vested on the grant date.</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Our non-management Trustees are required to maintain ownership of our shares having a value equal to at least 5 times the amount of their annual cash retainer. This requirement must be met within 5 years after joining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127635</wp:posOffset>
                </wp:positionV>
                <wp:extent cx="6400800" cy="17780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61" o:spid="_x0000_s1386" style="position:absolute;margin-left:0pt;margin-top:10.0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127000</wp:posOffset>
                </wp:positionV>
                <wp:extent cx="0" cy="17780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pt" to="0.75pt,2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127000</wp:posOffset>
                </wp:positionV>
                <wp:extent cx="0" cy="17780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pt" to="503.25pt,2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295275</wp:posOffset>
                </wp:positionV>
                <wp:extent cx="640080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25pt" to="504pt,23.25pt" o:allowincell="f" strokecolor="#000000" strokeweight="1.5pt"/>
            </w:pict>
          </mc:Fallback>
        </mc:AlternateContent>
      </w:r>
    </w:p>
    <w:p>
      <w:pPr>
        <w:sectPr>
          <w:pgSz w:w="11880" w:h="15480" w:orient="portrait"/>
          <w:cols w:equalWidth="0" w:num="1">
            <w:col w:w="10080"/>
          </w:cols>
          <w:pgMar w:left="900" w:top="1440" w:right="900" w:bottom="764" w:gutter="0" w:footer="0" w:header="0"/>
        </w:sectPr>
      </w:pPr>
    </w:p>
    <w:p>
      <w:pPr>
        <w:spacing w:after="0" w:line="249"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17</w:t>
      </w:r>
    </w:p>
    <w:p>
      <w:pPr>
        <w:sectPr>
          <w:pgSz w:w="11880" w:h="15480" w:orient="portrait"/>
          <w:cols w:equalWidth="0" w:num="1">
            <w:col w:w="10080"/>
          </w:cols>
          <w:pgMar w:left="900" w:top="1440" w:right="900" w:bottom="764" w:gutter="0" w:footer="0" w:header="0"/>
          <w:type w:val="continuous"/>
        </w:sectPr>
      </w:pPr>
    </w:p>
    <w:bookmarkStart w:id="137" w:name="page138"/>
    <w:bookmarkEnd w:id="137"/>
    <w:p>
      <w:pPr>
        <w:jc w:val="both"/>
        <w:spacing w:after="0" w:line="247" w:lineRule="auto"/>
        <w:rPr>
          <w:sz w:val="20"/>
          <w:szCs w:val="20"/>
          <w:color w:val="auto"/>
        </w:rPr>
      </w:pPr>
      <w:r>
        <w:rPr>
          <w:rFonts w:ascii="Arial" w:cs="Arial" w:eastAsia="Arial" w:hAnsi="Arial"/>
          <w:sz w:val="20"/>
          <w:szCs w:val="20"/>
          <w:color w:val="auto"/>
        </w:rPr>
        <w:t>Board. As of December 31, 2022, all of our Trustees who have been on the Board for 5 or more years were in full compliance with this ownership requirement. We expect our newest Trustees who joined the Board in 2020 and 2022 to be in compliance with this equity ownership requirement within the 5-year time frame.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actual compensation awarded to our Trustees for service in 2022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40" w:type="dxa"/>
            <w:vAlign w:val="bottom"/>
            <w:shd w:val="clear" w:color="auto" w:fill="FB1717"/>
          </w:tcPr>
          <w:p>
            <w:pPr>
              <w:spacing w:after="0"/>
              <w:rPr>
                <w:sz w:val="21"/>
                <w:szCs w:val="21"/>
                <w:color w:val="auto"/>
              </w:rPr>
            </w:pPr>
          </w:p>
        </w:tc>
        <w:tc>
          <w:tcPr>
            <w:tcW w:w="1240" w:type="dxa"/>
            <w:vAlign w:val="bottom"/>
            <w:shd w:val="clear" w:color="auto" w:fill="FB1717"/>
          </w:tcPr>
          <w:p>
            <w:pPr>
              <w:spacing w:after="0"/>
              <w:rPr>
                <w:sz w:val="21"/>
                <w:szCs w:val="21"/>
                <w:color w:val="auto"/>
              </w:rPr>
            </w:pPr>
          </w:p>
        </w:tc>
        <w:tc>
          <w:tcPr>
            <w:tcW w:w="2860" w:type="dxa"/>
            <w:vAlign w:val="bottom"/>
            <w:gridSpan w:val="3"/>
            <w:shd w:val="clear" w:color="auto" w:fill="FB1717"/>
          </w:tcPr>
          <w:p>
            <w:pPr>
              <w:jc w:val="right"/>
              <w:ind w:right="840"/>
              <w:spacing w:after="0"/>
              <w:rPr>
                <w:sz w:val="20"/>
                <w:szCs w:val="20"/>
                <w:color w:val="auto"/>
              </w:rPr>
            </w:pPr>
            <w:r>
              <w:rPr>
                <w:rFonts w:ascii="Calibri" w:cs="Calibri" w:eastAsia="Calibri" w:hAnsi="Calibri"/>
                <w:sz w:val="20"/>
                <w:szCs w:val="20"/>
                <w:b w:val="1"/>
                <w:bCs w:val="1"/>
                <w:color w:val="FFFFFF"/>
              </w:rPr>
              <w:t>Annual Retainer</w:t>
            </w:r>
          </w:p>
        </w:tc>
        <w:tc>
          <w:tcPr>
            <w:tcW w:w="380" w:type="dxa"/>
            <w:vAlign w:val="bottom"/>
            <w:shd w:val="clear" w:color="auto" w:fill="FB1717"/>
          </w:tcPr>
          <w:p>
            <w:pPr>
              <w:spacing w:after="0"/>
              <w:rPr>
                <w:sz w:val="21"/>
                <w:szCs w:val="21"/>
                <w:color w:val="auto"/>
              </w:rPr>
            </w:pPr>
          </w:p>
        </w:tc>
        <w:tc>
          <w:tcPr>
            <w:tcW w:w="1220" w:type="dxa"/>
            <w:vAlign w:val="bottom"/>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Committee</w:t>
            </w:r>
          </w:p>
        </w:tc>
        <w:tc>
          <w:tcPr>
            <w:tcW w:w="400" w:type="dxa"/>
            <w:vAlign w:val="bottom"/>
            <w:shd w:val="clear" w:color="auto" w:fill="FB1717"/>
          </w:tcPr>
          <w:p>
            <w:pPr>
              <w:spacing w:after="0"/>
              <w:rPr>
                <w:sz w:val="21"/>
                <w:szCs w:val="21"/>
                <w:color w:val="auto"/>
              </w:rPr>
            </w:pPr>
          </w:p>
        </w:tc>
        <w:tc>
          <w:tcPr>
            <w:tcW w:w="1140" w:type="dxa"/>
            <w:vAlign w:val="bottom"/>
            <w:shd w:val="clear" w:color="auto" w:fill="FB1717"/>
          </w:tcPr>
          <w:p>
            <w:pPr>
              <w:spacing w:after="0"/>
              <w:rPr>
                <w:sz w:val="21"/>
                <w:szCs w:val="21"/>
                <w:color w:val="auto"/>
              </w:rPr>
            </w:pPr>
          </w:p>
        </w:tc>
      </w:tr>
      <w:tr>
        <w:trPr>
          <w:trHeight w:val="264"/>
        </w:trPr>
        <w:tc>
          <w:tcPr>
            <w:tcW w:w="2840" w:type="dxa"/>
            <w:vAlign w:val="bottom"/>
            <w:shd w:val="clear" w:color="auto" w:fill="FB1717"/>
          </w:tcPr>
          <w:p>
            <w:pPr>
              <w:ind w:left="60"/>
              <w:spacing w:after="0" w:line="220" w:lineRule="exact"/>
              <w:rPr>
                <w:sz w:val="20"/>
                <w:szCs w:val="20"/>
                <w:color w:val="auto"/>
              </w:rPr>
            </w:pPr>
            <w:r>
              <w:rPr>
                <w:rFonts w:ascii="Calibri" w:cs="Calibri" w:eastAsia="Calibri" w:hAnsi="Calibri"/>
                <w:sz w:val="20"/>
                <w:szCs w:val="20"/>
                <w:b w:val="1"/>
                <w:bCs w:val="1"/>
                <w:color w:val="FFFFFF"/>
              </w:rPr>
              <w:t>Name</w:t>
            </w:r>
          </w:p>
        </w:tc>
        <w:tc>
          <w:tcPr>
            <w:tcW w:w="1240" w:type="dxa"/>
            <w:vAlign w:val="bottom"/>
            <w:shd w:val="clear" w:color="auto" w:fill="FB1717"/>
          </w:tcPr>
          <w:p>
            <w:pPr>
              <w:spacing w:after="0"/>
              <w:rPr>
                <w:sz w:val="22"/>
                <w:szCs w:val="22"/>
                <w:color w:val="auto"/>
              </w:rPr>
            </w:pPr>
          </w:p>
        </w:tc>
        <w:tc>
          <w:tcPr>
            <w:tcW w:w="1240" w:type="dxa"/>
            <w:vAlign w:val="bottom"/>
            <w:shd w:val="clear" w:color="auto" w:fill="FB1717"/>
          </w:tcPr>
          <w:p>
            <w:pPr>
              <w:jc w:val="right"/>
              <w:spacing w:after="0" w:line="220" w:lineRule="exact"/>
              <w:rPr>
                <w:sz w:val="20"/>
                <w:szCs w:val="20"/>
                <w:color w:val="auto"/>
              </w:rPr>
            </w:pPr>
            <w:r>
              <w:rPr>
                <w:rFonts w:ascii="Calibri" w:cs="Calibri" w:eastAsia="Calibri" w:hAnsi="Calibri"/>
                <w:sz w:val="20"/>
                <w:szCs w:val="20"/>
                <w:b w:val="1"/>
                <w:bCs w:val="1"/>
                <w:color w:val="FFFFFF"/>
              </w:rPr>
              <w:t>Paid in Cash</w:t>
            </w:r>
          </w:p>
        </w:tc>
        <w:tc>
          <w:tcPr>
            <w:tcW w:w="200" w:type="dxa"/>
            <w:vAlign w:val="bottom"/>
            <w:shd w:val="clear" w:color="auto" w:fill="FB1717"/>
          </w:tcPr>
          <w:p>
            <w:pPr>
              <w:spacing w:after="0"/>
              <w:rPr>
                <w:sz w:val="22"/>
                <w:szCs w:val="22"/>
                <w:color w:val="auto"/>
              </w:rPr>
            </w:pPr>
          </w:p>
        </w:tc>
        <w:tc>
          <w:tcPr>
            <w:tcW w:w="1420" w:type="dxa"/>
            <w:vAlign w:val="bottom"/>
            <w:shd w:val="clear" w:color="auto" w:fill="FB1717"/>
          </w:tcPr>
          <w:p>
            <w:pPr>
              <w:jc w:val="right"/>
              <w:spacing w:after="0" w:line="264" w:lineRule="exact"/>
              <w:rPr>
                <w:sz w:val="20"/>
                <w:szCs w:val="20"/>
                <w:color w:val="auto"/>
              </w:rPr>
            </w:pPr>
            <w:r>
              <w:rPr>
                <w:rFonts w:ascii="Calibri" w:cs="Calibri" w:eastAsia="Calibri" w:hAnsi="Calibri"/>
                <w:sz w:val="20"/>
                <w:szCs w:val="20"/>
                <w:b w:val="1"/>
                <w:bCs w:val="1"/>
                <w:color w:val="FFFFFF"/>
                <w:w w:val="97"/>
              </w:rPr>
              <w:t>Paid in Shares</w:t>
            </w:r>
            <w:r>
              <w:rPr>
                <w:rFonts w:ascii="Calibri" w:cs="Calibri" w:eastAsia="Calibri" w:hAnsi="Calibri"/>
                <w:sz w:val="26"/>
                <w:szCs w:val="26"/>
                <w:b w:val="1"/>
                <w:bCs w:val="1"/>
                <w:color w:val="FFFFFF"/>
                <w:w w:val="97"/>
                <w:vertAlign w:val="superscript"/>
              </w:rPr>
              <w:t>(1)</w:t>
            </w:r>
          </w:p>
        </w:tc>
        <w:tc>
          <w:tcPr>
            <w:tcW w:w="380" w:type="dxa"/>
            <w:vAlign w:val="bottom"/>
            <w:shd w:val="clear" w:color="auto" w:fill="FB1717"/>
          </w:tcPr>
          <w:p>
            <w:pPr>
              <w:spacing w:after="0"/>
              <w:rPr>
                <w:sz w:val="22"/>
                <w:szCs w:val="22"/>
                <w:color w:val="auto"/>
              </w:rPr>
            </w:pPr>
          </w:p>
        </w:tc>
        <w:tc>
          <w:tcPr>
            <w:tcW w:w="1220" w:type="dxa"/>
            <w:vAlign w:val="bottom"/>
            <w:shd w:val="clear" w:color="auto" w:fill="FB1717"/>
          </w:tcPr>
          <w:p>
            <w:pPr>
              <w:jc w:val="right"/>
              <w:spacing w:after="0" w:line="220" w:lineRule="exact"/>
              <w:rPr>
                <w:sz w:val="20"/>
                <w:szCs w:val="20"/>
                <w:color w:val="auto"/>
              </w:rPr>
            </w:pPr>
            <w:r>
              <w:rPr>
                <w:rFonts w:ascii="Calibri" w:cs="Calibri" w:eastAsia="Calibri" w:hAnsi="Calibri"/>
                <w:sz w:val="20"/>
                <w:szCs w:val="20"/>
                <w:b w:val="1"/>
                <w:bCs w:val="1"/>
                <w:color w:val="FFFFFF"/>
              </w:rPr>
              <w:t>Chair Fees</w:t>
            </w:r>
          </w:p>
        </w:tc>
        <w:tc>
          <w:tcPr>
            <w:tcW w:w="400" w:type="dxa"/>
            <w:vAlign w:val="bottom"/>
            <w:shd w:val="clear" w:color="auto" w:fill="FB1717"/>
          </w:tcPr>
          <w:p>
            <w:pPr>
              <w:spacing w:after="0"/>
              <w:rPr>
                <w:sz w:val="22"/>
                <w:szCs w:val="22"/>
                <w:color w:val="auto"/>
              </w:rPr>
            </w:pPr>
          </w:p>
        </w:tc>
        <w:tc>
          <w:tcPr>
            <w:tcW w:w="1140" w:type="dxa"/>
            <w:vAlign w:val="bottom"/>
            <w:shd w:val="clear" w:color="auto" w:fill="FB1717"/>
          </w:tcPr>
          <w:p>
            <w:pPr>
              <w:jc w:val="right"/>
              <w:spacing w:after="0" w:line="220" w:lineRule="exact"/>
              <w:rPr>
                <w:sz w:val="20"/>
                <w:szCs w:val="20"/>
                <w:color w:val="auto"/>
              </w:rPr>
            </w:pPr>
            <w:r>
              <w:rPr>
                <w:rFonts w:ascii="Calibri" w:cs="Calibri" w:eastAsia="Calibri" w:hAnsi="Calibri"/>
                <w:sz w:val="20"/>
                <w:szCs w:val="20"/>
                <w:b w:val="1"/>
                <w:bCs w:val="1"/>
                <w:color w:val="FFFFFF"/>
              </w:rPr>
              <w:t>Total</w:t>
            </w:r>
          </w:p>
        </w:tc>
      </w:tr>
      <w:tr>
        <w:trPr>
          <w:trHeight w:val="278"/>
        </w:trPr>
        <w:tc>
          <w:tcPr>
            <w:tcW w:w="2840" w:type="dxa"/>
            <w:vAlign w:val="bottom"/>
          </w:tcPr>
          <w:p>
            <w:pPr>
              <w:ind w:left="60"/>
              <w:spacing w:after="0"/>
              <w:rPr>
                <w:sz w:val="20"/>
                <w:szCs w:val="20"/>
                <w:color w:val="auto"/>
              </w:rPr>
            </w:pPr>
            <w:r>
              <w:rPr>
                <w:rFonts w:ascii="Calibri" w:cs="Calibri" w:eastAsia="Calibri" w:hAnsi="Calibri"/>
                <w:sz w:val="20"/>
                <w:szCs w:val="20"/>
                <w:color w:val="auto"/>
              </w:rPr>
              <w:t>David W. Faeder</w:t>
            </w:r>
          </w:p>
        </w:tc>
        <w:tc>
          <w:tcPr>
            <w:tcW w:w="124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auto"/>
              </w:rPr>
              <w:t>135,000</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auto"/>
              </w:rPr>
              <w:t>90,000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auto"/>
              </w:rPr>
              <w:t>-</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225,000</w:t>
            </w:r>
          </w:p>
        </w:tc>
      </w:tr>
      <w:tr>
        <w:trPr>
          <w:trHeight w:val="320"/>
        </w:trPr>
        <w:tc>
          <w:tcPr>
            <w:tcW w:w="2840" w:type="dxa"/>
            <w:vAlign w:val="bottom"/>
          </w:tcPr>
          <w:p>
            <w:pPr>
              <w:ind w:left="60"/>
              <w:spacing w:after="0"/>
              <w:rPr>
                <w:sz w:val="20"/>
                <w:szCs w:val="20"/>
                <w:color w:val="auto"/>
              </w:rPr>
            </w:pPr>
            <w:r>
              <w:rPr>
                <w:rFonts w:ascii="Calibri" w:cs="Calibri" w:eastAsia="Calibri" w:hAnsi="Calibri"/>
                <w:sz w:val="20"/>
                <w:szCs w:val="20"/>
                <w:color w:val="auto"/>
              </w:rPr>
              <w:t>Elizabeth I. Holland</w:t>
            </w:r>
          </w:p>
        </w:tc>
        <w:tc>
          <w:tcPr>
            <w:tcW w:w="124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auto"/>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auto"/>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auto"/>
              </w:rPr>
              <w:t>15,000</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215,000</w:t>
            </w:r>
          </w:p>
        </w:tc>
      </w:tr>
      <w:tr>
        <w:trPr>
          <w:trHeight w:val="320"/>
        </w:trPr>
        <w:tc>
          <w:tcPr>
            <w:tcW w:w="2840" w:type="dxa"/>
            <w:vAlign w:val="bottom"/>
          </w:tcPr>
          <w:p>
            <w:pPr>
              <w:ind w:left="60"/>
              <w:spacing w:after="0"/>
              <w:rPr>
                <w:sz w:val="20"/>
                <w:szCs w:val="20"/>
                <w:color w:val="auto"/>
              </w:rPr>
            </w:pPr>
            <w:r>
              <w:rPr>
                <w:rFonts w:ascii="Calibri" w:cs="Calibri" w:eastAsia="Calibri" w:hAnsi="Calibri"/>
                <w:sz w:val="20"/>
                <w:szCs w:val="20"/>
                <w:color w:val="auto"/>
              </w:rPr>
              <w:t>Nicole Y. Lamb-Hale</w:t>
            </w:r>
          </w:p>
        </w:tc>
        <w:tc>
          <w:tcPr>
            <w:tcW w:w="124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auto"/>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auto"/>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auto"/>
              </w:rPr>
              <w:t>-</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200,000</w:t>
            </w:r>
          </w:p>
        </w:tc>
      </w:tr>
      <w:tr>
        <w:trPr>
          <w:trHeight w:val="390"/>
        </w:trPr>
        <w:tc>
          <w:tcPr>
            <w:tcW w:w="2840" w:type="dxa"/>
            <w:vAlign w:val="bottom"/>
          </w:tcPr>
          <w:p>
            <w:pPr>
              <w:ind w:left="60"/>
              <w:spacing w:after="0"/>
              <w:rPr>
                <w:sz w:val="20"/>
                <w:szCs w:val="20"/>
                <w:color w:val="auto"/>
              </w:rPr>
            </w:pPr>
            <w:r>
              <w:rPr>
                <w:rFonts w:ascii="Calibri" w:cs="Calibri" w:eastAsia="Calibri" w:hAnsi="Calibri"/>
                <w:sz w:val="20"/>
                <w:szCs w:val="20"/>
                <w:color w:val="auto"/>
              </w:rPr>
              <w:t>Thomas A. McEachin</w:t>
            </w:r>
            <w:r>
              <w:rPr>
                <w:rFonts w:ascii="Calibri" w:cs="Calibri" w:eastAsia="Calibri" w:hAnsi="Calibri"/>
                <w:sz w:val="26"/>
                <w:szCs w:val="26"/>
                <w:color w:val="auto"/>
                <w:vertAlign w:val="superscript"/>
              </w:rPr>
              <w:t>(2)</w:t>
            </w:r>
          </w:p>
        </w:tc>
        <w:tc>
          <w:tcPr>
            <w:tcW w:w="124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auto"/>
              </w:rPr>
              <w:t>20,164</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auto"/>
              </w:rPr>
              <w:t>30,247</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auto"/>
              </w:rPr>
              <w:t>-</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50,411</w:t>
            </w:r>
          </w:p>
        </w:tc>
      </w:tr>
      <w:tr>
        <w:trPr>
          <w:trHeight w:val="320"/>
        </w:trPr>
        <w:tc>
          <w:tcPr>
            <w:tcW w:w="2840" w:type="dxa"/>
            <w:vAlign w:val="bottom"/>
          </w:tcPr>
          <w:p>
            <w:pPr>
              <w:ind w:left="60"/>
              <w:spacing w:after="0"/>
              <w:rPr>
                <w:sz w:val="20"/>
                <w:szCs w:val="20"/>
                <w:color w:val="auto"/>
              </w:rPr>
            </w:pPr>
            <w:r>
              <w:rPr>
                <w:rFonts w:ascii="Calibri" w:cs="Calibri" w:eastAsia="Calibri" w:hAnsi="Calibri"/>
                <w:sz w:val="20"/>
                <w:szCs w:val="20"/>
                <w:color w:val="auto"/>
              </w:rPr>
              <w:t>Anthony P. Nader, III</w:t>
            </w:r>
            <w:r>
              <w:rPr>
                <w:rFonts w:ascii="Calibri" w:cs="Calibri" w:eastAsia="Calibri" w:hAnsi="Calibri"/>
                <w:sz w:val="26"/>
                <w:szCs w:val="26"/>
                <w:color w:val="auto"/>
                <w:vertAlign w:val="superscript"/>
              </w:rPr>
              <w:t>(3)</w:t>
            </w:r>
          </w:p>
        </w:tc>
        <w:tc>
          <w:tcPr>
            <w:tcW w:w="124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auto"/>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auto"/>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auto"/>
              </w:rPr>
              <w:t>3,781</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203,781</w:t>
            </w:r>
          </w:p>
        </w:tc>
      </w:tr>
      <w:tr>
        <w:trPr>
          <w:trHeight w:val="320"/>
        </w:trPr>
        <w:tc>
          <w:tcPr>
            <w:tcW w:w="2840" w:type="dxa"/>
            <w:vAlign w:val="bottom"/>
          </w:tcPr>
          <w:p>
            <w:pPr>
              <w:ind w:left="60"/>
              <w:spacing w:after="0"/>
              <w:rPr>
                <w:sz w:val="20"/>
                <w:szCs w:val="20"/>
                <w:color w:val="auto"/>
              </w:rPr>
            </w:pPr>
            <w:r>
              <w:rPr>
                <w:rFonts w:ascii="Calibri" w:cs="Calibri" w:eastAsia="Calibri" w:hAnsi="Calibri"/>
                <w:sz w:val="20"/>
                <w:szCs w:val="20"/>
                <w:color w:val="auto"/>
              </w:rPr>
              <w:t>Mark S. Ordan</w:t>
            </w:r>
            <w:r>
              <w:rPr>
                <w:rFonts w:ascii="Calibri" w:cs="Calibri" w:eastAsia="Calibri" w:hAnsi="Calibri"/>
                <w:sz w:val="26"/>
                <w:szCs w:val="26"/>
                <w:color w:val="auto"/>
                <w:vertAlign w:val="superscript"/>
              </w:rPr>
              <w:t>(4)</w:t>
            </w:r>
          </w:p>
        </w:tc>
        <w:tc>
          <w:tcPr>
            <w:tcW w:w="124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auto"/>
              </w:rPr>
              <w:t>149,589</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auto"/>
              </w:rPr>
              <w:t>-</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auto"/>
              </w:rPr>
              <w:t>11,219</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160,808</w:t>
            </w:r>
          </w:p>
        </w:tc>
      </w:tr>
      <w:tr>
        <w:trPr>
          <w:trHeight w:val="250"/>
        </w:trPr>
        <w:tc>
          <w:tcPr>
            <w:tcW w:w="2840" w:type="dxa"/>
            <w:vAlign w:val="bottom"/>
          </w:tcPr>
          <w:p>
            <w:pPr>
              <w:ind w:left="60"/>
              <w:spacing w:after="0"/>
              <w:rPr>
                <w:sz w:val="20"/>
                <w:szCs w:val="20"/>
                <w:color w:val="auto"/>
              </w:rPr>
            </w:pPr>
            <w:r>
              <w:rPr>
                <w:rFonts w:ascii="Calibri" w:cs="Calibri" w:eastAsia="Calibri" w:hAnsi="Calibri"/>
                <w:sz w:val="20"/>
                <w:szCs w:val="20"/>
                <w:color w:val="auto"/>
              </w:rPr>
              <w:t>Gail P. Steinel</w:t>
            </w:r>
          </w:p>
        </w:tc>
        <w:tc>
          <w:tcPr>
            <w:tcW w:w="124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auto"/>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auto"/>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auto"/>
              </w:rPr>
              <w:t>25,000</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225,000</w:t>
            </w:r>
          </w:p>
        </w:tc>
      </w:tr>
      <w:tr>
        <w:trPr>
          <w:trHeight w:val="32"/>
        </w:trPr>
        <w:tc>
          <w:tcPr>
            <w:tcW w:w="2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6"/>
        </w:trPr>
        <w:tc>
          <w:tcPr>
            <w:tcW w:w="2840" w:type="dxa"/>
            <w:vAlign w:val="bottom"/>
          </w:tcPr>
          <w:p>
            <w:pPr>
              <w:ind w:left="60"/>
              <w:spacing w:after="0"/>
              <w:rPr>
                <w:sz w:val="20"/>
                <w:szCs w:val="20"/>
                <w:color w:val="auto"/>
              </w:rPr>
            </w:pPr>
            <w:r>
              <w:rPr>
                <w:rFonts w:ascii="Calibri" w:cs="Calibri" w:eastAsia="Calibri" w:hAnsi="Calibri"/>
                <w:sz w:val="20"/>
                <w:szCs w:val="20"/>
                <w:b w:val="1"/>
                <w:bCs w:val="1"/>
                <w:color w:val="auto"/>
              </w:rPr>
              <w:t>Total</w:t>
            </w:r>
          </w:p>
        </w:tc>
        <w:tc>
          <w:tcPr>
            <w:tcW w:w="1240" w:type="dxa"/>
            <w:vAlign w:val="bottom"/>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624,753</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600,247</w:t>
            </w:r>
          </w:p>
        </w:tc>
        <w:tc>
          <w:tcPr>
            <w:tcW w:w="38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55,000</w:t>
            </w:r>
          </w:p>
        </w:tc>
        <w:tc>
          <w:tcPr>
            <w:tcW w:w="40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1,280,000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126365</wp:posOffset>
                </wp:positionV>
                <wp:extent cx="60960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5pt" to="48pt,9.95pt" o:allowincell="f" strokecolor="#000000" strokeweight="0.5pt"/>
            </w:pict>
          </mc:Fallback>
        </mc:AlternateContent>
      </w:r>
    </w:p>
    <w:p>
      <w:pPr>
        <w:spacing w:after="0" w:line="239" w:lineRule="exact"/>
        <w:rPr>
          <w:sz w:val="20"/>
          <w:szCs w:val="20"/>
          <w:color w:val="auto"/>
        </w:rPr>
      </w:pPr>
    </w:p>
    <w:p>
      <w:pPr>
        <w:ind w:left="360" w:hanging="360"/>
        <w:spacing w:after="0" w:line="214" w:lineRule="auto"/>
        <w:tabs>
          <w:tab w:leader="none" w:pos="36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Shares were issued on January 3, 2023 with the number of shares received by each Trustee determined by dividing the amount to be paid in shares by $101.04, the closing price of our shares on the NYSE on December 30, 2022.</w:t>
      </w:r>
    </w:p>
    <w:p>
      <w:pPr>
        <w:ind w:left="360" w:hanging="360"/>
        <w:spacing w:after="0" w:line="199" w:lineRule="auto"/>
        <w:tabs>
          <w:tab w:leader="none" w:pos="36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Prorated for partial year of service. Mr. McEachin joined the Board on October 1, 2022.</w:t>
      </w:r>
    </w:p>
    <w:p>
      <w:pPr>
        <w:spacing w:after="0" w:line="55" w:lineRule="exact"/>
        <w:rPr>
          <w:rFonts w:ascii="Arial" w:cs="Arial" w:eastAsia="Arial" w:hAnsi="Arial"/>
          <w:sz w:val="23"/>
          <w:szCs w:val="23"/>
          <w:color w:val="auto"/>
          <w:vertAlign w:val="superscript"/>
        </w:rPr>
      </w:pPr>
    </w:p>
    <w:p>
      <w:pPr>
        <w:ind w:left="360" w:hanging="360"/>
        <w:spacing w:after="0" w:line="181" w:lineRule="auto"/>
        <w:tabs>
          <w:tab w:leader="none" w:pos="360" w:val="left"/>
        </w:tabs>
        <w:numPr>
          <w:ilvl w:val="0"/>
          <w:numId w:val="105"/>
        </w:numPr>
        <w:rPr>
          <w:rFonts w:ascii="Arial" w:cs="Arial" w:eastAsia="Arial" w:hAnsi="Arial"/>
          <w:sz w:val="19"/>
          <w:szCs w:val="19"/>
          <w:color w:val="auto"/>
          <w:vertAlign w:val="superscript"/>
        </w:rPr>
      </w:pPr>
      <w:r>
        <w:rPr>
          <w:rFonts w:ascii="Arial" w:cs="Arial" w:eastAsia="Arial" w:hAnsi="Arial"/>
          <w:sz w:val="15"/>
          <w:szCs w:val="15"/>
          <w:color w:val="auto"/>
        </w:rPr>
        <w:t>Committee chair fee is pro-rated for partial year of service as chair of the NCGC beginning October 1, 2022.</w:t>
      </w:r>
    </w:p>
    <w:p>
      <w:pPr>
        <w:spacing w:after="0" w:line="55" w:lineRule="exact"/>
        <w:rPr>
          <w:rFonts w:ascii="Arial" w:cs="Arial" w:eastAsia="Arial" w:hAnsi="Arial"/>
          <w:sz w:val="19"/>
          <w:szCs w:val="19"/>
          <w:color w:val="auto"/>
          <w:vertAlign w:val="superscript"/>
        </w:rPr>
      </w:pPr>
    </w:p>
    <w:p>
      <w:pPr>
        <w:ind w:left="360" w:hanging="360"/>
        <w:spacing w:after="0" w:line="181" w:lineRule="auto"/>
        <w:tabs>
          <w:tab w:leader="none" w:pos="360" w:val="left"/>
        </w:tabs>
        <w:numPr>
          <w:ilvl w:val="0"/>
          <w:numId w:val="105"/>
        </w:numPr>
        <w:rPr>
          <w:rFonts w:ascii="Arial" w:cs="Arial" w:eastAsia="Arial" w:hAnsi="Arial"/>
          <w:sz w:val="19"/>
          <w:szCs w:val="19"/>
          <w:color w:val="auto"/>
          <w:vertAlign w:val="superscript"/>
        </w:rPr>
      </w:pPr>
      <w:r>
        <w:rPr>
          <w:rFonts w:ascii="Arial" w:cs="Arial" w:eastAsia="Arial" w:hAnsi="Arial"/>
          <w:sz w:val="15"/>
          <w:szCs w:val="15"/>
          <w:color w:val="auto"/>
        </w:rPr>
        <w:t>Prorated for partial year of service as a trustee and as chair of the NCGC ending September 30,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245745</wp:posOffset>
                </wp:positionV>
                <wp:extent cx="640080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35pt" to="504pt,19.35pt" o:allowincell="f" strokecolor="#FB1717" strokeweight="3pt"/>
            </w:pict>
          </mc:Fallback>
        </mc:AlternateContent>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auto"/>
        </w:rPr>
        <w:t>Proposal 2: Approving our Executive Compensation</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are seeking an advisory vote to approve our executive compensation for 2022. We have always held our “Say on Pay” vote annually and are asking our shareholders for input this year as to the frequency with which to hold that vote in the future. See Proposal 3: Approving Frequency of Say on Pay Vote starting on page 40. Although this “Say on Pay” vote is advisory and is not binding on our Board, our Compensation Committee will take into consideration the outcome of the vote when making future executive compensation decisions.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text of the resolution if Proposal 2 is passed is:</w:t>
      </w:r>
    </w:p>
    <w:p>
      <w:pPr>
        <w:spacing w:after="0" w:line="210" w:lineRule="exact"/>
        <w:rPr>
          <w:sz w:val="20"/>
          <w:szCs w:val="20"/>
          <w:color w:val="auto"/>
        </w:rPr>
      </w:pPr>
    </w:p>
    <w:p>
      <w:pPr>
        <w:jc w:val="both"/>
        <w:ind w:left="280"/>
        <w:spacing w:after="0" w:line="247" w:lineRule="auto"/>
        <w:rPr>
          <w:sz w:val="20"/>
          <w:szCs w:val="20"/>
          <w:color w:val="auto"/>
        </w:rPr>
      </w:pPr>
      <w:r>
        <w:rPr>
          <w:rFonts w:ascii="Arial" w:cs="Arial" w:eastAsia="Arial" w:hAnsi="Arial"/>
          <w:sz w:val="20"/>
          <w:szCs w:val="20"/>
          <w:color w:val="auto"/>
        </w:rPr>
        <w:t>RESOLVED, that the shareholders of the Company hereby approve, on an advisory basis, the compensation of our NEOs as described in the CD&amp;A and the Executive Compensation section that follows as required by Item 402 of Regulation S-K.</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Board has designed our current executive compensation program to appropriately link compensation realized by our named executive officers to our performance and properly align the interests of our named executive officers with those of our shareholders. The details of this compensation for 2022, and the reasons we awarded it, are described in the “Compensation Discussion and Analysis,” starting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94615</wp:posOffset>
            </wp:positionV>
            <wp:extent cx="6223000" cy="533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56">
                      <a:extLst>
                        <a:ext uri="{28A0092B-C50C-407E-A947-70E740481C1C}"/>
                      </a:extLst>
                    </a:blip>
                    <a:srcRect/>
                    <a:stretch>
                      <a:fillRect/>
                    </a:stretch>
                  </pic:blipFill>
                  <pic:spPr bwMode="auto">
                    <a:xfrm>
                      <a:off x="0" y="0"/>
                      <a:ext cx="6223000" cy="533400"/>
                    </a:xfrm>
                    <a:prstGeom prst="rect">
                      <a:avLst/>
                    </a:prstGeom>
                    <a:noFill/>
                  </pic:spPr>
                </pic:pic>
              </a:graphicData>
            </a:graphic>
          </wp:anchor>
        </w:drawing>
      </w:r>
    </w:p>
    <w:p>
      <w:pPr>
        <w:spacing w:after="0" w:line="345" w:lineRule="exact"/>
        <w:rPr>
          <w:sz w:val="20"/>
          <w:szCs w:val="20"/>
          <w:color w:val="auto"/>
        </w:rPr>
      </w:pPr>
    </w:p>
    <w:p>
      <w:pPr>
        <w:ind w:left="1220"/>
        <w:spacing w:after="0"/>
        <w:rPr>
          <w:sz w:val="20"/>
          <w:szCs w:val="20"/>
          <w:color w:val="auto"/>
        </w:rPr>
      </w:pPr>
      <w:r>
        <w:rPr>
          <w:rFonts w:ascii="Arial" w:cs="Arial" w:eastAsia="Arial" w:hAnsi="Arial"/>
          <w:sz w:val="28"/>
          <w:szCs w:val="28"/>
          <w:color w:val="auto"/>
        </w:rPr>
        <w:t xml:space="preserve">Our Board recommends a vote </w:t>
      </w:r>
      <w:r>
        <w:rPr>
          <w:rFonts w:ascii="Arial" w:cs="Arial" w:eastAsia="Arial" w:hAnsi="Arial"/>
          <w:sz w:val="28"/>
          <w:szCs w:val="28"/>
          <w:b w:val="1"/>
          <w:bCs w:val="1"/>
          <w:color w:val="auto"/>
        </w:rPr>
        <w:t>FOR</w:t>
      </w:r>
      <w:r>
        <w:rPr>
          <w:rFonts w:ascii="Arial" w:cs="Arial" w:eastAsia="Arial" w:hAnsi="Arial"/>
          <w:sz w:val="28"/>
          <w:szCs w:val="28"/>
          <w:color w:val="auto"/>
        </w:rPr>
        <w:t xml:space="preserve"> the compensation of our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347980</wp:posOffset>
                </wp:positionV>
                <wp:extent cx="6400800" cy="17780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69" o:spid="_x0000_s1394" style="position:absolute;margin-left:0pt;margin-top:27.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347980</wp:posOffset>
                </wp:positionV>
                <wp:extent cx="0" cy="17780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7.4pt" to="0.75pt,41.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357505</wp:posOffset>
                </wp:positionV>
                <wp:extent cx="640080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15pt" to="504pt,28.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347980</wp:posOffset>
                </wp:positionV>
                <wp:extent cx="0" cy="17780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27.4pt" to="503.25pt,41.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516255</wp:posOffset>
                </wp:positionV>
                <wp:extent cx="640080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65pt" to="504pt,40.6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00" w:lineRule="exact"/>
        <w:rPr>
          <w:sz w:val="20"/>
          <w:szCs w:val="20"/>
          <w:color w:val="auto"/>
        </w:rPr>
      </w:pPr>
    </w:p>
    <w:p>
      <w:pPr>
        <w:spacing w:after="0" w:line="39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18</w:t>
      </w:r>
    </w:p>
    <w:p>
      <w:pPr>
        <w:sectPr>
          <w:pgSz w:w="11880" w:h="15480" w:orient="portrait"/>
          <w:cols w:equalWidth="0" w:num="1">
            <w:col w:w="10080"/>
          </w:cols>
          <w:pgMar w:left="900" w:top="1316" w:right="900" w:bottom="764" w:gutter="0" w:footer="0" w:header="0"/>
          <w:type w:val="continuous"/>
        </w:sectPr>
      </w:pPr>
    </w:p>
    <w:bookmarkStart w:id="138" w:name="page139"/>
    <w:bookmarkEnd w:id="138"/>
    <w:p>
      <w:pPr>
        <w:ind w:left="140"/>
        <w:spacing w:after="0"/>
        <w:rPr>
          <w:sz w:val="20"/>
          <w:szCs w:val="20"/>
          <w:color w:val="auto"/>
        </w:rPr>
      </w:pPr>
      <w:r>
        <w:rPr>
          <w:rFonts w:ascii="Arial" w:cs="Arial" w:eastAsia="Arial" w:hAnsi="Arial"/>
          <w:sz w:val="35"/>
          <w:szCs w:val="35"/>
          <w:b w:val="1"/>
          <w:bCs w:val="1"/>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FB1717" strokeweight="3pt">
                <w10:wrap anchorx="page" anchory="page"/>
              </v:line>
            </w:pict>
          </mc:Fallback>
        </mc:AlternateContent>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110490</wp:posOffset>
            </wp:positionV>
            <wp:extent cx="3124200" cy="42608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7">
                      <a:extLst>
                        <a:ext uri="{28A0092B-C50C-407E-A947-70E740481C1C}"/>
                      </a:extLst>
                    </a:blip>
                    <a:srcRect/>
                    <a:stretch>
                      <a:fillRect/>
                    </a:stretch>
                  </pic:blipFill>
                  <pic:spPr bwMode="auto">
                    <a:xfrm>
                      <a:off x="0" y="0"/>
                      <a:ext cx="3124200" cy="4260850"/>
                    </a:xfrm>
                    <a:prstGeom prst="rect">
                      <a:avLst/>
                    </a:prstGeom>
                    <a:noFill/>
                  </pic:spPr>
                </pic:pic>
              </a:graphicData>
            </a:graphic>
          </wp:anchor>
        </w:drawing>
      </w:r>
    </w:p>
    <w:p>
      <w:pPr>
        <w:sectPr>
          <w:pgSz w:w="11880" w:h="15480" w:orient="portrait"/>
          <w:cols w:equalWidth="0" w:num="1">
            <w:col w:w="10000"/>
          </w:cols>
          <w:pgMar w:left="900" w:top="1343" w:right="980" w:bottom="764" w:gutter="0" w:footer="0" w:header="0"/>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100" w:type="dxa"/>
            <w:vAlign w:val="bottom"/>
            <w:tcBorders>
              <w:bottom w:val="single" w:sz="8" w:color="FB1717"/>
            </w:tcBorders>
            <w:shd w:val="clear" w:color="auto" w:fill="FB1717"/>
          </w:tcPr>
          <w:p>
            <w:pPr>
              <w:ind w:left="60"/>
              <w:spacing w:after="0"/>
              <w:rPr>
                <w:sz w:val="20"/>
                <w:szCs w:val="20"/>
                <w:color w:val="auto"/>
              </w:rPr>
            </w:pPr>
            <w:r>
              <w:rPr>
                <w:rFonts w:ascii="Arial" w:cs="Arial" w:eastAsia="Arial" w:hAnsi="Arial"/>
                <w:sz w:val="20"/>
                <w:szCs w:val="20"/>
                <w:b w:val="1"/>
                <w:bCs w:val="1"/>
                <w:color w:val="FFFFFF"/>
              </w:rPr>
              <w:t>CD&amp;A TABLE OF CONTENTS</w:t>
            </w:r>
          </w:p>
        </w:tc>
        <w:tc>
          <w:tcPr>
            <w:tcW w:w="820" w:type="dxa"/>
            <w:vAlign w:val="bottom"/>
            <w:tcBorders>
              <w:bottom w:val="single" w:sz="8" w:color="FB1717"/>
            </w:tcBorders>
            <w:shd w:val="clear" w:color="auto" w:fill="FB1717"/>
          </w:tcPr>
          <w:p>
            <w:pPr>
              <w:jc w:val="center"/>
              <w:spacing w:after="0"/>
              <w:rPr>
                <w:sz w:val="20"/>
                <w:szCs w:val="20"/>
                <w:color w:val="auto"/>
              </w:rPr>
            </w:pPr>
            <w:r>
              <w:rPr>
                <w:rFonts w:ascii="Arial" w:cs="Arial" w:eastAsia="Arial" w:hAnsi="Arial"/>
                <w:sz w:val="20"/>
                <w:szCs w:val="20"/>
                <w:b w:val="1"/>
                <w:bCs w:val="1"/>
                <w:color w:val="FFFFFF"/>
                <w:w w:val="99"/>
              </w:rPr>
              <w:t>Page #</w:t>
            </w:r>
          </w:p>
        </w:tc>
      </w:tr>
      <w:tr>
        <w:trPr>
          <w:trHeight w:val="445"/>
        </w:trPr>
        <w:tc>
          <w:tcPr>
            <w:tcW w:w="4100" w:type="dxa"/>
            <w:vAlign w:val="bottom"/>
            <w:tcBorders>
              <w:bottom w:val="single" w:sz="8" w:color="FB1717"/>
            </w:tcBorders>
          </w:tcPr>
          <w:p>
            <w:pPr>
              <w:ind w:left="60"/>
              <w:spacing w:after="0"/>
              <w:rPr>
                <w:sz w:val="20"/>
                <w:szCs w:val="20"/>
                <w:color w:val="auto"/>
              </w:rPr>
            </w:pPr>
            <w:r>
              <w:rPr>
                <w:rFonts w:ascii="Arial" w:cs="Arial" w:eastAsia="Arial" w:hAnsi="Arial"/>
                <w:sz w:val="20"/>
                <w:szCs w:val="20"/>
                <w:b w:val="1"/>
                <w:bCs w:val="1"/>
                <w:color w:val="auto"/>
              </w:rPr>
              <w:t>Introduction</w:t>
            </w:r>
          </w:p>
        </w:tc>
        <w:tc>
          <w:tcPr>
            <w:tcW w:w="820" w:type="dxa"/>
            <w:vAlign w:val="bottom"/>
            <w:tcBorders>
              <w:bottom w:val="single" w:sz="8" w:color="FB1717"/>
            </w:tcBorders>
          </w:tcPr>
          <w:p>
            <w:pPr>
              <w:jc w:val="center"/>
              <w:spacing w:after="0"/>
              <w:rPr>
                <w:sz w:val="20"/>
                <w:szCs w:val="20"/>
                <w:color w:val="auto"/>
              </w:rPr>
            </w:pPr>
            <w:r>
              <w:rPr>
                <w:rFonts w:ascii="Arial" w:cs="Arial" w:eastAsia="Arial" w:hAnsi="Arial"/>
                <w:sz w:val="20"/>
                <w:szCs w:val="20"/>
                <w:b w:val="1"/>
                <w:bCs w:val="1"/>
                <w:color w:val="auto"/>
                <w:w w:val="98"/>
              </w:rPr>
              <w:t>20</w:t>
            </w:r>
          </w:p>
        </w:tc>
      </w:tr>
      <w:tr>
        <w:trPr>
          <w:trHeight w:val="275"/>
        </w:trPr>
        <w:tc>
          <w:tcPr>
            <w:tcW w:w="4100" w:type="dxa"/>
            <w:vAlign w:val="bottom"/>
          </w:tcPr>
          <w:p>
            <w:pPr>
              <w:ind w:left="60"/>
              <w:spacing w:after="0"/>
              <w:rPr>
                <w:sz w:val="20"/>
                <w:szCs w:val="20"/>
                <w:color w:val="auto"/>
              </w:rPr>
            </w:pPr>
            <w:r>
              <w:rPr>
                <w:rFonts w:ascii="Arial" w:cs="Arial" w:eastAsia="Arial" w:hAnsi="Arial"/>
                <w:sz w:val="20"/>
                <w:szCs w:val="20"/>
                <w:color w:val="auto"/>
              </w:rPr>
              <w:t>2022 Business Highlights supporting</w:t>
            </w:r>
          </w:p>
        </w:tc>
        <w:tc>
          <w:tcPr>
            <w:tcW w:w="820" w:type="dxa"/>
            <w:vAlign w:val="bottom"/>
          </w:tcPr>
          <w:p>
            <w:pPr>
              <w:spacing w:after="0"/>
              <w:rPr>
                <w:sz w:val="23"/>
                <w:szCs w:val="23"/>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auto"/>
              </w:rPr>
              <w:t>Compensation Decisions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20</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Program Philosophy and Objectives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20</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Executive Compensation Practices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21</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Components of Compensation</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21</w:t>
            </w:r>
          </w:p>
        </w:tc>
      </w:tr>
      <w:tr>
        <w:trPr>
          <w:trHeight w:val="465"/>
        </w:trPr>
        <w:tc>
          <w:tcPr>
            <w:tcW w:w="4100" w:type="dxa"/>
            <w:vAlign w:val="bottom"/>
            <w:tcBorders>
              <w:bottom w:val="single" w:sz="8" w:color="FB1717"/>
            </w:tcBorders>
          </w:tcPr>
          <w:p>
            <w:pPr>
              <w:ind w:left="60"/>
              <w:spacing w:after="0"/>
              <w:rPr>
                <w:sz w:val="20"/>
                <w:szCs w:val="20"/>
                <w:color w:val="auto"/>
              </w:rPr>
            </w:pPr>
            <w:r>
              <w:rPr>
                <w:rFonts w:ascii="Arial" w:cs="Arial" w:eastAsia="Arial" w:hAnsi="Arial"/>
                <w:sz w:val="20"/>
                <w:szCs w:val="20"/>
                <w:b w:val="1"/>
                <w:bCs w:val="1"/>
                <w:color w:val="auto"/>
              </w:rPr>
              <w:t>Compensation Setting Process</w:t>
            </w:r>
          </w:p>
        </w:tc>
        <w:tc>
          <w:tcPr>
            <w:tcW w:w="820" w:type="dxa"/>
            <w:vAlign w:val="bottom"/>
            <w:tcBorders>
              <w:bottom w:val="single" w:sz="8" w:color="FB1717"/>
            </w:tcBorders>
          </w:tcPr>
          <w:p>
            <w:pPr>
              <w:jc w:val="center"/>
              <w:spacing w:after="0"/>
              <w:rPr>
                <w:sz w:val="20"/>
                <w:szCs w:val="20"/>
                <w:color w:val="auto"/>
              </w:rPr>
            </w:pPr>
            <w:r>
              <w:rPr>
                <w:rFonts w:ascii="Arial" w:cs="Arial" w:eastAsia="Arial" w:hAnsi="Arial"/>
                <w:sz w:val="20"/>
                <w:szCs w:val="20"/>
                <w:b w:val="1"/>
                <w:bCs w:val="1"/>
                <w:color w:val="auto"/>
                <w:w w:val="98"/>
              </w:rPr>
              <w:t>21</w:t>
            </w:r>
          </w:p>
        </w:tc>
      </w:tr>
      <w:tr>
        <w:trPr>
          <w:trHeight w:val="275"/>
        </w:trPr>
        <w:tc>
          <w:tcPr>
            <w:tcW w:w="4100" w:type="dxa"/>
            <w:vAlign w:val="bottom"/>
          </w:tcPr>
          <w:p>
            <w:pPr>
              <w:ind w:left="60"/>
              <w:spacing w:after="0"/>
              <w:rPr>
                <w:sz w:val="20"/>
                <w:szCs w:val="20"/>
                <w:color w:val="auto"/>
              </w:rPr>
            </w:pPr>
            <w:r>
              <w:rPr>
                <w:rFonts w:ascii="Arial" w:cs="Arial" w:eastAsia="Arial" w:hAnsi="Arial"/>
                <w:sz w:val="20"/>
                <w:szCs w:val="20"/>
                <w:color w:val="auto"/>
              </w:rPr>
              <w:t>Annual Compensation Decision Making</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21</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Role of the Compensation Committee</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22</w:t>
            </w:r>
          </w:p>
        </w:tc>
      </w:tr>
      <w:tr>
        <w:trPr>
          <w:trHeight w:val="302"/>
        </w:trPr>
        <w:tc>
          <w:tcPr>
            <w:tcW w:w="4100" w:type="dxa"/>
            <w:vAlign w:val="bottom"/>
          </w:tcPr>
          <w:p>
            <w:pPr>
              <w:ind w:left="60"/>
              <w:spacing w:after="0"/>
              <w:rPr>
                <w:sz w:val="20"/>
                <w:szCs w:val="20"/>
                <w:color w:val="auto"/>
              </w:rPr>
            </w:pPr>
            <w:r>
              <w:rPr>
                <w:rFonts w:ascii="Arial" w:cs="Arial" w:eastAsia="Arial" w:hAnsi="Arial"/>
                <w:sz w:val="20"/>
                <w:szCs w:val="20"/>
                <w:color w:val="auto"/>
              </w:rPr>
              <w:t>Role of Management</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22</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Role of Independent Compensation</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auto"/>
              </w:rPr>
              <w:t>Consultant</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22</w:t>
            </w:r>
          </w:p>
        </w:tc>
      </w:tr>
      <w:tr>
        <w:trPr>
          <w:trHeight w:val="464"/>
        </w:trPr>
        <w:tc>
          <w:tcPr>
            <w:tcW w:w="4100" w:type="dxa"/>
            <w:vAlign w:val="bottom"/>
            <w:tcBorders>
              <w:bottom w:val="single" w:sz="8" w:color="FB1717"/>
            </w:tcBorders>
          </w:tcPr>
          <w:p>
            <w:pPr>
              <w:ind w:left="60"/>
              <w:spacing w:after="0"/>
              <w:rPr>
                <w:sz w:val="20"/>
                <w:szCs w:val="20"/>
                <w:color w:val="auto"/>
              </w:rPr>
            </w:pPr>
            <w:r>
              <w:rPr>
                <w:rFonts w:ascii="Arial" w:cs="Arial" w:eastAsia="Arial" w:hAnsi="Arial"/>
                <w:sz w:val="20"/>
                <w:szCs w:val="20"/>
                <w:b w:val="1"/>
                <w:bCs w:val="1"/>
                <w:color w:val="auto"/>
              </w:rPr>
              <w:t>2022 Compensation Decisions</w:t>
            </w:r>
          </w:p>
        </w:tc>
        <w:tc>
          <w:tcPr>
            <w:tcW w:w="820" w:type="dxa"/>
            <w:vAlign w:val="bottom"/>
            <w:tcBorders>
              <w:bottom w:val="single" w:sz="8" w:color="FB1717"/>
            </w:tcBorders>
          </w:tcPr>
          <w:p>
            <w:pPr>
              <w:jc w:val="center"/>
              <w:spacing w:after="0"/>
              <w:rPr>
                <w:sz w:val="20"/>
                <w:szCs w:val="20"/>
                <w:color w:val="auto"/>
              </w:rPr>
            </w:pPr>
            <w:r>
              <w:rPr>
                <w:rFonts w:ascii="Arial" w:cs="Arial" w:eastAsia="Arial" w:hAnsi="Arial"/>
                <w:sz w:val="20"/>
                <w:szCs w:val="20"/>
                <w:b w:val="1"/>
                <w:bCs w:val="1"/>
                <w:color w:val="auto"/>
                <w:w w:val="98"/>
              </w:rPr>
              <w:t>22</w:t>
            </w:r>
          </w:p>
        </w:tc>
      </w:tr>
      <w:tr>
        <w:trPr>
          <w:trHeight w:val="276"/>
        </w:trPr>
        <w:tc>
          <w:tcPr>
            <w:tcW w:w="4100" w:type="dxa"/>
            <w:vAlign w:val="bottom"/>
          </w:tcPr>
          <w:p>
            <w:pPr>
              <w:ind w:left="60"/>
              <w:spacing w:after="0"/>
              <w:rPr>
                <w:sz w:val="20"/>
                <w:szCs w:val="20"/>
                <w:color w:val="auto"/>
              </w:rPr>
            </w:pPr>
            <w:r>
              <w:rPr>
                <w:rFonts w:ascii="Arial" w:cs="Arial" w:eastAsia="Arial" w:hAnsi="Arial"/>
                <w:sz w:val="20"/>
                <w:szCs w:val="20"/>
                <w:color w:val="auto"/>
              </w:rPr>
              <w:t>Setting 2022 Target Compensation</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22</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Individual Elements of 2022 Pay</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23</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auto"/>
              </w:rPr>
              <w:t>Base Pay</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23</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auto"/>
              </w:rPr>
              <w:t>Annual Bonus Program</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23</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auto"/>
              </w:rPr>
              <w:t>Long-Term Incentive Program</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24</w:t>
            </w:r>
          </w:p>
        </w:tc>
      </w:tr>
      <w:tr>
        <w:trPr>
          <w:trHeight w:val="464"/>
        </w:trPr>
        <w:tc>
          <w:tcPr>
            <w:tcW w:w="4100" w:type="dxa"/>
            <w:vAlign w:val="bottom"/>
            <w:tcBorders>
              <w:bottom w:val="single" w:sz="8" w:color="FB1717"/>
            </w:tcBorders>
          </w:tcPr>
          <w:p>
            <w:pPr>
              <w:ind w:left="60"/>
              <w:spacing w:after="0"/>
              <w:rPr>
                <w:sz w:val="20"/>
                <w:szCs w:val="20"/>
                <w:color w:val="auto"/>
              </w:rPr>
            </w:pPr>
            <w:r>
              <w:rPr>
                <w:rFonts w:ascii="Arial" w:cs="Arial" w:eastAsia="Arial" w:hAnsi="Arial"/>
                <w:sz w:val="20"/>
                <w:szCs w:val="20"/>
                <w:b w:val="1"/>
                <w:bCs w:val="1"/>
                <w:color w:val="auto"/>
              </w:rPr>
              <w:t>2022 NEO Performance Summary</w:t>
            </w:r>
          </w:p>
        </w:tc>
        <w:tc>
          <w:tcPr>
            <w:tcW w:w="820" w:type="dxa"/>
            <w:vAlign w:val="bottom"/>
            <w:tcBorders>
              <w:bottom w:val="single" w:sz="8" w:color="FB1717"/>
            </w:tcBorders>
          </w:tcPr>
          <w:p>
            <w:pPr>
              <w:jc w:val="center"/>
              <w:spacing w:after="0"/>
              <w:rPr>
                <w:sz w:val="20"/>
                <w:szCs w:val="20"/>
                <w:color w:val="auto"/>
              </w:rPr>
            </w:pPr>
            <w:r>
              <w:rPr>
                <w:rFonts w:ascii="Arial" w:cs="Arial" w:eastAsia="Arial" w:hAnsi="Arial"/>
                <w:sz w:val="20"/>
                <w:szCs w:val="20"/>
                <w:b w:val="1"/>
                <w:bCs w:val="1"/>
                <w:color w:val="auto"/>
                <w:w w:val="98"/>
              </w:rPr>
              <w:t>26</w:t>
            </w:r>
          </w:p>
        </w:tc>
      </w:tr>
      <w:tr>
        <w:trPr>
          <w:trHeight w:val="436"/>
        </w:trPr>
        <w:tc>
          <w:tcPr>
            <w:tcW w:w="4100" w:type="dxa"/>
            <w:vAlign w:val="bottom"/>
          </w:tcPr>
          <w:p>
            <w:pPr>
              <w:ind w:left="60"/>
              <w:spacing w:after="0"/>
              <w:rPr>
                <w:sz w:val="20"/>
                <w:szCs w:val="20"/>
                <w:color w:val="auto"/>
              </w:rPr>
            </w:pPr>
            <w:r>
              <w:rPr>
                <w:rFonts w:ascii="Arial" w:cs="Arial" w:eastAsia="Arial" w:hAnsi="Arial"/>
                <w:sz w:val="20"/>
                <w:szCs w:val="20"/>
                <w:b w:val="1"/>
                <w:bCs w:val="1"/>
                <w:color w:val="auto"/>
              </w:rPr>
              <w:t>Other Compensation Practices and</w:t>
            </w:r>
          </w:p>
        </w:tc>
        <w:tc>
          <w:tcPr>
            <w:tcW w:w="820" w:type="dxa"/>
            <w:vAlign w:val="bottom"/>
          </w:tcPr>
          <w:p>
            <w:pPr>
              <w:spacing w:after="0"/>
              <w:rPr>
                <w:sz w:val="24"/>
                <w:szCs w:val="24"/>
                <w:color w:val="auto"/>
              </w:rPr>
            </w:pPr>
          </w:p>
        </w:tc>
      </w:tr>
      <w:tr>
        <w:trPr>
          <w:trHeight w:val="244"/>
        </w:trPr>
        <w:tc>
          <w:tcPr>
            <w:tcW w:w="4100" w:type="dxa"/>
            <w:vAlign w:val="bottom"/>
            <w:tcBorders>
              <w:bottom w:val="single" w:sz="8" w:color="FB1717"/>
            </w:tcBorders>
          </w:tcPr>
          <w:p>
            <w:pPr>
              <w:ind w:left="260"/>
              <w:spacing w:after="0"/>
              <w:rPr>
                <w:sz w:val="20"/>
                <w:szCs w:val="20"/>
                <w:color w:val="auto"/>
              </w:rPr>
            </w:pPr>
            <w:r>
              <w:rPr>
                <w:rFonts w:ascii="Arial" w:cs="Arial" w:eastAsia="Arial" w:hAnsi="Arial"/>
                <w:sz w:val="20"/>
                <w:szCs w:val="20"/>
                <w:b w:val="1"/>
                <w:bCs w:val="1"/>
                <w:color w:val="auto"/>
              </w:rPr>
              <w:t>Policies</w:t>
            </w:r>
          </w:p>
        </w:tc>
        <w:tc>
          <w:tcPr>
            <w:tcW w:w="820" w:type="dxa"/>
            <w:vAlign w:val="bottom"/>
            <w:tcBorders>
              <w:bottom w:val="single" w:sz="8" w:color="FB1717"/>
            </w:tcBorders>
          </w:tcPr>
          <w:p>
            <w:pPr>
              <w:jc w:val="center"/>
              <w:spacing w:after="0"/>
              <w:rPr>
                <w:sz w:val="20"/>
                <w:szCs w:val="20"/>
                <w:color w:val="auto"/>
              </w:rPr>
            </w:pPr>
            <w:r>
              <w:rPr>
                <w:rFonts w:ascii="Arial" w:cs="Arial" w:eastAsia="Arial" w:hAnsi="Arial"/>
                <w:sz w:val="20"/>
                <w:szCs w:val="20"/>
                <w:b w:val="1"/>
                <w:bCs w:val="1"/>
                <w:color w:val="auto"/>
                <w:w w:val="98"/>
              </w:rPr>
              <w:t>28</w:t>
            </w:r>
          </w:p>
        </w:tc>
      </w:tr>
      <w:tr>
        <w:trPr>
          <w:trHeight w:val="276"/>
        </w:trPr>
        <w:tc>
          <w:tcPr>
            <w:tcW w:w="4100" w:type="dxa"/>
            <w:vAlign w:val="bottom"/>
          </w:tcPr>
          <w:p>
            <w:pPr>
              <w:ind w:left="60"/>
              <w:spacing w:after="0"/>
              <w:rPr>
                <w:sz w:val="20"/>
                <w:szCs w:val="20"/>
                <w:color w:val="auto"/>
              </w:rPr>
            </w:pPr>
            <w:r>
              <w:rPr>
                <w:rFonts w:ascii="Arial" w:cs="Arial" w:eastAsia="Arial" w:hAnsi="Arial"/>
                <w:sz w:val="20"/>
                <w:szCs w:val="20"/>
                <w:color w:val="auto"/>
              </w:rPr>
              <w:t>Consideration of Say on Pay Vote</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No Hedging or Pledging of Our Shares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Severance and Change-in-Control</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auto"/>
              </w:rPr>
              <w:t>Agreements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Clawback Policy</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Share Ownership Guidelines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Risk Assessment of Compensation</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auto"/>
              </w:rPr>
              <w:t>Programs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Equity Grant Practices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Tax Deductibility of Executive Compensation</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auto"/>
              </w:rPr>
              <w:t>Health and Welfare Benefits</w:t>
            </w:r>
          </w:p>
        </w:tc>
        <w:tc>
          <w:tcPr>
            <w:tcW w:w="820" w:type="dxa"/>
            <w:vAlign w:val="bottom"/>
          </w:tcPr>
          <w:p>
            <w:pPr>
              <w:jc w:val="center"/>
              <w:spacing w:after="0"/>
              <w:rPr>
                <w:sz w:val="20"/>
                <w:szCs w:val="20"/>
                <w:color w:val="auto"/>
              </w:rPr>
            </w:pPr>
            <w:r>
              <w:rPr>
                <w:rFonts w:ascii="Arial" w:cs="Arial" w:eastAsia="Arial" w:hAnsi="Arial"/>
                <w:sz w:val="20"/>
                <w:szCs w:val="20"/>
                <w:color w:val="auto"/>
                <w:w w:val="98"/>
              </w:rPr>
              <w:t>29</w:t>
            </w: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Named Executive Officers (“NEO”)</w:t>
      </w:r>
    </w:p>
    <w:p>
      <w:pPr>
        <w:spacing w:after="0" w:line="287" w:lineRule="exact"/>
        <w:rPr>
          <w:sz w:val="20"/>
          <w:szCs w:val="20"/>
          <w:color w:val="auto"/>
        </w:rPr>
      </w:pPr>
    </w:p>
    <w:p>
      <w:pPr>
        <w:ind w:left="460" w:right="1540"/>
        <w:spacing w:after="0" w:line="265" w:lineRule="auto"/>
        <w:rPr>
          <w:sz w:val="20"/>
          <w:szCs w:val="20"/>
          <w:color w:val="auto"/>
        </w:rPr>
      </w:pPr>
      <w:r>
        <w:rPr>
          <w:rFonts w:ascii="Arial" w:cs="Arial" w:eastAsia="Arial" w:hAnsi="Arial"/>
          <w:sz w:val="19"/>
          <w:szCs w:val="19"/>
          <w:b w:val="1"/>
          <w:bCs w:val="1"/>
          <w:color w:val="auto"/>
        </w:rPr>
        <w:t xml:space="preserve">DONALD C. WOOD </w:t>
      </w:r>
      <w:r>
        <w:rPr>
          <w:rFonts w:ascii="Arial" w:cs="Arial" w:eastAsia="Arial" w:hAnsi="Arial"/>
          <w:sz w:val="19"/>
          <w:szCs w:val="19"/>
          <w:color w:val="auto"/>
        </w:rPr>
        <w:t>Chief Executive Officer</w:t>
      </w:r>
    </w:p>
    <w:p>
      <w:pPr>
        <w:ind w:left="460"/>
        <w:spacing w:after="0"/>
        <w:tabs>
          <w:tab w:leader="none" w:pos="1860" w:val="left"/>
        </w:tabs>
        <w:rPr>
          <w:sz w:val="20"/>
          <w:szCs w:val="20"/>
          <w:color w:val="auto"/>
        </w:rPr>
      </w:pPr>
      <w:r>
        <w:rPr>
          <w:rFonts w:ascii="Arial" w:cs="Arial" w:eastAsia="Arial" w:hAnsi="Arial"/>
          <w:sz w:val="20"/>
          <w:szCs w:val="20"/>
          <w:color w:val="auto"/>
        </w:rPr>
        <w:t>Age: 62</w:t>
      </w:r>
      <w:r>
        <w:rPr>
          <w:sz w:val="20"/>
          <w:szCs w:val="20"/>
          <w:color w:val="auto"/>
        </w:rPr>
        <w:tab/>
      </w:r>
      <w:r>
        <w:rPr>
          <w:rFonts w:ascii="Arial" w:cs="Arial" w:eastAsia="Arial" w:hAnsi="Arial"/>
          <w:sz w:val="19"/>
          <w:szCs w:val="19"/>
          <w:color w:val="auto"/>
        </w:rPr>
        <w:t>Joined Federal: 1998</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In position since: 2003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JEFFREY S. BERKES</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President and Chief Operating Officer</w:t>
      </w:r>
    </w:p>
    <w:p>
      <w:pPr>
        <w:spacing w:after="0" w:line="10" w:lineRule="exact"/>
        <w:rPr>
          <w:sz w:val="20"/>
          <w:szCs w:val="20"/>
          <w:color w:val="auto"/>
        </w:rPr>
      </w:pPr>
    </w:p>
    <w:p>
      <w:pPr>
        <w:ind w:left="460"/>
        <w:spacing w:after="0"/>
        <w:tabs>
          <w:tab w:leader="none" w:pos="1860" w:val="left"/>
        </w:tabs>
        <w:rPr>
          <w:sz w:val="20"/>
          <w:szCs w:val="20"/>
          <w:color w:val="auto"/>
        </w:rPr>
      </w:pPr>
      <w:r>
        <w:rPr>
          <w:rFonts w:ascii="Arial" w:cs="Arial" w:eastAsia="Arial" w:hAnsi="Arial"/>
          <w:sz w:val="20"/>
          <w:szCs w:val="20"/>
          <w:color w:val="auto"/>
        </w:rPr>
        <w:t>Age: 59</w:t>
      </w:r>
      <w:r>
        <w:rPr>
          <w:sz w:val="20"/>
          <w:szCs w:val="20"/>
          <w:color w:val="auto"/>
        </w:rPr>
        <w:tab/>
      </w:r>
      <w:r>
        <w:rPr>
          <w:rFonts w:ascii="Arial" w:cs="Arial" w:eastAsia="Arial" w:hAnsi="Arial"/>
          <w:sz w:val="19"/>
          <w:szCs w:val="19"/>
          <w:color w:val="auto"/>
        </w:rPr>
        <w:t>Joined Federal: 2000</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In position since: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80"/>
        <w:spacing w:after="0" w:line="250" w:lineRule="auto"/>
        <w:rPr>
          <w:sz w:val="20"/>
          <w:szCs w:val="20"/>
          <w:color w:val="auto"/>
        </w:rPr>
      </w:pPr>
      <w:r>
        <w:rPr>
          <w:rFonts w:ascii="Arial" w:cs="Arial" w:eastAsia="Arial" w:hAnsi="Arial"/>
          <w:sz w:val="20"/>
          <w:szCs w:val="20"/>
          <w:b w:val="1"/>
          <w:bCs w:val="1"/>
          <w:color w:val="auto"/>
        </w:rPr>
        <w:t xml:space="preserve">DANIEL GUGLIELMONE </w:t>
      </w:r>
      <w:r>
        <w:rPr>
          <w:rFonts w:ascii="Arial" w:cs="Arial" w:eastAsia="Arial" w:hAnsi="Arial"/>
          <w:sz w:val="20"/>
          <w:szCs w:val="20"/>
          <w:color w:val="auto"/>
        </w:rPr>
        <w:t>EVP-Chief Financial Officer and Treasurer</w:t>
      </w:r>
    </w:p>
    <w:p>
      <w:pPr>
        <w:spacing w:after="0" w:line="1"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20"/>
          <w:szCs w:val="20"/>
          <w:color w:val="auto"/>
        </w:rPr>
        <w:t>Age: 56</w:t>
      </w:r>
      <w:r>
        <w:rPr>
          <w:sz w:val="20"/>
          <w:szCs w:val="20"/>
          <w:color w:val="auto"/>
        </w:rPr>
        <w:tab/>
      </w:r>
      <w:r>
        <w:rPr>
          <w:rFonts w:ascii="Arial" w:cs="Arial" w:eastAsia="Arial" w:hAnsi="Arial"/>
          <w:sz w:val="19"/>
          <w:szCs w:val="19"/>
          <w:color w:val="auto"/>
        </w:rPr>
        <w:t>Joined Federal: 2016</w:t>
      </w:r>
    </w:p>
    <w:p>
      <w:pPr>
        <w:spacing w:after="0" w:line="1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In position since: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right="300"/>
        <w:spacing w:after="0" w:line="250" w:lineRule="auto"/>
        <w:rPr>
          <w:sz w:val="20"/>
          <w:szCs w:val="20"/>
          <w:color w:val="auto"/>
        </w:rPr>
      </w:pPr>
      <w:r>
        <w:rPr>
          <w:rFonts w:ascii="Arial" w:cs="Arial" w:eastAsia="Arial" w:hAnsi="Arial"/>
          <w:sz w:val="20"/>
          <w:szCs w:val="20"/>
          <w:b w:val="1"/>
          <w:bCs w:val="1"/>
          <w:color w:val="auto"/>
        </w:rPr>
        <w:t xml:space="preserve">DAWN M. BECKER </w:t>
      </w:r>
      <w:r>
        <w:rPr>
          <w:rFonts w:ascii="Arial" w:cs="Arial" w:eastAsia="Arial" w:hAnsi="Arial"/>
          <w:sz w:val="20"/>
          <w:szCs w:val="20"/>
          <w:color w:val="auto"/>
        </w:rPr>
        <w:t>EVP-General Counsel and Secretary</w:t>
      </w:r>
    </w:p>
    <w:p>
      <w:pPr>
        <w:spacing w:after="0" w:line="1"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20"/>
          <w:szCs w:val="20"/>
          <w:color w:val="auto"/>
        </w:rPr>
        <w:t>Age: 59</w:t>
      </w:r>
      <w:r>
        <w:rPr>
          <w:sz w:val="20"/>
          <w:szCs w:val="20"/>
          <w:color w:val="auto"/>
        </w:rPr>
        <w:tab/>
      </w:r>
      <w:r>
        <w:rPr>
          <w:rFonts w:ascii="Arial" w:cs="Arial" w:eastAsia="Arial" w:hAnsi="Arial"/>
          <w:sz w:val="19"/>
          <w:szCs w:val="19"/>
          <w:color w:val="auto"/>
        </w:rPr>
        <w:t>Joined Federal: 1997</w:t>
      </w:r>
    </w:p>
    <w:p>
      <w:pPr>
        <w:spacing w:after="0" w:line="1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In position since: 2002</w:t>
      </w:r>
    </w:p>
    <w:p>
      <w:pPr>
        <w:spacing w:after="0" w:line="4330" w:lineRule="exact"/>
        <w:rPr>
          <w:sz w:val="20"/>
          <w:szCs w:val="20"/>
          <w:color w:val="auto"/>
        </w:rPr>
      </w:pPr>
    </w:p>
    <w:p>
      <w:pPr>
        <w:sectPr>
          <w:pgSz w:w="11880" w:h="15480" w:orient="portrait"/>
          <w:cols w:equalWidth="0" w:num="2">
            <w:col w:w="5260" w:space="720"/>
            <w:col w:w="4020"/>
          </w:cols>
          <w:pgMar w:left="900" w:top="1343" w:right="980" w:bottom="764"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FB1717"/>
            </w:tcBorders>
          </w:tcPr>
          <w:p>
            <w:pPr>
              <w:ind w:left="60"/>
              <w:spacing w:after="0"/>
              <w:rPr>
                <w:sz w:val="20"/>
                <w:szCs w:val="20"/>
                <w:color w:val="auto"/>
              </w:rPr>
            </w:pPr>
            <w:r>
              <w:rPr>
                <w:rFonts w:ascii="Arial" w:cs="Arial" w:eastAsia="Arial" w:hAnsi="Arial"/>
                <w:sz w:val="20"/>
                <w:szCs w:val="20"/>
                <w:b w:val="1"/>
                <w:bCs w:val="1"/>
                <w:color w:val="auto"/>
              </w:rPr>
              <w:t>Compensation Committee Report</w:t>
            </w:r>
          </w:p>
        </w:tc>
        <w:tc>
          <w:tcPr>
            <w:tcW w:w="1100" w:type="dxa"/>
            <w:vAlign w:val="bottom"/>
            <w:tcBorders>
              <w:bottom w:val="single" w:sz="8" w:color="FB1717"/>
            </w:tcBorders>
          </w:tcPr>
          <w:p>
            <w:pPr>
              <w:jc w:val="right"/>
              <w:ind w:right="220"/>
              <w:spacing w:after="0"/>
              <w:rPr>
                <w:sz w:val="20"/>
                <w:szCs w:val="20"/>
                <w:color w:val="auto"/>
              </w:rPr>
            </w:pPr>
            <w:r>
              <w:rPr>
                <w:rFonts w:ascii="Arial" w:cs="Arial" w:eastAsia="Arial" w:hAnsi="Arial"/>
                <w:sz w:val="20"/>
                <w:szCs w:val="20"/>
                <w:b w:val="1"/>
                <w:bCs w:val="1"/>
                <w:color w:val="auto"/>
              </w:rPr>
              <w:t>30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711200</wp:posOffset>
                </wp:positionV>
                <wp:extent cx="6400800" cy="17780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76" o:spid="_x0000_s1401" style="position:absolute;margin-left:0pt;margin-top:56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711200</wp:posOffset>
                </wp:positionV>
                <wp:extent cx="0" cy="17780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56pt" to="0.75pt,70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720725</wp:posOffset>
                </wp:positionV>
                <wp:extent cx="640080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75pt" to="504pt,56.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711200</wp:posOffset>
                </wp:positionV>
                <wp:extent cx="0" cy="17780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56pt" to="503.25pt,70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879475</wp:posOffset>
                </wp:positionV>
                <wp:extent cx="6400800"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25pt" to="504pt,69.25pt" o:allowincell="f" strokecolor="#000000" strokeweight="1.5pt"/>
            </w:pict>
          </mc:Fallback>
        </mc:AlternateContent>
      </w:r>
    </w:p>
    <w:p>
      <w:pPr>
        <w:sectPr>
          <w:pgSz w:w="11880" w:h="15480" w:orient="portrait"/>
          <w:cols w:equalWidth="0" w:num="1">
            <w:col w:w="10000"/>
          </w:cols>
          <w:pgMar w:left="900" w:top="1343" w:right="98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19</w:t>
      </w:r>
    </w:p>
    <w:p>
      <w:pPr>
        <w:sectPr>
          <w:pgSz w:w="11880" w:h="15480" w:orient="portrait"/>
          <w:cols w:equalWidth="0" w:num="1">
            <w:col w:w="10000"/>
          </w:cols>
          <w:pgMar w:left="900" w:top="1343" w:right="980" w:bottom="764" w:gutter="0" w:footer="0" w:header="0"/>
          <w:type w:val="continuous"/>
        </w:sectPr>
      </w:pPr>
    </w:p>
    <w:bookmarkStart w:id="139" w:name="page140"/>
    <w:bookmarkEnd w:id="139"/>
    <w:p>
      <w:pPr>
        <w:ind w:left="120"/>
        <w:spacing w:after="0"/>
        <w:rPr>
          <w:sz w:val="20"/>
          <w:szCs w:val="20"/>
          <w:color w:val="auto"/>
        </w:rPr>
      </w:pPr>
      <w:r>
        <w:rPr>
          <w:rFonts w:ascii="Arial" w:cs="Arial" w:eastAsia="Arial" w:hAnsi="Arial"/>
          <w:sz w:val="24"/>
          <w:szCs w:val="24"/>
          <w:b w:val="1"/>
          <w:bCs w:val="1"/>
          <w:color w:val="FB1717"/>
        </w:rPr>
        <mc:AlternateContent>
          <mc:Choice Requires="wps">
            <w:drawing>
              <wp:anchor simplePos="0" relativeHeight="251657728" behindDoc="1" locked="0" layoutInCell="0" allowOverlap="1">
                <wp:simplePos x="0" y="0"/>
                <wp:positionH relativeFrom="page">
                  <wp:posOffset>571500</wp:posOffset>
                </wp:positionH>
                <wp:positionV relativeFrom="page">
                  <wp:posOffset>803275</wp:posOffset>
                </wp:positionV>
                <wp:extent cx="6400800"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3.25pt" to="549pt,63.25pt" o:allowincell="f" strokecolor="#000000" strokeweight="0.5pt">
                <w10:wrap anchorx="page" anchory="page"/>
              </v:line>
            </w:pict>
          </mc:Fallback>
        </mc:AlternateContent>
        <w:t>I</w:t>
      </w:r>
      <w:r>
        <w:rPr>
          <w:rFonts w:ascii="Arial" w:cs="Arial" w:eastAsia="Arial" w:hAnsi="Arial"/>
          <w:sz w:val="18"/>
          <w:szCs w:val="18"/>
          <w:b w:val="1"/>
          <w:bCs w:val="1"/>
          <w:color w:val="FB1717"/>
        </w:rPr>
        <w:t>NTRODUCTION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400800"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04pt,0.25pt" o:allowincell="f" strokecolor="#000000" strokeweight="0.5pt"/>
            </w:pict>
          </mc:Fallback>
        </mc:AlternateContent>
      </w:r>
    </w:p>
    <w:p>
      <w:pPr>
        <w:spacing w:after="0" w:line="24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2022 BUSINESS HIGHLIGHTS SUPPORTING COMPENSATION DECISIONS</w:t>
      </w:r>
    </w:p>
    <w:p>
      <w:pPr>
        <w:sectPr>
          <w:pgSz w:w="11880" w:h="15480" w:orient="portrait"/>
          <w:cols w:equalWidth="0" w:num="1">
            <w:col w:w="10080"/>
          </w:cols>
          <w:pgMar w:left="900" w:top="1324" w:right="900" w:bottom="764" w:gutter="0" w:footer="0" w:header="0"/>
        </w:sectPr>
      </w:pP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Business accomplishments for decisions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125730</wp:posOffset>
            </wp:positionV>
            <wp:extent cx="1793240" cy="41910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58">
                      <a:extLst>
                        <a:ext uri="{28A0092B-C50C-407E-A947-70E740481C1C}"/>
                      </a:extLst>
                    </a:blip>
                    <a:srcRect/>
                    <a:stretch>
                      <a:fillRect/>
                    </a:stretch>
                  </pic:blipFill>
                  <pic:spPr bwMode="auto">
                    <a:xfrm>
                      <a:off x="0" y="0"/>
                      <a:ext cx="1793240" cy="41910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left="1320"/>
        <w:spacing w:after="0"/>
        <w:rPr>
          <w:sz w:val="20"/>
          <w:szCs w:val="20"/>
          <w:color w:val="auto"/>
        </w:rPr>
      </w:pPr>
      <w:r>
        <w:rPr>
          <w:rFonts w:ascii="Arial" w:cs="Arial" w:eastAsia="Arial" w:hAnsi="Arial"/>
          <w:sz w:val="22"/>
          <w:szCs w:val="22"/>
          <w:color w:val="FFFFFF"/>
        </w:rPr>
        <w:t>FFO Per Share</w:t>
      </w:r>
    </w:p>
    <w:p>
      <w:pPr>
        <w:spacing w:after="0" w:line="7" w:lineRule="exact"/>
        <w:rPr>
          <w:sz w:val="20"/>
          <w:szCs w:val="20"/>
          <w:color w:val="auto"/>
        </w:rPr>
      </w:pPr>
    </w:p>
    <w:p>
      <w:pPr>
        <w:jc w:val="center"/>
        <w:ind w:left="1340"/>
        <w:spacing w:after="0"/>
        <w:rPr>
          <w:sz w:val="20"/>
          <w:szCs w:val="20"/>
          <w:color w:val="auto"/>
        </w:rPr>
      </w:pPr>
      <w:r>
        <w:rPr>
          <w:rFonts w:ascii="Arial" w:cs="Arial" w:eastAsia="Arial" w:hAnsi="Arial"/>
          <w:sz w:val="22"/>
          <w:szCs w:val="22"/>
          <w:color w:val="FFFFFF"/>
        </w:rPr>
        <w:t>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269240</wp:posOffset>
            </wp:positionV>
            <wp:extent cx="466725" cy="4635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59">
                      <a:clrChange>
                        <a:clrFrom>
                          <a:srgbClr val="000000"/>
                        </a:clrFrom>
                        <a:clrTo>
                          <a:srgbClr val="000000">
                            <a:alpha val="0"/>
                          </a:srgbClr>
                        </a:clrTo>
                      </a:clrChange>
                      <a:extLst>
                        <a:ext uri="{28A0092B-C50C-407E-A947-70E740481C1C}"/>
                      </a:extLst>
                    </a:blip>
                    <a:srcRect/>
                    <a:stretch>
                      <a:fillRect/>
                    </a:stretch>
                  </pic:blipFill>
                  <pic:spPr bwMode="auto">
                    <a:xfrm>
                      <a:off x="0" y="0"/>
                      <a:ext cx="466725" cy="46355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269240</wp:posOffset>
            </wp:positionV>
            <wp:extent cx="466725" cy="4635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66725" cy="463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year  ended  December  31,  2022  that  were  considered  in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279400</wp:posOffset>
                </wp:positionV>
                <wp:extent cx="4507230" cy="419100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7230" cy="4191000"/>
                        </a:xfrm>
                        <a:prstGeom prst="rect">
                          <a:avLst/>
                        </a:prstGeom>
                        <a:solidFill>
                          <a:srgbClr val="F2F2F2"/>
                        </a:solidFill>
                      </wps:spPr>
                      <wps:bodyPr/>
                    </wps:wsp>
                  </a:graphicData>
                </a:graphic>
              </wp:anchor>
            </w:drawing>
          </mc:Choice>
          <mc:Fallback>
            <w:pict>
              <v:rect id="Shape 386" o:spid="_x0000_s1411" style="position:absolute;margin-left:2.1pt;margin-top:22pt;width:354.9pt;height:33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right="300"/>
        <w:spacing w:after="0" w:line="247" w:lineRule="auto"/>
        <w:rPr>
          <w:sz w:val="20"/>
          <w:szCs w:val="20"/>
          <w:color w:val="auto"/>
        </w:rPr>
      </w:pPr>
      <w:r>
        <w:rPr>
          <w:rFonts w:ascii="Arial" w:cs="Arial" w:eastAsia="Arial" w:hAnsi="Arial"/>
          <w:sz w:val="20"/>
          <w:szCs w:val="20"/>
          <w:color w:val="auto"/>
        </w:rPr>
        <w:t xml:space="preserve">FFO per diluted share* of </w:t>
      </w:r>
      <w:r>
        <w:rPr>
          <w:rFonts w:ascii="Arial" w:cs="Arial" w:eastAsia="Arial" w:hAnsi="Arial"/>
          <w:sz w:val="20"/>
          <w:szCs w:val="20"/>
          <w:color w:val="FB1717"/>
        </w:rPr>
        <w:t>$6.32</w:t>
      </w:r>
      <w:r>
        <w:rPr>
          <w:rFonts w:ascii="Arial" w:cs="Arial" w:eastAsia="Arial" w:hAnsi="Arial"/>
          <w:sz w:val="20"/>
          <w:szCs w:val="20"/>
          <w:color w:val="auto"/>
        </w:rPr>
        <w:t xml:space="preserve"> representing growth of </w:t>
      </w:r>
      <w:r>
        <w:rPr>
          <w:rFonts w:ascii="Arial" w:cs="Arial" w:eastAsia="Arial" w:hAnsi="Arial"/>
          <w:sz w:val="20"/>
          <w:szCs w:val="20"/>
          <w:color w:val="FB1717"/>
        </w:rPr>
        <w:t>13.5%</w:t>
      </w:r>
      <w:r>
        <w:rPr>
          <w:rFonts w:ascii="Arial" w:cs="Arial" w:eastAsia="Arial" w:hAnsi="Arial"/>
          <w:sz w:val="20"/>
          <w:szCs w:val="20"/>
          <w:color w:val="auto"/>
        </w:rPr>
        <w:t xml:space="preserve"> over 2021 driven by improved occupancy, increasing rents, strategic acquisitions, new projects coming on line, and strong balance sheet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-1863725</wp:posOffset>
                </wp:positionH>
                <wp:positionV relativeFrom="paragraph">
                  <wp:posOffset>93980</wp:posOffset>
                </wp:positionV>
                <wp:extent cx="639445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7499pt,7.4pt" to="356.75pt,7.4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2860" w:space="80"/>
            <w:col w:w="7140"/>
          </w:cols>
          <w:pgMar w:left="900" w:top="1324" w:right="900" w:bottom="764" w:gutter="0" w:footer="0" w:header="0"/>
          <w:type w:val="continuous"/>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980" w:type="dxa"/>
            <w:vAlign w:val="bottom"/>
          </w:tcPr>
          <w:p>
            <w:pPr>
              <w:jc w:val="center"/>
              <w:ind w:left="1120"/>
              <w:spacing w:after="0"/>
              <w:rPr>
                <w:sz w:val="20"/>
                <w:szCs w:val="20"/>
                <w:color w:val="auto"/>
              </w:rPr>
            </w:pPr>
            <w:r>
              <w:rPr>
                <w:rFonts w:ascii="Arial" w:cs="Arial" w:eastAsia="Arial" w:hAnsi="Arial"/>
                <w:sz w:val="20"/>
                <w:szCs w:val="20"/>
                <w:color w:val="FFFFFF"/>
                <w:w w:val="99"/>
              </w:rPr>
              <w:t>Record Leasing</w:t>
            </w:r>
          </w:p>
        </w:tc>
        <w:tc>
          <w:tcPr>
            <w:tcW w:w="7100" w:type="dxa"/>
            <w:vAlign w:val="bottom"/>
          </w:tcPr>
          <w:p>
            <w:pPr>
              <w:ind w:left="120"/>
              <w:spacing w:after="0"/>
              <w:rPr>
                <w:sz w:val="20"/>
                <w:szCs w:val="20"/>
                <w:color w:val="auto"/>
              </w:rPr>
            </w:pPr>
            <w:r>
              <w:rPr>
                <w:rFonts w:ascii="Arial" w:cs="Arial" w:eastAsia="Arial" w:hAnsi="Arial"/>
                <w:sz w:val="20"/>
                <w:szCs w:val="20"/>
                <w:color w:val="auto"/>
              </w:rPr>
              <w:t xml:space="preserve">Signed </w:t>
            </w:r>
            <w:r>
              <w:rPr>
                <w:rFonts w:ascii="Arial" w:cs="Arial" w:eastAsia="Arial" w:hAnsi="Arial"/>
                <w:sz w:val="20"/>
                <w:szCs w:val="20"/>
                <w:color w:val="FB1717"/>
              </w:rPr>
              <w:t>475</w:t>
            </w:r>
            <w:r>
              <w:rPr>
                <w:rFonts w:ascii="Arial" w:cs="Arial" w:eastAsia="Arial" w:hAnsi="Arial"/>
                <w:sz w:val="20"/>
                <w:szCs w:val="20"/>
                <w:color w:val="auto"/>
              </w:rPr>
              <w:t xml:space="preserve"> new and renewal comparable space leases covering </w:t>
            </w:r>
            <w:r>
              <w:rPr>
                <w:rFonts w:ascii="Symbol" w:cs="Symbol" w:eastAsia="Symbol" w:hAnsi="Symbol"/>
                <w:sz w:val="20"/>
                <w:szCs w:val="20"/>
                <w:color w:val="auto"/>
              </w:rPr>
              <w:t>≈</w:t>
            </w:r>
            <w:r>
              <w:rPr>
                <w:rFonts w:ascii="Arial" w:cs="Arial" w:eastAsia="Arial" w:hAnsi="Arial"/>
                <w:sz w:val="20"/>
                <w:szCs w:val="20"/>
                <w:color w:val="auto"/>
              </w:rPr>
              <w:t xml:space="preserve"> </w:t>
            </w:r>
            <w:r>
              <w:rPr>
                <w:rFonts w:ascii="Arial" w:cs="Arial" w:eastAsia="Arial" w:hAnsi="Arial"/>
                <w:sz w:val="20"/>
                <w:szCs w:val="20"/>
                <w:color w:val="FB1717"/>
              </w:rPr>
              <w:t>2 million</w:t>
            </w:r>
          </w:p>
        </w:tc>
        <w:tc>
          <w:tcPr>
            <w:tcW w:w="0" w:type="dxa"/>
            <w:vAlign w:val="bottom"/>
          </w:tcPr>
          <w:p>
            <w:pPr>
              <w:spacing w:after="0"/>
              <w:rPr>
                <w:sz w:val="1"/>
                <w:szCs w:val="1"/>
                <w:color w:val="auto"/>
              </w:rPr>
            </w:pPr>
          </w:p>
        </w:tc>
      </w:tr>
      <w:tr>
        <w:trPr>
          <w:trHeight w:val="224"/>
        </w:trPr>
        <w:tc>
          <w:tcPr>
            <w:tcW w:w="2980" w:type="dxa"/>
            <w:vAlign w:val="bottom"/>
          </w:tcPr>
          <w:p>
            <w:pPr>
              <w:jc w:val="center"/>
              <w:ind w:left="1100"/>
              <w:spacing w:after="0" w:line="224" w:lineRule="exact"/>
              <w:rPr>
                <w:sz w:val="20"/>
                <w:szCs w:val="20"/>
                <w:color w:val="auto"/>
              </w:rPr>
            </w:pPr>
            <w:r>
              <w:rPr>
                <w:rFonts w:ascii="Arial" w:cs="Arial" w:eastAsia="Arial" w:hAnsi="Arial"/>
                <w:sz w:val="20"/>
                <w:szCs w:val="20"/>
                <w:color w:val="FFFFFF"/>
                <w:w w:val="97"/>
              </w:rPr>
              <w:t>Activity</w:t>
            </w:r>
          </w:p>
        </w:tc>
        <w:tc>
          <w:tcPr>
            <w:tcW w:w="7100" w:type="dxa"/>
            <w:vAlign w:val="bottom"/>
          </w:tcPr>
          <w:p>
            <w:pPr>
              <w:ind w:left="120"/>
              <w:spacing w:after="0" w:line="224" w:lineRule="exact"/>
              <w:rPr>
                <w:sz w:val="20"/>
                <w:szCs w:val="20"/>
                <w:color w:val="auto"/>
              </w:rPr>
            </w:pPr>
            <w:r>
              <w:rPr>
                <w:rFonts w:ascii="Arial" w:cs="Arial" w:eastAsia="Arial" w:hAnsi="Arial"/>
                <w:sz w:val="20"/>
                <w:szCs w:val="20"/>
                <w:color w:val="auto"/>
              </w:rPr>
              <w:t>square feet of space and more than $74 million of year 1 revenue</w:t>
            </w:r>
          </w:p>
        </w:tc>
        <w:tc>
          <w:tcPr>
            <w:tcW w:w="0" w:type="dxa"/>
            <w:vAlign w:val="bottom"/>
          </w:tcPr>
          <w:p>
            <w:pPr>
              <w:spacing w:after="0"/>
              <w:rPr>
                <w:sz w:val="1"/>
                <w:szCs w:val="1"/>
                <w:color w:val="auto"/>
              </w:rPr>
            </w:pPr>
          </w:p>
        </w:tc>
      </w:tr>
      <w:tr>
        <w:trPr>
          <w:trHeight w:val="190"/>
        </w:trPr>
        <w:tc>
          <w:tcPr>
            <w:tcW w:w="2980" w:type="dxa"/>
            <w:vAlign w:val="bottom"/>
            <w:tcBorders>
              <w:bottom w:val="single" w:sz="8" w:color="auto"/>
            </w:tcBorders>
          </w:tcPr>
          <w:p>
            <w:pPr>
              <w:spacing w:after="0"/>
              <w:rPr>
                <w:sz w:val="16"/>
                <w:szCs w:val="16"/>
                <w:color w:val="auto"/>
              </w:rPr>
            </w:pPr>
          </w:p>
        </w:tc>
        <w:tc>
          <w:tcPr>
            <w:tcW w:w="7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2980" w:type="dxa"/>
            <w:vAlign w:val="bottom"/>
          </w:tcPr>
          <w:p>
            <w:pPr>
              <w:jc w:val="center"/>
              <w:ind w:left="1120"/>
              <w:spacing w:after="0"/>
              <w:rPr>
                <w:sz w:val="20"/>
                <w:szCs w:val="20"/>
                <w:color w:val="auto"/>
              </w:rPr>
            </w:pPr>
            <w:r>
              <w:rPr>
                <w:rFonts w:ascii="Arial" w:cs="Arial" w:eastAsia="Arial" w:hAnsi="Arial"/>
                <w:sz w:val="20"/>
                <w:szCs w:val="20"/>
                <w:color w:val="FFFFFF"/>
                <w:w w:val="99"/>
              </w:rPr>
              <w:t>Significant</w:t>
            </w:r>
          </w:p>
        </w:tc>
        <w:tc>
          <w:tcPr>
            <w:tcW w:w="7100" w:type="dxa"/>
            <w:vAlign w:val="bottom"/>
          </w:tcPr>
          <w:p>
            <w:pPr>
              <w:ind w:left="120"/>
              <w:spacing w:after="0"/>
              <w:rPr>
                <w:sz w:val="20"/>
                <w:szCs w:val="20"/>
                <w:color w:val="auto"/>
              </w:rPr>
            </w:pPr>
            <w:r>
              <w:rPr>
                <w:rFonts w:ascii="Arial" w:cs="Arial" w:eastAsia="Arial" w:hAnsi="Arial"/>
                <w:sz w:val="20"/>
                <w:szCs w:val="20"/>
                <w:color w:val="auto"/>
              </w:rPr>
              <w:t xml:space="preserve">Achieved commercial occupancy of </w:t>
            </w:r>
            <w:r>
              <w:rPr>
                <w:rFonts w:ascii="Arial" w:cs="Arial" w:eastAsia="Arial" w:hAnsi="Arial"/>
                <w:sz w:val="20"/>
                <w:szCs w:val="20"/>
                <w:color w:val="FB1717"/>
              </w:rPr>
              <w:t>92.8%</w:t>
            </w:r>
            <w:r>
              <w:rPr>
                <w:rFonts w:ascii="Arial" w:cs="Arial" w:eastAsia="Arial" w:hAnsi="Arial"/>
                <w:sz w:val="20"/>
                <w:szCs w:val="20"/>
                <w:color w:val="auto"/>
              </w:rPr>
              <w:t xml:space="preserve">, an increase of more than </w:t>
            </w:r>
            <w:r>
              <w:rPr>
                <w:rFonts w:ascii="Arial" w:cs="Arial" w:eastAsia="Arial" w:hAnsi="Arial"/>
                <w:sz w:val="20"/>
                <w:szCs w:val="20"/>
                <w:color w:val="FB1717"/>
              </w:rPr>
              <w:t>3.3%</w:t>
            </w:r>
          </w:p>
        </w:tc>
        <w:tc>
          <w:tcPr>
            <w:tcW w:w="0" w:type="dxa"/>
            <w:vAlign w:val="bottom"/>
          </w:tcPr>
          <w:p>
            <w:pPr>
              <w:spacing w:after="0"/>
              <w:rPr>
                <w:sz w:val="1"/>
                <w:szCs w:val="1"/>
                <w:color w:val="auto"/>
              </w:rPr>
            </w:pPr>
          </w:p>
        </w:tc>
      </w:tr>
      <w:tr>
        <w:trPr>
          <w:trHeight w:val="240"/>
        </w:trPr>
        <w:tc>
          <w:tcPr>
            <w:tcW w:w="2980" w:type="dxa"/>
            <w:vAlign w:val="bottom"/>
          </w:tcPr>
          <w:p>
            <w:pPr>
              <w:jc w:val="center"/>
              <w:ind w:left="1120"/>
              <w:spacing w:after="0"/>
              <w:rPr>
                <w:sz w:val="20"/>
                <w:szCs w:val="20"/>
                <w:color w:val="auto"/>
              </w:rPr>
            </w:pPr>
            <w:r>
              <w:rPr>
                <w:rFonts w:ascii="Arial" w:cs="Arial" w:eastAsia="Arial" w:hAnsi="Arial"/>
                <w:sz w:val="20"/>
                <w:szCs w:val="20"/>
                <w:color w:val="FFFFFF"/>
                <w:w w:val="99"/>
              </w:rPr>
              <w:t>Occupancy</w:t>
            </w:r>
          </w:p>
        </w:tc>
        <w:tc>
          <w:tcPr>
            <w:tcW w:w="7100" w:type="dxa"/>
            <w:vAlign w:val="bottom"/>
          </w:tcPr>
          <w:p>
            <w:pPr>
              <w:ind w:left="120"/>
              <w:spacing w:after="0" w:line="226" w:lineRule="exact"/>
              <w:rPr>
                <w:sz w:val="20"/>
                <w:szCs w:val="20"/>
                <w:color w:val="auto"/>
              </w:rPr>
            </w:pPr>
            <w:r>
              <w:rPr>
                <w:rFonts w:ascii="Arial" w:cs="Arial" w:eastAsia="Arial" w:hAnsi="Arial"/>
                <w:sz w:val="20"/>
                <w:szCs w:val="20"/>
                <w:color w:val="auto"/>
              </w:rPr>
              <w:t>over the lowest level of occupancy experienced in more than 15 years</w:t>
            </w:r>
          </w:p>
        </w:tc>
        <w:tc>
          <w:tcPr>
            <w:tcW w:w="0" w:type="dxa"/>
            <w:vAlign w:val="bottom"/>
          </w:tcPr>
          <w:p>
            <w:pPr>
              <w:spacing w:after="0"/>
              <w:rPr>
                <w:sz w:val="1"/>
                <w:szCs w:val="1"/>
                <w:color w:val="auto"/>
              </w:rPr>
            </w:pPr>
          </w:p>
        </w:tc>
      </w:tr>
      <w:tr>
        <w:trPr>
          <w:trHeight w:val="266"/>
        </w:trPr>
        <w:tc>
          <w:tcPr>
            <w:tcW w:w="2980" w:type="dxa"/>
            <w:vAlign w:val="bottom"/>
          </w:tcPr>
          <w:p>
            <w:pPr>
              <w:jc w:val="center"/>
              <w:ind w:left="1100"/>
              <w:spacing w:after="0"/>
              <w:rPr>
                <w:sz w:val="20"/>
                <w:szCs w:val="20"/>
                <w:color w:val="auto"/>
              </w:rPr>
            </w:pPr>
            <w:r>
              <w:rPr>
                <w:rFonts w:ascii="Arial" w:cs="Arial" w:eastAsia="Arial" w:hAnsi="Arial"/>
                <w:sz w:val="20"/>
                <w:szCs w:val="20"/>
                <w:color w:val="FFFFFF"/>
              </w:rPr>
              <w:t>Improvement</w:t>
            </w:r>
          </w:p>
        </w:tc>
        <w:tc>
          <w:tcPr>
            <w:tcW w:w="7100" w:type="dxa"/>
            <w:vAlign w:val="bottom"/>
          </w:tcPr>
          <w:p>
            <w:pPr>
              <w:ind w:left="120"/>
              <w:spacing w:after="0" w:line="226" w:lineRule="exact"/>
              <w:rPr>
                <w:sz w:val="20"/>
                <w:szCs w:val="20"/>
                <w:color w:val="auto"/>
              </w:rPr>
            </w:pPr>
            <w:r>
              <w:rPr>
                <w:rFonts w:ascii="Arial" w:cs="Arial" w:eastAsia="Arial" w:hAnsi="Arial"/>
                <w:sz w:val="20"/>
                <w:szCs w:val="20"/>
                <w:color w:val="auto"/>
              </w:rPr>
              <w:t>resulting from high level of COVID related tenant failures</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auto"/>
            </w:tcBorders>
          </w:tcPr>
          <w:p>
            <w:pPr>
              <w:spacing w:after="0"/>
              <w:rPr>
                <w:sz w:val="16"/>
                <w:szCs w:val="16"/>
                <w:color w:val="auto"/>
              </w:rPr>
            </w:pPr>
          </w:p>
        </w:tc>
        <w:tc>
          <w:tcPr>
            <w:tcW w:w="7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2980" w:type="dxa"/>
            <w:vAlign w:val="bottom"/>
            <w:vMerge w:val="restart"/>
          </w:tcPr>
          <w:p>
            <w:pPr>
              <w:jc w:val="center"/>
              <w:ind w:left="1100"/>
              <w:spacing w:after="0"/>
              <w:rPr>
                <w:sz w:val="20"/>
                <w:szCs w:val="20"/>
                <w:color w:val="auto"/>
              </w:rPr>
            </w:pPr>
            <w:r>
              <w:rPr>
                <w:rFonts w:ascii="Arial" w:cs="Arial" w:eastAsia="Arial" w:hAnsi="Arial"/>
                <w:sz w:val="20"/>
                <w:szCs w:val="20"/>
                <w:color w:val="FFFFFF"/>
                <w:w w:val="99"/>
              </w:rPr>
              <w:t>Productive</w:t>
            </w:r>
          </w:p>
        </w:tc>
        <w:tc>
          <w:tcPr>
            <w:tcW w:w="7100" w:type="dxa"/>
            <w:vAlign w:val="bottom"/>
          </w:tcPr>
          <w:p>
            <w:pPr>
              <w:ind w:left="120"/>
              <w:spacing w:after="0"/>
              <w:rPr>
                <w:sz w:val="20"/>
                <w:szCs w:val="20"/>
                <w:color w:val="auto"/>
              </w:rPr>
            </w:pPr>
            <w:r>
              <w:rPr>
                <w:rFonts w:ascii="Arial" w:cs="Arial" w:eastAsia="Arial" w:hAnsi="Arial"/>
                <w:sz w:val="20"/>
                <w:szCs w:val="20"/>
                <w:color w:val="auto"/>
              </w:rPr>
              <w:t xml:space="preserve">Raised </w:t>
            </w:r>
            <w:r>
              <w:rPr>
                <w:rFonts w:ascii="Arial" w:cs="Arial" w:eastAsia="Arial" w:hAnsi="Arial"/>
                <w:sz w:val="20"/>
                <w:szCs w:val="20"/>
                <w:color w:val="FB1717"/>
              </w:rPr>
              <w:t>$136M</w:t>
            </w:r>
            <w:r>
              <w:rPr>
                <w:rFonts w:ascii="Arial" w:cs="Arial" w:eastAsia="Arial" w:hAnsi="Arial"/>
                <w:sz w:val="20"/>
                <w:szCs w:val="20"/>
                <w:color w:val="auto"/>
              </w:rPr>
              <w:t xml:space="preserve"> through sale of non-strategic, slow growing assets and</w:t>
            </w:r>
          </w:p>
        </w:tc>
        <w:tc>
          <w:tcPr>
            <w:tcW w:w="0" w:type="dxa"/>
            <w:vAlign w:val="bottom"/>
          </w:tcPr>
          <w:p>
            <w:pPr>
              <w:spacing w:after="0"/>
              <w:rPr>
                <w:sz w:val="1"/>
                <w:szCs w:val="1"/>
                <w:color w:val="auto"/>
              </w:rPr>
            </w:pPr>
          </w:p>
        </w:tc>
      </w:tr>
      <w:tr>
        <w:trPr>
          <w:trHeight w:val="160"/>
        </w:trPr>
        <w:tc>
          <w:tcPr>
            <w:tcW w:w="2980" w:type="dxa"/>
            <w:vAlign w:val="bottom"/>
            <w:vMerge w:val="continue"/>
          </w:tcPr>
          <w:p>
            <w:pPr>
              <w:spacing w:after="0"/>
              <w:rPr>
                <w:sz w:val="13"/>
                <w:szCs w:val="13"/>
                <w:color w:val="auto"/>
              </w:rPr>
            </w:pPr>
          </w:p>
        </w:tc>
        <w:tc>
          <w:tcPr>
            <w:tcW w:w="7100" w:type="dxa"/>
            <w:vAlign w:val="bottom"/>
            <w:vMerge w:val="restart"/>
          </w:tcPr>
          <w:p>
            <w:pPr>
              <w:ind w:left="120"/>
              <w:spacing w:after="0"/>
              <w:rPr>
                <w:sz w:val="20"/>
                <w:szCs w:val="20"/>
                <w:color w:val="auto"/>
              </w:rPr>
            </w:pPr>
            <w:r>
              <w:rPr>
                <w:rFonts w:ascii="Arial" w:cs="Arial" w:eastAsia="Arial" w:hAnsi="Arial"/>
                <w:sz w:val="20"/>
                <w:szCs w:val="20"/>
                <w:color w:val="auto"/>
              </w:rPr>
              <w:t xml:space="preserve">invested </w:t>
            </w:r>
            <w:r>
              <w:rPr>
                <w:rFonts w:ascii="Arial" w:cs="Arial" w:eastAsia="Arial" w:hAnsi="Arial"/>
                <w:sz w:val="20"/>
                <w:szCs w:val="20"/>
                <w:color w:val="FB1717"/>
              </w:rPr>
              <w:t>$526M</w:t>
            </w:r>
            <w:r>
              <w:rPr>
                <w:rFonts w:ascii="Arial" w:cs="Arial" w:eastAsia="Arial" w:hAnsi="Arial"/>
                <w:sz w:val="20"/>
                <w:szCs w:val="20"/>
                <w:color w:val="auto"/>
              </w:rPr>
              <w:t xml:space="preserve"> into more productive, higher yielding, faster growing</w:t>
            </w:r>
          </w:p>
        </w:tc>
        <w:tc>
          <w:tcPr>
            <w:tcW w:w="0" w:type="dxa"/>
            <w:vAlign w:val="bottom"/>
          </w:tcPr>
          <w:p>
            <w:pPr>
              <w:spacing w:after="0"/>
              <w:rPr>
                <w:sz w:val="1"/>
                <w:szCs w:val="1"/>
                <w:color w:val="auto"/>
              </w:rPr>
            </w:pPr>
          </w:p>
        </w:tc>
      </w:tr>
      <w:tr>
        <w:trPr>
          <w:trHeight w:val="80"/>
        </w:trPr>
        <w:tc>
          <w:tcPr>
            <w:tcW w:w="2980" w:type="dxa"/>
            <w:vAlign w:val="bottom"/>
            <w:vMerge w:val="restart"/>
          </w:tcPr>
          <w:p>
            <w:pPr>
              <w:jc w:val="center"/>
              <w:ind w:left="1100"/>
              <w:spacing w:after="0"/>
              <w:rPr>
                <w:sz w:val="20"/>
                <w:szCs w:val="20"/>
                <w:color w:val="auto"/>
              </w:rPr>
            </w:pPr>
            <w:r>
              <w:rPr>
                <w:rFonts w:ascii="Arial" w:cs="Arial" w:eastAsia="Arial" w:hAnsi="Arial"/>
                <w:sz w:val="20"/>
                <w:szCs w:val="20"/>
                <w:color w:val="FFFFFF"/>
                <w:w w:val="99"/>
              </w:rPr>
              <w:t>Capital Recycling</w:t>
            </w:r>
          </w:p>
        </w:tc>
        <w:tc>
          <w:tcPr>
            <w:tcW w:w="7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980" w:type="dxa"/>
            <w:vAlign w:val="bottom"/>
            <w:vMerge w:val="continue"/>
          </w:tcPr>
          <w:p>
            <w:pPr>
              <w:spacing w:after="0"/>
              <w:rPr>
                <w:sz w:val="13"/>
                <w:szCs w:val="13"/>
                <w:color w:val="auto"/>
              </w:rPr>
            </w:pPr>
          </w:p>
        </w:tc>
        <w:tc>
          <w:tcPr>
            <w:tcW w:w="7100" w:type="dxa"/>
            <w:vAlign w:val="bottom"/>
            <w:vMerge w:val="restart"/>
          </w:tcPr>
          <w:p>
            <w:pPr>
              <w:ind w:left="120"/>
              <w:spacing w:after="0"/>
              <w:rPr>
                <w:sz w:val="20"/>
                <w:szCs w:val="20"/>
                <w:color w:val="auto"/>
              </w:rPr>
            </w:pPr>
            <w:r>
              <w:rPr>
                <w:rFonts w:ascii="Arial" w:cs="Arial" w:eastAsia="Arial" w:hAnsi="Arial"/>
                <w:sz w:val="20"/>
                <w:szCs w:val="20"/>
                <w:color w:val="auto"/>
              </w:rPr>
              <w:t>operating assets with potential for additional value creation</w:t>
            </w:r>
          </w:p>
        </w:tc>
        <w:tc>
          <w:tcPr>
            <w:tcW w:w="0" w:type="dxa"/>
            <w:vAlign w:val="bottom"/>
          </w:tcPr>
          <w:p>
            <w:pPr>
              <w:spacing w:after="0"/>
              <w:rPr>
                <w:sz w:val="1"/>
                <w:szCs w:val="1"/>
                <w:color w:val="auto"/>
              </w:rPr>
            </w:pPr>
          </w:p>
        </w:tc>
      </w:tr>
      <w:tr>
        <w:trPr>
          <w:trHeight w:val="80"/>
        </w:trPr>
        <w:tc>
          <w:tcPr>
            <w:tcW w:w="2980" w:type="dxa"/>
            <w:vAlign w:val="bottom"/>
          </w:tcPr>
          <w:p>
            <w:pPr>
              <w:spacing w:after="0"/>
              <w:rPr>
                <w:sz w:val="6"/>
                <w:szCs w:val="6"/>
                <w:color w:val="auto"/>
              </w:rPr>
            </w:pPr>
          </w:p>
        </w:tc>
        <w:tc>
          <w:tcPr>
            <w:tcW w:w="7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tcBorders>
              <w:bottom w:val="single" w:sz="8" w:color="auto"/>
            </w:tcBorders>
          </w:tcPr>
          <w:p>
            <w:pPr>
              <w:spacing w:after="0"/>
              <w:rPr>
                <w:sz w:val="12"/>
                <w:szCs w:val="12"/>
                <w:color w:val="auto"/>
              </w:rPr>
            </w:pPr>
          </w:p>
        </w:tc>
        <w:tc>
          <w:tcPr>
            <w:tcW w:w="7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-1316990</wp:posOffset>
            </wp:positionV>
            <wp:extent cx="585470" cy="549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585470" cy="54927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-1316990</wp:posOffset>
            </wp:positionV>
            <wp:extent cx="585470" cy="549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85470" cy="54927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-553085</wp:posOffset>
            </wp:positionV>
            <wp:extent cx="439420" cy="4394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63">
                      <a:clrChange>
                        <a:clrFrom>
                          <a:srgbClr val="000000"/>
                        </a:clrFrom>
                        <a:clrTo>
                          <a:srgbClr val="000000">
                            <a:alpha val="0"/>
                          </a:srgbClr>
                        </a:clrTo>
                      </a:clrChange>
                      <a:extLst>
                        <a:ext uri="{28A0092B-C50C-407E-A947-70E740481C1C}"/>
                      </a:extLst>
                    </a:blip>
                    <a:srcRect/>
                    <a:stretch>
                      <a:fillRect/>
                    </a:stretch>
                  </pic:blipFill>
                  <pic:spPr bwMode="auto">
                    <a:xfrm>
                      <a:off x="0" y="0"/>
                      <a:ext cx="439420" cy="439420"/>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-553085</wp:posOffset>
            </wp:positionV>
            <wp:extent cx="439420" cy="4394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39420" cy="43942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114300</wp:posOffset>
            </wp:positionV>
            <wp:extent cx="631190" cy="534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65">
                      <a:clrChange>
                        <a:clrFrom>
                          <a:srgbClr val="000000"/>
                        </a:clrFrom>
                        <a:clrTo>
                          <a:srgbClr val="000000">
                            <a:alpha val="0"/>
                          </a:srgbClr>
                        </a:clrTo>
                      </a:clrChange>
                      <a:extLst>
                        <a:ext uri="{28A0092B-C50C-407E-A947-70E740481C1C}"/>
                      </a:extLst>
                    </a:blip>
                    <a:srcRect/>
                    <a:stretch>
                      <a:fillRect/>
                    </a:stretch>
                  </pic:blipFill>
                  <pic:spPr bwMode="auto">
                    <a:xfrm>
                      <a:off x="0" y="0"/>
                      <a:ext cx="631190" cy="53403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114300</wp:posOffset>
            </wp:positionV>
            <wp:extent cx="631190" cy="534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31190" cy="534035"/>
                    </a:xfrm>
                    <a:prstGeom prst="rect">
                      <a:avLst/>
                    </a:prstGeom>
                    <a:noFill/>
                  </pic:spPr>
                </pic:pic>
              </a:graphicData>
            </a:graphic>
          </wp:anchor>
        </w:drawing>
      </w:r>
    </w:p>
    <w:p>
      <w:pPr>
        <w:sectPr>
          <w:pgSz w:w="11880" w:h="15480" w:orient="portrait"/>
          <w:cols w:equalWidth="0" w:num="1">
            <w:col w:w="10080"/>
          </w:cols>
          <w:pgMar w:left="900" w:top="1324" w:right="900" w:bottom="764" w:gutter="0" w:footer="0" w:header="0"/>
          <w:type w:val="continuous"/>
        </w:sectPr>
      </w:pPr>
    </w:p>
    <w:p>
      <w:pPr>
        <w:spacing w:after="0" w:line="296" w:lineRule="exact"/>
        <w:rPr>
          <w:sz w:val="20"/>
          <w:szCs w:val="20"/>
          <w:color w:val="auto"/>
        </w:rPr>
      </w:pPr>
    </w:p>
    <w:p>
      <w:pPr>
        <w:jc w:val="center"/>
        <w:ind w:left="1540"/>
        <w:spacing w:after="0" w:line="248" w:lineRule="auto"/>
        <w:rPr>
          <w:sz w:val="20"/>
          <w:szCs w:val="20"/>
          <w:color w:val="auto"/>
        </w:rPr>
      </w:pPr>
      <w:r>
        <w:rPr>
          <w:rFonts w:ascii="Arial" w:cs="Arial" w:eastAsia="Arial" w:hAnsi="Arial"/>
          <w:sz w:val="20"/>
          <w:szCs w:val="20"/>
          <w:color w:val="FFFFFF"/>
        </w:rPr>
        <w:t>55th Year of Dividend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204470</wp:posOffset>
            </wp:positionV>
            <wp:extent cx="494030" cy="4883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67">
                      <a:clrChange>
                        <a:clrFrom>
                          <a:srgbClr val="000000"/>
                        </a:clrFrom>
                        <a:clrTo>
                          <a:srgbClr val="000000">
                            <a:alpha val="0"/>
                          </a:srgbClr>
                        </a:clrTo>
                      </a:clrChange>
                      <a:extLst>
                        <a:ext uri="{28A0092B-C50C-407E-A947-70E740481C1C}"/>
                      </a:extLst>
                    </a:blip>
                    <a:srcRect/>
                    <a:stretch>
                      <a:fillRect/>
                    </a:stretch>
                  </pic:blipFill>
                  <pic:spPr bwMode="auto">
                    <a:xfrm>
                      <a:off x="0" y="0"/>
                      <a:ext cx="494030" cy="48831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204470</wp:posOffset>
            </wp:positionV>
            <wp:extent cx="494030" cy="4883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49403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280"/>
        <w:spacing w:after="0" w:line="248" w:lineRule="auto"/>
        <w:rPr>
          <w:sz w:val="20"/>
          <w:szCs w:val="20"/>
          <w:color w:val="auto"/>
        </w:rPr>
      </w:pPr>
      <w:r>
        <w:rPr>
          <w:rFonts w:ascii="Arial" w:cs="Arial" w:eastAsia="Arial" w:hAnsi="Arial"/>
          <w:sz w:val="20"/>
          <w:szCs w:val="20"/>
          <w:color w:val="auto"/>
        </w:rPr>
        <w:t xml:space="preserve">Raised the dividend on our common shares for the </w:t>
      </w:r>
      <w:r>
        <w:rPr>
          <w:rFonts w:ascii="Arial" w:cs="Arial" w:eastAsia="Arial" w:hAnsi="Arial"/>
          <w:sz w:val="20"/>
          <w:szCs w:val="20"/>
          <w:color w:val="FB1717"/>
        </w:rPr>
        <w:t>55th</w:t>
      </w:r>
      <w:r>
        <w:rPr>
          <w:rFonts w:ascii="Arial" w:cs="Arial" w:eastAsia="Arial" w:hAnsi="Arial"/>
          <w:sz w:val="20"/>
          <w:szCs w:val="20"/>
          <w:color w:val="auto"/>
        </w:rPr>
        <w:t xml:space="preserve"> consecutive year, a record in the REIT industry, representing a compound annual growth rate of </w:t>
      </w:r>
      <w:r>
        <w:rPr>
          <w:rFonts w:ascii="Arial" w:cs="Arial" w:eastAsia="Arial" w:hAnsi="Arial"/>
          <w:sz w:val="20"/>
          <w:szCs w:val="20"/>
          <w:color w:val="FB1717"/>
        </w:rPr>
        <w:t xml:space="preserve">7% </w:t>
      </w:r>
      <w:r>
        <w:rPr>
          <w:rFonts w:ascii="Arial" w:cs="Arial" w:eastAsia="Arial" w:hAnsi="Arial"/>
          <w:sz w:val="20"/>
          <w:szCs w:val="20"/>
          <w:color w:val="000000"/>
        </w:rPr>
        <w:t>over that 55-year 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-1965325</wp:posOffset>
                </wp:positionH>
                <wp:positionV relativeFrom="paragraph">
                  <wp:posOffset>142875</wp:posOffset>
                </wp:positionV>
                <wp:extent cx="639445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7499pt,11.25pt" to="348.75pt,11.25pt" o:allowincell="f" strokecolor="#000000" strokeweight="0.5pt"/>
            </w:pict>
          </mc:Fallback>
        </mc:AlternateContent>
      </w:r>
    </w:p>
    <w:p>
      <w:pPr>
        <w:spacing w:after="0" w:line="240" w:lineRule="exact"/>
        <w:rPr>
          <w:sz w:val="20"/>
          <w:szCs w:val="20"/>
          <w:color w:val="auto"/>
        </w:rPr>
      </w:pPr>
    </w:p>
    <w:p>
      <w:pPr>
        <w:sectPr>
          <w:pgSz w:w="11880" w:h="15480" w:orient="portrait"/>
          <w:cols w:equalWidth="0" w:num="2">
            <w:col w:w="2640" w:space="460"/>
            <w:col w:w="6980"/>
          </w:cols>
          <w:pgMar w:left="900" w:top="1324" w:right="900" w:bottom="764" w:gutter="0" w:footer="0" w:header="0"/>
          <w:type w:val="continuous"/>
        </w:sectPr>
      </w:pPr>
    </w:p>
    <w:p>
      <w:pPr>
        <w:spacing w:after="0" w:line="124"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 xml:space="preserve">Achieved </w:t>
      </w:r>
      <w:r>
        <w:rPr>
          <w:rFonts w:ascii="Symbol" w:cs="Symbol" w:eastAsia="Symbol" w:hAnsi="Symbol"/>
          <w:sz w:val="20"/>
          <w:szCs w:val="20"/>
          <w:color w:val="auto"/>
        </w:rPr>
        <w:t>≈</w:t>
      </w:r>
      <w:r>
        <w:rPr>
          <w:rFonts w:ascii="Arial" w:cs="Arial" w:eastAsia="Arial" w:hAnsi="Arial"/>
          <w:sz w:val="20"/>
          <w:szCs w:val="20"/>
          <w:color w:val="auto"/>
        </w:rPr>
        <w:t xml:space="preserve"> </w:t>
      </w:r>
      <w:r>
        <w:rPr>
          <w:rFonts w:ascii="Arial" w:cs="Arial" w:eastAsia="Arial" w:hAnsi="Arial"/>
          <w:sz w:val="20"/>
          <w:szCs w:val="20"/>
          <w:color w:val="FB1717"/>
        </w:rPr>
        <w:t>22%</w:t>
      </w:r>
      <w:r>
        <w:rPr>
          <w:rFonts w:ascii="Arial" w:cs="Arial" w:eastAsia="Arial" w:hAnsi="Arial"/>
          <w:sz w:val="20"/>
          <w:szCs w:val="20"/>
          <w:color w:val="auto"/>
        </w:rPr>
        <w:t xml:space="preserve"> decrease in Scope 1 and 2 GHG emissions through 2021</w:t>
      </w:r>
    </w:p>
    <w:p>
      <w:pPr>
        <w:spacing w:after="0" w:line="40" w:lineRule="exact"/>
        <w:rPr>
          <w:sz w:val="20"/>
          <w:szCs w:val="20"/>
          <w:color w:val="auto"/>
        </w:rPr>
      </w:pPr>
    </w:p>
    <w:p>
      <w:pPr>
        <w:ind w:left="3100" w:right="200" w:hanging="1679"/>
        <w:spacing w:after="0" w:line="182" w:lineRule="auto"/>
        <w:tabs>
          <w:tab w:leader="none" w:pos="3080" w:val="left"/>
        </w:tabs>
        <w:rPr>
          <w:sz w:val="20"/>
          <w:szCs w:val="20"/>
          <w:color w:val="auto"/>
        </w:rPr>
      </w:pPr>
      <w:r>
        <w:rPr>
          <w:rFonts w:ascii="Arial" w:cs="Arial" w:eastAsia="Arial" w:hAnsi="Arial"/>
          <w:sz w:val="35"/>
          <w:szCs w:val="35"/>
          <w:color w:val="FFFFFF"/>
          <w:vertAlign w:val="subscript"/>
        </w:rPr>
        <w:t>Sustainability**</w:t>
      </w:r>
      <w:r>
        <w:rPr>
          <w:sz w:val="20"/>
          <w:szCs w:val="20"/>
          <w:color w:val="auto"/>
        </w:rPr>
        <w:tab/>
      </w:r>
      <w:r>
        <w:rPr>
          <w:rFonts w:ascii="Arial" w:cs="Arial" w:eastAsia="Arial" w:hAnsi="Arial"/>
          <w:sz w:val="18"/>
          <w:szCs w:val="18"/>
          <w:color w:val="auto"/>
        </w:rPr>
        <w:t>versus 2019 baseline in alignment with our 2030 GHG reduction target set in accordance with the Science-Based Target initiative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97790</wp:posOffset>
                </wp:positionV>
                <wp:extent cx="639445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7pt" to="503.75pt,7.7pt" o:allowincell="f" strokecolor="#000000" strokeweight="0.5pt"/>
            </w:pict>
          </mc:Fallback>
        </mc:AlternateContent>
      </w:r>
    </w:p>
    <w:p>
      <w:pPr>
        <w:spacing w:after="0" w:line="200" w:lineRule="exact"/>
        <w:rPr>
          <w:sz w:val="20"/>
          <w:szCs w:val="20"/>
          <w:color w:val="auto"/>
        </w:rPr>
      </w:pPr>
    </w:p>
    <w:p>
      <w:pPr>
        <w:spacing w:after="0" w:line="216" w:lineRule="exact"/>
        <w:rPr>
          <w:sz w:val="20"/>
          <w:szCs w:val="20"/>
          <w:color w:val="auto"/>
        </w:rPr>
      </w:pPr>
    </w:p>
    <w:p>
      <w:pPr>
        <w:ind w:left="360" w:hanging="360"/>
        <w:spacing w:after="0" w:line="232" w:lineRule="auto"/>
        <w:tabs>
          <w:tab w:leader="none" w:pos="3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FFO per diluted share (“FFO per share”) is a non-GAAP financial measure that we consider significant in our business. See Appendix A for a reconciliation of FFO per share to net income.</w:t>
      </w:r>
    </w:p>
    <w:p>
      <w:pPr>
        <w:ind w:left="360" w:hanging="360"/>
        <w:spacing w:after="0" w:line="230" w:lineRule="auto"/>
        <w:tabs>
          <w:tab w:leader="none" w:pos="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See pages 3 - 4 for more information on sustainability initiatives and achievements.</w:t>
      </w:r>
    </w:p>
    <w:p>
      <w:pPr>
        <w:spacing w:after="0" w:line="21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PROGRAM PHILOSOPHY AND OBJECTIVES</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245" w:lineRule="exact"/>
        <w:rPr>
          <w:sz w:val="20"/>
          <w:szCs w:val="20"/>
          <w:color w:val="auto"/>
        </w:rPr>
      </w:pPr>
    </w:p>
    <w:p>
      <w:pPr>
        <w:ind w:left="800" w:hanging="300"/>
        <w:spacing w:after="0"/>
        <w:tabs>
          <w:tab w:leader="none" w:pos="8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Establish a strong link between pay and performance</w:t>
      </w:r>
    </w:p>
    <w:p>
      <w:pPr>
        <w:spacing w:after="0" w:line="8" w:lineRule="exact"/>
        <w:rPr>
          <w:rFonts w:ascii="Arial" w:cs="Arial" w:eastAsia="Arial" w:hAnsi="Arial"/>
          <w:sz w:val="20"/>
          <w:szCs w:val="20"/>
          <w:color w:val="auto"/>
        </w:rPr>
      </w:pPr>
    </w:p>
    <w:p>
      <w:pPr>
        <w:ind w:left="800" w:hanging="300"/>
        <w:spacing w:after="0"/>
        <w:tabs>
          <w:tab w:leader="none" w:pos="8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Align the financial interest of our NEOs with our shareholders, particularly over the longer term</w:t>
      </w:r>
    </w:p>
    <w:p>
      <w:pPr>
        <w:spacing w:after="0" w:line="10" w:lineRule="exact"/>
        <w:rPr>
          <w:rFonts w:ascii="Arial" w:cs="Arial" w:eastAsia="Arial" w:hAnsi="Arial"/>
          <w:sz w:val="20"/>
          <w:szCs w:val="20"/>
          <w:color w:val="auto"/>
        </w:rPr>
      </w:pPr>
    </w:p>
    <w:p>
      <w:pPr>
        <w:ind w:left="800" w:hanging="300"/>
        <w:spacing w:after="0"/>
        <w:tabs>
          <w:tab w:leader="none" w:pos="8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Reinforce business strategies and objectives and drive sustained shareholder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438150</wp:posOffset>
                </wp:positionV>
                <wp:extent cx="6400800" cy="17780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398" o:spid="_x0000_s1423" style="position:absolute;margin-left:0pt;margin-top:34.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438150</wp:posOffset>
                </wp:positionV>
                <wp:extent cx="0" cy="17780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34.5pt" to="0.75pt,4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447675</wp:posOffset>
                </wp:positionV>
                <wp:extent cx="640080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25pt" to="504pt,35.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438150</wp:posOffset>
                </wp:positionV>
                <wp:extent cx="0" cy="17780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34.5pt" to="503.25pt,4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606425</wp:posOffset>
                </wp:positionV>
                <wp:extent cx="640080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75pt" to="504pt,47.75pt" o:allowincell="f" strokecolor="#000000" strokeweight="1.5pt"/>
            </w:pict>
          </mc:Fallback>
        </mc:AlternateContent>
      </w:r>
    </w:p>
    <w:p>
      <w:pPr>
        <w:sectPr>
          <w:pgSz w:w="11880" w:h="15480" w:orient="portrait"/>
          <w:cols w:equalWidth="0" w:num="1">
            <w:col w:w="10080"/>
          </w:cols>
          <w:pgMar w:left="900" w:top="1324"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20</w:t>
      </w:r>
    </w:p>
    <w:p>
      <w:pPr>
        <w:sectPr>
          <w:pgSz w:w="11880" w:h="15480" w:orient="portrait"/>
          <w:cols w:equalWidth="0" w:num="1">
            <w:col w:w="10080"/>
          </w:cols>
          <w:pgMar w:left="900" w:top="1324" w:right="900" w:bottom="764" w:gutter="0" w:footer="0" w:header="0"/>
          <w:type w:val="continuous"/>
        </w:sectPr>
      </w:pPr>
    </w:p>
    <w:bookmarkStart w:id="140" w:name="page141"/>
    <w:bookmarkEnd w:id="140"/>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EXECUTIVE COMPENSATION PRACTICES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key governance elements related to our compensation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86360</wp:posOffset>
                </wp:positionV>
                <wp:extent cx="6400800" cy="27940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79400"/>
                        </a:xfrm>
                        <a:prstGeom prst="rect">
                          <a:avLst/>
                        </a:prstGeom>
                        <a:solidFill>
                          <a:srgbClr val="FB1717"/>
                        </a:solidFill>
                      </wps:spPr>
                      <wps:bodyPr/>
                    </wps:wsp>
                  </a:graphicData>
                </a:graphic>
              </wp:anchor>
            </w:drawing>
          </mc:Choice>
          <mc:Fallback>
            <w:pict>
              <v:rect id="Shape 403" o:spid="_x0000_s1428" style="position:absolute;margin-left:0pt;margin-top:6.8pt;width:504pt;height: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mc:AlternateContent>
          <mc:Choice Requires="wps">
            <w:drawing>
              <wp:anchor simplePos="0" relativeHeight="251657728" behindDoc="1" locked="0" layoutInCell="0" allowOverlap="1">
                <wp:simplePos x="0" y="0"/>
                <wp:positionH relativeFrom="column">
                  <wp:posOffset>3387725</wp:posOffset>
                </wp:positionH>
                <wp:positionV relativeFrom="paragraph">
                  <wp:posOffset>89535</wp:posOffset>
                </wp:positionV>
                <wp:extent cx="0" cy="291719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1719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75pt,7.05pt" to="266.75pt,236.75pt" o:allowincell="f" strokecolor="#000000" strokeweight="0.5pt"/>
            </w:pict>
          </mc:Fallback>
        </mc:AlternateContent>
      </w:r>
    </w:p>
    <w:p>
      <w:pPr>
        <w:sectPr>
          <w:pgSz w:w="11880" w:h="15480" w:orient="portrait"/>
          <w:cols w:equalWidth="0" w:num="1">
            <w:col w:w="10080"/>
          </w:cols>
          <w:pgMar w:left="900" w:top="1272" w:right="900" w:bottom="764" w:gutter="0" w:footer="0" w:header="0"/>
        </w:sectPr>
      </w:pP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137160</wp:posOffset>
            </wp:positionV>
            <wp:extent cx="222885" cy="2120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9">
                      <a:extLst>
                        <a:ext uri="{28A0092B-C50C-407E-A947-70E740481C1C}"/>
                      </a:extLst>
                    </a:blip>
                    <a:srcRect/>
                    <a:stretch>
                      <a:fillRect/>
                    </a:stretch>
                  </pic:blipFill>
                  <pic:spPr bwMode="auto">
                    <a:xfrm>
                      <a:off x="0" y="0"/>
                      <a:ext cx="222885" cy="2120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137160</wp:posOffset>
            </wp:positionV>
            <wp:extent cx="222885" cy="2120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70">
                      <a:extLst>
                        <a:ext uri="{28A0092B-C50C-407E-A947-70E740481C1C}"/>
                      </a:extLst>
                    </a:blip>
                    <a:srcRect/>
                    <a:stretch>
                      <a:fillRect/>
                    </a:stretch>
                  </pic:blipFill>
                  <pic:spPr bwMode="auto">
                    <a:xfrm>
                      <a:off x="0" y="0"/>
                      <a:ext cx="222885" cy="212090"/>
                    </a:xfrm>
                    <a:prstGeom prst="rect">
                      <a:avLst/>
                    </a:prstGeom>
                    <a:noFill/>
                  </pic:spPr>
                </pic:pic>
              </a:graphicData>
            </a:graphic>
          </wp:anchor>
        </w:drawing>
      </w:r>
    </w:p>
    <w:p>
      <w:pPr>
        <w:spacing w:after="0" w:line="222" w:lineRule="exact"/>
        <w:rPr>
          <w:sz w:val="20"/>
          <w:szCs w:val="20"/>
          <w:color w:val="auto"/>
        </w:rPr>
      </w:pPr>
    </w:p>
    <w:p>
      <w:pPr>
        <w:ind w:left="640" w:right="1140"/>
        <w:spacing w:after="0" w:line="235" w:lineRule="auto"/>
        <w:rPr>
          <w:sz w:val="20"/>
          <w:szCs w:val="20"/>
          <w:color w:val="auto"/>
        </w:rPr>
      </w:pPr>
      <w:r>
        <w:rPr>
          <w:rFonts w:ascii="Arial" w:cs="Arial" w:eastAsia="Arial" w:hAnsi="Arial"/>
          <w:sz w:val="20"/>
          <w:szCs w:val="20"/>
          <w:color w:val="auto"/>
        </w:rPr>
        <w:t>Maintain a pay mix that is heavily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36195</wp:posOffset>
            </wp:positionV>
            <wp:extent cx="280035" cy="2578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71">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36195</wp:posOffset>
            </wp:positionV>
            <wp:extent cx="280035" cy="2578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72">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106" w:lineRule="exact"/>
        <w:rPr>
          <w:sz w:val="20"/>
          <w:szCs w:val="20"/>
          <w:color w:val="auto"/>
        </w:rPr>
      </w:pPr>
    </w:p>
    <w:p>
      <w:pPr>
        <w:ind w:left="640" w:right="660"/>
        <w:spacing w:after="0" w:line="235" w:lineRule="auto"/>
        <w:rPr>
          <w:sz w:val="20"/>
          <w:szCs w:val="20"/>
          <w:color w:val="auto"/>
        </w:rPr>
      </w:pPr>
      <w:r>
        <w:rPr>
          <w:rFonts w:ascii="Arial" w:cs="Arial" w:eastAsia="Arial" w:hAnsi="Arial"/>
          <w:sz w:val="20"/>
          <w:szCs w:val="20"/>
          <w:color w:val="auto"/>
        </w:rPr>
        <w:t>Align compensation with company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112395</wp:posOffset>
            </wp:positionV>
            <wp:extent cx="280035" cy="2578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73">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112395</wp:posOffset>
            </wp:positionV>
            <wp:extent cx="280035" cy="2578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74">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226" w:lineRule="exact"/>
        <w:rPr>
          <w:sz w:val="20"/>
          <w:szCs w:val="20"/>
          <w:color w:val="auto"/>
        </w:rPr>
      </w:pPr>
    </w:p>
    <w:p>
      <w:pPr>
        <w:ind w:left="640" w:right="20"/>
        <w:spacing w:after="0" w:line="235" w:lineRule="auto"/>
        <w:rPr>
          <w:sz w:val="20"/>
          <w:szCs w:val="20"/>
          <w:color w:val="auto"/>
        </w:rPr>
      </w:pPr>
      <w:r>
        <w:rPr>
          <w:rFonts w:ascii="Arial" w:cs="Arial" w:eastAsia="Arial" w:hAnsi="Arial"/>
          <w:sz w:val="20"/>
          <w:szCs w:val="20"/>
          <w:color w:val="auto"/>
        </w:rPr>
        <w:t>Seek annual shareholder advisory approval of executive compensation</w:t>
      </w:r>
    </w:p>
    <w:p>
      <w:pPr>
        <w:spacing w:after="0" w:line="246" w:lineRule="exact"/>
        <w:rPr>
          <w:sz w:val="20"/>
          <w:szCs w:val="20"/>
          <w:color w:val="auto"/>
        </w:rPr>
      </w:pPr>
    </w:p>
    <w:p>
      <w:pPr>
        <w:ind w:left="640" w:right="40"/>
        <w:spacing w:after="0" w:line="236" w:lineRule="auto"/>
        <w:rPr>
          <w:sz w:val="20"/>
          <w:szCs w:val="20"/>
          <w:color w:val="auto"/>
        </w:rPr>
      </w:pPr>
      <w:r>
        <w:rPr>
          <w:rFonts w:ascii="Arial" w:cs="Arial" w:eastAsia="Arial" w:hAnsi="Arial"/>
          <w:sz w:val="20"/>
          <w:szCs w:val="20"/>
          <w:color w:val="auto"/>
        </w:rPr>
        <w:t>Maintain strong stock ownership guidelines of 7x base salary for our CEO and 2.5x base salary plus annual bonus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-401320</wp:posOffset>
            </wp:positionV>
            <wp:extent cx="280035" cy="2578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75">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-401320</wp:posOffset>
            </wp:positionV>
            <wp:extent cx="280035" cy="2578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76">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112395</wp:posOffset>
            </wp:positionV>
            <wp:extent cx="280035" cy="2578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77">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112395</wp:posOffset>
            </wp:positionV>
            <wp:extent cx="280035" cy="2578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78">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226" w:lineRule="exact"/>
        <w:rPr>
          <w:sz w:val="20"/>
          <w:szCs w:val="20"/>
          <w:color w:val="auto"/>
        </w:rPr>
      </w:pPr>
    </w:p>
    <w:p>
      <w:pPr>
        <w:ind w:left="640" w:right="300"/>
        <w:spacing w:after="0" w:line="236" w:lineRule="auto"/>
        <w:rPr>
          <w:sz w:val="20"/>
          <w:szCs w:val="20"/>
          <w:color w:val="auto"/>
        </w:rPr>
      </w:pPr>
      <w:r>
        <w:rPr>
          <w:rFonts w:ascii="Arial" w:cs="Arial" w:eastAsia="Arial" w:hAnsi="Arial"/>
          <w:sz w:val="20"/>
          <w:szCs w:val="20"/>
          <w:color w:val="auto"/>
        </w:rPr>
        <w:t>Maintain incentive 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138430</wp:posOffset>
            </wp:positionV>
            <wp:extent cx="222885" cy="2120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79">
                      <a:extLst>
                        <a:ext uri="{28A0092B-C50C-407E-A947-70E740481C1C}"/>
                      </a:extLst>
                    </a:blip>
                    <a:srcRect/>
                    <a:stretch>
                      <a:fillRect/>
                    </a:stretch>
                  </pic:blipFill>
                  <pic:spPr bwMode="auto">
                    <a:xfrm>
                      <a:off x="0" y="0"/>
                      <a:ext cx="222885" cy="2120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138430</wp:posOffset>
            </wp:positionV>
            <wp:extent cx="222885" cy="2120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80">
                      <a:extLst>
                        <a:ext uri="{28A0092B-C50C-407E-A947-70E740481C1C}"/>
                      </a:extLst>
                    </a:blip>
                    <a:srcRect/>
                    <a:stretch>
                      <a:fillRect/>
                    </a:stretch>
                  </pic:blipFill>
                  <pic:spPr bwMode="auto">
                    <a:xfrm>
                      <a:off x="0" y="0"/>
                      <a:ext cx="222885" cy="212090"/>
                    </a:xfrm>
                    <a:prstGeom prst="rect">
                      <a:avLst/>
                    </a:prstGeom>
                    <a:noFill/>
                  </pic:spPr>
                </pic:pic>
              </a:graphicData>
            </a:graphic>
          </wp:anchor>
        </w:drawing>
      </w:r>
    </w:p>
    <w:p>
      <w:pPr>
        <w:spacing w:after="0" w:line="224" w:lineRule="exact"/>
        <w:rPr>
          <w:sz w:val="20"/>
          <w:szCs w:val="20"/>
          <w:color w:val="auto"/>
        </w:rPr>
      </w:pPr>
    </w:p>
    <w:p>
      <w:pPr>
        <w:ind w:left="640" w:right="1020"/>
        <w:spacing w:after="0" w:line="236" w:lineRule="auto"/>
        <w:rPr>
          <w:sz w:val="20"/>
          <w:szCs w:val="20"/>
          <w:color w:val="auto"/>
        </w:rPr>
      </w:pPr>
      <w:r>
        <w:rPr>
          <w:rFonts w:ascii="Arial" w:cs="Arial" w:eastAsia="Arial" w:hAnsi="Arial"/>
          <w:sz w:val="20"/>
          <w:szCs w:val="20"/>
          <w:color w:val="auto"/>
        </w:rPr>
        <w:t>Conduct annual compensation risk assessment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212090" cy="2120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81">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222" w:lineRule="exact"/>
        <w:rPr>
          <w:sz w:val="20"/>
          <w:szCs w:val="20"/>
          <w:color w:val="auto"/>
        </w:rPr>
      </w:pPr>
    </w:p>
    <w:p>
      <w:pPr>
        <w:ind w:left="540" w:right="40"/>
        <w:spacing w:after="0" w:line="256" w:lineRule="auto"/>
        <w:rPr>
          <w:sz w:val="20"/>
          <w:szCs w:val="20"/>
          <w:color w:val="auto"/>
        </w:rPr>
      </w:pPr>
      <w:r>
        <w:rPr>
          <w:rFonts w:ascii="Arial" w:cs="Arial" w:eastAsia="Arial" w:hAnsi="Arial"/>
          <w:sz w:val="19"/>
          <w:szCs w:val="19"/>
          <w:color w:val="auto"/>
        </w:rPr>
        <w:t>Have employment agreements with our NEOs with required fixed compensation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53340</wp:posOffset>
            </wp:positionV>
            <wp:extent cx="212090" cy="2120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82">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90" w:lineRule="exact"/>
        <w:rPr>
          <w:sz w:val="20"/>
          <w:szCs w:val="20"/>
          <w:color w:val="auto"/>
        </w:rPr>
      </w:pPr>
    </w:p>
    <w:p>
      <w:pPr>
        <w:ind w:left="540" w:right="560"/>
        <w:spacing w:after="0" w:line="235" w:lineRule="auto"/>
        <w:rPr>
          <w:sz w:val="20"/>
          <w:szCs w:val="20"/>
          <w:color w:val="auto"/>
        </w:rPr>
      </w:pPr>
      <w:r>
        <w:rPr>
          <w:rFonts w:ascii="Arial" w:cs="Arial" w:eastAsia="Arial" w:hAnsi="Arial"/>
          <w:sz w:val="20"/>
          <w:szCs w:val="20"/>
          <w:color w:val="auto"/>
        </w:rPr>
        <w:t>Grant options below fair market value or reprice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139065</wp:posOffset>
            </wp:positionV>
            <wp:extent cx="212090" cy="2120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83">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33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Permit hedging or pledging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281940</wp:posOffset>
            </wp:positionV>
            <wp:extent cx="212090" cy="2120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84">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40" w:right="780"/>
        <w:spacing w:after="0" w:line="256" w:lineRule="auto"/>
        <w:rPr>
          <w:sz w:val="20"/>
          <w:szCs w:val="20"/>
          <w:color w:val="auto"/>
        </w:rPr>
      </w:pPr>
      <w:r>
        <w:rPr>
          <w:rFonts w:ascii="Arial" w:cs="Arial" w:eastAsia="Arial" w:hAnsi="Arial"/>
          <w:sz w:val="19"/>
          <w:szCs w:val="19"/>
          <w:color w:val="auto"/>
        </w:rPr>
        <w:t>Provide perquisites that are not made available to all of our employees</w:t>
      </w:r>
    </w:p>
    <w:p>
      <w:pPr>
        <w:spacing w:after="0" w:line="1692" w:lineRule="exact"/>
        <w:rPr>
          <w:sz w:val="20"/>
          <w:szCs w:val="20"/>
          <w:color w:val="auto"/>
        </w:rPr>
      </w:pPr>
    </w:p>
    <w:p>
      <w:pPr>
        <w:sectPr>
          <w:pgSz w:w="11880" w:h="15480" w:orient="portrait"/>
          <w:cols w:equalWidth="0" w:num="2">
            <w:col w:w="4720" w:space="720"/>
            <w:col w:w="4640"/>
          </w:cols>
          <w:pgMar w:left="900" w:top="1272" w:right="900" w:bottom="764" w:gutter="0" w:footer="0" w:header="0"/>
          <w:type w:val="continuous"/>
        </w:sectPr>
      </w:pPr>
    </w:p>
    <w:p>
      <w:pPr>
        <w:spacing w:after="0" w:line="6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COMPONENTS OF COMPENSATION</w:t>
      </w:r>
    </w:p>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following table sets out the three components of our compensation plan as well as key information about each component.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79375</wp:posOffset>
                </wp:positionV>
                <wp:extent cx="6400800" cy="16510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65100"/>
                        </a:xfrm>
                        <a:prstGeom prst="rect">
                          <a:avLst/>
                        </a:prstGeom>
                        <a:solidFill>
                          <a:srgbClr val="E6E6E6"/>
                        </a:solidFill>
                      </wps:spPr>
                      <wps:bodyPr/>
                    </wps:wsp>
                  </a:graphicData>
                </a:graphic>
              </wp:anchor>
            </w:drawing>
          </mc:Choice>
          <mc:Fallback>
            <w:pict>
              <v:rect id="Shape 421" o:spid="_x0000_s1446" style="position:absolute;margin-left:0pt;margin-top:6.25pt;width:504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82550</wp:posOffset>
                </wp:positionV>
                <wp:extent cx="640715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6.5pt" to="504.25pt,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241300</wp:posOffset>
                </wp:positionV>
                <wp:extent cx="640715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9pt" to="504.25pt,1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79375</wp:posOffset>
                </wp:positionV>
                <wp:extent cx="0" cy="16510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pt" to="0pt,19.2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6400800</wp:posOffset>
                </wp:positionH>
                <wp:positionV relativeFrom="paragraph">
                  <wp:posOffset>79375</wp:posOffset>
                </wp:positionV>
                <wp:extent cx="0" cy="16510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6.25pt" to="504pt,19.25pt" o:allowincell="f" strokecolor="#000000" strokeweight="0.5pt"/>
            </w:pict>
          </mc:Fallback>
        </mc:AlternateContent>
      </w:r>
    </w:p>
    <w:p>
      <w:pPr>
        <w:sectPr>
          <w:pgSz w:w="11880" w:h="15480" w:orient="portrait"/>
          <w:cols w:equalWidth="0" w:num="1">
            <w:col w:w="10080"/>
          </w:cols>
          <w:pgMar w:left="900" w:top="1272"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5" w:type="dxa"/>
        <w:tblCellMar>
          <w:top w:w="0" w:type="dxa"/>
          <w:left w:w="0" w:type="dxa"/>
          <w:bottom w:w="0" w:type="dxa"/>
          <w:right w:w="0" w:type="dxa"/>
        </w:tblCellMar>
      </w:tblPr>
      <w:tr>
        <w:trPr>
          <w:trHeight w:val="2980"/>
        </w:trPr>
        <w:tc>
          <w:tcPr>
            <w:tcW w:w="207" w:type="dxa"/>
            <w:vAlign w:val="bottom"/>
            <w:textDirection w:val="btLr"/>
          </w:tcPr>
          <w:p>
            <w:pPr>
              <w:spacing w:after="0"/>
              <w:rPr>
                <w:sz w:val="20"/>
                <w:szCs w:val="20"/>
                <w:color w:val="auto"/>
              </w:rPr>
            </w:pPr>
            <w:r>
              <w:rPr>
                <w:rFonts w:ascii="Arial" w:cs="Arial" w:eastAsia="Arial" w:hAnsi="Arial"/>
                <w:sz w:val="18"/>
                <w:szCs w:val="18"/>
                <w:color w:val="FFFFFF"/>
              </w:rPr>
              <w:t>Long-Term      Annual / Short-Term</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-2120900</wp:posOffset>
                </wp:positionV>
                <wp:extent cx="190500" cy="150368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503680"/>
                        </a:xfrm>
                        <a:prstGeom prst="rect">
                          <a:avLst/>
                        </a:prstGeom>
                        <a:solidFill>
                          <a:srgbClr val="000000"/>
                        </a:solidFill>
                      </wps:spPr>
                      <wps:bodyPr/>
                    </wps:wsp>
                  </a:graphicData>
                </a:graphic>
              </wp:anchor>
            </w:drawing>
          </mc:Choice>
          <mc:Fallback>
            <w:pict>
              <v:rect id="Shape 426" o:spid="_x0000_s1451" style="position:absolute;margin-left:0pt;margin-top:-167pt;width:15pt;height:1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-617220</wp:posOffset>
                </wp:positionV>
                <wp:extent cx="190500" cy="678815"/>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678815"/>
                        </a:xfrm>
                        <a:prstGeom prst="rect">
                          <a:avLst/>
                        </a:prstGeom>
                        <a:solidFill>
                          <a:srgbClr val="FB1717"/>
                        </a:solidFill>
                      </wps:spPr>
                      <wps:bodyPr/>
                    </wps:wsp>
                  </a:graphicData>
                </a:graphic>
              </wp:anchor>
            </w:drawing>
          </mc:Choice>
          <mc:Fallback>
            <w:pict>
              <v:rect id="Shape 427" o:spid="_x0000_s1452" style="position:absolute;margin-left:0pt;margin-top:-48.5999pt;width:15pt;height:5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60"/>
              <w:spacing w:after="0"/>
              <w:rPr>
                <w:sz w:val="20"/>
                <w:szCs w:val="20"/>
                <w:color w:val="auto"/>
              </w:rPr>
            </w:pPr>
            <w:r>
              <w:rPr>
                <w:rFonts w:ascii="Arial" w:cs="Arial" w:eastAsia="Arial" w:hAnsi="Arial"/>
                <w:sz w:val="18"/>
                <w:szCs w:val="18"/>
                <w:b w:val="1"/>
                <w:bCs w:val="1"/>
                <w:color w:val="auto"/>
              </w:rPr>
              <w:t>Pay Component</w:t>
            </w:r>
          </w:p>
        </w:tc>
        <w:tc>
          <w:tcPr>
            <w:tcW w:w="700" w:type="dxa"/>
            <w:vAlign w:val="bottom"/>
            <w:gridSpan w:val="2"/>
          </w:tcPr>
          <w:p>
            <w:pPr>
              <w:ind w:left="100"/>
              <w:spacing w:after="0"/>
              <w:rPr>
                <w:sz w:val="20"/>
                <w:szCs w:val="20"/>
                <w:color w:val="auto"/>
              </w:rPr>
            </w:pPr>
            <w:r>
              <w:rPr>
                <w:rFonts w:ascii="Arial" w:cs="Arial" w:eastAsia="Arial" w:hAnsi="Arial"/>
                <w:sz w:val="18"/>
                <w:szCs w:val="18"/>
                <w:b w:val="1"/>
                <w:bCs w:val="1"/>
                <w:color w:val="auto"/>
              </w:rPr>
              <w:t>Time</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Metric</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Purpose</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Impact</w:t>
            </w:r>
          </w:p>
        </w:tc>
      </w:tr>
      <w:tr>
        <w:trPr>
          <w:trHeight w:val="239"/>
        </w:trPr>
        <w:tc>
          <w:tcPr>
            <w:tcW w:w="1800" w:type="dxa"/>
            <w:vAlign w:val="bottom"/>
          </w:tcPr>
          <w:p>
            <w:pPr>
              <w:ind w:left="60"/>
              <w:spacing w:after="0"/>
              <w:rPr>
                <w:sz w:val="20"/>
                <w:szCs w:val="20"/>
                <w:color w:val="auto"/>
              </w:rPr>
            </w:pPr>
            <w:r>
              <w:rPr>
                <w:rFonts w:ascii="Arial" w:cs="Arial" w:eastAsia="Arial" w:hAnsi="Arial"/>
                <w:sz w:val="18"/>
                <w:szCs w:val="18"/>
                <w:b w:val="1"/>
                <w:bCs w:val="1"/>
                <w:color w:val="auto"/>
              </w:rPr>
              <w:t>Base Pay</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 year</w:t>
            </w:r>
          </w:p>
        </w:tc>
        <w:tc>
          <w:tcPr>
            <w:tcW w:w="2440" w:type="dxa"/>
            <w:vAlign w:val="bottom"/>
          </w:tcPr>
          <w:p>
            <w:pPr>
              <w:ind w:left="100"/>
              <w:spacing w:after="0"/>
              <w:rPr>
                <w:sz w:val="20"/>
                <w:szCs w:val="20"/>
                <w:color w:val="auto"/>
              </w:rPr>
            </w:pPr>
            <w:r>
              <w:rPr>
                <w:rFonts w:ascii="Arial" w:cs="Arial" w:eastAsia="Arial" w:hAnsi="Arial"/>
                <w:sz w:val="18"/>
                <w:szCs w:val="18"/>
                <w:color w:val="auto"/>
              </w:rPr>
              <w:t>Individual performance</w:t>
            </w:r>
          </w:p>
        </w:tc>
        <w:tc>
          <w:tcPr>
            <w:tcW w:w="2440" w:type="dxa"/>
            <w:vAlign w:val="bottom"/>
          </w:tcPr>
          <w:p>
            <w:pPr>
              <w:ind w:left="100"/>
              <w:spacing w:after="0"/>
              <w:rPr>
                <w:sz w:val="20"/>
                <w:szCs w:val="20"/>
                <w:color w:val="auto"/>
              </w:rPr>
            </w:pPr>
            <w:r>
              <w:rPr>
                <w:rFonts w:ascii="Arial" w:cs="Arial" w:eastAsia="Arial" w:hAnsi="Arial"/>
                <w:sz w:val="18"/>
                <w:szCs w:val="18"/>
                <w:color w:val="auto"/>
              </w:rPr>
              <w:t>To provide fair and</w:t>
            </w:r>
          </w:p>
        </w:tc>
        <w:tc>
          <w:tcPr>
            <w:tcW w:w="2100" w:type="dxa"/>
            <w:vAlign w:val="bottom"/>
          </w:tcPr>
          <w:p>
            <w:pPr>
              <w:ind w:left="100"/>
              <w:spacing w:after="0"/>
              <w:rPr>
                <w:sz w:val="20"/>
                <w:szCs w:val="20"/>
                <w:color w:val="auto"/>
              </w:rPr>
            </w:pPr>
            <w:r>
              <w:rPr>
                <w:rFonts w:ascii="Arial" w:cs="Arial" w:eastAsia="Arial" w:hAnsi="Arial"/>
                <w:sz w:val="18"/>
                <w:szCs w:val="18"/>
                <w:color w:val="auto"/>
              </w:rPr>
              <w:t>Attract and retain talent</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auto"/>
              </w:rPr>
              <w:t>See p. 23 for more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w w:val="99"/>
              </w:rPr>
              <w:t>competitive compensation for</w:t>
            </w:r>
          </w:p>
        </w:tc>
        <w:tc>
          <w:tcPr>
            <w:tcW w:w="2100" w:type="dxa"/>
            <w:vAlign w:val="bottom"/>
          </w:tcPr>
          <w:p>
            <w:pPr>
              <w:spacing w:after="0"/>
              <w:rPr>
                <w:sz w:val="16"/>
                <w:szCs w:val="16"/>
                <w:color w:val="auto"/>
              </w:rPr>
            </w:pP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auto"/>
              </w:rPr>
              <w:t>information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individual performance and</w:t>
            </w:r>
          </w:p>
        </w:tc>
        <w:tc>
          <w:tcPr>
            <w:tcW w:w="2100" w:type="dxa"/>
            <w:vAlign w:val="bottom"/>
          </w:tcPr>
          <w:p>
            <w:pPr>
              <w:spacing w:after="0"/>
              <w:rPr>
                <w:sz w:val="16"/>
                <w:szCs w:val="16"/>
                <w:color w:val="auto"/>
              </w:rPr>
            </w:pP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level of responsibility of</w:t>
            </w:r>
          </w:p>
        </w:tc>
        <w:tc>
          <w:tcPr>
            <w:tcW w:w="2100" w:type="dxa"/>
            <w:vAlign w:val="bottom"/>
          </w:tcPr>
          <w:p>
            <w:pPr>
              <w:spacing w:after="0"/>
              <w:rPr>
                <w:sz w:val="16"/>
                <w:szCs w:val="16"/>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auto"/>
              </w:rPr>
              <w:t>position held</w:t>
            </w:r>
          </w:p>
        </w:tc>
        <w:tc>
          <w:tcPr>
            <w:tcW w:w="2100" w:type="dxa"/>
            <w:vAlign w:val="bottom"/>
          </w:tcPr>
          <w:p>
            <w:pPr>
              <w:spacing w:after="0"/>
              <w:rPr>
                <w:sz w:val="17"/>
                <w:szCs w:val="17"/>
                <w:color w:val="auto"/>
              </w:rPr>
            </w:pPr>
          </w:p>
        </w:tc>
      </w:tr>
      <w:tr>
        <w:trPr>
          <w:trHeight w:val="335"/>
        </w:trPr>
        <w:tc>
          <w:tcPr>
            <w:tcW w:w="1800" w:type="dxa"/>
            <w:vAlign w:val="bottom"/>
          </w:tcPr>
          <w:p>
            <w:pPr>
              <w:ind w:left="60"/>
              <w:spacing w:after="0"/>
              <w:rPr>
                <w:sz w:val="20"/>
                <w:szCs w:val="20"/>
                <w:color w:val="auto"/>
              </w:rPr>
            </w:pPr>
            <w:r>
              <w:rPr>
                <w:rFonts w:ascii="Arial" w:cs="Arial" w:eastAsia="Arial" w:hAnsi="Arial"/>
                <w:sz w:val="18"/>
                <w:szCs w:val="18"/>
                <w:b w:val="1"/>
                <w:bCs w:val="1"/>
                <w:color w:val="auto"/>
              </w:rPr>
              <w:t>Annual</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 year</w:t>
            </w:r>
          </w:p>
        </w:tc>
        <w:tc>
          <w:tcPr>
            <w:tcW w:w="2440" w:type="dxa"/>
            <w:vAlign w:val="bottom"/>
          </w:tcPr>
          <w:p>
            <w:pPr>
              <w:ind w:left="100"/>
              <w:spacing w:after="0"/>
              <w:rPr>
                <w:sz w:val="20"/>
                <w:szCs w:val="20"/>
                <w:color w:val="auto"/>
              </w:rPr>
            </w:pPr>
            <w:r>
              <w:rPr>
                <w:rFonts w:ascii="Arial" w:cs="Arial" w:eastAsia="Arial" w:hAnsi="Arial"/>
                <w:sz w:val="18"/>
                <w:szCs w:val="18"/>
                <w:color w:val="auto"/>
              </w:rPr>
              <w:t>FFO per share</w:t>
            </w:r>
          </w:p>
        </w:tc>
        <w:tc>
          <w:tcPr>
            <w:tcW w:w="2440" w:type="dxa"/>
            <w:vAlign w:val="bottom"/>
          </w:tcPr>
          <w:p>
            <w:pPr>
              <w:ind w:left="100"/>
              <w:spacing w:after="0"/>
              <w:rPr>
                <w:sz w:val="20"/>
                <w:szCs w:val="20"/>
                <w:color w:val="auto"/>
              </w:rPr>
            </w:pPr>
            <w:r>
              <w:rPr>
                <w:rFonts w:ascii="Arial" w:cs="Arial" w:eastAsia="Arial" w:hAnsi="Arial"/>
                <w:sz w:val="18"/>
                <w:szCs w:val="18"/>
                <w:color w:val="auto"/>
              </w:rPr>
              <w:t>To provide performance</w:t>
            </w:r>
          </w:p>
        </w:tc>
        <w:tc>
          <w:tcPr>
            <w:tcW w:w="2100" w:type="dxa"/>
            <w:vAlign w:val="bottom"/>
          </w:tcPr>
          <w:p>
            <w:pPr>
              <w:ind w:left="100"/>
              <w:spacing w:after="0"/>
              <w:rPr>
                <w:sz w:val="20"/>
                <w:szCs w:val="20"/>
                <w:color w:val="auto"/>
              </w:rPr>
            </w:pPr>
            <w:r>
              <w:rPr>
                <w:rFonts w:ascii="Arial" w:cs="Arial" w:eastAsia="Arial" w:hAnsi="Arial"/>
                <w:sz w:val="18"/>
                <w:szCs w:val="18"/>
                <w:color w:val="auto"/>
              </w:rPr>
              <w:t>Drive near-term</w:t>
            </w:r>
          </w:p>
        </w:tc>
      </w:tr>
      <w:tr>
        <w:trPr>
          <w:trHeight w:val="192"/>
        </w:trPr>
        <w:tc>
          <w:tcPr>
            <w:tcW w:w="1800" w:type="dxa"/>
            <w:vAlign w:val="bottom"/>
          </w:tcPr>
          <w:p>
            <w:pPr>
              <w:ind w:left="60"/>
              <w:spacing w:after="0" w:line="192" w:lineRule="exact"/>
              <w:rPr>
                <w:sz w:val="20"/>
                <w:szCs w:val="20"/>
                <w:color w:val="auto"/>
              </w:rPr>
            </w:pPr>
            <w:r>
              <w:rPr>
                <w:rFonts w:ascii="Arial" w:cs="Arial" w:eastAsia="Arial" w:hAnsi="Arial"/>
                <w:sz w:val="18"/>
                <w:szCs w:val="18"/>
                <w:b w:val="1"/>
                <w:bCs w:val="1"/>
                <w:color w:val="auto"/>
              </w:rPr>
              <w:t>Performance Bonus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2" w:lineRule="exact"/>
              <w:rPr>
                <w:sz w:val="20"/>
                <w:szCs w:val="20"/>
                <w:color w:val="auto"/>
              </w:rPr>
            </w:pPr>
            <w:r>
              <w:rPr>
                <w:rFonts w:ascii="Arial" w:cs="Arial" w:eastAsia="Arial" w:hAnsi="Arial"/>
                <w:sz w:val="18"/>
                <w:szCs w:val="18"/>
                <w:color w:val="auto"/>
              </w:rPr>
              <w:t>Individual performance</w:t>
            </w:r>
          </w:p>
        </w:tc>
        <w:tc>
          <w:tcPr>
            <w:tcW w:w="2440" w:type="dxa"/>
            <w:vAlign w:val="bottom"/>
          </w:tcPr>
          <w:p>
            <w:pPr>
              <w:ind w:left="100"/>
              <w:spacing w:after="0" w:line="192" w:lineRule="exact"/>
              <w:rPr>
                <w:sz w:val="20"/>
                <w:szCs w:val="20"/>
                <w:color w:val="auto"/>
              </w:rPr>
            </w:pPr>
            <w:r>
              <w:rPr>
                <w:rFonts w:ascii="Arial" w:cs="Arial" w:eastAsia="Arial" w:hAnsi="Arial"/>
                <w:sz w:val="18"/>
                <w:szCs w:val="18"/>
                <w:color w:val="auto"/>
                <w:w w:val="99"/>
              </w:rPr>
              <w:t>based annual cash awards to</w:t>
            </w:r>
          </w:p>
        </w:tc>
        <w:tc>
          <w:tcPr>
            <w:tcW w:w="2100" w:type="dxa"/>
            <w:vAlign w:val="bottom"/>
          </w:tcPr>
          <w:p>
            <w:pPr>
              <w:ind w:left="100"/>
              <w:spacing w:after="0" w:line="192" w:lineRule="exact"/>
              <w:rPr>
                <w:sz w:val="20"/>
                <w:szCs w:val="20"/>
                <w:color w:val="auto"/>
              </w:rPr>
            </w:pPr>
            <w:r>
              <w:rPr>
                <w:rFonts w:ascii="Arial" w:cs="Arial" w:eastAsia="Arial" w:hAnsi="Arial"/>
                <w:sz w:val="18"/>
                <w:szCs w:val="18"/>
                <w:color w:val="auto"/>
              </w:rPr>
              <w:t>corporate and individual</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auto"/>
              </w:rPr>
              <w:t>See p. 23 for more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motivate and reward</w:t>
            </w:r>
          </w:p>
        </w:tc>
        <w:tc>
          <w:tcPr>
            <w:tcW w:w="2100" w:type="dxa"/>
            <w:vAlign w:val="bottom"/>
          </w:tcPr>
          <w:p>
            <w:pPr>
              <w:ind w:left="100"/>
              <w:spacing w:after="0" w:line="190" w:lineRule="exact"/>
              <w:rPr>
                <w:sz w:val="20"/>
                <w:szCs w:val="20"/>
                <w:color w:val="auto"/>
              </w:rPr>
            </w:pPr>
            <w:r>
              <w:rPr>
                <w:rFonts w:ascii="Arial" w:cs="Arial" w:eastAsia="Arial" w:hAnsi="Arial"/>
                <w:sz w:val="18"/>
                <w:szCs w:val="18"/>
                <w:color w:val="auto"/>
              </w:rPr>
              <w:t>performance goals</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auto"/>
              </w:rPr>
              <w:t>information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employees for achieving our</w:t>
            </w:r>
          </w:p>
        </w:tc>
        <w:tc>
          <w:tcPr>
            <w:tcW w:w="2100" w:type="dxa"/>
            <w:vAlign w:val="bottom"/>
          </w:tcPr>
          <w:p>
            <w:pPr>
              <w:spacing w:after="0"/>
              <w:rPr>
                <w:sz w:val="16"/>
                <w:szCs w:val="16"/>
                <w:color w:val="auto"/>
              </w:rPr>
            </w:pP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short-term business</w:t>
            </w:r>
          </w:p>
        </w:tc>
        <w:tc>
          <w:tcPr>
            <w:tcW w:w="2100" w:type="dxa"/>
            <w:vAlign w:val="bottom"/>
          </w:tcPr>
          <w:p>
            <w:pPr>
              <w:spacing w:after="0"/>
              <w:rPr>
                <w:sz w:val="16"/>
                <w:szCs w:val="16"/>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auto"/>
              </w:rPr>
              <w:t>objectives</w:t>
            </w:r>
          </w:p>
        </w:tc>
        <w:tc>
          <w:tcPr>
            <w:tcW w:w="2100" w:type="dxa"/>
            <w:vAlign w:val="bottom"/>
          </w:tcPr>
          <w:p>
            <w:pPr>
              <w:spacing w:after="0"/>
              <w:rPr>
                <w:sz w:val="17"/>
                <w:szCs w:val="17"/>
                <w:color w:val="auto"/>
              </w:rPr>
            </w:pPr>
          </w:p>
        </w:tc>
      </w:tr>
      <w:tr>
        <w:trPr>
          <w:trHeight w:val="79"/>
        </w:trPr>
        <w:tc>
          <w:tcPr>
            <w:tcW w:w="18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r>
      <w:tr>
        <w:trPr>
          <w:trHeight w:val="200"/>
        </w:trPr>
        <w:tc>
          <w:tcPr>
            <w:tcW w:w="1800" w:type="dxa"/>
            <w:vAlign w:val="bottom"/>
          </w:tcPr>
          <w:p>
            <w:pPr>
              <w:ind w:left="60"/>
              <w:spacing w:after="0" w:line="200" w:lineRule="exact"/>
              <w:rPr>
                <w:sz w:val="20"/>
                <w:szCs w:val="20"/>
                <w:color w:val="auto"/>
              </w:rPr>
            </w:pPr>
            <w:r>
              <w:rPr>
                <w:rFonts w:ascii="Arial" w:cs="Arial" w:eastAsia="Arial" w:hAnsi="Arial"/>
                <w:sz w:val="18"/>
                <w:szCs w:val="18"/>
                <w:b w:val="1"/>
                <w:bCs w:val="1"/>
                <w:color w:val="auto"/>
              </w:rPr>
              <w:t>Equity Incentive</w:t>
            </w:r>
          </w:p>
        </w:tc>
        <w:tc>
          <w:tcPr>
            <w:tcW w:w="700" w:type="dxa"/>
            <w:vAlign w:val="bottom"/>
            <w:gridSpan w:val="2"/>
          </w:tcPr>
          <w:p>
            <w:pPr>
              <w:ind w:left="100"/>
              <w:spacing w:after="0" w:line="200" w:lineRule="exact"/>
              <w:rPr>
                <w:sz w:val="20"/>
                <w:szCs w:val="20"/>
                <w:color w:val="auto"/>
              </w:rPr>
            </w:pPr>
            <w:r>
              <w:rPr>
                <w:rFonts w:ascii="Arial" w:cs="Arial" w:eastAsia="Arial" w:hAnsi="Arial"/>
                <w:sz w:val="18"/>
                <w:szCs w:val="18"/>
                <w:color w:val="auto"/>
                <w:w w:val="98"/>
              </w:rPr>
              <w:t>3 years</w:t>
            </w: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auto"/>
              </w:rPr>
              <w:t>Relative total shareholder</w:t>
            </w: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auto"/>
              </w:rPr>
              <w:t>To provide performance-</w:t>
            </w:r>
          </w:p>
        </w:tc>
        <w:tc>
          <w:tcPr>
            <w:tcW w:w="2100" w:type="dxa"/>
            <w:vAlign w:val="bottom"/>
          </w:tcPr>
          <w:p>
            <w:pPr>
              <w:ind w:left="100"/>
              <w:spacing w:after="0" w:line="200" w:lineRule="exact"/>
              <w:rPr>
                <w:sz w:val="20"/>
                <w:szCs w:val="20"/>
                <w:color w:val="auto"/>
              </w:rPr>
            </w:pPr>
            <w:r>
              <w:rPr>
                <w:rFonts w:ascii="Arial" w:cs="Arial" w:eastAsia="Arial" w:hAnsi="Arial"/>
                <w:sz w:val="18"/>
                <w:szCs w:val="18"/>
                <w:color w:val="auto"/>
              </w:rPr>
              <w:t>Drive medium-term</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auto"/>
              </w:rPr>
              <w:t>See p. 24 for more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return (34%)</w:t>
            </w: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based equity compensation</w:t>
            </w:r>
          </w:p>
        </w:tc>
        <w:tc>
          <w:tcPr>
            <w:tcW w:w="2100" w:type="dxa"/>
            <w:vAlign w:val="bottom"/>
          </w:tcPr>
          <w:p>
            <w:pPr>
              <w:ind w:left="100"/>
              <w:spacing w:after="0" w:line="190" w:lineRule="exact"/>
              <w:rPr>
                <w:sz w:val="20"/>
                <w:szCs w:val="20"/>
                <w:color w:val="auto"/>
              </w:rPr>
            </w:pPr>
            <w:r>
              <w:rPr>
                <w:rFonts w:ascii="Arial" w:cs="Arial" w:eastAsia="Arial" w:hAnsi="Arial"/>
                <w:sz w:val="18"/>
                <w:szCs w:val="18"/>
                <w:color w:val="auto"/>
              </w:rPr>
              <w:t>performance goals and</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auto"/>
              </w:rPr>
              <w:t>information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FFO multiple premium (33%)</w:t>
            </w: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in the form of restricted</w:t>
            </w:r>
          </w:p>
        </w:tc>
        <w:tc>
          <w:tcPr>
            <w:tcW w:w="2100" w:type="dxa"/>
            <w:vAlign w:val="bottom"/>
          </w:tcPr>
          <w:p>
            <w:pPr>
              <w:ind w:left="100"/>
              <w:spacing w:after="0" w:line="190" w:lineRule="exact"/>
              <w:rPr>
                <w:sz w:val="20"/>
                <w:szCs w:val="20"/>
                <w:color w:val="auto"/>
              </w:rPr>
            </w:pPr>
            <w:r>
              <w:rPr>
                <w:rFonts w:ascii="Arial" w:cs="Arial" w:eastAsia="Arial" w:hAnsi="Arial"/>
                <w:sz w:val="18"/>
                <w:szCs w:val="18"/>
                <w:color w:val="auto"/>
              </w:rPr>
              <w:t>retain talent</w:t>
            </w: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Return on invested capital</w:t>
            </w: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auto"/>
              </w:rPr>
              <w:t>shares to drive longer-term</w:t>
            </w:r>
          </w:p>
        </w:tc>
        <w:tc>
          <w:tcPr>
            <w:tcW w:w="2100" w:type="dxa"/>
            <w:vAlign w:val="bottom"/>
          </w:tcPr>
          <w:p>
            <w:pPr>
              <w:spacing w:after="0"/>
              <w:rPr>
                <w:sz w:val="16"/>
                <w:szCs w:val="16"/>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auto"/>
              </w:rPr>
              <w:t>(33%)</w:t>
            </w: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auto"/>
              </w:rPr>
              <w:t>business objectives</w:t>
            </w:r>
          </w:p>
        </w:tc>
        <w:tc>
          <w:tcPr>
            <w:tcW w:w="2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6019800</wp:posOffset>
                </wp:positionH>
                <wp:positionV relativeFrom="paragraph">
                  <wp:posOffset>-2129155</wp:posOffset>
                </wp:positionV>
                <wp:extent cx="190500" cy="67945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679450"/>
                        </a:xfrm>
                        <a:prstGeom prst="rect">
                          <a:avLst/>
                        </a:prstGeom>
                        <a:solidFill>
                          <a:srgbClr val="000000"/>
                        </a:solidFill>
                      </wps:spPr>
                      <wps:bodyPr/>
                    </wps:wsp>
                  </a:graphicData>
                </a:graphic>
              </wp:anchor>
            </w:drawing>
          </mc:Choice>
          <mc:Fallback>
            <w:pict>
              <v:rect id="Shape 428" o:spid="_x0000_s1453" style="position:absolute;margin-left:474pt;margin-top:-167.6499pt;width:15pt;height: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-187325</wp:posOffset>
                </wp:positionH>
                <wp:positionV relativeFrom="paragraph">
                  <wp:posOffset>-1453515</wp:posOffset>
                </wp:positionV>
                <wp:extent cx="639445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499pt,-114.4499pt" to="488.75pt,-114.4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6019800</wp:posOffset>
                </wp:positionH>
                <wp:positionV relativeFrom="paragraph">
                  <wp:posOffset>-1449705</wp:posOffset>
                </wp:positionV>
                <wp:extent cx="190500" cy="1503045"/>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503045"/>
                        </a:xfrm>
                        <a:prstGeom prst="rect">
                          <a:avLst/>
                        </a:prstGeom>
                        <a:solidFill>
                          <a:srgbClr val="FB1717"/>
                        </a:solidFill>
                      </wps:spPr>
                      <wps:bodyPr/>
                    </wps:wsp>
                  </a:graphicData>
                </a:graphic>
              </wp:anchor>
            </w:drawing>
          </mc:Choice>
          <mc:Fallback>
            <w:pict>
              <v:rect id="Shape 430" o:spid="_x0000_s1455" style="position:absolute;margin-left:474pt;margin-top:-114.1499pt;width:15pt;height:11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mc:AlternateContent>
          <mc:Choice Requires="wps">
            <w:drawing>
              <wp:anchor simplePos="0" relativeHeight="251657728" behindDoc="1" locked="0" layoutInCell="0" allowOverlap="1">
                <wp:simplePos x="0" y="0"/>
                <wp:positionH relativeFrom="column">
                  <wp:posOffset>6022975</wp:posOffset>
                </wp:positionH>
                <wp:positionV relativeFrom="paragraph">
                  <wp:posOffset>-1426210</wp:posOffset>
                </wp:positionV>
                <wp:extent cx="18415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4763"/>
                        </a:xfrm>
                        <a:prstGeom prst="line">
                          <a:avLst/>
                        </a:prstGeom>
                        <a:solidFill>
                          <a:srgbClr val="FFFFFF"/>
                        </a:solidFill>
                        <a:ln w="6350">
                          <a:solidFill>
                            <a:srgbClr val="FB1717"/>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25pt,-112.2999pt" to="488.75pt,-112.2999pt" o:allowincell="f" strokecolor="#FB1717" strokeweight="0.5pt"/>
            </w:pict>
          </mc:Fallback>
        </mc:AlternateContent>
        <mc:AlternateContent>
          <mc:Choice Requires="wps">
            <w:drawing>
              <wp:anchor simplePos="0" relativeHeight="251657728" behindDoc="1" locked="0" layoutInCell="0" allowOverlap="1">
                <wp:simplePos x="0" y="0"/>
                <wp:positionH relativeFrom="column">
                  <wp:posOffset>-187325</wp:posOffset>
                </wp:positionH>
                <wp:positionV relativeFrom="paragraph">
                  <wp:posOffset>49530</wp:posOffset>
                </wp:positionV>
                <wp:extent cx="639445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499pt,3.9pt" to="488.75pt,3.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-190500</wp:posOffset>
                </wp:positionH>
                <wp:positionV relativeFrom="paragraph">
                  <wp:posOffset>164465</wp:posOffset>
                </wp:positionV>
                <wp:extent cx="6400800"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pt,12.95pt" to="489pt,12.9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440"/>
        </w:trPr>
        <w:tc>
          <w:tcPr>
            <w:tcW w:w="195" w:type="dxa"/>
            <w:vAlign w:val="bottom"/>
            <w:textDirection w:val="btLr"/>
          </w:tcPr>
          <w:p>
            <w:pPr>
              <w:spacing w:after="0"/>
              <w:rPr>
                <w:sz w:val="20"/>
                <w:szCs w:val="20"/>
                <w:color w:val="auto"/>
              </w:rPr>
            </w:pPr>
            <w:r>
              <w:rPr>
                <w:rFonts w:ascii="Arial" w:cs="Arial" w:eastAsia="Arial" w:hAnsi="Arial"/>
                <w:sz w:val="17"/>
                <w:szCs w:val="17"/>
                <w:color w:val="FFFFFF"/>
              </w:rPr>
              <w:t>Fixed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300"/>
        </w:trPr>
        <w:tc>
          <w:tcPr>
            <w:tcW w:w="195" w:type="dxa"/>
            <w:vAlign w:val="bottom"/>
            <w:textDirection w:val="btLr"/>
          </w:tcPr>
          <w:p>
            <w:pPr>
              <w:spacing w:after="0"/>
              <w:rPr>
                <w:sz w:val="20"/>
                <w:szCs w:val="20"/>
                <w:color w:val="auto"/>
              </w:rPr>
            </w:pPr>
            <w:r>
              <w:rPr>
                <w:rFonts w:ascii="Arial" w:cs="Arial" w:eastAsia="Arial" w:hAnsi="Arial"/>
                <w:sz w:val="17"/>
                <w:szCs w:val="17"/>
                <w:color w:val="FFFFFF"/>
              </w:rPr>
              <w:t>Variable / At risk</w:t>
            </w:r>
          </w:p>
        </w:tc>
      </w:tr>
    </w:tbl>
    <w:p>
      <w:pPr>
        <w:spacing w:after="0" w:line="633" w:lineRule="exact"/>
        <w:rPr>
          <w:sz w:val="20"/>
          <w:szCs w:val="20"/>
          <w:color w:val="auto"/>
        </w:rPr>
      </w:pPr>
    </w:p>
    <w:p>
      <w:pPr>
        <w:sectPr>
          <w:pgSz w:w="11880" w:h="15480" w:orient="portrait"/>
          <w:cols w:equalWidth="0" w:num="3">
            <w:col w:w="232" w:space="68"/>
            <w:col w:w="9480" w:space="28"/>
            <w:col w:w="272"/>
          </w:cols>
          <w:pgMar w:left="900" w:top="1272" w:right="900" w:bottom="764" w:gutter="0" w:footer="0" w:header="0"/>
          <w:type w:val="continuous"/>
        </w:sectPr>
      </w:pPr>
    </w:p>
    <w:p>
      <w:pPr>
        <w:spacing w:after="0" w:line="119"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FB1717"/>
        </w:rPr>
        <w:t>C</w:t>
      </w:r>
      <w:r>
        <w:rPr>
          <w:rFonts w:ascii="Arial" w:cs="Arial" w:eastAsia="Arial" w:hAnsi="Arial"/>
          <w:sz w:val="18"/>
          <w:szCs w:val="18"/>
          <w:b w:val="1"/>
          <w:bCs w:val="1"/>
          <w:color w:val="FB1717"/>
        </w:rPr>
        <w:t>OMPENSATION</w:t>
      </w:r>
      <w:r>
        <w:rPr>
          <w:rFonts w:ascii="Arial" w:cs="Arial" w:eastAsia="Arial" w:hAnsi="Arial"/>
          <w:sz w:val="24"/>
          <w:szCs w:val="24"/>
          <w:b w:val="1"/>
          <w:bCs w:val="1"/>
          <w:color w:val="FB1717"/>
        </w:rPr>
        <w:t xml:space="preserve"> S</w:t>
      </w:r>
      <w:r>
        <w:rPr>
          <w:rFonts w:ascii="Arial" w:cs="Arial" w:eastAsia="Arial" w:hAnsi="Arial"/>
          <w:sz w:val="18"/>
          <w:szCs w:val="18"/>
          <w:b w:val="1"/>
          <w:bCs w:val="1"/>
          <w:color w:val="FB1717"/>
        </w:rPr>
        <w:t>ETTING</w:t>
      </w:r>
      <w:r>
        <w:rPr>
          <w:rFonts w:ascii="Arial" w:cs="Arial" w:eastAsia="Arial" w:hAnsi="Arial"/>
          <w:sz w:val="24"/>
          <w:szCs w:val="24"/>
          <w:b w:val="1"/>
          <w:bCs w:val="1"/>
          <w:color w:val="FB1717"/>
        </w:rPr>
        <w:t xml:space="preserve"> P</w:t>
      </w:r>
      <w:r>
        <w:rPr>
          <w:rFonts w:ascii="Arial" w:cs="Arial" w:eastAsia="Arial" w:hAnsi="Arial"/>
          <w:sz w:val="18"/>
          <w:szCs w:val="18"/>
          <w:b w:val="1"/>
          <w:bCs w:val="1"/>
          <w:color w:val="FB1717"/>
        </w:rPr>
        <w:t>ROCESS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wp:posOffset>
                </wp:positionV>
                <wp:extent cx="6400800"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pt" to="504pt,0.2pt" o:allowincell="f" strokecolor="#000000" strokeweight="0.5pt"/>
            </w:pict>
          </mc:Fallback>
        </mc:AlternateContent>
      </w:r>
    </w:p>
    <w:p>
      <w:pPr>
        <w:spacing w:after="0" w:line="17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ANNUAL COMPENSATION DECISION MAKING</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Compensation Committee develops and executes our executive compensation program on behalf of the Board, including creating compensation programs and policies, setting target compensation levels for our NEOs, setting performance metrics for incentive compensation plans, establishing expectations for individual NEO performance and determining payouts of incentive compensation for completed performance periods.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122555</wp:posOffset>
                </wp:positionV>
                <wp:extent cx="6400800" cy="17780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35" o:spid="_x0000_s1460" style="position:absolute;margin-left:0pt;margin-top:9.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122555</wp:posOffset>
                </wp:positionV>
                <wp:extent cx="0" cy="17780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65pt" to="0.75pt,23.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40080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pt" to="504pt,10.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122555</wp:posOffset>
                </wp:positionV>
                <wp:extent cx="0" cy="17780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65pt" to="503.25pt,23.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290830</wp:posOffset>
                </wp:positionV>
                <wp:extent cx="640080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9pt" to="504pt,22.9pt" o:allowincell="f" strokecolor="#000000" strokeweight="1.5pt"/>
            </w:pict>
          </mc:Fallback>
        </mc:AlternateContent>
      </w:r>
    </w:p>
    <w:p>
      <w:pPr>
        <w:sectPr>
          <w:pgSz w:w="11880" w:h="15480" w:orient="portrait"/>
          <w:cols w:equalWidth="0" w:num="1">
            <w:col w:w="10080"/>
          </w:cols>
          <w:pgMar w:left="900" w:top="1272" w:right="900" w:bottom="764" w:gutter="0" w:footer="0" w:header="0"/>
          <w:type w:val="continuous"/>
        </w:sectPr>
      </w:pPr>
    </w:p>
    <w:p>
      <w:pPr>
        <w:spacing w:after="0" w:line="24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21</w:t>
      </w:r>
    </w:p>
    <w:p>
      <w:pPr>
        <w:sectPr>
          <w:pgSz w:w="11880" w:h="15480" w:orient="portrait"/>
          <w:cols w:equalWidth="0" w:num="1">
            <w:col w:w="10080"/>
          </w:cols>
          <w:pgMar w:left="900" w:top="1272" w:right="900" w:bottom="764" w:gutter="0" w:footer="0" w:header="0"/>
          <w:type w:val="continuous"/>
        </w:sectPr>
      </w:pPr>
    </w:p>
    <w:bookmarkStart w:id="141" w:name="page142"/>
    <w:bookmarkEnd w:id="141"/>
    <w:p>
      <w:pPr>
        <w:jc w:val="both"/>
        <w:spacing w:after="0" w:line="248" w:lineRule="auto"/>
        <w:rPr>
          <w:sz w:val="20"/>
          <w:szCs w:val="20"/>
          <w:color w:val="auto"/>
        </w:rPr>
      </w:pPr>
      <w:r>
        <w:rPr>
          <w:rFonts w:ascii="Arial" w:cs="Arial" w:eastAsia="Arial" w:hAnsi="Arial"/>
          <w:sz w:val="20"/>
          <w:szCs w:val="20"/>
          <w:color w:val="auto"/>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20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ROLE OF THE COMPENSATION COMMITTEE</w:t>
      </w: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20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ROLE OF MANAGEMENT</w:t>
      </w: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20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ROLE OF INDEPENDENT COMPENSATION CONSULTANT</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Compensation Committee retained Semler Brossy Consulting Group (“SBCG”) to provide market compensation information for each of our NEOs for 2022. SBCG provided independent advice to the Compensation Committee and did not provide any services to management. The Compensation Committee reviewed the independence of SBCG and determined that there were no conflicts that would compromise SBCG’s independence.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123825</wp:posOffset>
                </wp:positionV>
                <wp:extent cx="640080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5pt" to="504pt,9.75pt" o:allowincell="f" strokecolor="#000000" strokeweight="0.5pt"/>
            </w:pict>
          </mc:Fallback>
        </mc:AlternateConten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FB1717"/>
        </w:rPr>
        <w:t>2022 C</w:t>
      </w:r>
      <w:r>
        <w:rPr>
          <w:rFonts w:ascii="Arial" w:cs="Arial" w:eastAsia="Arial" w:hAnsi="Arial"/>
          <w:sz w:val="18"/>
          <w:szCs w:val="18"/>
          <w:b w:val="1"/>
          <w:bCs w:val="1"/>
          <w:color w:val="FB1717"/>
        </w:rPr>
        <w:t>OMPENSATION</w:t>
      </w:r>
      <w:r>
        <w:rPr>
          <w:rFonts w:ascii="Arial" w:cs="Arial" w:eastAsia="Arial" w:hAnsi="Arial"/>
          <w:sz w:val="24"/>
          <w:szCs w:val="24"/>
          <w:b w:val="1"/>
          <w:bCs w:val="1"/>
          <w:color w:val="FB1717"/>
        </w:rPr>
        <w:t xml:space="preserve"> D</w:t>
      </w:r>
      <w:r>
        <w:rPr>
          <w:rFonts w:ascii="Arial" w:cs="Arial" w:eastAsia="Arial" w:hAnsi="Arial"/>
          <w:sz w:val="18"/>
          <w:szCs w:val="18"/>
          <w:b w:val="1"/>
          <w:bCs w:val="1"/>
          <w:color w:val="FB1717"/>
        </w:rPr>
        <w:t>ECISIONS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400800"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04pt,0.25pt" o:allowincell="f" strokecolor="#000000" strokeweight="0.5pt"/>
            </w:pict>
          </mc:Fallback>
        </mc:AlternateContent>
      </w:r>
    </w:p>
    <w:p>
      <w:pPr>
        <w:spacing w:after="0" w:line="24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SETTING 2022 TARGET COMPENSATION</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Compensation Committee determined target compensation for each NEO by considering numerous individual factors for each NEO, including job responsibilities and skill sets, performance in their position, importance to achieving our corporate objectives, retention risk, ability to replace the role, previously issued equity awards and tenure with the Company. The Compensation Committee then considered the market data and report provided by SBCG to ensure that the total target compensation was competitive for the market.</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20"/>
          <w:szCs w:val="20"/>
          <w:color w:val="auto"/>
        </w:rPr>
        <w:t>Based on the market data provided by SBCG which showed that the target compensation of our NEOs was generally positioned between the 25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and 50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percentiles of the data sets, the Compensation Committee elected to increase the target compensation for each of our NEOs. The Compensation Committee did not set target compensation to meet any particular benchmark level, however, it did use the median of the market data provided by SBCG to help guide its 2022 decisions. After taking into the account the factors identified above, including the value of previously issued but unvested equity awards and the need to provide competitive compensation to motivate and retain our talent, the Compensation Committee set 2022 target compensation for our NEOs as shown below. Each of these targets is within +/-10% of the median target compensation as compared to the market data provided by SBCG for that NEO’s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60" w:type="dxa"/>
            <w:vAlign w:val="bottom"/>
            <w:shd w:val="clear" w:color="auto" w:fill="FB1717"/>
          </w:tcPr>
          <w:p>
            <w:pPr>
              <w:spacing w:after="0"/>
              <w:rPr>
                <w:sz w:val="20"/>
                <w:szCs w:val="20"/>
                <w:color w:val="auto"/>
              </w:rPr>
            </w:pPr>
          </w:p>
        </w:tc>
        <w:tc>
          <w:tcPr>
            <w:tcW w:w="780" w:type="dxa"/>
            <w:vAlign w:val="bottom"/>
            <w:shd w:val="clear" w:color="auto" w:fill="FB1717"/>
          </w:tcPr>
          <w:p>
            <w:pPr>
              <w:spacing w:after="0"/>
              <w:rPr>
                <w:sz w:val="20"/>
                <w:szCs w:val="20"/>
                <w:color w:val="auto"/>
              </w:rPr>
            </w:pPr>
          </w:p>
        </w:tc>
        <w:tc>
          <w:tcPr>
            <w:tcW w:w="1060" w:type="dxa"/>
            <w:vAlign w:val="bottom"/>
            <w:shd w:val="clear" w:color="auto" w:fill="FB1717"/>
          </w:tcPr>
          <w:p>
            <w:pPr>
              <w:spacing w:after="0"/>
              <w:rPr>
                <w:sz w:val="20"/>
                <w:szCs w:val="20"/>
                <w:color w:val="auto"/>
              </w:rPr>
            </w:pPr>
          </w:p>
        </w:tc>
        <w:tc>
          <w:tcPr>
            <w:tcW w:w="2340" w:type="dxa"/>
            <w:vAlign w:val="bottom"/>
            <w:gridSpan w:val="3"/>
            <w:shd w:val="clear" w:color="auto" w:fill="FB1717"/>
          </w:tcPr>
          <w:p>
            <w:pPr>
              <w:jc w:val="right"/>
              <w:ind w:right="170"/>
              <w:spacing w:after="0"/>
              <w:rPr>
                <w:sz w:val="20"/>
                <w:szCs w:val="20"/>
                <w:color w:val="auto"/>
              </w:rPr>
            </w:pPr>
            <w:r>
              <w:rPr>
                <w:rFonts w:ascii="Arial" w:cs="Arial" w:eastAsia="Arial" w:hAnsi="Arial"/>
                <w:sz w:val="18"/>
                <w:szCs w:val="18"/>
                <w:b w:val="1"/>
                <w:bCs w:val="1"/>
                <w:color w:val="FFFFFF"/>
              </w:rPr>
              <w:t>Target Annual Bonus</w:t>
            </w:r>
          </w:p>
        </w:tc>
        <w:tc>
          <w:tcPr>
            <w:tcW w:w="1460" w:type="dxa"/>
            <w:vAlign w:val="bottom"/>
            <w:gridSpan w:val="2"/>
            <w:shd w:val="clear" w:color="auto" w:fill="FB1717"/>
          </w:tcPr>
          <w:p>
            <w:pPr>
              <w:ind w:left="180"/>
              <w:spacing w:after="0"/>
              <w:rPr>
                <w:sz w:val="20"/>
                <w:szCs w:val="20"/>
                <w:color w:val="auto"/>
              </w:rPr>
            </w:pPr>
            <w:r>
              <w:rPr>
                <w:rFonts w:ascii="Arial" w:cs="Arial" w:eastAsia="Arial" w:hAnsi="Arial"/>
                <w:sz w:val="18"/>
                <w:szCs w:val="18"/>
                <w:b w:val="1"/>
                <w:bCs w:val="1"/>
                <w:color w:val="FFFFFF"/>
              </w:rPr>
              <w:t>Target Long-</w:t>
            </w:r>
          </w:p>
        </w:tc>
        <w:tc>
          <w:tcPr>
            <w:tcW w:w="300" w:type="dxa"/>
            <w:vAlign w:val="bottom"/>
            <w:shd w:val="clear" w:color="auto" w:fill="FB1717"/>
          </w:tcPr>
          <w:p>
            <w:pPr>
              <w:spacing w:after="0"/>
              <w:rPr>
                <w:sz w:val="20"/>
                <w:szCs w:val="20"/>
                <w:color w:val="auto"/>
              </w:rPr>
            </w:pPr>
          </w:p>
        </w:tc>
        <w:tc>
          <w:tcPr>
            <w:tcW w:w="880" w:type="dxa"/>
            <w:vAlign w:val="bottom"/>
            <w:shd w:val="clear" w:color="auto" w:fill="FB1717"/>
          </w:tcPr>
          <w:p>
            <w:pPr>
              <w:jc w:val="right"/>
              <w:ind w:right="230"/>
              <w:spacing w:after="0"/>
              <w:rPr>
                <w:sz w:val="20"/>
                <w:szCs w:val="20"/>
                <w:color w:val="auto"/>
              </w:rPr>
            </w:pPr>
            <w:r>
              <w:rPr>
                <w:rFonts w:ascii="Arial" w:cs="Arial" w:eastAsia="Arial" w:hAnsi="Arial"/>
                <w:sz w:val="18"/>
                <w:szCs w:val="18"/>
                <w:b w:val="1"/>
                <w:bCs w:val="1"/>
                <w:color w:val="FFFFFF"/>
              </w:rPr>
              <w:t>Total</w:t>
            </w:r>
          </w:p>
        </w:tc>
      </w:tr>
      <w:tr>
        <w:trPr>
          <w:trHeight w:val="220"/>
        </w:trPr>
        <w:tc>
          <w:tcPr>
            <w:tcW w:w="2060" w:type="dxa"/>
            <w:vAlign w:val="bottom"/>
            <w:tcBorders>
              <w:bottom w:val="single" w:sz="8" w:color="FB1717"/>
            </w:tcBorders>
            <w:shd w:val="clear" w:color="auto" w:fill="FB1717"/>
          </w:tcPr>
          <w:p>
            <w:pPr>
              <w:spacing w:after="0"/>
              <w:rPr>
                <w:sz w:val="19"/>
                <w:szCs w:val="19"/>
                <w:color w:val="auto"/>
              </w:rPr>
            </w:pPr>
          </w:p>
        </w:tc>
        <w:tc>
          <w:tcPr>
            <w:tcW w:w="780" w:type="dxa"/>
            <w:vAlign w:val="bottom"/>
            <w:tcBorders>
              <w:bottom w:val="single" w:sz="8" w:color="FB1717"/>
            </w:tcBorders>
            <w:shd w:val="clear" w:color="auto" w:fill="FB1717"/>
          </w:tcPr>
          <w:p>
            <w:pPr>
              <w:spacing w:after="0"/>
              <w:rPr>
                <w:sz w:val="19"/>
                <w:szCs w:val="19"/>
                <w:color w:val="auto"/>
              </w:rPr>
            </w:pPr>
          </w:p>
        </w:tc>
        <w:tc>
          <w:tcPr>
            <w:tcW w:w="1060" w:type="dxa"/>
            <w:vAlign w:val="bottom"/>
            <w:tcBorders>
              <w:bottom w:val="single" w:sz="8" w:color="FB1717"/>
            </w:tcBorders>
            <w:shd w:val="clear" w:color="auto" w:fill="FB1717"/>
          </w:tcPr>
          <w:p>
            <w:pPr>
              <w:jc w:val="right"/>
              <w:ind w:right="150"/>
              <w:spacing w:after="0"/>
              <w:rPr>
                <w:sz w:val="20"/>
                <w:szCs w:val="20"/>
                <w:color w:val="auto"/>
              </w:rPr>
            </w:pPr>
            <w:r>
              <w:rPr>
                <w:rFonts w:ascii="Arial" w:cs="Arial" w:eastAsia="Arial" w:hAnsi="Arial"/>
                <w:sz w:val="18"/>
                <w:szCs w:val="18"/>
                <w:b w:val="1"/>
                <w:bCs w:val="1"/>
                <w:color w:val="FFFFFF"/>
                <w:w w:val="99"/>
              </w:rPr>
              <w:t>Base Pay</w:t>
            </w:r>
          </w:p>
        </w:tc>
        <w:tc>
          <w:tcPr>
            <w:tcW w:w="950" w:type="dxa"/>
            <w:vAlign w:val="bottom"/>
            <w:tcBorders>
              <w:bottom w:val="single" w:sz="8" w:color="FB1717"/>
            </w:tcBorders>
            <w:shd w:val="clear" w:color="auto" w:fill="FB1717"/>
          </w:tcPr>
          <w:p>
            <w:pPr>
              <w:jc w:val="right"/>
              <w:spacing w:after="0"/>
              <w:rPr>
                <w:sz w:val="20"/>
                <w:szCs w:val="20"/>
                <w:color w:val="auto"/>
              </w:rPr>
            </w:pPr>
            <w:r>
              <w:rPr>
                <w:rFonts w:ascii="Arial" w:cs="Arial" w:eastAsia="Arial" w:hAnsi="Arial"/>
                <w:sz w:val="18"/>
                <w:szCs w:val="18"/>
                <w:b w:val="1"/>
                <w:bCs w:val="1"/>
                <w:color w:val="FFFFFF"/>
              </w:rPr>
              <w:t>% of Base</w:t>
            </w:r>
          </w:p>
        </w:tc>
        <w:tc>
          <w:tcPr>
            <w:tcW w:w="350" w:type="dxa"/>
            <w:vAlign w:val="bottom"/>
            <w:tcBorders>
              <w:bottom w:val="single" w:sz="8" w:color="FB1717"/>
            </w:tcBorders>
            <w:shd w:val="clear" w:color="auto" w:fill="FB1717"/>
          </w:tcPr>
          <w:p>
            <w:pPr>
              <w:spacing w:after="0"/>
              <w:rPr>
                <w:sz w:val="19"/>
                <w:szCs w:val="19"/>
                <w:color w:val="auto"/>
              </w:rPr>
            </w:pPr>
          </w:p>
        </w:tc>
        <w:tc>
          <w:tcPr>
            <w:tcW w:w="1040" w:type="dxa"/>
            <w:vAlign w:val="bottom"/>
            <w:tcBorders>
              <w:bottom w:val="single" w:sz="8" w:color="FB1717"/>
            </w:tcBorders>
            <w:shd w:val="clear" w:color="auto" w:fill="FB1717"/>
          </w:tcPr>
          <w:p>
            <w:pPr>
              <w:jc w:val="right"/>
              <w:ind w:right="230"/>
              <w:spacing w:after="0"/>
              <w:rPr>
                <w:sz w:val="20"/>
                <w:szCs w:val="20"/>
                <w:color w:val="auto"/>
              </w:rPr>
            </w:pPr>
            <w:r>
              <w:rPr>
                <w:rFonts w:ascii="Arial" w:cs="Arial" w:eastAsia="Arial" w:hAnsi="Arial"/>
                <w:sz w:val="18"/>
                <w:szCs w:val="18"/>
                <w:b w:val="1"/>
                <w:bCs w:val="1"/>
                <w:color w:val="FFFFFF"/>
              </w:rPr>
              <w:t>Amount</w:t>
            </w:r>
          </w:p>
        </w:tc>
        <w:tc>
          <w:tcPr>
            <w:tcW w:w="1460" w:type="dxa"/>
            <w:vAlign w:val="bottom"/>
            <w:tcBorders>
              <w:bottom w:val="single" w:sz="8" w:color="FB1717"/>
            </w:tcBorders>
            <w:gridSpan w:val="2"/>
            <w:shd w:val="clear" w:color="auto" w:fill="FB1717"/>
          </w:tcPr>
          <w:p>
            <w:pPr>
              <w:ind w:left="100"/>
              <w:spacing w:after="0"/>
              <w:rPr>
                <w:sz w:val="20"/>
                <w:szCs w:val="20"/>
                <w:color w:val="auto"/>
              </w:rPr>
            </w:pPr>
            <w:r>
              <w:rPr>
                <w:rFonts w:ascii="Arial" w:cs="Arial" w:eastAsia="Arial" w:hAnsi="Arial"/>
                <w:sz w:val="18"/>
                <w:szCs w:val="18"/>
                <w:b w:val="1"/>
                <w:bCs w:val="1"/>
                <w:color w:val="FFFFFF"/>
              </w:rPr>
              <w:t>Term Incentive</w:t>
            </w:r>
          </w:p>
        </w:tc>
        <w:tc>
          <w:tcPr>
            <w:tcW w:w="1180" w:type="dxa"/>
            <w:vAlign w:val="bottom"/>
            <w:tcBorders>
              <w:bottom w:val="single" w:sz="8" w:color="FB1717"/>
            </w:tcBorders>
            <w:gridSpan w:val="2"/>
            <w:shd w:val="clear" w:color="auto" w:fill="FB1717"/>
          </w:tcPr>
          <w:p>
            <w:pPr>
              <w:jc w:val="right"/>
              <w:spacing w:after="0"/>
              <w:rPr>
                <w:sz w:val="20"/>
                <w:szCs w:val="20"/>
                <w:color w:val="auto"/>
              </w:rPr>
            </w:pPr>
            <w:r>
              <w:rPr>
                <w:rFonts w:ascii="Arial" w:cs="Arial" w:eastAsia="Arial" w:hAnsi="Arial"/>
                <w:sz w:val="18"/>
                <w:szCs w:val="18"/>
                <w:b w:val="1"/>
                <w:bCs w:val="1"/>
                <w:color w:val="FFFFFF"/>
              </w:rPr>
              <w:t>2022 Target</w:t>
            </w:r>
          </w:p>
        </w:tc>
      </w:tr>
      <w:tr>
        <w:trPr>
          <w:trHeight w:val="256"/>
        </w:trPr>
        <w:tc>
          <w:tcPr>
            <w:tcW w:w="2060" w:type="dxa"/>
            <w:vAlign w:val="bottom"/>
          </w:tcPr>
          <w:p>
            <w:pPr>
              <w:spacing w:after="0"/>
              <w:rPr>
                <w:sz w:val="20"/>
                <w:szCs w:val="20"/>
                <w:color w:val="auto"/>
              </w:rPr>
            </w:pPr>
            <w:r>
              <w:rPr>
                <w:rFonts w:ascii="Arial" w:cs="Arial" w:eastAsia="Arial" w:hAnsi="Arial"/>
                <w:sz w:val="18"/>
                <w:szCs w:val="18"/>
                <w:color w:val="auto"/>
              </w:rPr>
              <w:t>Don Wood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950" w:type="dxa"/>
            <w:vAlign w:val="bottom"/>
          </w:tcPr>
          <w:p>
            <w:pPr>
              <w:jc w:val="right"/>
              <w:ind w:right="20"/>
              <w:spacing w:after="0"/>
              <w:rPr>
                <w:sz w:val="20"/>
                <w:szCs w:val="20"/>
                <w:color w:val="auto"/>
              </w:rPr>
            </w:pPr>
            <w:r>
              <w:rPr>
                <w:rFonts w:ascii="Arial" w:cs="Arial" w:eastAsia="Arial" w:hAnsi="Arial"/>
                <w:sz w:val="18"/>
                <w:szCs w:val="18"/>
                <w:color w:val="auto"/>
              </w:rPr>
              <w:t>150%</w:t>
            </w:r>
          </w:p>
        </w:tc>
        <w:tc>
          <w:tcPr>
            <w:tcW w:w="35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1,500,000</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8,500,000</w:t>
            </w:r>
          </w:p>
        </w:tc>
      </w:tr>
      <w:tr>
        <w:trPr>
          <w:trHeight w:val="220"/>
        </w:trPr>
        <w:tc>
          <w:tcPr>
            <w:tcW w:w="2060" w:type="dxa"/>
            <w:vAlign w:val="bottom"/>
          </w:tcPr>
          <w:p>
            <w:pPr>
              <w:spacing w:after="0"/>
              <w:rPr>
                <w:sz w:val="20"/>
                <w:szCs w:val="20"/>
                <w:color w:val="auto"/>
              </w:rPr>
            </w:pPr>
            <w:r>
              <w:rPr>
                <w:rFonts w:ascii="Arial" w:cs="Arial" w:eastAsia="Arial" w:hAnsi="Arial"/>
                <w:sz w:val="18"/>
                <w:szCs w:val="18"/>
                <w:color w:val="auto"/>
              </w:rPr>
              <w:t>Jeff Berkes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650,000</w:t>
            </w:r>
          </w:p>
        </w:tc>
        <w:tc>
          <w:tcPr>
            <w:tcW w:w="950" w:type="dxa"/>
            <w:vAlign w:val="bottom"/>
          </w:tcPr>
          <w:p>
            <w:pPr>
              <w:jc w:val="right"/>
              <w:ind w:right="20"/>
              <w:spacing w:after="0"/>
              <w:rPr>
                <w:sz w:val="20"/>
                <w:szCs w:val="20"/>
                <w:color w:val="auto"/>
              </w:rPr>
            </w:pPr>
            <w:r>
              <w:rPr>
                <w:rFonts w:ascii="Arial" w:cs="Arial" w:eastAsia="Arial" w:hAnsi="Arial"/>
                <w:sz w:val="18"/>
                <w:szCs w:val="18"/>
                <w:color w:val="auto"/>
              </w:rPr>
              <w:t>100%</w:t>
            </w:r>
          </w:p>
        </w:tc>
        <w:tc>
          <w:tcPr>
            <w:tcW w:w="35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650,000</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2,300,000</w:t>
            </w:r>
          </w:p>
        </w:tc>
      </w:tr>
      <w:tr>
        <w:trPr>
          <w:trHeight w:val="220"/>
        </w:trPr>
        <w:tc>
          <w:tcPr>
            <w:tcW w:w="2060" w:type="dxa"/>
            <w:vAlign w:val="bottom"/>
          </w:tcPr>
          <w:p>
            <w:pPr>
              <w:spacing w:after="0"/>
              <w:rPr>
                <w:sz w:val="20"/>
                <w:szCs w:val="20"/>
                <w:color w:val="auto"/>
              </w:rPr>
            </w:pPr>
            <w:r>
              <w:rPr>
                <w:rFonts w:ascii="Arial" w:cs="Arial" w:eastAsia="Arial" w:hAnsi="Arial"/>
                <w:sz w:val="18"/>
                <w:szCs w:val="18"/>
                <w:color w:val="auto"/>
              </w:rPr>
              <w:t>Dan Guglielmone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575,000</w:t>
            </w:r>
          </w:p>
        </w:tc>
        <w:tc>
          <w:tcPr>
            <w:tcW w:w="950" w:type="dxa"/>
            <w:vAlign w:val="bottom"/>
          </w:tcPr>
          <w:p>
            <w:pPr>
              <w:jc w:val="right"/>
              <w:ind w:right="20"/>
              <w:spacing w:after="0"/>
              <w:rPr>
                <w:sz w:val="20"/>
                <w:szCs w:val="20"/>
                <w:color w:val="auto"/>
              </w:rPr>
            </w:pPr>
            <w:r>
              <w:rPr>
                <w:rFonts w:ascii="Arial" w:cs="Arial" w:eastAsia="Arial" w:hAnsi="Arial"/>
                <w:sz w:val="18"/>
                <w:szCs w:val="18"/>
                <w:color w:val="auto"/>
              </w:rPr>
              <w:t>100%</w:t>
            </w:r>
          </w:p>
        </w:tc>
        <w:tc>
          <w:tcPr>
            <w:tcW w:w="35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575,000</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2,150,000</w:t>
            </w:r>
          </w:p>
        </w:tc>
      </w:tr>
      <w:tr>
        <w:trPr>
          <w:trHeight w:val="220"/>
        </w:trPr>
        <w:tc>
          <w:tcPr>
            <w:tcW w:w="2060" w:type="dxa"/>
            <w:vAlign w:val="bottom"/>
          </w:tcPr>
          <w:p>
            <w:pPr>
              <w:spacing w:after="0"/>
              <w:rPr>
                <w:sz w:val="20"/>
                <w:szCs w:val="20"/>
                <w:color w:val="auto"/>
              </w:rPr>
            </w:pPr>
            <w:r>
              <w:rPr>
                <w:rFonts w:ascii="Arial" w:cs="Arial" w:eastAsia="Arial" w:hAnsi="Arial"/>
                <w:sz w:val="18"/>
                <w:szCs w:val="18"/>
                <w:color w:val="auto"/>
              </w:rPr>
              <w:t>Dawn Becker</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575,000</w:t>
            </w:r>
          </w:p>
        </w:tc>
        <w:tc>
          <w:tcPr>
            <w:tcW w:w="950" w:type="dxa"/>
            <w:vAlign w:val="bottom"/>
          </w:tcPr>
          <w:p>
            <w:pPr>
              <w:jc w:val="right"/>
              <w:ind w:right="20"/>
              <w:spacing w:after="0"/>
              <w:rPr>
                <w:sz w:val="20"/>
                <w:szCs w:val="20"/>
                <w:color w:val="auto"/>
              </w:rPr>
            </w:pPr>
            <w:r>
              <w:rPr>
                <w:rFonts w:ascii="Arial" w:cs="Arial" w:eastAsia="Arial" w:hAnsi="Arial"/>
                <w:sz w:val="18"/>
                <w:szCs w:val="18"/>
                <w:color w:val="auto"/>
              </w:rPr>
              <w:t>100%</w:t>
            </w:r>
          </w:p>
        </w:tc>
        <w:tc>
          <w:tcPr>
            <w:tcW w:w="35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575,000</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224790</wp:posOffset>
                </wp:positionV>
                <wp:extent cx="6400800" cy="17780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42" o:spid="_x0000_s1467" style="position:absolute;margin-left:0pt;margin-top:17.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224790</wp:posOffset>
                </wp:positionV>
                <wp:extent cx="0" cy="17780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7.7pt" to="0.75pt,31.7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234315</wp:posOffset>
                </wp:positionV>
                <wp:extent cx="6400800"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45pt" to="504pt,18.4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224790</wp:posOffset>
                </wp:positionV>
                <wp:extent cx="0" cy="17780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7.7pt" to="503.25pt,31.7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393065</wp:posOffset>
                </wp:positionV>
                <wp:extent cx="6400800"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95pt" to="504pt,30.9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00" w:lineRule="exact"/>
        <w:rPr>
          <w:sz w:val="20"/>
          <w:szCs w:val="20"/>
          <w:color w:val="auto"/>
        </w:rPr>
      </w:pPr>
    </w:p>
    <w:p>
      <w:pPr>
        <w:spacing w:after="0" w:line="202"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22</w:t>
      </w:r>
    </w:p>
    <w:p>
      <w:pPr>
        <w:sectPr>
          <w:pgSz w:w="11880" w:h="15480" w:orient="portrait"/>
          <w:cols w:equalWidth="0" w:num="1">
            <w:col w:w="10080"/>
          </w:cols>
          <w:pgMar w:left="900" w:top="1316" w:right="900" w:bottom="764" w:gutter="0" w:footer="0" w:header="0"/>
          <w:type w:val="continuous"/>
        </w:sectPr>
      </w:pPr>
    </w:p>
    <w:bookmarkStart w:id="142" w:name="page143"/>
    <w:bookmarkEnd w:id="142"/>
    <w:p>
      <w:pPr>
        <w:spacing w:after="0" w:line="243" w:lineRule="auto"/>
        <w:rPr>
          <w:sz w:val="20"/>
          <w:szCs w:val="20"/>
          <w:color w:val="auto"/>
        </w:rPr>
      </w:pPr>
      <w:r>
        <w:rPr>
          <w:rFonts w:ascii="Arial" w:cs="Arial" w:eastAsia="Arial" w:hAnsi="Arial"/>
          <w:sz w:val="20"/>
          <w:szCs w:val="20"/>
          <w:color w:val="auto"/>
        </w:rPr>
        <w:t>These target pay packages are heavily weighted to components that are paid based on both company and individual performance which creates significant alignment between our NEOs and shareholders.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7"/>
              </w:rPr>
              <w:t>CEO Pay</w:t>
            </w:r>
          </w:p>
        </w:tc>
        <w:tc>
          <w:tcPr>
            <w:tcW w:w="1600" w:type="dxa"/>
            <w:vAlign w:val="bottom"/>
            <w:gridSpan w:val="2"/>
          </w:tcPr>
          <w:p>
            <w:pPr>
              <w:jc w:val="center"/>
              <w:ind w:right="340"/>
              <w:spacing w:after="0"/>
              <w:rPr>
                <w:sz w:val="20"/>
                <w:szCs w:val="20"/>
                <w:color w:val="auto"/>
              </w:rPr>
            </w:pPr>
            <w:r>
              <w:rPr>
                <w:rFonts w:ascii="Arial" w:cs="Arial" w:eastAsia="Arial" w:hAnsi="Arial"/>
                <w:sz w:val="17"/>
                <w:szCs w:val="17"/>
                <w:color w:val="auto"/>
              </w:rPr>
              <w:t>Base Pay</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rPr>
              <w:t>Annual Bonus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00" w:type="dxa"/>
            <w:vAlign w:val="bottom"/>
          </w:tcPr>
          <w:p>
            <w:pPr>
              <w:jc w:val="center"/>
              <w:ind w:right="1275"/>
              <w:spacing w:after="0"/>
              <w:rPr>
                <w:sz w:val="20"/>
                <w:szCs w:val="20"/>
                <w:color w:val="auto"/>
              </w:rPr>
            </w:pPr>
            <w:r>
              <w:rPr>
                <w:rFonts w:ascii="Arial" w:cs="Arial" w:eastAsia="Arial" w:hAnsi="Arial"/>
                <w:sz w:val="17"/>
                <w:szCs w:val="17"/>
                <w:color w:val="auto"/>
                <w:w w:val="98"/>
              </w:rPr>
              <w:t>Long-Term</w:t>
            </w:r>
          </w:p>
        </w:tc>
        <w:tc>
          <w:tcPr>
            <w:tcW w:w="0" w:type="dxa"/>
            <w:vAlign w:val="bottom"/>
          </w:tcPr>
          <w:p>
            <w:pPr>
              <w:spacing w:after="0"/>
              <w:rPr>
                <w:sz w:val="1"/>
                <w:szCs w:val="1"/>
                <w:color w:val="auto"/>
              </w:rPr>
            </w:pPr>
          </w:p>
        </w:tc>
      </w:tr>
      <w:tr>
        <w:trPr>
          <w:trHeight w:val="26"/>
        </w:trPr>
        <w:tc>
          <w:tcPr>
            <w:tcW w:w="1180" w:type="dxa"/>
            <w:vAlign w:val="bottom"/>
            <w:vMerge w:val="continue"/>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1180" w:type="dxa"/>
            <w:vAlign w:val="bottom"/>
            <w:vMerge w:val="continue"/>
          </w:tcPr>
          <w:p>
            <w:pPr>
              <w:spacing w:after="0"/>
              <w:rPr>
                <w:sz w:val="9"/>
                <w:szCs w:val="9"/>
                <w:color w:val="auto"/>
              </w:rPr>
            </w:pPr>
          </w:p>
        </w:tc>
        <w:tc>
          <w:tcPr>
            <w:tcW w:w="1200" w:type="dxa"/>
            <w:vAlign w:val="bottom"/>
            <w:vMerge w:val="restart"/>
            <w:shd w:val="clear" w:color="auto" w:fill="E6E6E6"/>
          </w:tcPr>
          <w:p>
            <w:pPr>
              <w:jc w:val="right"/>
              <w:ind w:right="315"/>
              <w:spacing w:after="0"/>
              <w:rPr>
                <w:sz w:val="20"/>
                <w:szCs w:val="20"/>
                <w:color w:val="auto"/>
              </w:rPr>
            </w:pPr>
            <w:r>
              <w:rPr>
                <w:rFonts w:ascii="Arial" w:cs="Arial" w:eastAsia="Arial" w:hAnsi="Arial"/>
                <w:sz w:val="17"/>
                <w:szCs w:val="17"/>
                <w:b w:val="1"/>
                <w:bCs w:val="1"/>
                <w:color w:val="auto"/>
              </w:rPr>
              <w:t>12%</w:t>
            </w:r>
          </w:p>
        </w:tc>
        <w:tc>
          <w:tcPr>
            <w:tcW w:w="400" w:type="dxa"/>
            <w:vAlign w:val="bottom"/>
            <w:shd w:val="clear" w:color="auto" w:fill="CCCCCC"/>
          </w:tcPr>
          <w:p>
            <w:pPr>
              <w:spacing w:after="0"/>
              <w:rPr>
                <w:sz w:val="9"/>
                <w:szCs w:val="9"/>
                <w:color w:val="auto"/>
              </w:rPr>
            </w:pPr>
          </w:p>
        </w:tc>
        <w:tc>
          <w:tcPr>
            <w:tcW w:w="1320" w:type="dxa"/>
            <w:vAlign w:val="bottom"/>
            <w:gridSpan w:val="2"/>
            <w:vMerge w:val="restart"/>
            <w:shd w:val="clear" w:color="auto" w:fill="CCCCCC"/>
          </w:tcPr>
          <w:p>
            <w:pPr>
              <w:jc w:val="right"/>
              <w:ind w:right="440"/>
              <w:spacing w:after="0"/>
              <w:rPr>
                <w:sz w:val="20"/>
                <w:szCs w:val="20"/>
                <w:color w:val="auto"/>
              </w:rPr>
            </w:pPr>
            <w:r>
              <w:rPr>
                <w:rFonts w:ascii="Arial" w:cs="Arial" w:eastAsia="Arial" w:hAnsi="Arial"/>
                <w:sz w:val="17"/>
                <w:szCs w:val="17"/>
                <w:b w:val="1"/>
                <w:bCs w:val="1"/>
                <w:color w:val="auto"/>
              </w:rPr>
              <w:t>18%</w:t>
            </w:r>
          </w:p>
        </w:tc>
        <w:tc>
          <w:tcPr>
            <w:tcW w:w="280" w:type="dxa"/>
            <w:vAlign w:val="bottom"/>
            <w:shd w:val="clear" w:color="auto" w:fill="CCCCCC"/>
          </w:tcPr>
          <w:p>
            <w:pPr>
              <w:spacing w:after="0"/>
              <w:rPr>
                <w:sz w:val="9"/>
                <w:szCs w:val="9"/>
                <w:color w:val="auto"/>
              </w:rPr>
            </w:pPr>
          </w:p>
        </w:tc>
        <w:tc>
          <w:tcPr>
            <w:tcW w:w="960" w:type="dxa"/>
            <w:vAlign w:val="bottom"/>
            <w:shd w:val="clear" w:color="auto" w:fill="FB1717"/>
          </w:tcPr>
          <w:p>
            <w:pPr>
              <w:spacing w:after="0"/>
              <w:rPr>
                <w:sz w:val="9"/>
                <w:szCs w:val="9"/>
                <w:color w:val="auto"/>
              </w:rPr>
            </w:pPr>
          </w:p>
        </w:tc>
        <w:tc>
          <w:tcPr>
            <w:tcW w:w="4740" w:type="dxa"/>
            <w:vAlign w:val="bottom"/>
            <w:gridSpan w:val="2"/>
            <w:vMerge w:val="restart"/>
            <w:shd w:val="clear" w:color="auto" w:fill="FB1717"/>
          </w:tcPr>
          <w:p>
            <w:pPr>
              <w:jc w:val="right"/>
              <w:ind w:right="2475"/>
              <w:spacing w:after="0"/>
              <w:rPr>
                <w:sz w:val="20"/>
                <w:szCs w:val="20"/>
                <w:color w:val="auto"/>
              </w:rPr>
            </w:pPr>
            <w:r>
              <w:rPr>
                <w:rFonts w:ascii="Arial" w:cs="Arial" w:eastAsia="Arial" w:hAnsi="Arial"/>
                <w:sz w:val="17"/>
                <w:szCs w:val="17"/>
                <w:b w:val="1"/>
                <w:bCs w:val="1"/>
                <w:color w:val="FFFFFF"/>
              </w:rPr>
              <w:t>70%</w:t>
            </w:r>
          </w:p>
        </w:tc>
        <w:tc>
          <w:tcPr>
            <w:tcW w:w="0" w:type="dxa"/>
            <w:vAlign w:val="bottom"/>
          </w:tcPr>
          <w:p>
            <w:pPr>
              <w:spacing w:after="0"/>
              <w:rPr>
                <w:sz w:val="1"/>
                <w:szCs w:val="1"/>
                <w:color w:val="auto"/>
              </w:rPr>
            </w:pPr>
          </w:p>
        </w:tc>
      </w:tr>
      <w:tr>
        <w:trPr>
          <w:trHeight w:val="190"/>
        </w:trPr>
        <w:tc>
          <w:tcPr>
            <w:tcW w:w="1180" w:type="dxa"/>
            <w:vAlign w:val="bottom"/>
          </w:tcPr>
          <w:p>
            <w:pPr>
              <w:jc w:val="center"/>
              <w:ind w:right="115"/>
              <w:spacing w:after="0" w:line="190" w:lineRule="exact"/>
              <w:rPr>
                <w:sz w:val="20"/>
                <w:szCs w:val="20"/>
                <w:color w:val="auto"/>
              </w:rPr>
            </w:pPr>
            <w:r>
              <w:rPr>
                <w:rFonts w:ascii="Arial" w:cs="Arial" w:eastAsia="Arial" w:hAnsi="Arial"/>
                <w:sz w:val="17"/>
                <w:szCs w:val="17"/>
                <w:b w:val="1"/>
                <w:bCs w:val="1"/>
                <w:color w:val="auto"/>
              </w:rPr>
              <w:t>Mix</w:t>
            </w:r>
          </w:p>
        </w:tc>
        <w:tc>
          <w:tcPr>
            <w:tcW w:w="1200" w:type="dxa"/>
            <w:vAlign w:val="bottom"/>
            <w:tcBorders>
              <w:bottom w:val="single" w:sz="8" w:color="E6E6E6"/>
            </w:tcBorders>
            <w:vMerge w:val="continue"/>
            <w:shd w:val="clear" w:color="auto" w:fill="E6E6E6"/>
          </w:tcPr>
          <w:p>
            <w:pPr>
              <w:spacing w:after="0"/>
              <w:rPr>
                <w:sz w:val="16"/>
                <w:szCs w:val="16"/>
                <w:color w:val="auto"/>
              </w:rPr>
            </w:pPr>
          </w:p>
        </w:tc>
        <w:tc>
          <w:tcPr>
            <w:tcW w:w="400" w:type="dxa"/>
            <w:vAlign w:val="bottom"/>
            <w:tcBorders>
              <w:bottom w:val="single" w:sz="8" w:color="CCCCCC"/>
            </w:tcBorders>
            <w:shd w:val="clear" w:color="auto" w:fill="CCCCCC"/>
          </w:tcPr>
          <w:p>
            <w:pPr>
              <w:spacing w:after="0"/>
              <w:rPr>
                <w:sz w:val="16"/>
                <w:szCs w:val="16"/>
                <w:color w:val="auto"/>
              </w:rPr>
            </w:pPr>
          </w:p>
        </w:tc>
        <w:tc>
          <w:tcPr>
            <w:tcW w:w="1320" w:type="dxa"/>
            <w:vAlign w:val="bottom"/>
            <w:tcBorders>
              <w:bottom w:val="single" w:sz="8" w:color="CCCCCC"/>
            </w:tcBorders>
            <w:gridSpan w:val="2"/>
            <w:vMerge w:val="continue"/>
            <w:shd w:val="clear" w:color="auto" w:fill="CCCCCC"/>
          </w:tcPr>
          <w:p>
            <w:pPr>
              <w:spacing w:after="0"/>
              <w:rPr>
                <w:sz w:val="16"/>
                <w:szCs w:val="16"/>
                <w:color w:val="auto"/>
              </w:rPr>
            </w:pPr>
          </w:p>
        </w:tc>
        <w:tc>
          <w:tcPr>
            <w:tcW w:w="280" w:type="dxa"/>
            <w:vAlign w:val="bottom"/>
            <w:tcBorders>
              <w:bottom w:val="single" w:sz="8" w:color="CCCCCC"/>
            </w:tcBorders>
            <w:shd w:val="clear" w:color="auto" w:fill="CCCCCC"/>
          </w:tcPr>
          <w:p>
            <w:pPr>
              <w:spacing w:after="0"/>
              <w:rPr>
                <w:sz w:val="16"/>
                <w:szCs w:val="16"/>
                <w:color w:val="auto"/>
              </w:rPr>
            </w:pPr>
          </w:p>
        </w:tc>
        <w:tc>
          <w:tcPr>
            <w:tcW w:w="960" w:type="dxa"/>
            <w:vAlign w:val="bottom"/>
            <w:tcBorders>
              <w:bottom w:val="single" w:sz="8" w:color="FB1717"/>
            </w:tcBorders>
            <w:shd w:val="clear" w:color="auto" w:fill="FB1717"/>
          </w:tcPr>
          <w:p>
            <w:pPr>
              <w:spacing w:after="0"/>
              <w:rPr>
                <w:sz w:val="16"/>
                <w:szCs w:val="16"/>
                <w:color w:val="auto"/>
              </w:rPr>
            </w:pPr>
          </w:p>
        </w:tc>
        <w:tc>
          <w:tcPr>
            <w:tcW w:w="4740" w:type="dxa"/>
            <w:vAlign w:val="bottom"/>
            <w:tcBorders>
              <w:bottom w:val="single" w:sz="8" w:color="FB1717"/>
            </w:tcBorders>
            <w:gridSpan w:val="2"/>
            <w:vMerge w:val="continue"/>
            <w:shd w:val="clear" w:color="auto" w:fill="FB1717"/>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Borders>
              <w:top w:val="single" w:sz="8" w:color="auto"/>
              <w:bottom w:val="single" w:sz="8" w:color="auto"/>
            </w:tcBorders>
            <w:shd w:val="clear" w:color="auto" w:fill="000000"/>
          </w:tcPr>
          <w:p>
            <w:pPr>
              <w:spacing w:after="0"/>
              <w:rPr>
                <w:sz w:val="17"/>
                <w:szCs w:val="17"/>
                <w:color w:val="auto"/>
              </w:rPr>
            </w:pPr>
          </w:p>
        </w:tc>
        <w:tc>
          <w:tcPr>
            <w:tcW w:w="400" w:type="dxa"/>
            <w:vAlign w:val="bottom"/>
            <w:tcBorders>
              <w:top w:val="single" w:sz="8" w:color="auto"/>
              <w:bottom w:val="single" w:sz="8" w:color="auto"/>
            </w:tcBorders>
            <w:shd w:val="clear" w:color="auto" w:fill="000000"/>
          </w:tcPr>
          <w:p>
            <w:pPr>
              <w:spacing w:after="0"/>
              <w:rPr>
                <w:sz w:val="17"/>
                <w:szCs w:val="17"/>
                <w:color w:val="auto"/>
              </w:rPr>
            </w:pPr>
          </w:p>
        </w:tc>
        <w:tc>
          <w:tcPr>
            <w:tcW w:w="920" w:type="dxa"/>
            <w:vAlign w:val="bottom"/>
            <w:tcBorders>
              <w:top w:val="single" w:sz="8" w:color="auto"/>
              <w:bottom w:val="single" w:sz="8" w:color="auto"/>
            </w:tcBorders>
            <w:shd w:val="clear" w:color="auto" w:fill="000000"/>
          </w:tcPr>
          <w:p>
            <w:pPr>
              <w:spacing w:after="0"/>
              <w:rPr>
                <w:sz w:val="17"/>
                <w:szCs w:val="17"/>
                <w:color w:val="auto"/>
              </w:rPr>
            </w:pPr>
          </w:p>
        </w:tc>
        <w:tc>
          <w:tcPr>
            <w:tcW w:w="280" w:type="dxa"/>
            <w:vAlign w:val="bottom"/>
            <w:tcBorders>
              <w:top w:val="single" w:sz="8" w:color="auto"/>
              <w:bottom w:val="single" w:sz="8" w:color="auto"/>
            </w:tcBorders>
            <w:shd w:val="clear" w:color="auto" w:fill="000000"/>
          </w:tcPr>
          <w:p>
            <w:pPr>
              <w:spacing w:after="0"/>
              <w:rPr>
                <w:sz w:val="17"/>
                <w:szCs w:val="17"/>
                <w:color w:val="auto"/>
              </w:rPr>
            </w:pPr>
          </w:p>
        </w:tc>
        <w:tc>
          <w:tcPr>
            <w:tcW w:w="5700" w:type="dxa"/>
            <w:vAlign w:val="bottom"/>
            <w:tcBorders>
              <w:top w:val="single" w:sz="8" w:color="auto"/>
              <w:bottom w:val="single" w:sz="8" w:color="auto"/>
            </w:tcBorders>
            <w:gridSpan w:val="3"/>
            <w:shd w:val="clear" w:color="auto" w:fill="000000"/>
          </w:tcPr>
          <w:p>
            <w:pPr>
              <w:ind w:left="660"/>
              <w:spacing w:after="0"/>
              <w:rPr>
                <w:sz w:val="20"/>
                <w:szCs w:val="20"/>
                <w:color w:val="auto"/>
              </w:rPr>
            </w:pPr>
            <w:r>
              <w:rPr>
                <w:rFonts w:ascii="Arial" w:cs="Arial" w:eastAsia="Arial" w:hAnsi="Arial"/>
                <w:sz w:val="17"/>
                <w:szCs w:val="17"/>
                <w:b w:val="1"/>
                <w:bCs w:val="1"/>
                <w:color w:val="FFFFFF"/>
              </w:rPr>
              <w:t>88% Performance-Based At Risk</w:t>
            </w:r>
          </w:p>
        </w:tc>
        <w:tc>
          <w:tcPr>
            <w:tcW w:w="0" w:type="dxa"/>
            <w:vAlign w:val="bottom"/>
          </w:tcPr>
          <w:p>
            <w:pPr>
              <w:spacing w:after="0"/>
              <w:rPr>
                <w:sz w:val="1"/>
                <w:szCs w:val="1"/>
                <w:color w:val="auto"/>
              </w:rPr>
            </w:pPr>
          </w:p>
        </w:tc>
      </w:tr>
      <w:tr>
        <w:trPr>
          <w:trHeight w:val="447"/>
        </w:trPr>
        <w:tc>
          <w:tcPr>
            <w:tcW w:w="1180" w:type="dxa"/>
            <w:vAlign w:val="bottom"/>
          </w:tcPr>
          <w:p>
            <w:pPr>
              <w:jc w:val="center"/>
              <w:ind w:right="115"/>
              <w:spacing w:after="0"/>
              <w:rPr>
                <w:sz w:val="20"/>
                <w:szCs w:val="20"/>
                <w:color w:val="auto"/>
              </w:rPr>
            </w:pPr>
            <w:r>
              <w:rPr>
                <w:rFonts w:ascii="Arial" w:cs="Arial" w:eastAsia="Arial" w:hAnsi="Arial"/>
                <w:sz w:val="17"/>
                <w:szCs w:val="17"/>
                <w:b w:val="1"/>
                <w:bCs w:val="1"/>
                <w:color w:val="auto"/>
                <w:w w:val="98"/>
              </w:rPr>
              <w:t>Average</w:t>
            </w:r>
          </w:p>
        </w:tc>
        <w:tc>
          <w:tcPr>
            <w:tcW w:w="1600" w:type="dxa"/>
            <w:vAlign w:val="bottom"/>
            <w:gridSpan w:val="2"/>
          </w:tcPr>
          <w:p>
            <w:pPr>
              <w:jc w:val="center"/>
              <w:ind w:left="375"/>
              <w:spacing w:after="0"/>
              <w:rPr>
                <w:sz w:val="20"/>
                <w:szCs w:val="20"/>
                <w:color w:val="auto"/>
              </w:rPr>
            </w:pPr>
            <w:r>
              <w:rPr>
                <w:rFonts w:ascii="Arial" w:cs="Arial" w:eastAsia="Arial" w:hAnsi="Arial"/>
                <w:sz w:val="17"/>
                <w:szCs w:val="17"/>
                <w:color w:val="auto"/>
              </w:rPr>
              <w:t>Base Pay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auto"/>
              </w:rPr>
              <w:t>Annual Bonus</w:t>
            </w:r>
          </w:p>
        </w:tc>
        <w:tc>
          <w:tcPr>
            <w:tcW w:w="640" w:type="dxa"/>
            <w:vAlign w:val="bottom"/>
          </w:tcPr>
          <w:p>
            <w:pPr>
              <w:spacing w:after="0"/>
              <w:rPr>
                <w:sz w:val="24"/>
                <w:szCs w:val="24"/>
                <w:color w:val="auto"/>
              </w:rPr>
            </w:pPr>
          </w:p>
        </w:tc>
        <w:tc>
          <w:tcPr>
            <w:tcW w:w="4100" w:type="dxa"/>
            <w:vAlign w:val="bottom"/>
          </w:tcPr>
          <w:p>
            <w:pPr>
              <w:jc w:val="center"/>
              <w:ind w:left="155"/>
              <w:spacing w:after="0"/>
              <w:rPr>
                <w:sz w:val="20"/>
                <w:szCs w:val="20"/>
                <w:color w:val="auto"/>
              </w:rPr>
            </w:pPr>
            <w:r>
              <w:rPr>
                <w:rFonts w:ascii="Arial" w:cs="Arial" w:eastAsia="Arial" w:hAnsi="Arial"/>
                <w:sz w:val="17"/>
                <w:szCs w:val="17"/>
                <w:color w:val="auto"/>
                <w:w w:val="98"/>
              </w:rPr>
              <w:t>Long-Term</w:t>
            </w:r>
          </w:p>
        </w:tc>
        <w:tc>
          <w:tcPr>
            <w:tcW w:w="0" w:type="dxa"/>
            <w:vAlign w:val="bottom"/>
          </w:tcPr>
          <w:p>
            <w:pPr>
              <w:spacing w:after="0"/>
              <w:rPr>
                <w:sz w:val="1"/>
                <w:szCs w:val="1"/>
                <w:color w:val="auto"/>
              </w:rPr>
            </w:pPr>
          </w:p>
        </w:tc>
      </w:tr>
      <w:tr>
        <w:trPr>
          <w:trHeight w:val="250"/>
        </w:trPr>
        <w:tc>
          <w:tcPr>
            <w:tcW w:w="1180" w:type="dxa"/>
            <w:vAlign w:val="bottom"/>
          </w:tcPr>
          <w:p>
            <w:pPr>
              <w:jc w:val="center"/>
              <w:ind w:right="115"/>
              <w:spacing w:after="0"/>
              <w:rPr>
                <w:sz w:val="20"/>
                <w:szCs w:val="20"/>
                <w:color w:val="auto"/>
              </w:rPr>
            </w:pPr>
            <w:r>
              <w:rPr>
                <w:rFonts w:ascii="Arial" w:cs="Arial" w:eastAsia="Arial" w:hAnsi="Arial"/>
                <w:sz w:val="17"/>
                <w:szCs w:val="17"/>
                <w:b w:val="1"/>
                <w:bCs w:val="1"/>
                <w:color w:val="auto"/>
              </w:rPr>
              <w:t>Other NEOs</w:t>
            </w:r>
          </w:p>
        </w:tc>
        <w:tc>
          <w:tcPr>
            <w:tcW w:w="1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b w:val="1"/>
                <w:bCs w:val="1"/>
                <w:color w:val="auto"/>
              </w:rPr>
              <w:t>27%</w:t>
            </w:r>
          </w:p>
        </w:tc>
        <w:tc>
          <w:tcPr>
            <w:tcW w:w="40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E6E6E6"/>
            </w:tcBorders>
            <w:shd w:val="clear" w:color="auto" w:fill="E6E6E6"/>
          </w:tcPr>
          <w:p>
            <w:pPr>
              <w:spacing w:after="0"/>
              <w:rPr>
                <w:sz w:val="21"/>
                <w:szCs w:val="21"/>
                <w:color w:val="auto"/>
              </w:rPr>
            </w:pPr>
          </w:p>
        </w:tc>
        <w:tc>
          <w:tcPr>
            <w:tcW w:w="920" w:type="dxa"/>
            <w:vAlign w:val="bottom"/>
            <w:tcBorders>
              <w:bottom w:val="single" w:sz="8" w:color="CCCCCC"/>
            </w:tcBorders>
            <w:shd w:val="clear" w:color="auto" w:fill="CCCCCC"/>
          </w:tcPr>
          <w:p>
            <w:pPr>
              <w:spacing w:after="0"/>
              <w:rPr>
                <w:sz w:val="21"/>
                <w:szCs w:val="21"/>
                <w:color w:val="auto"/>
              </w:rPr>
            </w:pPr>
          </w:p>
        </w:tc>
        <w:tc>
          <w:tcPr>
            <w:tcW w:w="1240" w:type="dxa"/>
            <w:vAlign w:val="bottom"/>
            <w:tcBorders>
              <w:bottom w:val="single" w:sz="8" w:color="CCCCCC"/>
            </w:tcBorders>
            <w:gridSpan w:val="2"/>
            <w:shd w:val="clear" w:color="auto" w:fill="CCCCCC"/>
          </w:tcPr>
          <w:p>
            <w:pPr>
              <w:jc w:val="right"/>
              <w:ind w:right="395"/>
              <w:spacing w:after="0"/>
              <w:rPr>
                <w:sz w:val="20"/>
                <w:szCs w:val="20"/>
                <w:color w:val="auto"/>
              </w:rPr>
            </w:pPr>
            <w:r>
              <w:rPr>
                <w:rFonts w:ascii="Arial" w:cs="Arial" w:eastAsia="Arial" w:hAnsi="Arial"/>
                <w:sz w:val="17"/>
                <w:szCs w:val="17"/>
                <w:b w:val="1"/>
                <w:bCs w:val="1"/>
                <w:color w:val="auto"/>
              </w:rPr>
              <w:t>27%</w:t>
            </w:r>
          </w:p>
        </w:tc>
        <w:tc>
          <w:tcPr>
            <w:tcW w:w="640" w:type="dxa"/>
            <w:vAlign w:val="bottom"/>
            <w:tcBorders>
              <w:bottom w:val="single" w:sz="8" w:color="CCCCCC"/>
            </w:tcBorders>
            <w:shd w:val="clear" w:color="auto" w:fill="CCCCCC"/>
          </w:tcPr>
          <w:p>
            <w:pPr>
              <w:spacing w:after="0"/>
              <w:rPr>
                <w:sz w:val="21"/>
                <w:szCs w:val="21"/>
                <w:color w:val="auto"/>
              </w:rPr>
            </w:pPr>
          </w:p>
        </w:tc>
        <w:tc>
          <w:tcPr>
            <w:tcW w:w="4100" w:type="dxa"/>
            <w:vAlign w:val="bottom"/>
            <w:tcBorders>
              <w:bottom w:val="single" w:sz="8" w:color="FB1717"/>
            </w:tcBorders>
            <w:shd w:val="clear" w:color="auto" w:fill="FB1717"/>
          </w:tcPr>
          <w:p>
            <w:pPr>
              <w:jc w:val="right"/>
              <w:ind w:right="1675"/>
              <w:spacing w:after="0"/>
              <w:rPr>
                <w:sz w:val="20"/>
                <w:szCs w:val="20"/>
                <w:color w:val="auto"/>
              </w:rPr>
            </w:pPr>
            <w:r>
              <w:rPr>
                <w:rFonts w:ascii="Arial" w:cs="Arial" w:eastAsia="Arial" w:hAnsi="Arial"/>
                <w:sz w:val="17"/>
                <w:szCs w:val="17"/>
                <w:b w:val="1"/>
                <w:bCs w:val="1"/>
                <w:color w:val="FFFFFF"/>
              </w:rPr>
              <w:t>46%</w:t>
            </w:r>
          </w:p>
        </w:tc>
        <w:tc>
          <w:tcPr>
            <w:tcW w:w="0" w:type="dxa"/>
            <w:vAlign w:val="bottom"/>
          </w:tcPr>
          <w:p>
            <w:pPr>
              <w:spacing w:after="0"/>
              <w:rPr>
                <w:sz w:val="1"/>
                <w:szCs w:val="1"/>
                <w:color w:val="auto"/>
              </w:rPr>
            </w:pPr>
          </w:p>
        </w:tc>
      </w:tr>
      <w:tr>
        <w:trPr>
          <w:trHeight w:val="154"/>
        </w:trPr>
        <w:tc>
          <w:tcPr>
            <w:tcW w:w="1180" w:type="dxa"/>
            <w:vAlign w:val="bottom"/>
          </w:tcPr>
          <w:p>
            <w:pPr>
              <w:jc w:val="center"/>
              <w:ind w:right="115"/>
              <w:spacing w:after="0" w:line="154" w:lineRule="exact"/>
              <w:rPr>
                <w:sz w:val="20"/>
                <w:szCs w:val="20"/>
                <w:color w:val="auto"/>
              </w:rPr>
            </w:pPr>
            <w:r>
              <w:rPr>
                <w:rFonts w:ascii="Arial" w:cs="Arial" w:eastAsia="Arial" w:hAnsi="Arial"/>
                <w:sz w:val="17"/>
                <w:szCs w:val="17"/>
                <w:b w:val="1"/>
                <w:bCs w:val="1"/>
                <w:color w:val="auto"/>
                <w:w w:val="97"/>
              </w:rPr>
              <w:t>Pay Mix</w:t>
            </w: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28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4740" w:type="dxa"/>
            <w:vAlign w:val="bottom"/>
            <w:gridSpan w:val="2"/>
            <w:vMerge w:val="restart"/>
            <w:shd w:val="clear" w:color="auto" w:fill="000000"/>
          </w:tcPr>
          <w:p>
            <w:pPr>
              <w:ind w:left="100"/>
              <w:spacing w:after="0"/>
              <w:rPr>
                <w:sz w:val="20"/>
                <w:szCs w:val="20"/>
                <w:color w:val="auto"/>
              </w:rPr>
            </w:pPr>
            <w:r>
              <w:rPr>
                <w:rFonts w:ascii="Arial" w:cs="Arial" w:eastAsia="Arial" w:hAnsi="Arial"/>
                <w:sz w:val="17"/>
                <w:szCs w:val="17"/>
                <w:b w:val="1"/>
                <w:bCs w:val="1"/>
                <w:color w:val="FFFFFF"/>
              </w:rPr>
              <w:t>73% Performance-Based At Risk</w:t>
            </w:r>
          </w:p>
        </w:tc>
        <w:tc>
          <w:tcPr>
            <w:tcW w:w="0" w:type="dxa"/>
            <w:vAlign w:val="bottom"/>
          </w:tcPr>
          <w:p>
            <w:pPr>
              <w:spacing w:after="0"/>
              <w:rPr>
                <w:sz w:val="1"/>
                <w:szCs w:val="1"/>
                <w:color w:val="auto"/>
              </w:rPr>
            </w:pPr>
          </w:p>
        </w:tc>
      </w:tr>
      <w:tr>
        <w:trPr>
          <w:trHeight w:val="90"/>
        </w:trPr>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740" w:type="dxa"/>
            <w:vAlign w:val="bottom"/>
            <w:gridSpan w:val="2"/>
            <w:vMerge w:val="continue"/>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INDIVIDUAL ELEMENTS OF 2022 PAY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Pay</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base pay levels established for each of our NEOs represent a modest portion of each individual’s total compensation package and the Compensation Committee believes them to be competitive and appropriate based on the market data provided by SBCG. Each NEO received a base pay increase in 2022 with this being the first increase for Mr. Wood since 2016 and the first increase for each of Mr. Guglielmone and Ms. Becker since 2019. The base pay increase for Mr. Berkes was part of the continued adjustment of his overall compensation package to market levels for his position which he was promoted into in 2021.</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Bonus Program</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bonus plan is an annual cash incentive program designed to reward achievement for the current year based on achieving a level of FFO per share that the Committee has determined is necessary for the Company to achieve its business objectives for the year. The Compensation Committee has determined that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FFO per share at the beginning of each year with levels reflecting performance that ranges from acceptable at the threshold level to exceptional at the stretch level based on budgets reviewed by the entire Board. Approximately 95% of our employees participate in this annual bonus plan.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shd w:val="clear" w:color="auto" w:fill="FB1717"/>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right w:val="single" w:sz="8" w:color="FB1717"/>
            </w:tcBorders>
            <w:gridSpan w:val="3"/>
            <w:shd w:val="clear" w:color="auto" w:fill="FB1717"/>
          </w:tcPr>
          <w:p>
            <w:pPr>
              <w:ind w:left="1000"/>
              <w:spacing w:after="0"/>
              <w:rPr>
                <w:sz w:val="20"/>
                <w:szCs w:val="20"/>
                <w:color w:val="auto"/>
              </w:rPr>
            </w:pPr>
            <w:r>
              <w:rPr>
                <w:rFonts w:ascii="Arial" w:cs="Arial" w:eastAsia="Arial" w:hAnsi="Arial"/>
                <w:sz w:val="18"/>
                <w:szCs w:val="18"/>
                <w:b w:val="1"/>
                <w:bCs w:val="1"/>
                <w:color w:val="FFFFFF"/>
              </w:rPr>
              <w:t>Performance Levels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right w:val="single" w:sz="8" w:color="FB1717"/>
            </w:tcBorders>
            <w:shd w:val="clear" w:color="auto" w:fill="FB1717"/>
          </w:tcPr>
          <w:p>
            <w:pPr>
              <w:spacing w:after="0"/>
              <w:rPr>
                <w:sz w:val="19"/>
                <w:szCs w:val="19"/>
                <w:color w:val="auto"/>
              </w:rPr>
            </w:pPr>
          </w:p>
        </w:tc>
      </w:tr>
      <w:tr>
        <w:trPr>
          <w:trHeight w:val="257"/>
        </w:trPr>
        <w:tc>
          <w:tcPr>
            <w:tcW w:w="3980" w:type="dxa"/>
            <w:vAlign w:val="bottom"/>
            <w:tcBorders>
              <w:bottom w:val="single" w:sz="8" w:color="FB1717"/>
            </w:tcBorders>
            <w:shd w:val="clear" w:color="auto" w:fill="FB1717"/>
          </w:tcPr>
          <w:p>
            <w:pPr>
              <w:ind w:left="60"/>
              <w:spacing w:after="0"/>
              <w:rPr>
                <w:sz w:val="20"/>
                <w:szCs w:val="20"/>
                <w:color w:val="auto"/>
              </w:rPr>
            </w:pPr>
            <w:r>
              <w:rPr>
                <w:rFonts w:ascii="Arial" w:cs="Arial" w:eastAsia="Arial" w:hAnsi="Arial"/>
                <w:sz w:val="18"/>
                <w:szCs w:val="18"/>
                <w:b w:val="1"/>
                <w:bCs w:val="1"/>
                <w:color w:val="FFFFFF"/>
              </w:rPr>
              <w:t>Performance Goal</w:t>
            </w:r>
          </w:p>
        </w:tc>
        <w:tc>
          <w:tcPr>
            <w:tcW w:w="100" w:type="dxa"/>
            <w:vAlign w:val="bottom"/>
          </w:tcPr>
          <w:p>
            <w:pPr>
              <w:spacing w:after="0"/>
              <w:rPr>
                <w:sz w:val="22"/>
                <w:szCs w:val="22"/>
                <w:color w:val="auto"/>
              </w:rPr>
            </w:pPr>
          </w:p>
        </w:tc>
        <w:tc>
          <w:tcPr>
            <w:tcW w:w="1280" w:type="dxa"/>
            <w:vAlign w:val="bottom"/>
            <w:tcBorders>
              <w:bottom w:val="single" w:sz="8" w:color="FB1717"/>
            </w:tcBorders>
            <w:shd w:val="clear" w:color="auto" w:fill="FB1717"/>
          </w:tcPr>
          <w:p>
            <w:pPr>
              <w:ind w:left="200"/>
              <w:spacing w:after="0"/>
              <w:rPr>
                <w:sz w:val="20"/>
                <w:szCs w:val="20"/>
                <w:color w:val="auto"/>
              </w:rPr>
            </w:pPr>
            <w:r>
              <w:rPr>
                <w:rFonts w:ascii="Arial" w:cs="Arial" w:eastAsia="Arial" w:hAnsi="Arial"/>
                <w:sz w:val="18"/>
                <w:szCs w:val="18"/>
                <w:b w:val="1"/>
                <w:bCs w:val="1"/>
                <w:color w:val="FFFFFF"/>
              </w:rPr>
              <w:t>Threshold</w:t>
            </w:r>
          </w:p>
        </w:tc>
        <w:tc>
          <w:tcPr>
            <w:tcW w:w="960" w:type="dxa"/>
            <w:vAlign w:val="bottom"/>
            <w:tcBorders>
              <w:bottom w:val="single" w:sz="8" w:color="FB1717"/>
              <w:right w:val="single" w:sz="8" w:color="FB1717"/>
            </w:tcBorders>
            <w:shd w:val="clear" w:color="auto" w:fill="FB1717"/>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460" w:type="dxa"/>
            <w:vAlign w:val="bottom"/>
            <w:tcBorders>
              <w:bottom w:val="single" w:sz="8" w:color="FB1717"/>
              <w:right w:val="single" w:sz="8" w:color="FB1717"/>
            </w:tcBorders>
            <w:shd w:val="clear" w:color="auto" w:fill="FB1717"/>
          </w:tcPr>
          <w:p>
            <w:pPr>
              <w:jc w:val="center"/>
              <w:spacing w:after="0"/>
              <w:rPr>
                <w:sz w:val="20"/>
                <w:szCs w:val="20"/>
                <w:color w:val="auto"/>
              </w:rPr>
            </w:pPr>
            <w:r>
              <w:rPr>
                <w:rFonts w:ascii="Arial" w:cs="Arial" w:eastAsia="Arial" w:hAnsi="Arial"/>
                <w:sz w:val="18"/>
                <w:szCs w:val="18"/>
                <w:b w:val="1"/>
                <w:bCs w:val="1"/>
                <w:color w:val="FFFFFF"/>
                <w:w w:val="99"/>
              </w:rPr>
              <w:t>Stretch</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FB1717"/>
              <w:right w:val="single" w:sz="8" w:color="FB1717"/>
            </w:tcBorders>
            <w:shd w:val="clear" w:color="auto" w:fill="FB1717"/>
          </w:tcPr>
          <w:p>
            <w:pPr>
              <w:ind w:left="220"/>
              <w:spacing w:after="0"/>
              <w:rPr>
                <w:sz w:val="20"/>
                <w:szCs w:val="20"/>
                <w:color w:val="auto"/>
              </w:rPr>
            </w:pPr>
            <w:r>
              <w:rPr>
                <w:rFonts w:ascii="Arial" w:cs="Arial" w:eastAsia="Arial" w:hAnsi="Arial"/>
                <w:sz w:val="18"/>
                <w:szCs w:val="18"/>
                <w:b w:val="1"/>
                <w:bCs w:val="1"/>
                <w:color w:val="FFFFFF"/>
              </w:rPr>
              <w:t>Actual</w:t>
            </w:r>
          </w:p>
        </w:tc>
      </w:tr>
      <w:tr>
        <w:trPr>
          <w:trHeight w:val="260"/>
        </w:trPr>
        <w:tc>
          <w:tcPr>
            <w:tcW w:w="3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i w:val="1"/>
                <w:iCs w:val="1"/>
                <w:color w:val="auto"/>
              </w:rPr>
              <w:t>Payout as Percentage of Target</w:t>
            </w:r>
          </w:p>
        </w:tc>
        <w:tc>
          <w:tcPr>
            <w:tcW w:w="100" w:type="dxa"/>
            <w:vAlign w:val="bottom"/>
          </w:tcPr>
          <w:p>
            <w:pPr>
              <w:spacing w:after="0"/>
              <w:rPr>
                <w:sz w:val="22"/>
                <w:szCs w:val="22"/>
                <w:color w:val="auto"/>
              </w:rPr>
            </w:pPr>
          </w:p>
        </w:tc>
        <w:tc>
          <w:tcPr>
            <w:tcW w:w="1280" w:type="dxa"/>
            <w:vAlign w:val="bottom"/>
            <w:tcBorders>
              <w:bottom w:val="single" w:sz="8" w:color="E6E6E6"/>
            </w:tcBorders>
            <w:shd w:val="clear" w:color="auto" w:fill="E6E6E6"/>
          </w:tcPr>
          <w:p>
            <w:pPr>
              <w:jc w:val="right"/>
              <w:ind w:right="370"/>
              <w:spacing w:after="0"/>
              <w:rPr>
                <w:sz w:val="20"/>
                <w:szCs w:val="20"/>
                <w:color w:val="auto"/>
              </w:rPr>
            </w:pPr>
            <w:r>
              <w:rPr>
                <w:rFonts w:ascii="Arial" w:cs="Arial" w:eastAsia="Arial" w:hAnsi="Arial"/>
                <w:sz w:val="18"/>
                <w:szCs w:val="18"/>
                <w:i w:val="1"/>
                <w:iCs w:val="1"/>
                <w:color w:val="auto"/>
              </w:rPr>
              <w:t>75%</w:t>
            </w:r>
          </w:p>
        </w:tc>
        <w:tc>
          <w:tcPr>
            <w:tcW w:w="9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i w:val="1"/>
                <w:iCs w:val="1"/>
                <w:color w:val="auto"/>
                <w:w w:val="99"/>
              </w:rPr>
              <w:t>100%</w:t>
            </w:r>
          </w:p>
        </w:tc>
        <w:tc>
          <w:tcPr>
            <w:tcW w:w="146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8"/>
                <w:szCs w:val="18"/>
                <w:i w:val="1"/>
                <w:iCs w:val="1"/>
                <w:color w:val="auto"/>
                <w:w w:val="99"/>
              </w:rPr>
              <w:t>125%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E6E6E6"/>
              <w:right w:val="single" w:sz="8" w:color="E6E6E6"/>
            </w:tcBorders>
            <w:shd w:val="clear" w:color="auto" w:fill="E6E6E6"/>
          </w:tcPr>
          <w:p>
            <w:pPr>
              <w:spacing w:after="0"/>
              <w:rPr>
                <w:sz w:val="22"/>
                <w:szCs w:val="22"/>
                <w:color w:val="auto"/>
              </w:rPr>
            </w:pPr>
          </w:p>
        </w:tc>
      </w:tr>
      <w:tr>
        <w:trPr>
          <w:trHeight w:val="266"/>
        </w:trPr>
        <w:tc>
          <w:tcPr>
            <w:tcW w:w="3980" w:type="dxa"/>
            <w:vAlign w:val="bottom"/>
          </w:tcPr>
          <w:p>
            <w:pPr>
              <w:ind w:left="60"/>
              <w:spacing w:after="0"/>
              <w:rPr>
                <w:sz w:val="20"/>
                <w:szCs w:val="20"/>
                <w:color w:val="auto"/>
              </w:rPr>
            </w:pPr>
            <w:r>
              <w:rPr>
                <w:rFonts w:ascii="Arial" w:cs="Arial" w:eastAsia="Arial" w:hAnsi="Arial"/>
                <w:sz w:val="18"/>
                <w:szCs w:val="18"/>
                <w:color w:val="auto"/>
              </w:rPr>
              <w:t>FFO per share</w:t>
            </w:r>
          </w:p>
        </w:tc>
        <w:tc>
          <w:tcPr>
            <w:tcW w:w="1380" w:type="dxa"/>
            <w:vAlign w:val="bottom"/>
            <w:gridSpan w:val="2"/>
          </w:tcPr>
          <w:p>
            <w:pPr>
              <w:jc w:val="right"/>
              <w:ind w:right="330"/>
              <w:spacing w:after="0"/>
              <w:rPr>
                <w:sz w:val="20"/>
                <w:szCs w:val="20"/>
                <w:color w:val="auto"/>
              </w:rPr>
            </w:pPr>
            <w:r>
              <w:rPr>
                <w:rFonts w:ascii="Arial" w:cs="Arial" w:eastAsia="Arial" w:hAnsi="Arial"/>
                <w:sz w:val="18"/>
                <w:szCs w:val="18"/>
                <w:color w:val="auto"/>
              </w:rPr>
              <w:t>$5.80</w:t>
            </w:r>
          </w:p>
        </w:tc>
        <w:tc>
          <w:tcPr>
            <w:tcW w:w="960" w:type="dxa"/>
            <w:vAlign w:val="bottom"/>
          </w:tcPr>
          <w:p>
            <w:pPr>
              <w:jc w:val="center"/>
              <w:spacing w:after="0"/>
              <w:rPr>
                <w:sz w:val="20"/>
                <w:szCs w:val="20"/>
                <w:color w:val="auto"/>
              </w:rPr>
            </w:pPr>
            <w:r>
              <w:rPr>
                <w:rFonts w:ascii="Arial" w:cs="Arial" w:eastAsia="Arial" w:hAnsi="Arial"/>
                <w:sz w:val="18"/>
                <w:szCs w:val="18"/>
                <w:color w:val="auto"/>
              </w:rPr>
              <w:t>$5.92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$6.06</w:t>
            </w:r>
          </w:p>
        </w:tc>
        <w:tc>
          <w:tcPr>
            <w:tcW w:w="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$6.32</w:t>
            </w:r>
          </w:p>
        </w:tc>
      </w:tr>
      <w:tr>
        <w:trPr>
          <w:trHeight w:val="260"/>
        </w:trPr>
        <w:tc>
          <w:tcPr>
            <w:tcW w:w="3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Final Payout</w:t>
            </w: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125.0%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2597150</wp:posOffset>
                </wp:positionH>
                <wp:positionV relativeFrom="paragraph">
                  <wp:posOffset>-688975</wp:posOffset>
                </wp:positionV>
                <wp:extent cx="233045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54.2499pt" to="388pt,-54.2499pt" o:allowincell="f" strokecolor="#FFFFFF" strokeweight="1pt"/>
            </w:pict>
          </mc:Fallback>
        </mc:AlternateConten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When set in February 2022, the achievement levels of FFO per share represented approximately 4%, 6.25% and nearly 9% year-over-year growth at the threshold, target and stretch levels, respectively, with threshold performance exceeding prior year actual results. These growth levels were consistent with pre-pandemic expectations and reflected all known and anticipated operating conditions at the time. The significant outperformance from expectations was driven primarily by our team’s achievement of a record level of top line revenue. This record revenue was largely attributable to better than expected increases in occupancy and rental rates, fewer tenant failures, lower levels of bad debt and higher supplemental rent payments made by tenants based on the strength of their sales.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6400800" cy="17780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48" o:spid="_x0000_s1473" style="position:absolute;margin-left:0pt;margin-top:10.1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128905</wp:posOffset>
                </wp:positionV>
                <wp:extent cx="0" cy="17780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15pt" to="0.75pt,24.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138430</wp:posOffset>
                </wp:positionV>
                <wp:extent cx="640080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pt" to="504pt,10.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128905</wp:posOffset>
                </wp:positionV>
                <wp:extent cx="0" cy="17780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15pt" to="503.25pt,24.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297180</wp:posOffset>
                </wp:positionV>
                <wp:extent cx="6400800"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4pt" to="504pt,23.4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5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23</w:t>
      </w:r>
    </w:p>
    <w:p>
      <w:pPr>
        <w:sectPr>
          <w:pgSz w:w="11880" w:h="15480" w:orient="portrait"/>
          <w:cols w:equalWidth="0" w:num="1">
            <w:col w:w="10080"/>
          </w:cols>
          <w:pgMar w:left="900" w:top="1316" w:right="900" w:bottom="764" w:gutter="0" w:footer="0" w:header="0"/>
          <w:type w:val="continuous"/>
        </w:sectPr>
      </w:pPr>
    </w:p>
    <w:bookmarkStart w:id="143" w:name="page144"/>
    <w:bookmarkEnd w:id="143"/>
    <w:p>
      <w:pPr>
        <w:jc w:val="both"/>
        <w:spacing w:after="0" w:line="247" w:lineRule="auto"/>
        <w:rPr>
          <w:sz w:val="20"/>
          <w:szCs w:val="20"/>
          <w:color w:val="auto"/>
        </w:rPr>
      </w:pPr>
      <w:r>
        <w:rPr>
          <w:rFonts w:ascii="Arial" w:cs="Arial" w:eastAsia="Arial" w:hAnsi="Arial"/>
          <w:sz w:val="20"/>
          <w:szCs w:val="20"/>
          <w:color w:val="auto"/>
        </w:rPr>
        <w:t>Company within that NEO’s area of responsibility. Based on a review of each individual’s performance and the considerations outlined in detail on pages 26-27, the Compensation Committee elected to award each of our NEOs the full amount of the individual performance portion of his/her bonus potential.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shd w:val="clear" w:color="auto" w:fill="FB1717"/>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shd w:val="clear" w:color="auto" w:fill="FB1717"/>
          </w:tcPr>
          <w:p>
            <w:pPr>
              <w:spacing w:after="0"/>
              <w:rPr>
                <w:sz w:val="19"/>
                <w:szCs w:val="19"/>
                <w:color w:val="auto"/>
              </w:rPr>
            </w:pPr>
          </w:p>
        </w:tc>
        <w:tc>
          <w:tcPr>
            <w:tcW w:w="220" w:type="dxa"/>
            <w:vAlign w:val="bottom"/>
            <w:shd w:val="clear" w:color="auto" w:fill="FB1717"/>
          </w:tcPr>
          <w:p>
            <w:pPr>
              <w:spacing w:after="0"/>
              <w:rPr>
                <w:sz w:val="19"/>
                <w:szCs w:val="19"/>
                <w:color w:val="auto"/>
              </w:rPr>
            </w:pPr>
          </w:p>
        </w:tc>
        <w:tc>
          <w:tcPr>
            <w:tcW w:w="900" w:type="dxa"/>
            <w:vAlign w:val="bottom"/>
            <w:shd w:val="clear" w:color="auto" w:fill="FB1717"/>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FB1717"/>
          </w:tcPr>
          <w:p>
            <w:pPr>
              <w:spacing w:after="0"/>
              <w:rPr>
                <w:sz w:val="19"/>
                <w:szCs w:val="19"/>
                <w:color w:val="auto"/>
              </w:rPr>
            </w:pPr>
          </w:p>
        </w:tc>
        <w:tc>
          <w:tcPr>
            <w:tcW w:w="960" w:type="dxa"/>
            <w:vAlign w:val="bottom"/>
            <w:vMerge w:val="restart"/>
            <w:shd w:val="clear" w:color="auto" w:fill="FB1717"/>
          </w:tcPr>
          <w:p>
            <w:pPr>
              <w:jc w:val="center"/>
              <w:ind w:right="30"/>
              <w:spacing w:after="0"/>
              <w:rPr>
                <w:sz w:val="20"/>
                <w:szCs w:val="20"/>
                <w:color w:val="auto"/>
              </w:rPr>
            </w:pPr>
            <w:r>
              <w:rPr>
                <w:rFonts w:ascii="Arial" w:cs="Arial" w:eastAsia="Arial" w:hAnsi="Arial"/>
                <w:sz w:val="18"/>
                <w:szCs w:val="18"/>
                <w:b w:val="1"/>
                <w:bCs w:val="1"/>
                <w:color w:val="FFFFFF"/>
              </w:rPr>
              <w:t>Actual</w:t>
            </w:r>
          </w:p>
        </w:tc>
        <w:tc>
          <w:tcPr>
            <w:tcW w:w="100" w:type="dxa"/>
            <w:vAlign w:val="bottom"/>
          </w:tcPr>
          <w:p>
            <w:pPr>
              <w:spacing w:after="0"/>
              <w:rPr>
                <w:sz w:val="19"/>
                <w:szCs w:val="19"/>
                <w:color w:val="auto"/>
              </w:rPr>
            </w:pPr>
          </w:p>
        </w:tc>
        <w:tc>
          <w:tcPr>
            <w:tcW w:w="280" w:type="dxa"/>
            <w:vAlign w:val="bottom"/>
            <w:shd w:val="clear" w:color="auto" w:fill="FB1717"/>
          </w:tcPr>
          <w:p>
            <w:pPr>
              <w:spacing w:after="0"/>
              <w:rPr>
                <w:sz w:val="19"/>
                <w:szCs w:val="19"/>
                <w:color w:val="auto"/>
              </w:rPr>
            </w:pPr>
          </w:p>
        </w:tc>
        <w:tc>
          <w:tcPr>
            <w:tcW w:w="820" w:type="dxa"/>
            <w:vAlign w:val="bottom"/>
            <w:shd w:val="clear" w:color="auto" w:fill="FB1717"/>
          </w:tcPr>
          <w:p>
            <w:pPr>
              <w:spacing w:after="0"/>
              <w:rPr>
                <w:sz w:val="19"/>
                <w:szCs w:val="19"/>
                <w:color w:val="auto"/>
              </w:rPr>
            </w:pPr>
          </w:p>
        </w:tc>
        <w:tc>
          <w:tcPr>
            <w:tcW w:w="1420" w:type="dxa"/>
            <w:vAlign w:val="bottom"/>
            <w:gridSpan w:val="2"/>
            <w:shd w:val="clear" w:color="auto" w:fill="FB1717"/>
          </w:tcPr>
          <w:p>
            <w:pPr>
              <w:ind w:left="140"/>
              <w:spacing w:after="0"/>
              <w:rPr>
                <w:sz w:val="20"/>
                <w:szCs w:val="20"/>
                <w:color w:val="auto"/>
              </w:rPr>
            </w:pPr>
            <w:r>
              <w:rPr>
                <w:rFonts w:ascii="Arial" w:cs="Arial" w:eastAsia="Arial" w:hAnsi="Arial"/>
                <w:sz w:val="18"/>
                <w:szCs w:val="18"/>
                <w:b w:val="1"/>
                <w:bCs w:val="1"/>
                <w:color w:val="FFFFFF"/>
              </w:rPr>
              <w:t>Actual Earned</w:t>
            </w:r>
          </w:p>
        </w:tc>
        <w:tc>
          <w:tcPr>
            <w:tcW w:w="280" w:type="dxa"/>
            <w:vAlign w:val="bottom"/>
            <w:shd w:val="clear" w:color="auto" w:fill="FB1717"/>
          </w:tcPr>
          <w:p>
            <w:pPr>
              <w:spacing w:after="0"/>
              <w:rPr>
                <w:sz w:val="19"/>
                <w:szCs w:val="19"/>
                <w:color w:val="auto"/>
              </w:rPr>
            </w:pPr>
          </w:p>
        </w:tc>
        <w:tc>
          <w:tcPr>
            <w:tcW w:w="880" w:type="dxa"/>
            <w:vAlign w:val="bottom"/>
            <w:shd w:val="clear" w:color="auto" w:fill="FB1717"/>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120" w:type="dxa"/>
            <w:vAlign w:val="bottom"/>
            <w:shd w:val="clear" w:color="auto" w:fill="FB1717"/>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shd w:val="clear" w:color="auto" w:fill="FB1717"/>
          </w:tcPr>
          <w:p>
            <w:pPr>
              <w:jc w:val="right"/>
              <w:ind w:right="250"/>
              <w:spacing w:after="0"/>
              <w:rPr>
                <w:sz w:val="20"/>
                <w:szCs w:val="20"/>
                <w:color w:val="auto"/>
              </w:rPr>
            </w:pPr>
            <w:r>
              <w:rPr>
                <w:rFonts w:ascii="Arial" w:cs="Arial" w:eastAsia="Arial" w:hAnsi="Arial"/>
                <w:sz w:val="18"/>
                <w:szCs w:val="18"/>
                <w:b w:val="1"/>
                <w:bCs w:val="1"/>
                <w:color w:val="FFFFFF"/>
              </w:rPr>
              <w:t>Target</w:t>
            </w:r>
          </w:p>
        </w:tc>
        <w:tc>
          <w:tcPr>
            <w:tcW w:w="220" w:type="dxa"/>
            <w:vAlign w:val="bottom"/>
            <w:shd w:val="clear" w:color="auto" w:fill="FB1717"/>
          </w:tcPr>
          <w:p>
            <w:pPr>
              <w:spacing w:after="0"/>
              <w:rPr>
                <w:sz w:val="11"/>
                <w:szCs w:val="11"/>
                <w:color w:val="auto"/>
              </w:rPr>
            </w:pPr>
          </w:p>
        </w:tc>
        <w:tc>
          <w:tcPr>
            <w:tcW w:w="900" w:type="dxa"/>
            <w:vAlign w:val="bottom"/>
            <w:vMerge w:val="restart"/>
            <w:shd w:val="clear" w:color="auto" w:fill="FB1717"/>
          </w:tcPr>
          <w:p>
            <w:pPr>
              <w:jc w:val="center"/>
              <w:ind w:right="90"/>
              <w:spacing w:after="0"/>
              <w:rPr>
                <w:sz w:val="20"/>
                <w:szCs w:val="20"/>
                <w:color w:val="auto"/>
              </w:rPr>
            </w:pPr>
            <w:r>
              <w:rPr>
                <w:rFonts w:ascii="Arial" w:cs="Arial" w:eastAsia="Arial" w:hAnsi="Arial"/>
                <w:sz w:val="18"/>
                <w:szCs w:val="18"/>
                <w:b w:val="1"/>
                <w:bCs w:val="1"/>
                <w:color w:val="FFFFFF"/>
              </w:rPr>
              <w:t>Target</w:t>
            </w:r>
          </w:p>
        </w:tc>
        <w:tc>
          <w:tcPr>
            <w:tcW w:w="100" w:type="dxa"/>
            <w:vAlign w:val="bottom"/>
          </w:tcPr>
          <w:p>
            <w:pPr>
              <w:spacing w:after="0"/>
              <w:rPr>
                <w:sz w:val="11"/>
                <w:szCs w:val="11"/>
                <w:color w:val="auto"/>
              </w:rPr>
            </w:pPr>
          </w:p>
        </w:tc>
        <w:tc>
          <w:tcPr>
            <w:tcW w:w="220" w:type="dxa"/>
            <w:vAlign w:val="bottom"/>
            <w:shd w:val="clear" w:color="auto" w:fill="FB1717"/>
          </w:tcPr>
          <w:p>
            <w:pPr>
              <w:spacing w:after="0"/>
              <w:rPr>
                <w:sz w:val="11"/>
                <w:szCs w:val="11"/>
                <w:color w:val="auto"/>
              </w:rPr>
            </w:pPr>
          </w:p>
        </w:tc>
        <w:tc>
          <w:tcPr>
            <w:tcW w:w="960" w:type="dxa"/>
            <w:vAlign w:val="bottom"/>
            <w:vMerge w:val="continue"/>
            <w:shd w:val="clear" w:color="auto" w:fill="FB1717"/>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shd w:val="clear" w:color="auto" w:fill="FB1717"/>
          </w:tcPr>
          <w:p>
            <w:pPr>
              <w:jc w:val="right"/>
              <w:ind w:right="50"/>
              <w:spacing w:after="0"/>
              <w:rPr>
                <w:sz w:val="20"/>
                <w:szCs w:val="20"/>
                <w:color w:val="auto"/>
              </w:rPr>
            </w:pPr>
            <w:r>
              <w:rPr>
                <w:rFonts w:ascii="Arial" w:cs="Arial" w:eastAsia="Arial" w:hAnsi="Arial"/>
                <w:sz w:val="18"/>
                <w:szCs w:val="18"/>
                <w:b w:val="1"/>
                <w:bCs w:val="1"/>
                <w:color w:val="FFFFFF"/>
              </w:rPr>
              <w:t>Company</w:t>
            </w:r>
          </w:p>
        </w:tc>
        <w:tc>
          <w:tcPr>
            <w:tcW w:w="320" w:type="dxa"/>
            <w:vAlign w:val="bottom"/>
            <w:shd w:val="clear" w:color="auto" w:fill="FB1717"/>
          </w:tcPr>
          <w:p>
            <w:pPr>
              <w:spacing w:after="0"/>
              <w:rPr>
                <w:sz w:val="11"/>
                <w:szCs w:val="11"/>
                <w:color w:val="auto"/>
              </w:rPr>
            </w:pPr>
          </w:p>
        </w:tc>
        <w:tc>
          <w:tcPr>
            <w:tcW w:w="1100" w:type="dxa"/>
            <w:vAlign w:val="bottom"/>
            <w:vMerge w:val="restart"/>
            <w:shd w:val="clear" w:color="auto" w:fill="FB1717"/>
          </w:tcPr>
          <w:p>
            <w:pPr>
              <w:jc w:val="right"/>
              <w:ind w:right="150"/>
              <w:spacing w:after="0"/>
              <w:rPr>
                <w:sz w:val="20"/>
                <w:szCs w:val="20"/>
                <w:color w:val="auto"/>
              </w:rPr>
            </w:pPr>
            <w:r>
              <w:rPr>
                <w:rFonts w:ascii="Arial" w:cs="Arial" w:eastAsia="Arial" w:hAnsi="Arial"/>
                <w:sz w:val="18"/>
                <w:szCs w:val="18"/>
                <w:b w:val="1"/>
                <w:bCs w:val="1"/>
                <w:color w:val="FFFFFF"/>
                <w:w w:val="99"/>
              </w:rPr>
              <w:t>Individual</w:t>
            </w:r>
          </w:p>
        </w:tc>
        <w:tc>
          <w:tcPr>
            <w:tcW w:w="280" w:type="dxa"/>
            <w:vAlign w:val="bottom"/>
            <w:shd w:val="clear" w:color="auto" w:fill="FB1717"/>
          </w:tcPr>
          <w:p>
            <w:pPr>
              <w:spacing w:after="0"/>
              <w:rPr>
                <w:sz w:val="11"/>
                <w:szCs w:val="11"/>
                <w:color w:val="auto"/>
              </w:rPr>
            </w:pPr>
          </w:p>
        </w:tc>
        <w:tc>
          <w:tcPr>
            <w:tcW w:w="880" w:type="dxa"/>
            <w:vAlign w:val="bottom"/>
            <w:vMerge w:val="restart"/>
            <w:shd w:val="clear" w:color="auto" w:fill="FB1717"/>
          </w:tcPr>
          <w:p>
            <w:pPr>
              <w:jc w:val="right"/>
              <w:ind w:right="2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0"/>
        </w:trPr>
        <w:tc>
          <w:tcPr>
            <w:tcW w:w="2120" w:type="dxa"/>
            <w:vAlign w:val="bottom"/>
            <w:shd w:val="clear" w:color="auto" w:fill="FB1717"/>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shd w:val="clear" w:color="auto" w:fill="FB1717"/>
          </w:tcPr>
          <w:p>
            <w:pPr>
              <w:spacing w:after="0"/>
              <w:rPr>
                <w:sz w:val="15"/>
                <w:szCs w:val="15"/>
                <w:color w:val="auto"/>
              </w:rPr>
            </w:pPr>
          </w:p>
        </w:tc>
        <w:tc>
          <w:tcPr>
            <w:tcW w:w="220" w:type="dxa"/>
            <w:vAlign w:val="bottom"/>
            <w:shd w:val="clear" w:color="auto" w:fill="FB1717"/>
          </w:tcPr>
          <w:p>
            <w:pPr>
              <w:spacing w:after="0"/>
              <w:rPr>
                <w:sz w:val="15"/>
                <w:szCs w:val="15"/>
                <w:color w:val="auto"/>
              </w:rPr>
            </w:pPr>
          </w:p>
        </w:tc>
        <w:tc>
          <w:tcPr>
            <w:tcW w:w="900" w:type="dxa"/>
            <w:vAlign w:val="bottom"/>
            <w:vMerge w:val="continue"/>
            <w:shd w:val="clear" w:color="auto" w:fill="FB1717"/>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FB1717"/>
          </w:tcPr>
          <w:p>
            <w:pPr>
              <w:spacing w:after="0"/>
              <w:rPr>
                <w:sz w:val="15"/>
                <w:szCs w:val="15"/>
                <w:color w:val="auto"/>
              </w:rPr>
            </w:pPr>
          </w:p>
        </w:tc>
        <w:tc>
          <w:tcPr>
            <w:tcW w:w="960" w:type="dxa"/>
            <w:vAlign w:val="bottom"/>
            <w:shd w:val="clear" w:color="auto" w:fill="FB1717"/>
          </w:tcPr>
          <w:p>
            <w:pPr>
              <w:jc w:val="center"/>
              <w:ind w:right="30"/>
              <w:spacing w:after="0" w:line="180" w:lineRule="exact"/>
              <w:rPr>
                <w:sz w:val="20"/>
                <w:szCs w:val="20"/>
                <w:color w:val="auto"/>
              </w:rPr>
            </w:pPr>
            <w:r>
              <w:rPr>
                <w:rFonts w:ascii="Arial" w:cs="Arial" w:eastAsia="Arial" w:hAnsi="Arial"/>
                <w:sz w:val="18"/>
                <w:szCs w:val="18"/>
                <w:b w:val="1"/>
                <w:bCs w:val="1"/>
                <w:color w:val="FFFFFF"/>
              </w:rPr>
              <w:t>Maximum</w:t>
            </w:r>
          </w:p>
        </w:tc>
        <w:tc>
          <w:tcPr>
            <w:tcW w:w="100" w:type="dxa"/>
            <w:vAlign w:val="bottom"/>
          </w:tcPr>
          <w:p>
            <w:pPr>
              <w:spacing w:after="0"/>
              <w:rPr>
                <w:sz w:val="15"/>
                <w:szCs w:val="15"/>
                <w:color w:val="auto"/>
              </w:rPr>
            </w:pPr>
          </w:p>
        </w:tc>
        <w:tc>
          <w:tcPr>
            <w:tcW w:w="1100" w:type="dxa"/>
            <w:vAlign w:val="bottom"/>
            <w:gridSpan w:val="2"/>
            <w:vMerge w:val="continue"/>
            <w:shd w:val="clear" w:color="auto" w:fill="FB1717"/>
          </w:tcPr>
          <w:p>
            <w:pPr>
              <w:spacing w:after="0"/>
              <w:rPr>
                <w:sz w:val="15"/>
                <w:szCs w:val="15"/>
                <w:color w:val="auto"/>
              </w:rPr>
            </w:pPr>
          </w:p>
        </w:tc>
        <w:tc>
          <w:tcPr>
            <w:tcW w:w="320" w:type="dxa"/>
            <w:vAlign w:val="bottom"/>
            <w:shd w:val="clear" w:color="auto" w:fill="FB1717"/>
          </w:tcPr>
          <w:p>
            <w:pPr>
              <w:spacing w:after="0"/>
              <w:rPr>
                <w:sz w:val="15"/>
                <w:szCs w:val="15"/>
                <w:color w:val="auto"/>
              </w:rPr>
            </w:pPr>
          </w:p>
        </w:tc>
        <w:tc>
          <w:tcPr>
            <w:tcW w:w="1100" w:type="dxa"/>
            <w:vAlign w:val="bottom"/>
            <w:vMerge w:val="continue"/>
            <w:shd w:val="clear" w:color="auto" w:fill="FB1717"/>
          </w:tcPr>
          <w:p>
            <w:pPr>
              <w:spacing w:after="0"/>
              <w:rPr>
                <w:sz w:val="15"/>
                <w:szCs w:val="15"/>
                <w:color w:val="auto"/>
              </w:rPr>
            </w:pPr>
          </w:p>
        </w:tc>
        <w:tc>
          <w:tcPr>
            <w:tcW w:w="280" w:type="dxa"/>
            <w:vAlign w:val="bottom"/>
            <w:shd w:val="clear" w:color="auto" w:fill="FB1717"/>
          </w:tcPr>
          <w:p>
            <w:pPr>
              <w:spacing w:after="0"/>
              <w:rPr>
                <w:sz w:val="15"/>
                <w:szCs w:val="15"/>
                <w:color w:val="auto"/>
              </w:rPr>
            </w:pPr>
          </w:p>
        </w:tc>
        <w:tc>
          <w:tcPr>
            <w:tcW w:w="880" w:type="dxa"/>
            <w:vAlign w:val="bottom"/>
            <w:vMerge w:val="continue"/>
            <w:shd w:val="clear" w:color="auto" w:fill="FB1717"/>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20" w:type="dxa"/>
            <w:vAlign w:val="bottom"/>
            <w:tcBorders>
              <w:bottom w:val="single" w:sz="8" w:color="FB1717"/>
            </w:tcBorders>
            <w:shd w:val="clear" w:color="auto" w:fill="FB1717"/>
          </w:tcPr>
          <w:p>
            <w:pPr>
              <w:ind w:left="60"/>
              <w:spacing w:after="0" w:line="203" w:lineRule="exact"/>
              <w:rPr>
                <w:sz w:val="20"/>
                <w:szCs w:val="20"/>
                <w:color w:val="auto"/>
              </w:rPr>
            </w:pPr>
            <w:r>
              <w:rPr>
                <w:rFonts w:ascii="Arial" w:cs="Arial" w:eastAsia="Arial" w:hAnsi="Arial"/>
                <w:sz w:val="18"/>
                <w:szCs w:val="18"/>
                <w:b w:val="1"/>
                <w:bCs w:val="1"/>
                <w:color w:val="FFFFFF"/>
              </w:rPr>
              <w:t>NEO</w:t>
            </w:r>
          </w:p>
        </w:tc>
        <w:tc>
          <w:tcPr>
            <w:tcW w:w="100" w:type="dxa"/>
            <w:vAlign w:val="bottom"/>
          </w:tcPr>
          <w:p>
            <w:pPr>
              <w:spacing w:after="0"/>
              <w:rPr>
                <w:sz w:val="19"/>
                <w:szCs w:val="19"/>
                <w:color w:val="auto"/>
              </w:rPr>
            </w:pPr>
          </w:p>
        </w:tc>
        <w:tc>
          <w:tcPr>
            <w:tcW w:w="1280" w:type="dxa"/>
            <w:vAlign w:val="bottom"/>
            <w:tcBorders>
              <w:bottom w:val="single" w:sz="8" w:color="FB1717"/>
            </w:tcBorders>
            <w:shd w:val="clear" w:color="auto" w:fill="FB1717"/>
          </w:tcPr>
          <w:p>
            <w:pPr>
              <w:jc w:val="right"/>
              <w:spacing w:after="0" w:line="203" w:lineRule="exact"/>
              <w:rPr>
                <w:sz w:val="20"/>
                <w:szCs w:val="20"/>
                <w:color w:val="auto"/>
              </w:rPr>
            </w:pPr>
            <w:r>
              <w:rPr>
                <w:rFonts w:ascii="Arial" w:cs="Arial" w:eastAsia="Arial" w:hAnsi="Arial"/>
                <w:sz w:val="18"/>
                <w:szCs w:val="18"/>
                <w:b w:val="1"/>
                <w:bCs w:val="1"/>
                <w:color w:val="FFFFFF"/>
              </w:rPr>
              <w:t>(% Base Pay)</w:t>
            </w:r>
          </w:p>
        </w:tc>
        <w:tc>
          <w:tcPr>
            <w:tcW w:w="220" w:type="dxa"/>
            <w:vAlign w:val="bottom"/>
            <w:tcBorders>
              <w:bottom w:val="single" w:sz="8" w:color="FB1717"/>
            </w:tcBorders>
            <w:shd w:val="clear" w:color="auto" w:fill="FB1717"/>
          </w:tcPr>
          <w:p>
            <w:pPr>
              <w:spacing w:after="0"/>
              <w:rPr>
                <w:sz w:val="19"/>
                <w:szCs w:val="19"/>
                <w:color w:val="auto"/>
              </w:rPr>
            </w:pPr>
          </w:p>
        </w:tc>
        <w:tc>
          <w:tcPr>
            <w:tcW w:w="900" w:type="dxa"/>
            <w:vAlign w:val="bottom"/>
            <w:tcBorders>
              <w:bottom w:val="single" w:sz="8" w:color="FB1717"/>
            </w:tcBorders>
            <w:shd w:val="clear" w:color="auto" w:fill="FB1717"/>
          </w:tcPr>
          <w:p>
            <w:pPr>
              <w:jc w:val="right"/>
              <w:ind w:right="330"/>
              <w:spacing w:after="0" w:line="203" w:lineRule="exact"/>
              <w:rPr>
                <w:sz w:val="20"/>
                <w:szCs w:val="20"/>
                <w:color w:val="auto"/>
              </w:rPr>
            </w:pPr>
            <w:r>
              <w:rPr>
                <w:rFonts w:ascii="Arial" w:cs="Arial" w:eastAsia="Arial" w:hAnsi="Arial"/>
                <w:sz w:val="18"/>
                <w:szCs w:val="18"/>
                <w:b w:val="1"/>
                <w:bCs w:val="1"/>
                <w:color w:val="FFFFFF"/>
              </w:rPr>
              <w:t>($)</w:t>
            </w:r>
          </w:p>
        </w:tc>
        <w:tc>
          <w:tcPr>
            <w:tcW w:w="100" w:type="dxa"/>
            <w:vAlign w:val="bottom"/>
          </w:tcPr>
          <w:p>
            <w:pPr>
              <w:spacing w:after="0"/>
              <w:rPr>
                <w:sz w:val="19"/>
                <w:szCs w:val="19"/>
                <w:color w:val="auto"/>
              </w:rPr>
            </w:pPr>
          </w:p>
        </w:tc>
        <w:tc>
          <w:tcPr>
            <w:tcW w:w="220" w:type="dxa"/>
            <w:vAlign w:val="bottom"/>
            <w:tcBorders>
              <w:bottom w:val="single" w:sz="8" w:color="FB1717"/>
            </w:tcBorders>
            <w:shd w:val="clear" w:color="auto" w:fill="FB1717"/>
          </w:tcPr>
          <w:p>
            <w:pPr>
              <w:spacing w:after="0"/>
              <w:rPr>
                <w:sz w:val="19"/>
                <w:szCs w:val="19"/>
                <w:color w:val="auto"/>
              </w:rPr>
            </w:pPr>
          </w:p>
        </w:tc>
        <w:tc>
          <w:tcPr>
            <w:tcW w:w="960" w:type="dxa"/>
            <w:vAlign w:val="bottom"/>
            <w:tcBorders>
              <w:bottom w:val="single" w:sz="8" w:color="FB1717"/>
            </w:tcBorders>
            <w:shd w:val="clear" w:color="auto" w:fill="FB1717"/>
          </w:tcPr>
          <w:p>
            <w:pPr>
              <w:jc w:val="center"/>
              <w:ind w:right="30"/>
              <w:spacing w:after="0" w:line="203" w:lineRule="exact"/>
              <w:rPr>
                <w:sz w:val="20"/>
                <w:szCs w:val="20"/>
                <w:color w:val="auto"/>
              </w:rPr>
            </w:pPr>
            <w:r>
              <w:rPr>
                <w:rFonts w:ascii="Arial" w:cs="Arial" w:eastAsia="Arial" w:hAnsi="Arial"/>
                <w:sz w:val="18"/>
                <w:szCs w:val="18"/>
                <w:b w:val="1"/>
                <w:bCs w:val="1"/>
                <w:color w:val="FFFFFF"/>
                <w:w w:val="99"/>
              </w:rPr>
              <w:t>Payout</w:t>
            </w:r>
          </w:p>
        </w:tc>
        <w:tc>
          <w:tcPr>
            <w:tcW w:w="100" w:type="dxa"/>
            <w:vAlign w:val="bottom"/>
          </w:tcPr>
          <w:p>
            <w:pPr>
              <w:spacing w:after="0"/>
              <w:rPr>
                <w:sz w:val="19"/>
                <w:szCs w:val="19"/>
                <w:color w:val="auto"/>
              </w:rPr>
            </w:pPr>
          </w:p>
        </w:tc>
        <w:tc>
          <w:tcPr>
            <w:tcW w:w="1100" w:type="dxa"/>
            <w:vAlign w:val="bottom"/>
            <w:tcBorders>
              <w:bottom w:val="single" w:sz="8" w:color="FB1717"/>
            </w:tcBorders>
            <w:gridSpan w:val="2"/>
            <w:shd w:val="clear" w:color="auto" w:fill="FB1717"/>
          </w:tcPr>
          <w:p>
            <w:pPr>
              <w:jc w:val="right"/>
              <w:spacing w:after="0" w:line="203" w:lineRule="exact"/>
              <w:rPr>
                <w:sz w:val="20"/>
                <w:szCs w:val="20"/>
                <w:color w:val="auto"/>
              </w:rPr>
            </w:pPr>
            <w:r>
              <w:rPr>
                <w:rFonts w:ascii="Arial" w:cs="Arial" w:eastAsia="Arial" w:hAnsi="Arial"/>
                <w:sz w:val="18"/>
                <w:szCs w:val="18"/>
                <w:b w:val="1"/>
                <w:bCs w:val="1"/>
                <w:color w:val="FFFFFF"/>
                <w:w w:val="98"/>
              </w:rPr>
              <w:t>Performance</w:t>
            </w:r>
          </w:p>
        </w:tc>
        <w:tc>
          <w:tcPr>
            <w:tcW w:w="1420" w:type="dxa"/>
            <w:vAlign w:val="bottom"/>
            <w:tcBorders>
              <w:bottom w:val="single" w:sz="8" w:color="FB1717"/>
            </w:tcBorders>
            <w:gridSpan w:val="2"/>
            <w:shd w:val="clear" w:color="auto" w:fill="FB1717"/>
          </w:tcPr>
          <w:p>
            <w:pPr>
              <w:ind w:left="200"/>
              <w:spacing w:after="0" w:line="203" w:lineRule="exact"/>
              <w:rPr>
                <w:sz w:val="20"/>
                <w:szCs w:val="20"/>
                <w:color w:val="auto"/>
              </w:rPr>
            </w:pPr>
            <w:r>
              <w:rPr>
                <w:rFonts w:ascii="Arial" w:cs="Arial" w:eastAsia="Arial" w:hAnsi="Arial"/>
                <w:sz w:val="18"/>
                <w:szCs w:val="18"/>
                <w:b w:val="1"/>
                <w:bCs w:val="1"/>
                <w:color w:val="FFFFFF"/>
              </w:rPr>
              <w:t>Performance</w:t>
            </w:r>
          </w:p>
        </w:tc>
        <w:tc>
          <w:tcPr>
            <w:tcW w:w="280" w:type="dxa"/>
            <w:vAlign w:val="bottom"/>
            <w:tcBorders>
              <w:bottom w:val="single" w:sz="8" w:color="FB1717"/>
            </w:tcBorders>
            <w:shd w:val="clear" w:color="auto" w:fill="FB1717"/>
          </w:tcPr>
          <w:p>
            <w:pPr>
              <w:spacing w:after="0"/>
              <w:rPr>
                <w:sz w:val="19"/>
                <w:szCs w:val="19"/>
                <w:color w:val="auto"/>
              </w:rPr>
            </w:pPr>
          </w:p>
        </w:tc>
        <w:tc>
          <w:tcPr>
            <w:tcW w:w="880" w:type="dxa"/>
            <w:vAlign w:val="bottom"/>
            <w:tcBorders>
              <w:bottom w:val="single" w:sz="8" w:color="FB1717"/>
            </w:tcBorders>
            <w:shd w:val="clear" w:color="auto" w:fill="FB1717"/>
          </w:tcPr>
          <w:p>
            <w:pPr>
              <w:jc w:val="right"/>
              <w:ind w:right="250"/>
              <w:spacing w:after="0" w:line="203" w:lineRule="exact"/>
              <w:rPr>
                <w:sz w:val="20"/>
                <w:szCs w:val="20"/>
                <w:color w:val="auto"/>
              </w:rPr>
            </w:pPr>
            <w:r>
              <w:rPr>
                <w:rFonts w:ascii="Arial" w:cs="Arial" w:eastAsia="Arial" w:hAnsi="Arial"/>
                <w:sz w:val="18"/>
                <w:szCs w:val="18"/>
                <w:b w:val="1"/>
                <w:bCs w:val="1"/>
                <w:color w:val="FFFFFF"/>
              </w:rPr>
              <w:t>Paid</w:t>
            </w:r>
          </w:p>
        </w:tc>
        <w:tc>
          <w:tcPr>
            <w:tcW w:w="0" w:type="dxa"/>
            <w:vAlign w:val="bottom"/>
          </w:tcPr>
          <w:p>
            <w:pPr>
              <w:spacing w:after="0"/>
              <w:rPr>
                <w:sz w:val="1"/>
                <w:szCs w:val="1"/>
                <w:color w:val="auto"/>
              </w:rPr>
            </w:pPr>
          </w:p>
        </w:tc>
      </w:tr>
      <w:tr>
        <w:trPr>
          <w:trHeight w:val="256"/>
        </w:trPr>
        <w:tc>
          <w:tcPr>
            <w:tcW w:w="2220" w:type="dxa"/>
            <w:vAlign w:val="bottom"/>
            <w:gridSpan w:val="2"/>
          </w:tcPr>
          <w:p>
            <w:pPr>
              <w:ind w:left="60"/>
              <w:spacing w:after="0"/>
              <w:rPr>
                <w:sz w:val="20"/>
                <w:szCs w:val="20"/>
                <w:color w:val="auto"/>
              </w:rPr>
            </w:pPr>
            <w:r>
              <w:rPr>
                <w:rFonts w:ascii="Arial" w:cs="Arial" w:eastAsia="Arial" w:hAnsi="Arial"/>
                <w:sz w:val="18"/>
                <w:szCs w:val="18"/>
                <w:color w:val="auto"/>
              </w:rPr>
              <w:t>Mr. Wood</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1,875,000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468,750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1,406,250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1,875,000</w:t>
            </w:r>
          </w:p>
        </w:tc>
        <w:tc>
          <w:tcPr>
            <w:tcW w:w="0" w:type="dxa"/>
            <w:vAlign w:val="bottom"/>
          </w:tcPr>
          <w:p>
            <w:pPr>
              <w:spacing w:after="0"/>
              <w:rPr>
                <w:sz w:val="1"/>
                <w:szCs w:val="1"/>
                <w:color w:val="auto"/>
              </w:rPr>
            </w:pPr>
          </w:p>
        </w:tc>
      </w:tr>
      <w:tr>
        <w:trPr>
          <w:trHeight w:val="220"/>
        </w:trPr>
        <w:tc>
          <w:tcPr>
            <w:tcW w:w="2220" w:type="dxa"/>
            <w:vAlign w:val="bottom"/>
            <w:gridSpan w:val="2"/>
          </w:tcPr>
          <w:p>
            <w:pPr>
              <w:ind w:left="60"/>
              <w:spacing w:after="0"/>
              <w:rPr>
                <w:sz w:val="20"/>
                <w:szCs w:val="20"/>
                <w:color w:val="auto"/>
              </w:rPr>
            </w:pPr>
            <w:r>
              <w:rPr>
                <w:rFonts w:ascii="Arial" w:cs="Arial" w:eastAsia="Arial" w:hAnsi="Arial"/>
                <w:sz w:val="18"/>
                <w:szCs w:val="18"/>
                <w:color w:val="auto"/>
              </w:rPr>
              <w:t>Mr. Berkes</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812,500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203,125</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609,375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812,500</w:t>
            </w:r>
          </w:p>
        </w:tc>
        <w:tc>
          <w:tcPr>
            <w:tcW w:w="0" w:type="dxa"/>
            <w:vAlign w:val="bottom"/>
          </w:tcPr>
          <w:p>
            <w:pPr>
              <w:spacing w:after="0"/>
              <w:rPr>
                <w:sz w:val="1"/>
                <w:szCs w:val="1"/>
                <w:color w:val="auto"/>
              </w:rPr>
            </w:pPr>
          </w:p>
        </w:tc>
      </w:tr>
      <w:tr>
        <w:trPr>
          <w:trHeight w:val="220"/>
        </w:trPr>
        <w:tc>
          <w:tcPr>
            <w:tcW w:w="2220" w:type="dxa"/>
            <w:vAlign w:val="bottom"/>
            <w:gridSpan w:val="2"/>
          </w:tcPr>
          <w:p>
            <w:pPr>
              <w:ind w:left="60"/>
              <w:spacing w:after="0"/>
              <w:rPr>
                <w:sz w:val="20"/>
                <w:szCs w:val="20"/>
                <w:color w:val="auto"/>
              </w:rPr>
            </w:pPr>
            <w:r>
              <w:rPr>
                <w:rFonts w:ascii="Arial" w:cs="Arial" w:eastAsia="Arial" w:hAnsi="Arial"/>
                <w:sz w:val="18"/>
                <w:szCs w:val="18"/>
                <w:color w:val="auto"/>
              </w:rPr>
              <w:t>Mr. Guglielmone</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718,750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179,688</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539,063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718,750</w:t>
            </w:r>
          </w:p>
        </w:tc>
        <w:tc>
          <w:tcPr>
            <w:tcW w:w="0" w:type="dxa"/>
            <w:vAlign w:val="bottom"/>
          </w:tcPr>
          <w:p>
            <w:pPr>
              <w:spacing w:after="0"/>
              <w:rPr>
                <w:sz w:val="1"/>
                <w:szCs w:val="1"/>
                <w:color w:val="auto"/>
              </w:rPr>
            </w:pPr>
          </w:p>
        </w:tc>
      </w:tr>
      <w:tr>
        <w:trPr>
          <w:trHeight w:val="220"/>
        </w:trPr>
        <w:tc>
          <w:tcPr>
            <w:tcW w:w="2220" w:type="dxa"/>
            <w:vAlign w:val="bottom"/>
            <w:gridSpan w:val="2"/>
          </w:tcPr>
          <w:p>
            <w:pPr>
              <w:ind w:left="60"/>
              <w:spacing w:after="0"/>
              <w:rPr>
                <w:sz w:val="20"/>
                <w:szCs w:val="20"/>
                <w:color w:val="auto"/>
              </w:rPr>
            </w:pPr>
            <w:r>
              <w:rPr>
                <w:rFonts w:ascii="Arial" w:cs="Arial" w:eastAsia="Arial" w:hAnsi="Arial"/>
                <w:sz w:val="18"/>
                <w:szCs w:val="18"/>
                <w:color w:val="auto"/>
              </w:rPr>
              <w:t>Ms . Becker</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718,750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179,688</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539,063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3810000</wp:posOffset>
                </wp:positionH>
                <wp:positionV relativeFrom="paragraph">
                  <wp:posOffset>-917575</wp:posOffset>
                </wp:positionV>
                <wp:extent cx="2336800" cy="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68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pt,-72.2499pt" to="484pt,-72.2499pt" o:allowincell="f" strokecolor="#FFFFFF" strokeweight="1pt"/>
            </w:pict>
          </mc:Fallback>
        </mc:AlternateConten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w:t>
      </w:r>
    </w:p>
    <w:p>
      <w:pPr>
        <w:spacing w:after="0" w:line="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2022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Incentive Program</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92075</wp:posOffset>
                </wp:positionV>
                <wp:extent cx="2286000" cy="20320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203200"/>
                        </a:xfrm>
                        <a:prstGeom prst="rect">
                          <a:avLst/>
                        </a:prstGeom>
                        <a:solidFill>
                          <a:srgbClr val="FB1717"/>
                        </a:solidFill>
                      </wps:spPr>
                      <wps:bodyPr/>
                    </wps:wsp>
                  </a:graphicData>
                </a:graphic>
              </wp:anchor>
            </w:drawing>
          </mc:Choice>
          <mc:Fallback>
            <w:pict>
              <v:rect id="Shape 454" o:spid="_x0000_s1479" style="position:absolute;margin-left:0pt;margin-top:7.25pt;width:180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mc:AlternateContent>
          <mc:Choice Requires="wps">
            <w:drawing>
              <wp:anchor simplePos="0" relativeHeight="251657728" behindDoc="1" locked="0" layoutInCell="0" allowOverlap="1">
                <wp:simplePos x="0" y="0"/>
                <wp:positionH relativeFrom="column">
                  <wp:posOffset>2413000</wp:posOffset>
                </wp:positionH>
                <wp:positionV relativeFrom="paragraph">
                  <wp:posOffset>92075</wp:posOffset>
                </wp:positionV>
                <wp:extent cx="3987800" cy="20320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7800" cy="203200"/>
                        </a:xfrm>
                        <a:prstGeom prst="rect">
                          <a:avLst/>
                        </a:prstGeom>
                        <a:solidFill>
                          <a:srgbClr val="FB1717"/>
                        </a:solidFill>
                      </wps:spPr>
                      <wps:bodyPr/>
                    </wps:wsp>
                  </a:graphicData>
                </a:graphic>
              </wp:anchor>
            </w:drawing>
          </mc:Choice>
          <mc:Fallback>
            <w:pict>
              <v:rect id="Shape 455" o:spid="_x0000_s1480" style="position:absolute;margin-left:190pt;margin-top:7.25pt;width:314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20"/>
                <w:szCs w:val="20"/>
                <w:b w:val="1"/>
                <w:bCs w:val="1"/>
                <w:color w:val="FFFFFF"/>
              </w:rPr>
              <w:t>Plan Metric</w:t>
            </w:r>
          </w:p>
        </w:tc>
        <w:tc>
          <w:tcPr>
            <w:tcW w:w="6480" w:type="dxa"/>
            <w:vAlign w:val="bottom"/>
            <w:gridSpan w:val="2"/>
          </w:tcPr>
          <w:p>
            <w:pPr>
              <w:ind w:left="200"/>
              <w:spacing w:after="0"/>
              <w:rPr>
                <w:sz w:val="20"/>
                <w:szCs w:val="20"/>
                <w:color w:val="auto"/>
              </w:rPr>
            </w:pPr>
            <w:r>
              <w:rPr>
                <w:rFonts w:ascii="Arial" w:cs="Arial" w:eastAsia="Arial" w:hAnsi="Arial"/>
                <w:sz w:val="20"/>
                <w:szCs w:val="20"/>
                <w:b w:val="1"/>
                <w:bCs w:val="1"/>
                <w:color w:val="FFFFFF"/>
              </w:rPr>
              <w:t>Description</w:t>
            </w:r>
          </w:p>
        </w:tc>
      </w:tr>
      <w:tr>
        <w:trPr>
          <w:trHeight w:val="286"/>
        </w:trPr>
        <w:tc>
          <w:tcPr>
            <w:tcW w:w="3600" w:type="dxa"/>
            <w:vAlign w:val="bottom"/>
          </w:tcPr>
          <w:p>
            <w:pPr>
              <w:ind w:left="100"/>
              <w:spacing w:after="0"/>
              <w:rPr>
                <w:sz w:val="20"/>
                <w:szCs w:val="20"/>
                <w:color w:val="auto"/>
              </w:rPr>
            </w:pPr>
            <w:r>
              <w:rPr>
                <w:rFonts w:ascii="Arial" w:cs="Arial" w:eastAsia="Arial" w:hAnsi="Arial"/>
                <w:sz w:val="20"/>
                <w:szCs w:val="20"/>
                <w:color w:val="auto"/>
              </w:rPr>
              <w:t>Relative Total Shareholder Return</w:t>
            </w:r>
          </w:p>
        </w:tc>
        <w:tc>
          <w:tcPr>
            <w:tcW w:w="6480" w:type="dxa"/>
            <w:vAlign w:val="bottom"/>
            <w:gridSpan w:val="2"/>
          </w:tcPr>
          <w:p>
            <w:pPr>
              <w:ind w:left="200"/>
              <w:spacing w:after="0"/>
              <w:rPr>
                <w:sz w:val="20"/>
                <w:szCs w:val="20"/>
                <w:color w:val="auto"/>
              </w:rPr>
            </w:pPr>
            <w:r>
              <w:rPr>
                <w:rFonts w:ascii="Arial" w:cs="Arial" w:eastAsia="Arial" w:hAnsi="Arial"/>
                <w:sz w:val="20"/>
                <w:szCs w:val="20"/>
                <w:color w:val="auto"/>
              </w:rPr>
              <w:t>Compares our total shareholder return, taking into account share price</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auto"/>
              </w:rPr>
              <w:t>(34%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appreciation and assuming reinvestment of dividends, against the total</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return  achieved  by  the  Bloomberg  REIT  Shopping  Center  Index</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(“BBRESHOP”) which is comprised of publicly traded companies that</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own  and  operate  open  air  shopping  centers.  The  Compensation</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Committee  believes  that  the  BBRESHOP  provides  an  appropriate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basis   to   compare   our   performance   against   similarly   situated</w:t>
            </w:r>
          </w:p>
        </w:tc>
      </w:tr>
      <w:tr>
        <w:trPr>
          <w:trHeight w:val="232"/>
        </w:trPr>
        <w:tc>
          <w:tcPr>
            <w:tcW w:w="3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280" w:type="dxa"/>
            <w:vAlign w:val="bottom"/>
            <w:tcBorders>
              <w:bottom w:val="single" w:sz="8" w:color="auto"/>
            </w:tcBorders>
          </w:tcPr>
          <w:p>
            <w:pPr>
              <w:spacing w:after="0" w:line="226" w:lineRule="exact"/>
              <w:rPr>
                <w:sz w:val="20"/>
                <w:szCs w:val="20"/>
                <w:color w:val="auto"/>
              </w:rPr>
            </w:pPr>
            <w:r>
              <w:rPr>
                <w:rFonts w:ascii="Arial" w:cs="Arial" w:eastAsia="Arial" w:hAnsi="Arial"/>
                <w:sz w:val="20"/>
                <w:szCs w:val="20"/>
                <w:color w:val="auto"/>
              </w:rPr>
              <w:t>companies.</w:t>
            </w:r>
          </w:p>
        </w:tc>
      </w:tr>
      <w:tr>
        <w:trPr>
          <w:trHeight w:val="240"/>
        </w:trPr>
        <w:tc>
          <w:tcPr>
            <w:tcW w:w="3600" w:type="dxa"/>
            <w:vAlign w:val="bottom"/>
          </w:tcPr>
          <w:p>
            <w:pPr>
              <w:ind w:left="100"/>
              <w:spacing w:after="0"/>
              <w:rPr>
                <w:sz w:val="20"/>
                <w:szCs w:val="20"/>
                <w:color w:val="auto"/>
              </w:rPr>
            </w:pPr>
            <w:r>
              <w:rPr>
                <w:rFonts w:ascii="Arial" w:cs="Arial" w:eastAsia="Arial" w:hAnsi="Arial"/>
                <w:sz w:val="20"/>
                <w:szCs w:val="20"/>
                <w:color w:val="auto"/>
              </w:rPr>
              <w:t>FFO Multiple Premium</w:t>
            </w:r>
          </w:p>
        </w:tc>
        <w:tc>
          <w:tcPr>
            <w:tcW w:w="6480" w:type="dxa"/>
            <w:vAlign w:val="bottom"/>
            <w:gridSpan w:val="2"/>
          </w:tcPr>
          <w:p>
            <w:pPr>
              <w:ind w:left="200"/>
              <w:spacing w:after="0"/>
              <w:rPr>
                <w:sz w:val="20"/>
                <w:szCs w:val="20"/>
                <w:color w:val="auto"/>
              </w:rPr>
            </w:pPr>
            <w:r>
              <w:rPr>
                <w:rFonts w:ascii="Arial" w:cs="Arial" w:eastAsia="Arial" w:hAnsi="Arial"/>
                <w:sz w:val="20"/>
                <w:szCs w:val="20"/>
                <w:color w:val="auto"/>
              </w:rPr>
              <w:t>Compares the FFO multiple at which the Company is trading at the</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auto"/>
              </w:rPr>
              <w:t>(33%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end of the performance period against the average FFO multiple at</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which  all  other  public  shopping  center  companies  (other  than  the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Company) are trading at that time. The FFO multiples are provided by</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a third party investment bank and it serves as a measure of investor</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expectations of our long-term growth potential and confidence in our</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management  team  versus  other  publicly  traded  open  air  shopping</w:t>
            </w:r>
          </w:p>
        </w:tc>
      </w:tr>
      <w:tr>
        <w:trPr>
          <w:trHeight w:val="231"/>
        </w:trPr>
        <w:tc>
          <w:tcPr>
            <w:tcW w:w="3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280" w:type="dxa"/>
            <w:vAlign w:val="bottom"/>
            <w:tcBorders>
              <w:bottom w:val="single" w:sz="8" w:color="auto"/>
            </w:tcBorders>
          </w:tcPr>
          <w:p>
            <w:pPr>
              <w:spacing w:after="0" w:line="224" w:lineRule="exact"/>
              <w:rPr>
                <w:sz w:val="20"/>
                <w:szCs w:val="20"/>
                <w:color w:val="auto"/>
              </w:rPr>
            </w:pPr>
            <w:r>
              <w:rPr>
                <w:rFonts w:ascii="Arial" w:cs="Arial" w:eastAsia="Arial" w:hAnsi="Arial"/>
                <w:sz w:val="20"/>
                <w:szCs w:val="20"/>
                <w:color w:val="auto"/>
              </w:rPr>
              <w:t>center companies.</w:t>
            </w:r>
          </w:p>
        </w:tc>
      </w:tr>
      <w:tr>
        <w:trPr>
          <w:trHeight w:val="241"/>
        </w:trPr>
        <w:tc>
          <w:tcPr>
            <w:tcW w:w="3600" w:type="dxa"/>
            <w:vAlign w:val="bottom"/>
          </w:tcPr>
          <w:p>
            <w:pPr>
              <w:ind w:left="100"/>
              <w:spacing w:after="0"/>
              <w:rPr>
                <w:sz w:val="20"/>
                <w:szCs w:val="20"/>
                <w:color w:val="auto"/>
              </w:rPr>
            </w:pPr>
            <w:r>
              <w:rPr>
                <w:rFonts w:ascii="Arial" w:cs="Arial" w:eastAsia="Arial" w:hAnsi="Arial"/>
                <w:sz w:val="20"/>
                <w:szCs w:val="20"/>
                <w:color w:val="auto"/>
              </w:rPr>
              <w:t>Return on Invested Capital</w:t>
            </w:r>
          </w:p>
        </w:tc>
        <w:tc>
          <w:tcPr>
            <w:tcW w:w="6480" w:type="dxa"/>
            <w:vAlign w:val="bottom"/>
            <w:gridSpan w:val="2"/>
          </w:tcPr>
          <w:p>
            <w:pPr>
              <w:ind w:left="200"/>
              <w:spacing w:after="0"/>
              <w:rPr>
                <w:sz w:val="20"/>
                <w:szCs w:val="20"/>
                <w:color w:val="auto"/>
              </w:rPr>
            </w:pPr>
            <w:r>
              <w:rPr>
                <w:rFonts w:ascii="Arial" w:cs="Arial" w:eastAsia="Arial" w:hAnsi="Arial"/>
                <w:sz w:val="20"/>
                <w:szCs w:val="20"/>
                <w:color w:val="auto"/>
              </w:rPr>
              <w:t>Reflects how effectively we have allocated our shareholders’ capital</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auto"/>
              </w:rPr>
              <w:t>(33%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during the 3-year performance period and incentivizes sound, long-</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term  investment  decisions  focused  on  generating  strong  future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shareholder returns. The metric encompasses all aspects of capital</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allocation decisions. Required performance levels are established to</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reflect changing market expectations as we acquire, sell and develop</w:t>
            </w:r>
          </w:p>
        </w:tc>
      </w:tr>
      <w:tr>
        <w:trPr>
          <w:trHeight w:val="224"/>
        </w:trPr>
        <w:tc>
          <w:tcPr>
            <w:tcW w:w="3600" w:type="dxa"/>
            <w:vAlign w:val="bottom"/>
          </w:tcPr>
          <w:p>
            <w:pPr>
              <w:spacing w:after="0"/>
              <w:rPr>
                <w:sz w:val="19"/>
                <w:szCs w:val="19"/>
                <w:color w:val="auto"/>
              </w:rPr>
            </w:pPr>
          </w:p>
        </w:tc>
        <w:tc>
          <w:tcPr>
            <w:tcW w:w="6480" w:type="dxa"/>
            <w:vAlign w:val="bottom"/>
            <w:gridSpan w:val="2"/>
          </w:tcPr>
          <w:p>
            <w:pPr>
              <w:ind w:left="200"/>
              <w:spacing w:after="0" w:line="224" w:lineRule="exact"/>
              <w:rPr>
                <w:sz w:val="20"/>
                <w:szCs w:val="20"/>
                <w:color w:val="auto"/>
              </w:rPr>
            </w:pPr>
            <w:r>
              <w:rPr>
                <w:rFonts w:ascii="Arial" w:cs="Arial" w:eastAsia="Arial" w:hAnsi="Arial"/>
                <w:sz w:val="20"/>
                <w:szCs w:val="20"/>
                <w:color w:val="auto"/>
              </w:rPr>
              <w:t>assets.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-3255645</wp:posOffset>
                </wp:positionV>
                <wp:extent cx="2286000" cy="3268345"/>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3268345"/>
                        </a:xfrm>
                        <a:prstGeom prst="rect">
                          <a:avLst/>
                        </a:prstGeom>
                        <a:solidFill>
                          <a:srgbClr val="E6E6E6"/>
                        </a:solidFill>
                      </wps:spPr>
                      <wps:bodyPr/>
                    </wps:wsp>
                  </a:graphicData>
                </a:graphic>
              </wp:anchor>
            </w:drawing>
          </mc:Choice>
          <mc:Fallback>
            <w:pict>
              <v:rect id="Shape 456" o:spid="_x0000_s1481" style="position:absolute;margin-left:0pt;margin-top:-256.3499pt;width:180pt;height:25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166370</wp:posOffset>
                </wp:positionV>
                <wp:extent cx="6400800" cy="17780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57" o:spid="_x0000_s1482" style="position:absolute;margin-left:0pt;margin-top:13.1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165735</wp:posOffset>
                </wp:positionV>
                <wp:extent cx="0" cy="178435"/>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435"/>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3.05pt" to="0.75pt,27.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175260</wp:posOffset>
                </wp:positionV>
                <wp:extent cx="6400800"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pt" to="504pt,13.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165735</wp:posOffset>
                </wp:positionV>
                <wp:extent cx="0" cy="178435"/>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435"/>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3.05pt" to="503.25pt,27.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334645</wp:posOffset>
                </wp:positionV>
                <wp:extent cx="6400800"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35pt" to="504pt,26.3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310"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24</w:t>
      </w:r>
    </w:p>
    <w:p>
      <w:pPr>
        <w:sectPr>
          <w:pgSz w:w="11880" w:h="15480" w:orient="portrait"/>
          <w:cols w:equalWidth="0" w:num="1">
            <w:col w:w="10080"/>
          </w:cols>
          <w:pgMar w:left="900" w:top="1316" w:right="900" w:bottom="764" w:gutter="0" w:footer="0" w:header="0"/>
          <w:type w:val="continuous"/>
        </w:sectPr>
      </w:pPr>
    </w:p>
    <w:bookmarkStart w:id="144" w:name="page145"/>
    <w:bookmarkEnd w:id="144"/>
    <w:p>
      <w:pPr>
        <w:jc w:val="both"/>
        <w:spacing w:after="0" w:line="243" w:lineRule="auto"/>
        <w:rPr>
          <w:sz w:val="20"/>
          <w:szCs w:val="20"/>
          <w:color w:val="auto"/>
        </w:rPr>
      </w:pPr>
      <w:r>
        <w:rPr>
          <w:rFonts w:ascii="Arial" w:cs="Arial" w:eastAsia="Arial" w:hAnsi="Arial"/>
          <w:sz w:val="20"/>
          <w:szCs w:val="20"/>
          <w:color w:val="auto"/>
        </w:rPr>
        <w:t>The required performance levels for each of these metrics and the actual performance achieved for the 3-year performance period from 2020 through 2022 is set forth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shd w:val="clear" w:color="auto" w:fill="FB1717"/>
          </w:tcPr>
          <w:p>
            <w:pPr>
              <w:spacing w:after="0"/>
              <w:rPr>
                <w:sz w:val="19"/>
                <w:szCs w:val="19"/>
                <w:color w:val="auto"/>
              </w:rPr>
            </w:pPr>
          </w:p>
        </w:tc>
        <w:tc>
          <w:tcPr>
            <w:tcW w:w="1300" w:type="dxa"/>
            <w:vAlign w:val="bottom"/>
            <w:shd w:val="clear" w:color="auto" w:fill="FB1717"/>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gridSpan w:val="3"/>
            <w:shd w:val="clear" w:color="auto" w:fill="FB1717"/>
          </w:tcPr>
          <w:p>
            <w:pPr>
              <w:ind w:left="880"/>
              <w:spacing w:after="0"/>
              <w:rPr>
                <w:sz w:val="20"/>
                <w:szCs w:val="20"/>
                <w:color w:val="auto"/>
              </w:rPr>
            </w:pPr>
            <w:r>
              <w:rPr>
                <w:rFonts w:ascii="Arial" w:cs="Arial" w:eastAsia="Arial" w:hAnsi="Arial"/>
                <w:sz w:val="18"/>
                <w:szCs w:val="18"/>
                <w:b w:val="1"/>
                <w:bCs w:val="1"/>
                <w:color w:val="FFFFFF"/>
              </w:rPr>
              <w:t>Performance Targets</w:t>
            </w:r>
          </w:p>
        </w:tc>
        <w:tc>
          <w:tcPr>
            <w:tcW w:w="120" w:type="dxa"/>
            <w:vAlign w:val="bottom"/>
            <w:tcBorders>
              <w:right w:val="single" w:sz="8" w:color="FB1717"/>
            </w:tcBorders>
          </w:tcPr>
          <w:p>
            <w:pPr>
              <w:spacing w:after="0"/>
              <w:rPr>
                <w:sz w:val="19"/>
                <w:szCs w:val="19"/>
                <w:color w:val="auto"/>
              </w:rPr>
            </w:pPr>
          </w:p>
        </w:tc>
        <w:tc>
          <w:tcPr>
            <w:tcW w:w="2120" w:type="dxa"/>
            <w:vAlign w:val="bottom"/>
            <w:tcBorders>
              <w:right w:val="single" w:sz="8" w:color="FB1717"/>
            </w:tcBorders>
            <w:gridSpan w:val="3"/>
            <w:shd w:val="clear" w:color="auto" w:fill="FB1717"/>
          </w:tcPr>
          <w:p>
            <w:pPr>
              <w:ind w:left="420"/>
              <w:spacing w:after="0"/>
              <w:rPr>
                <w:sz w:val="20"/>
                <w:szCs w:val="20"/>
                <w:color w:val="auto"/>
              </w:rPr>
            </w:pPr>
            <w:r>
              <w:rPr>
                <w:rFonts w:ascii="Arial" w:cs="Arial" w:eastAsia="Arial" w:hAnsi="Arial"/>
                <w:sz w:val="18"/>
                <w:szCs w:val="18"/>
                <w:b w:val="1"/>
                <w:bCs w:val="1"/>
                <w:color w:val="FFFFFF"/>
              </w:rPr>
              <w:t>Payout Factor</w:t>
            </w:r>
          </w:p>
        </w:tc>
      </w:tr>
      <w:tr>
        <w:trPr>
          <w:trHeight w:val="257"/>
        </w:trPr>
        <w:tc>
          <w:tcPr>
            <w:tcW w:w="2880" w:type="dxa"/>
            <w:vAlign w:val="bottom"/>
            <w:tcBorders>
              <w:bottom w:val="single" w:sz="8" w:color="FB1717"/>
            </w:tcBorders>
            <w:shd w:val="clear" w:color="auto" w:fill="FB1717"/>
          </w:tcPr>
          <w:p>
            <w:pPr>
              <w:spacing w:after="0"/>
              <w:rPr>
                <w:sz w:val="20"/>
                <w:szCs w:val="20"/>
                <w:color w:val="auto"/>
              </w:rPr>
            </w:pPr>
            <w:r>
              <w:rPr>
                <w:rFonts w:ascii="Arial" w:cs="Arial" w:eastAsia="Arial" w:hAnsi="Arial"/>
                <w:sz w:val="18"/>
                <w:szCs w:val="18"/>
                <w:b w:val="1"/>
                <w:bCs w:val="1"/>
                <w:color w:val="FFFFFF"/>
              </w:rPr>
              <w:t>Performance Goal</w:t>
            </w:r>
          </w:p>
        </w:tc>
        <w:tc>
          <w:tcPr>
            <w:tcW w:w="1300" w:type="dxa"/>
            <w:vAlign w:val="bottom"/>
            <w:tcBorders>
              <w:bottom w:val="single" w:sz="8" w:color="FB1717"/>
            </w:tcBorders>
            <w:shd w:val="clear" w:color="auto" w:fill="FB1717"/>
          </w:tcPr>
          <w:p>
            <w:pPr>
              <w:jc w:val="right"/>
              <w:ind w:right="10"/>
              <w:spacing w:after="0"/>
              <w:rPr>
                <w:sz w:val="20"/>
                <w:szCs w:val="20"/>
                <w:color w:val="auto"/>
              </w:rPr>
            </w:pPr>
            <w:r>
              <w:rPr>
                <w:rFonts w:ascii="Arial" w:cs="Arial" w:eastAsia="Arial" w:hAnsi="Arial"/>
                <w:sz w:val="18"/>
                <w:szCs w:val="18"/>
                <w:b w:val="1"/>
                <w:bCs w:val="1"/>
                <w:color w:val="FFFFFF"/>
              </w:rPr>
              <w:t>Weighting</w:t>
            </w:r>
          </w:p>
        </w:tc>
        <w:tc>
          <w:tcPr>
            <w:tcW w:w="100" w:type="dxa"/>
            <w:vAlign w:val="bottom"/>
          </w:tcPr>
          <w:p>
            <w:pPr>
              <w:spacing w:after="0"/>
              <w:rPr>
                <w:sz w:val="22"/>
                <w:szCs w:val="22"/>
                <w:color w:val="auto"/>
              </w:rPr>
            </w:pPr>
          </w:p>
        </w:tc>
        <w:tc>
          <w:tcPr>
            <w:tcW w:w="1020" w:type="dxa"/>
            <w:vAlign w:val="bottom"/>
            <w:tcBorders>
              <w:bottom w:val="single" w:sz="8" w:color="FB1717"/>
            </w:tcBorders>
            <w:shd w:val="clear" w:color="auto" w:fill="FB1717"/>
          </w:tcPr>
          <w:p>
            <w:pPr>
              <w:ind w:left="80"/>
              <w:spacing w:after="0"/>
              <w:rPr>
                <w:sz w:val="20"/>
                <w:szCs w:val="20"/>
                <w:color w:val="auto"/>
              </w:rPr>
            </w:pPr>
            <w:r>
              <w:rPr>
                <w:rFonts w:ascii="Arial" w:cs="Arial" w:eastAsia="Arial" w:hAnsi="Arial"/>
                <w:sz w:val="18"/>
                <w:szCs w:val="18"/>
                <w:b w:val="1"/>
                <w:bCs w:val="1"/>
                <w:color w:val="FFFFFF"/>
                <w:shd w:val="clear" w:color="auto" w:fill="FB1717"/>
              </w:rPr>
              <w:t>Threshold</w:t>
            </w:r>
          </w:p>
        </w:tc>
        <w:tc>
          <w:tcPr>
            <w:tcW w:w="1340" w:type="dxa"/>
            <w:vAlign w:val="bottom"/>
            <w:tcBorders>
              <w:bottom w:val="single" w:sz="8" w:color="FB1717"/>
            </w:tcBorders>
            <w:shd w:val="clear" w:color="auto" w:fill="FB1717"/>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220" w:type="dxa"/>
            <w:vAlign w:val="bottom"/>
            <w:tcBorders>
              <w:bottom w:val="single" w:sz="8" w:color="FB1717"/>
            </w:tcBorders>
            <w:shd w:val="clear" w:color="auto" w:fill="FB1717"/>
          </w:tcPr>
          <w:p>
            <w:pPr>
              <w:jc w:val="center"/>
              <w:spacing w:after="0"/>
              <w:rPr>
                <w:sz w:val="20"/>
                <w:szCs w:val="20"/>
                <w:color w:val="auto"/>
              </w:rPr>
            </w:pPr>
            <w:r>
              <w:rPr>
                <w:rFonts w:ascii="Arial" w:cs="Arial" w:eastAsia="Arial" w:hAnsi="Arial"/>
                <w:sz w:val="18"/>
                <w:szCs w:val="18"/>
                <w:b w:val="1"/>
                <w:bCs w:val="1"/>
                <w:color w:val="FFFFFF"/>
                <w:w w:val="99"/>
              </w:rPr>
              <w:t>Stretch</w:t>
            </w:r>
          </w:p>
        </w:tc>
        <w:tc>
          <w:tcPr>
            <w:tcW w:w="120" w:type="dxa"/>
            <w:vAlign w:val="bottom"/>
            <w:tcBorders>
              <w:right w:val="single" w:sz="8" w:color="FB1717"/>
            </w:tcBorders>
          </w:tcPr>
          <w:p>
            <w:pPr>
              <w:spacing w:after="0"/>
              <w:rPr>
                <w:sz w:val="22"/>
                <w:szCs w:val="22"/>
                <w:color w:val="auto"/>
              </w:rPr>
            </w:pPr>
          </w:p>
        </w:tc>
        <w:tc>
          <w:tcPr>
            <w:tcW w:w="1080" w:type="dxa"/>
            <w:vAlign w:val="bottom"/>
            <w:tcBorders>
              <w:bottom w:val="single" w:sz="8" w:color="FB1717"/>
            </w:tcBorders>
            <w:shd w:val="clear" w:color="auto" w:fill="FB1717"/>
          </w:tcPr>
          <w:p>
            <w:pPr>
              <w:ind w:left="40"/>
              <w:spacing w:after="0"/>
              <w:rPr>
                <w:sz w:val="20"/>
                <w:szCs w:val="20"/>
                <w:color w:val="auto"/>
              </w:rPr>
            </w:pPr>
            <w:r>
              <w:rPr>
                <w:rFonts w:ascii="Arial" w:cs="Arial" w:eastAsia="Arial" w:hAnsi="Arial"/>
                <w:sz w:val="18"/>
                <w:szCs w:val="18"/>
                <w:b w:val="1"/>
                <w:bCs w:val="1"/>
                <w:color w:val="FFFFFF"/>
                <w:w w:val="99"/>
                <w:shd w:val="clear" w:color="auto" w:fill="FB1717"/>
              </w:rPr>
              <w:t>Unweighted</w:t>
            </w:r>
          </w:p>
        </w:tc>
        <w:tc>
          <w:tcPr>
            <w:tcW w:w="20" w:type="dxa"/>
            <w:vAlign w:val="bottom"/>
            <w:tcBorders>
              <w:bottom w:val="single" w:sz="8" w:color="FB1717"/>
            </w:tcBorders>
            <w:shd w:val="clear" w:color="auto" w:fill="FB1717"/>
          </w:tcPr>
          <w:p>
            <w:pPr>
              <w:spacing w:after="0"/>
              <w:rPr>
                <w:sz w:val="22"/>
                <w:szCs w:val="22"/>
                <w:color w:val="auto"/>
              </w:rPr>
            </w:pPr>
          </w:p>
        </w:tc>
        <w:tc>
          <w:tcPr>
            <w:tcW w:w="1020" w:type="dxa"/>
            <w:vAlign w:val="bottom"/>
            <w:tcBorders>
              <w:bottom w:val="single" w:sz="8" w:color="FB1717"/>
              <w:right w:val="single" w:sz="8" w:color="FB1717"/>
            </w:tcBorders>
            <w:shd w:val="clear" w:color="auto" w:fill="FB1717"/>
          </w:tcPr>
          <w:p>
            <w:pPr>
              <w:ind w:left="100"/>
              <w:spacing w:after="0"/>
              <w:rPr>
                <w:sz w:val="20"/>
                <w:szCs w:val="20"/>
                <w:color w:val="auto"/>
              </w:rPr>
            </w:pPr>
            <w:r>
              <w:rPr>
                <w:rFonts w:ascii="Arial" w:cs="Arial" w:eastAsia="Arial" w:hAnsi="Arial"/>
                <w:sz w:val="18"/>
                <w:szCs w:val="18"/>
                <w:b w:val="1"/>
                <w:bCs w:val="1"/>
                <w:color w:val="FFFFFF"/>
              </w:rPr>
              <w:t>Weighted</w:t>
            </w:r>
          </w:p>
        </w:tc>
      </w:tr>
      <w:tr>
        <w:trPr>
          <w:trHeight w:val="260"/>
        </w:trPr>
        <w:tc>
          <w:tcPr>
            <w:tcW w:w="28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i w:val="1"/>
                <w:iCs w:val="1"/>
                <w:color w:val="auto"/>
              </w:rPr>
              <w:t>Payout as Percentage of Target</w:t>
            </w:r>
          </w:p>
        </w:tc>
        <w:tc>
          <w:tcPr>
            <w:tcW w:w="1300" w:type="dxa"/>
            <w:vAlign w:val="bottom"/>
            <w:tcBorders>
              <w:bottom w:val="single" w:sz="8" w:color="E6E6E6"/>
            </w:tcBorders>
            <w:shd w:val="clear" w:color="auto" w:fill="E6E6E6"/>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E6E6E6"/>
            </w:tcBorders>
            <w:shd w:val="clear" w:color="auto" w:fill="E6E6E6"/>
          </w:tcPr>
          <w:p>
            <w:pPr>
              <w:jc w:val="right"/>
              <w:ind w:right="250"/>
              <w:spacing w:after="0"/>
              <w:rPr>
                <w:sz w:val="20"/>
                <w:szCs w:val="20"/>
                <w:color w:val="auto"/>
              </w:rPr>
            </w:pPr>
            <w:r>
              <w:rPr>
                <w:rFonts w:ascii="Arial" w:cs="Arial" w:eastAsia="Arial" w:hAnsi="Arial"/>
                <w:sz w:val="18"/>
                <w:szCs w:val="18"/>
                <w:i w:val="1"/>
                <w:iCs w:val="1"/>
                <w:color w:val="auto"/>
              </w:rPr>
              <w:t>50%</w:t>
            </w:r>
          </w:p>
        </w:tc>
        <w:tc>
          <w:tcPr>
            <w:tcW w:w="1340" w:type="dxa"/>
            <w:vAlign w:val="bottom"/>
            <w:tcBorders>
              <w:bottom w:val="single" w:sz="8" w:color="E6E6E6"/>
            </w:tcBorders>
            <w:shd w:val="clear" w:color="auto" w:fill="E6E6E6"/>
          </w:tcPr>
          <w:p>
            <w:pPr>
              <w:jc w:val="right"/>
              <w:ind w:right="350"/>
              <w:spacing w:after="0"/>
              <w:rPr>
                <w:sz w:val="20"/>
                <w:szCs w:val="20"/>
                <w:color w:val="auto"/>
              </w:rPr>
            </w:pPr>
            <w:r>
              <w:rPr>
                <w:rFonts w:ascii="Arial" w:cs="Arial" w:eastAsia="Arial" w:hAnsi="Arial"/>
                <w:sz w:val="18"/>
                <w:szCs w:val="18"/>
                <w:i w:val="1"/>
                <w:iCs w:val="1"/>
                <w:color w:val="auto"/>
              </w:rPr>
              <w:t>100%</w:t>
            </w:r>
          </w:p>
        </w:tc>
        <w:tc>
          <w:tcPr>
            <w:tcW w:w="1220" w:type="dxa"/>
            <w:vAlign w:val="bottom"/>
            <w:tcBorders>
              <w:bottom w:val="single" w:sz="8" w:color="E6E6E6"/>
            </w:tcBorders>
            <w:shd w:val="clear" w:color="auto" w:fill="E6E6E6"/>
          </w:tcPr>
          <w:p>
            <w:pPr>
              <w:jc w:val="right"/>
              <w:ind w:right="250"/>
              <w:spacing w:after="0"/>
              <w:rPr>
                <w:sz w:val="20"/>
                <w:szCs w:val="20"/>
                <w:color w:val="auto"/>
              </w:rPr>
            </w:pPr>
            <w:r>
              <w:rPr>
                <w:rFonts w:ascii="Arial" w:cs="Arial" w:eastAsia="Arial" w:hAnsi="Arial"/>
                <w:sz w:val="18"/>
                <w:szCs w:val="18"/>
                <w:i w:val="1"/>
                <w:iCs w:val="1"/>
                <w:color w:val="auto"/>
              </w:rPr>
              <w:t>150%</w:t>
            </w:r>
          </w:p>
        </w:tc>
        <w:tc>
          <w:tcPr>
            <w:tcW w:w="120" w:type="dxa"/>
            <w:vAlign w:val="bottom"/>
            <w:tcBorders>
              <w:right w:val="single" w:sz="8" w:color="E6E6E6"/>
            </w:tcBorders>
          </w:tcPr>
          <w:p>
            <w:pPr>
              <w:spacing w:after="0"/>
              <w:rPr>
                <w:sz w:val="22"/>
                <w:szCs w:val="22"/>
                <w:color w:val="auto"/>
              </w:rPr>
            </w:pPr>
          </w:p>
        </w:tc>
        <w:tc>
          <w:tcPr>
            <w:tcW w:w="10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020" w:type="dxa"/>
            <w:vAlign w:val="bottom"/>
            <w:tcBorders>
              <w:bottom w:val="single" w:sz="8" w:color="E6E6E6"/>
              <w:right w:val="single" w:sz="8" w:color="E6E6E6"/>
            </w:tcBorders>
            <w:shd w:val="clear" w:color="auto" w:fill="E6E6E6"/>
          </w:tcPr>
          <w:p>
            <w:pPr>
              <w:spacing w:after="0"/>
              <w:rPr>
                <w:sz w:val="22"/>
                <w:szCs w:val="22"/>
                <w:color w:val="auto"/>
              </w:rPr>
            </w:pPr>
          </w:p>
        </w:tc>
      </w:tr>
      <w:tr>
        <w:trPr>
          <w:trHeight w:val="256"/>
        </w:trPr>
        <w:tc>
          <w:tcPr>
            <w:tcW w:w="2880" w:type="dxa"/>
            <w:vAlign w:val="bottom"/>
          </w:tcPr>
          <w:p>
            <w:pPr>
              <w:spacing w:after="0"/>
              <w:rPr>
                <w:sz w:val="20"/>
                <w:szCs w:val="20"/>
                <w:color w:val="auto"/>
              </w:rPr>
            </w:pPr>
            <w:r>
              <w:rPr>
                <w:rFonts w:ascii="Arial" w:cs="Arial" w:eastAsia="Arial" w:hAnsi="Arial"/>
                <w:sz w:val="18"/>
                <w:szCs w:val="18"/>
                <w:color w:val="auto"/>
              </w:rPr>
              <w:t>Relative Total TSR</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5% &lt; Index</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Index</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 &gt; Index</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0.0%</w:t>
            </w:r>
          </w:p>
        </w:tc>
      </w:tr>
      <w:tr>
        <w:trPr>
          <w:trHeight w:val="280"/>
        </w:trPr>
        <w:tc>
          <w:tcPr>
            <w:tcW w:w="2880" w:type="dxa"/>
            <w:vAlign w:val="bottom"/>
          </w:tcPr>
          <w:p>
            <w:pPr>
              <w:spacing w:after="0"/>
              <w:rPr>
                <w:sz w:val="20"/>
                <w:szCs w:val="20"/>
                <w:color w:val="auto"/>
              </w:rPr>
            </w:pPr>
            <w:r>
              <w:rPr>
                <w:rFonts w:ascii="Arial" w:cs="Arial" w:eastAsia="Arial" w:hAnsi="Arial"/>
                <w:sz w:val="18"/>
                <w:szCs w:val="18"/>
                <w:color w:val="auto"/>
              </w:rPr>
              <w:t>FFO Multiple Premium</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5% Premium  15% Premium</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20% Premium</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150%</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49.5%</w:t>
            </w: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Return on Invested Capital</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6.00%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6.25%</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150%</w:t>
            </w:r>
          </w:p>
        </w:tc>
        <w:tc>
          <w:tcPr>
            <w:tcW w:w="2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49.5%</w:t>
            </w:r>
          </w:p>
        </w:tc>
      </w:tr>
      <w:tr>
        <w:trPr>
          <w:trHeight w:val="260"/>
        </w:trPr>
        <w:tc>
          <w:tcPr>
            <w:tcW w:w="2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Final Payout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99.0%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2711450</wp:posOffset>
                </wp:positionH>
                <wp:positionV relativeFrom="paragraph">
                  <wp:posOffset>-1050925</wp:posOffset>
                </wp:positionV>
                <wp:extent cx="227965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965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82.7499pt" to="393pt,-82.7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5080000</wp:posOffset>
                </wp:positionH>
                <wp:positionV relativeFrom="paragraph">
                  <wp:posOffset>-1050925</wp:posOffset>
                </wp:positionV>
                <wp:extent cx="125730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73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pt,-82.7499pt" to="499pt,-82.7499pt" o:allowincell="f" strokecolor="#FFFFFF" strokeweight="1pt"/>
            </w:pict>
          </mc:Fallback>
        </mc:AlternateConten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Compensation Committee has the right to increase or decrease each NEO’s award under our long-term incentive program by up to 20% to reflect individual performance and chose not to exercise that discretion for any of our NEOs in 2022. See the discussions on pages 26-27 for the factors considered by the Compensation Committee in determining the final long-term incentive awards payable to our NEOs for the 2020 through 2022 performance period.</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121285</wp:posOffset>
                </wp:positionV>
                <wp:extent cx="6400800" cy="20320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03200"/>
                        </a:xfrm>
                        <a:prstGeom prst="rect">
                          <a:avLst/>
                        </a:prstGeom>
                        <a:solidFill>
                          <a:srgbClr val="FB1717"/>
                        </a:solidFill>
                      </wps:spPr>
                      <wps:bodyPr/>
                    </wps:wsp>
                  </a:graphicData>
                </a:graphic>
              </wp:anchor>
            </w:drawing>
          </mc:Choice>
          <mc:Fallback>
            <w:pict>
              <v:rect id="Shape 464" o:spid="_x0000_s1489" style="position:absolute;margin-left:0pt;margin-top:9.55pt;width:504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B1717" stroked="f"/>
            </w:pict>
          </mc:Fallback>
        </mc:AlternateContent>
      </w:r>
    </w:p>
    <w:p>
      <w:pPr>
        <w:spacing w:after="0" w:line="223" w:lineRule="exact"/>
        <w:rPr>
          <w:sz w:val="20"/>
          <w:szCs w:val="20"/>
          <w:color w:val="auto"/>
        </w:rPr>
      </w:pPr>
    </w:p>
    <w:p>
      <w:pPr>
        <w:ind w:left="1160"/>
        <w:spacing w:after="0"/>
        <w:tabs>
          <w:tab w:leader="none" w:pos="4340" w:val="left"/>
          <w:tab w:leader="none" w:pos="7380" w:val="left"/>
        </w:tabs>
        <w:rPr>
          <w:sz w:val="20"/>
          <w:szCs w:val="20"/>
          <w:color w:val="auto"/>
        </w:rPr>
      </w:pPr>
      <w:r>
        <w:rPr>
          <w:rFonts w:ascii="Arial" w:cs="Arial" w:eastAsia="Arial" w:hAnsi="Arial"/>
          <w:sz w:val="20"/>
          <w:szCs w:val="20"/>
          <w:b w:val="1"/>
          <w:bCs w:val="1"/>
          <w:color w:val="FFFFFF"/>
        </w:rPr>
        <w:t>Performance Period</w:t>
      </w:r>
      <w:r>
        <w:rPr>
          <w:sz w:val="20"/>
          <w:szCs w:val="20"/>
          <w:color w:val="auto"/>
        </w:rPr>
        <w:tab/>
      </w:r>
      <w:r>
        <w:rPr>
          <w:rFonts w:ascii="Arial" w:cs="Arial" w:eastAsia="Arial" w:hAnsi="Arial"/>
          <w:sz w:val="20"/>
          <w:szCs w:val="20"/>
          <w:b w:val="1"/>
          <w:bCs w:val="1"/>
          <w:color w:val="FFFFFF"/>
        </w:rPr>
        <w:t>Award Earned</w:t>
      </w:r>
      <w:r>
        <w:rPr>
          <w:sz w:val="20"/>
          <w:szCs w:val="20"/>
          <w:color w:val="auto"/>
        </w:rPr>
        <w:tab/>
      </w:r>
      <w:r>
        <w:rPr>
          <w:rFonts w:ascii="Arial" w:cs="Arial" w:eastAsia="Arial" w:hAnsi="Arial"/>
          <w:sz w:val="20"/>
          <w:szCs w:val="20"/>
          <w:b w:val="1"/>
          <w:bCs w:val="1"/>
          <w:color w:val="FFFFFF"/>
        </w:rPr>
        <w:t>Shares Vest</w:t>
      </w:r>
    </w:p>
    <w:p>
      <w:pPr>
        <w:spacing w:after="0" w:line="157" w:lineRule="exact"/>
        <w:rPr>
          <w:sz w:val="20"/>
          <w:szCs w:val="20"/>
          <w:color w:val="auto"/>
        </w:rPr>
      </w:pPr>
    </w:p>
    <w:p>
      <w:pPr>
        <w:ind w:left="400"/>
        <w:spacing w:after="0"/>
        <w:tabs>
          <w:tab w:leader="none" w:pos="1720" w:val="left"/>
          <w:tab w:leader="none" w:pos="3060" w:val="left"/>
          <w:tab w:leader="none" w:pos="6080" w:val="left"/>
          <w:tab w:leader="none" w:pos="7380" w:val="left"/>
          <w:tab w:leader="none" w:pos="8720" w:val="left"/>
        </w:tabs>
        <w:rPr>
          <w:sz w:val="20"/>
          <w:szCs w:val="20"/>
          <w:color w:val="auto"/>
        </w:rPr>
      </w:pPr>
      <w:r>
        <w:rPr>
          <w:rFonts w:ascii="Arial" w:cs="Arial" w:eastAsia="Arial" w:hAnsi="Arial"/>
          <w:sz w:val="19"/>
          <w:szCs w:val="19"/>
          <w:color w:val="auto"/>
        </w:rPr>
        <w:t>Year 1</w:t>
      </w:r>
      <w:r>
        <w:rPr>
          <w:sz w:val="20"/>
          <w:szCs w:val="20"/>
          <w:color w:val="auto"/>
        </w:rPr>
        <w:tab/>
      </w:r>
      <w:r>
        <w:rPr>
          <w:rFonts w:ascii="Arial" w:cs="Arial" w:eastAsia="Arial" w:hAnsi="Arial"/>
          <w:sz w:val="19"/>
          <w:szCs w:val="19"/>
          <w:color w:val="auto"/>
        </w:rPr>
        <w:t>Year 2</w:t>
      </w:r>
      <w:r>
        <w:rPr>
          <w:sz w:val="20"/>
          <w:szCs w:val="20"/>
          <w:color w:val="auto"/>
        </w:rPr>
        <w:tab/>
      </w:r>
      <w:r>
        <w:rPr>
          <w:rFonts w:ascii="Arial" w:cs="Arial" w:eastAsia="Arial" w:hAnsi="Arial"/>
          <w:sz w:val="19"/>
          <w:szCs w:val="19"/>
          <w:color w:val="auto"/>
        </w:rPr>
        <w:t>Year 3</w:t>
      </w:r>
      <w:r>
        <w:rPr>
          <w:sz w:val="20"/>
          <w:szCs w:val="20"/>
          <w:color w:val="auto"/>
        </w:rPr>
        <w:tab/>
      </w:r>
      <w:r>
        <w:rPr>
          <w:rFonts w:ascii="Arial" w:cs="Arial" w:eastAsia="Arial" w:hAnsi="Arial"/>
          <w:sz w:val="19"/>
          <w:szCs w:val="19"/>
          <w:color w:val="auto"/>
        </w:rPr>
        <w:t>Year 4</w:t>
      </w:r>
      <w:r>
        <w:rPr>
          <w:sz w:val="20"/>
          <w:szCs w:val="20"/>
          <w:color w:val="auto"/>
        </w:rPr>
        <w:tab/>
      </w:r>
      <w:r>
        <w:rPr>
          <w:rFonts w:ascii="Arial" w:cs="Arial" w:eastAsia="Arial" w:hAnsi="Arial"/>
          <w:sz w:val="19"/>
          <w:szCs w:val="19"/>
          <w:color w:val="auto"/>
        </w:rPr>
        <w:t>Year 5</w:t>
      </w:r>
      <w:r>
        <w:rPr>
          <w:sz w:val="20"/>
          <w:szCs w:val="20"/>
          <w:color w:val="auto"/>
        </w:rPr>
        <w:tab/>
      </w:r>
      <w:r>
        <w:rPr>
          <w:rFonts w:ascii="Arial" w:cs="Arial" w:eastAsia="Arial" w:hAnsi="Arial"/>
          <w:sz w:val="18"/>
          <w:szCs w:val="18"/>
          <w:color w:val="auto"/>
        </w:rPr>
        <w:t>Year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-635</wp:posOffset>
            </wp:positionV>
            <wp:extent cx="5781675" cy="2698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85">
                      <a:extLst>
                        <a:ext uri="{28A0092B-C50C-407E-A947-70E740481C1C}"/>
                      </a:extLst>
                    </a:blip>
                    <a:srcRect/>
                    <a:stretch>
                      <a:fillRect/>
                    </a:stretch>
                  </pic:blipFill>
                  <pic:spPr bwMode="auto">
                    <a:xfrm>
                      <a:off x="0" y="0"/>
                      <a:ext cx="5781675" cy="269875"/>
                    </a:xfrm>
                    <a:prstGeom prst="rect">
                      <a:avLst/>
                    </a:prstGeom>
                    <a:noFill/>
                  </pic:spPr>
                </pic:pic>
              </a:graphicData>
            </a:graphic>
          </wp:anchor>
        </w:drawing>
      </w:r>
    </w:p>
    <w:p>
      <w:pPr>
        <w:spacing w:after="0" w:line="83"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Shares issued</w:t>
      </w:r>
    </w:p>
    <w:p>
      <w:pPr>
        <w:spacing w:after="0" w:line="35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actual number of shares awarded to each of our NEOs is determined by dividing the amount of the award by the closing price of our shares on the NYSE on the date the awards are made.</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There is no amount included in the Summary Compensation Table or Grants of Plan-Based Awards Table in this proxy statement for long-term incentive awards earned for the 2020-2022 performance period. Those amounts will be included in next year’s proxy statement. The long-term incentive awards included in the Summary Compensation Table and the Grants of Plan-Based Awards Table for our NEOs in this proxy statement relate to awards made in February 2022 for the 3-year performance period ending December 31,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2331085</wp:posOffset>
                </wp:positionV>
                <wp:extent cx="6400800" cy="17780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66" o:spid="_x0000_s1491" style="position:absolute;margin-left:0pt;margin-top:183.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2330450</wp:posOffset>
                </wp:positionV>
                <wp:extent cx="0" cy="17780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83.5pt" to="0.75pt,19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2339975</wp:posOffset>
                </wp:positionV>
                <wp:extent cx="6400800"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4.25pt" to="504pt,184.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2330450</wp:posOffset>
                </wp:positionV>
                <wp:extent cx="0" cy="17780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83.5pt" to="503.25pt,19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2498725</wp:posOffset>
                </wp:positionV>
                <wp:extent cx="640080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6.75pt" to="504pt,196.7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25</w:t>
      </w:r>
    </w:p>
    <w:p>
      <w:pPr>
        <w:sectPr>
          <w:pgSz w:w="11880" w:h="15480" w:orient="portrait"/>
          <w:cols w:equalWidth="0" w:num="1">
            <w:col w:w="10080"/>
          </w:cols>
          <w:pgMar w:left="900" w:top="1316" w:right="900" w:bottom="764" w:gutter="0" w:footer="0" w:header="0"/>
          <w:type w:val="continuous"/>
        </w:sectPr>
      </w:pPr>
    </w:p>
    <w:bookmarkStart w:id="145" w:name="page146"/>
    <w:bookmarkEnd w:id="145"/>
    <w:p>
      <w:pPr>
        <w:ind w:left="120"/>
        <w:spacing w:after="0"/>
        <w:rPr>
          <w:sz w:val="20"/>
          <w:szCs w:val="20"/>
          <w:color w:val="auto"/>
        </w:rPr>
      </w:pPr>
      <w:r>
        <w:rPr>
          <w:rFonts w:ascii="Arial" w:cs="Arial" w:eastAsia="Arial" w:hAnsi="Arial"/>
          <w:sz w:val="24"/>
          <w:szCs w:val="24"/>
          <w:b w:val="1"/>
          <w:bCs w:val="1"/>
          <w:color w:val="FB1717"/>
        </w:rPr>
        <mc:AlternateContent>
          <mc:Choice Requires="wps">
            <w:drawing>
              <wp:anchor simplePos="0" relativeHeight="251657728" behindDoc="1" locked="0" layoutInCell="0" allowOverlap="1">
                <wp:simplePos x="0" y="0"/>
                <wp:positionH relativeFrom="page">
                  <wp:posOffset>571500</wp:posOffset>
                </wp:positionH>
                <wp:positionV relativeFrom="page">
                  <wp:posOffset>803275</wp:posOffset>
                </wp:positionV>
                <wp:extent cx="6400800"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3.25pt" to="549pt,63.25pt" o:allowincell="f" strokecolor="#000000" strokeweight="0.5pt">
                <w10:wrap anchorx="page" anchory="page"/>
              </v:line>
            </w:pict>
          </mc:Fallback>
        </mc:AlternateContent>
        <w:t>2022 N</w:t>
      </w:r>
      <w:r>
        <w:rPr>
          <w:rFonts w:ascii="Arial" w:cs="Arial" w:eastAsia="Arial" w:hAnsi="Arial"/>
          <w:sz w:val="18"/>
          <w:szCs w:val="18"/>
          <w:b w:val="1"/>
          <w:bCs w:val="1"/>
          <w:color w:val="FB1717"/>
        </w:rPr>
        <w:t>EO</w:t>
      </w:r>
      <w:r>
        <w:rPr>
          <w:rFonts w:ascii="Arial" w:cs="Arial" w:eastAsia="Arial" w:hAnsi="Arial"/>
          <w:sz w:val="24"/>
          <w:szCs w:val="24"/>
          <w:b w:val="1"/>
          <w:bCs w:val="1"/>
          <w:color w:val="FB1717"/>
        </w:rPr>
        <w:t xml:space="preserve"> P</w:t>
      </w:r>
      <w:r>
        <w:rPr>
          <w:rFonts w:ascii="Arial" w:cs="Arial" w:eastAsia="Arial" w:hAnsi="Arial"/>
          <w:sz w:val="18"/>
          <w:szCs w:val="18"/>
          <w:b w:val="1"/>
          <w:bCs w:val="1"/>
          <w:color w:val="FB1717"/>
        </w:rPr>
        <w:t>ERFORMANCE</w:t>
      </w:r>
      <w:r>
        <w:rPr>
          <w:rFonts w:ascii="Arial" w:cs="Arial" w:eastAsia="Arial" w:hAnsi="Arial"/>
          <w:sz w:val="24"/>
          <w:szCs w:val="24"/>
          <w:b w:val="1"/>
          <w:bCs w:val="1"/>
          <w:color w:val="FB1717"/>
        </w:rPr>
        <w:t xml:space="preserve"> S</w:t>
      </w:r>
      <w:r>
        <w:rPr>
          <w:rFonts w:ascii="Arial" w:cs="Arial" w:eastAsia="Arial" w:hAnsi="Arial"/>
          <w:sz w:val="18"/>
          <w:szCs w:val="18"/>
          <w:b w:val="1"/>
          <w:bCs w:val="1"/>
          <w:color w:val="FB1717"/>
        </w:rPr>
        <w:t>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400800"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04pt,0.25pt" o:allowincell="f" strokecolor="#000000" strokeweight="0.5pt"/>
            </w:pict>
          </mc:Fallback>
        </mc:AlternateContent>
      </w: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Listed below are the individual performance achievements for each of our NEOs that the Compensation Committee considered to be instrumental in its determination to award each of our NEO’s the full amount of compensation he or she was eligible to receive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400800" cy="1805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86">
                      <a:extLst>
                        <a:ext uri="{28A0092B-C50C-407E-A947-70E740481C1C}"/>
                      </a:extLst>
                    </a:blip>
                    <a:srcRect/>
                    <a:stretch>
                      <a:fillRect/>
                    </a:stretch>
                  </pic:blipFill>
                  <pic:spPr bwMode="auto">
                    <a:xfrm>
                      <a:off x="0" y="0"/>
                      <a:ext cx="6400800" cy="1805940"/>
                    </a:xfrm>
                    <a:prstGeom prst="rect">
                      <a:avLst/>
                    </a:prstGeom>
                    <a:noFill/>
                  </pic:spPr>
                </pic:pic>
              </a:graphicData>
            </a:graphic>
          </wp:anchor>
        </w:drawing>
      </w:r>
    </w:p>
    <w:p>
      <w:pPr>
        <w:sectPr>
          <w:pgSz w:w="11880" w:h="15480" w:orient="portrait"/>
          <w:cols w:equalWidth="0" w:num="1">
            <w:col w:w="10080"/>
          </w:cols>
          <w:pgMar w:left="900" w:top="1324"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FB1717"/>
        </w:rPr>
        <w:t>Donald C. Wood</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color w:val="FB1717"/>
        </w:rPr>
        <w:t>2022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Base Pay</w:t>
            </w:r>
          </w:p>
        </w:tc>
        <w:tc>
          <w:tcPr>
            <w:tcW w:w="480" w:type="dxa"/>
            <w:vAlign w:val="bottom"/>
            <w:shd w:val="clear" w:color="auto" w:fill="E6E6E6"/>
          </w:tcPr>
          <w:p>
            <w:pPr>
              <w:spacing w:after="0"/>
              <w:rPr>
                <w:sz w:val="20"/>
                <w:szCs w:val="20"/>
                <w:color w:val="auto"/>
              </w:rPr>
            </w:pPr>
            <w:r>
              <w:rPr>
                <w:rFonts w:ascii="Arial" w:cs="Arial" w:eastAsia="Arial" w:hAnsi="Arial"/>
                <w:sz w:val="16"/>
                <w:szCs w:val="16"/>
                <w:color w:val="auto"/>
                <w:w w:val="93"/>
                <w:shd w:val="clear" w:color="auto" w:fill="E6E6E6"/>
              </w:rPr>
              <w:t>$1,000</w:t>
            </w:r>
          </w:p>
        </w:tc>
        <w:tc>
          <w:tcPr>
            <w:tcW w:w="200" w:type="dxa"/>
            <w:vAlign w:val="bottom"/>
            <w:shd w:val="clear" w:color="auto" w:fill="E6E6E6"/>
          </w:tcPr>
          <w:p>
            <w:pPr>
              <w:spacing w:after="0"/>
              <w:rPr>
                <w:sz w:val="18"/>
                <w:szCs w:val="18"/>
                <w:color w:val="auto"/>
              </w:rPr>
            </w:pPr>
          </w:p>
        </w:tc>
      </w:tr>
      <w:tr>
        <w:trPr>
          <w:trHeight w:val="240"/>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Annual Bonus</w:t>
            </w:r>
          </w:p>
        </w:tc>
        <w:tc>
          <w:tcPr>
            <w:tcW w:w="680" w:type="dxa"/>
            <w:vAlign w:val="bottom"/>
            <w:gridSpan w:val="2"/>
            <w:shd w:val="clear" w:color="auto" w:fill="E6E6E6"/>
          </w:tcPr>
          <w:p>
            <w:pPr>
              <w:spacing w:after="0"/>
              <w:rPr>
                <w:sz w:val="20"/>
                <w:szCs w:val="20"/>
                <w:color w:val="auto"/>
              </w:rPr>
            </w:pPr>
            <w:r>
              <w:rPr>
                <w:rFonts w:ascii="Arial" w:cs="Arial" w:eastAsia="Arial" w:hAnsi="Arial"/>
                <w:sz w:val="16"/>
                <w:szCs w:val="16"/>
                <w:color w:val="auto"/>
              </w:rPr>
              <w:t>$1,875</w:t>
            </w:r>
          </w:p>
        </w:tc>
      </w:tr>
      <w:tr>
        <w:trPr>
          <w:trHeight w:val="288"/>
        </w:trPr>
        <w:tc>
          <w:tcPr>
            <w:tcW w:w="2340" w:type="dxa"/>
            <w:vAlign w:val="bottom"/>
            <w:tcBorders>
              <w:bottom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Long-Term Equity</w:t>
            </w:r>
          </w:p>
        </w:tc>
        <w:tc>
          <w:tcPr>
            <w:tcW w:w="4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6"/>
                <w:szCs w:val="16"/>
                <w:color w:val="auto"/>
                <w:w w:val="93"/>
                <w:shd w:val="clear" w:color="auto" w:fill="E6E6E6"/>
              </w:rPr>
              <w:t>$5,940</w:t>
            </w:r>
          </w:p>
        </w:tc>
        <w:tc>
          <w:tcPr>
            <w:tcW w:w="200" w:type="dxa"/>
            <w:vAlign w:val="bottom"/>
            <w:tcBorders>
              <w:bottom w:val="single" w:sz="8" w:color="E6E6E6"/>
            </w:tcBorders>
            <w:shd w:val="clear" w:color="auto" w:fill="E6E6E6"/>
          </w:tcPr>
          <w:p>
            <w:pPr>
              <w:spacing w:after="0"/>
              <w:rPr>
                <w:sz w:val="24"/>
                <w:szCs w:val="24"/>
                <w:color w:val="auto"/>
              </w:rPr>
            </w:pPr>
          </w:p>
        </w:tc>
      </w:tr>
      <w:tr>
        <w:trPr>
          <w:trHeight w:val="217"/>
        </w:trPr>
        <w:tc>
          <w:tcPr>
            <w:tcW w:w="2340" w:type="dxa"/>
            <w:vAlign w:val="bottom"/>
            <w:tcBorders>
              <w:top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6"/>
                <w:szCs w:val="16"/>
                <w:color w:val="auto"/>
                <w:w w:val="93"/>
                <w:shd w:val="clear" w:color="auto" w:fill="E6E6E6"/>
              </w:rPr>
              <w:t>$8,815</w:t>
            </w:r>
          </w:p>
        </w:tc>
        <w:tc>
          <w:tcPr>
            <w:tcW w:w="200" w:type="dxa"/>
            <w:vAlign w:val="bottom"/>
            <w:tcBorders>
              <w:top w:val="single" w:sz="8" w:color="E6E6E6"/>
            </w:tcBorders>
            <w:shd w:val="clear" w:color="auto" w:fill="E6E6E6"/>
          </w:tcPr>
          <w:p>
            <w:pPr>
              <w:spacing w:after="0"/>
              <w:rPr>
                <w:sz w:val="18"/>
                <w:szCs w:val="18"/>
                <w:color w:val="auto"/>
              </w:rPr>
            </w:pPr>
          </w:p>
        </w:tc>
      </w:tr>
      <w:tr>
        <w:trPr>
          <w:trHeight w:val="240"/>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Total as % of Target</w:t>
            </w:r>
          </w:p>
        </w:tc>
        <w:tc>
          <w:tcPr>
            <w:tcW w:w="680" w:type="dxa"/>
            <w:vAlign w:val="bottom"/>
            <w:gridSpan w:val="2"/>
            <w:shd w:val="clear" w:color="auto" w:fill="E6E6E6"/>
          </w:tcPr>
          <w:p>
            <w:pPr>
              <w:ind w:left="80"/>
              <w:spacing w:after="0"/>
              <w:rPr>
                <w:sz w:val="20"/>
                <w:szCs w:val="20"/>
                <w:color w:val="auto"/>
              </w:rPr>
            </w:pPr>
            <w:r>
              <w:rPr>
                <w:rFonts w:ascii="Arial" w:cs="Arial" w:eastAsia="Arial" w:hAnsi="Arial"/>
                <w:sz w:val="16"/>
                <w:szCs w:val="16"/>
                <w:color w:val="auto"/>
              </w:rPr>
              <w:t>104%</w:t>
            </w:r>
          </w:p>
        </w:tc>
      </w:tr>
      <w:tr>
        <w:trPr>
          <w:trHeight w:val="1208"/>
        </w:trPr>
        <w:tc>
          <w:tcPr>
            <w:tcW w:w="234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1923415" cy="2313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87">
                      <a:extLst>
                        <a:ext uri="{28A0092B-C50C-407E-A947-70E740481C1C}"/>
                      </a:extLst>
                    </a:blip>
                    <a:srcRect/>
                    <a:stretch>
                      <a:fillRect/>
                    </a:stretch>
                  </pic:blipFill>
                  <pic:spPr bwMode="auto">
                    <a:xfrm>
                      <a:off x="0" y="0"/>
                      <a:ext cx="1923415" cy="2313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Responsibilities</w:t>
      </w:r>
    </w:p>
    <w:p>
      <w:pPr>
        <w:spacing w:after="0" w:line="136"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22860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6E6"/>
                        </a:solidFill>
                      </wps:spPr>
                      <wps:bodyPr/>
                    </wps:wsp>
                  </a:graphicData>
                </a:graphic>
              </wp:anchor>
            </w:drawing>
          </mc:Choice>
          <mc:Fallback>
            <w:pict>
              <v:rect id="Shape 475" o:spid="_x0000_s1500" style="position:absolute;margin-left:-4.4999pt;margin-top:9.65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Achievements</w:t>
      </w:r>
    </w:p>
    <w:p>
      <w:pPr>
        <w:spacing w:after="0" w:line="136" w:lineRule="exact"/>
        <w:rPr>
          <w:sz w:val="20"/>
          <w:szCs w:val="20"/>
          <w:color w:val="auto"/>
        </w:rPr>
      </w:pPr>
    </w:p>
    <w:p>
      <w:pPr>
        <w:ind w:left="400" w:right="36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the Company’s efforts to execute on our long-term strategy and objectives</w:t>
      </w:r>
    </w:p>
    <w:p>
      <w:pPr>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our overall efforts that drove record level top line revenue</w:t>
      </w:r>
    </w:p>
    <w:p>
      <w:pPr>
        <w:spacing w:after="0" w:line="15" w:lineRule="exact"/>
        <w:rPr>
          <w:sz w:val="20"/>
          <w:szCs w:val="20"/>
          <w:color w:val="auto"/>
        </w:rPr>
      </w:pPr>
    </w:p>
    <w:p>
      <w:pPr>
        <w:ind w:left="400" w:right="58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our strong leasing activity and significant increase in portfolio occupancy</w:t>
      </w:r>
    </w:p>
    <w:p>
      <w:pPr>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our diversity, equity and inclusion initiatives</w:t>
      </w:r>
    </w:p>
    <w:p>
      <w:pPr>
        <w:spacing w:after="0" w:line="15" w:lineRule="exact"/>
        <w:rPr>
          <w:sz w:val="20"/>
          <w:szCs w:val="20"/>
          <w:color w:val="auto"/>
        </w:rPr>
      </w:pPr>
    </w:p>
    <w:p>
      <w:pPr>
        <w:ind w:left="400" w:right="60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continued advancement of overall strategy and objectives on environmental, social and governance initiatives</w:t>
      </w:r>
    </w:p>
    <w:p>
      <w:pPr>
        <w:spacing w:after="0" w:line="15" w:lineRule="exact"/>
        <w:rPr>
          <w:sz w:val="20"/>
          <w:szCs w:val="20"/>
          <w:color w:val="auto"/>
        </w:rPr>
      </w:pPr>
    </w:p>
    <w:p>
      <w:pPr>
        <w:ind w:left="400" w:right="20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decisions on capital recycling intended to create significant future value for our shareholders</w:t>
      </w:r>
    </w:p>
    <w:p>
      <w:pPr>
        <w:spacing w:after="0" w:line="15" w:lineRule="exact"/>
        <w:rPr>
          <w:sz w:val="20"/>
          <w:szCs w:val="20"/>
          <w:color w:val="auto"/>
        </w:rPr>
      </w:pPr>
    </w:p>
    <w:p>
      <w:pPr>
        <w:ind w:left="400" w:right="6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establishment of ESG initiatives as high level corporate priorities to support our overall business objectives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380365</wp:posOffset>
                </wp:positionV>
                <wp:extent cx="4349750" cy="22860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6E6"/>
                        </a:solidFill>
                      </wps:spPr>
                      <wps:bodyPr/>
                    </wps:wsp>
                  </a:graphicData>
                </a:graphic>
              </wp:anchor>
            </w:drawing>
          </mc:Choice>
          <mc:Fallback>
            <w:pict>
              <v:rect id="Shape 476" o:spid="_x0000_s1501" style="position:absolute;margin-left:-4.4999pt;margin-top:29.95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0" w:lineRule="exact"/>
        <w:rPr>
          <w:sz w:val="20"/>
          <w:szCs w:val="20"/>
          <w:color w:val="auto"/>
        </w:rPr>
      </w:pPr>
    </w:p>
    <w:p>
      <w:pPr>
        <w:sectPr>
          <w:pgSz w:w="11880" w:h="15480" w:orient="portrait"/>
          <w:cols w:equalWidth="0" w:num="2">
            <w:col w:w="3020" w:space="300"/>
            <w:col w:w="6760"/>
          </w:cols>
          <w:pgMar w:left="900" w:top="1324" w:right="900" w:bottom="7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FB1717"/>
        </w:rPr>
        <w:t>Jeffrey S. Berkes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President and Chief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FB1717"/>
        </w:rPr>
        <w:t>2022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Base Pay</w:t>
            </w:r>
          </w:p>
        </w:tc>
        <w:tc>
          <w:tcPr>
            <w:tcW w:w="160" w:type="dxa"/>
            <w:vAlign w:val="bottom"/>
            <w:shd w:val="clear" w:color="auto" w:fill="E6E6E6"/>
          </w:tcPr>
          <w:p>
            <w:pPr>
              <w:spacing w:after="0"/>
              <w:rPr>
                <w:sz w:val="20"/>
                <w:szCs w:val="20"/>
                <w:color w:val="auto"/>
              </w:rPr>
            </w:pPr>
            <w:r>
              <w:rPr>
                <w:rFonts w:ascii="Arial" w:cs="Arial" w:eastAsia="Arial" w:hAnsi="Arial"/>
                <w:sz w:val="16"/>
                <w:szCs w:val="16"/>
                <w:color w:val="auto"/>
                <w:shd w:val="clear" w:color="auto" w:fill="E6E6E6"/>
              </w:rPr>
              <w:t>$</w:t>
            </w:r>
          </w:p>
        </w:tc>
        <w:tc>
          <w:tcPr>
            <w:tcW w:w="320" w:type="dxa"/>
            <w:vAlign w:val="bottom"/>
            <w:shd w:val="clear" w:color="auto" w:fill="E6E6E6"/>
          </w:tcPr>
          <w:p>
            <w:pPr>
              <w:ind w:left="60"/>
              <w:spacing w:after="0"/>
              <w:rPr>
                <w:sz w:val="20"/>
                <w:szCs w:val="20"/>
                <w:color w:val="auto"/>
              </w:rPr>
            </w:pPr>
            <w:r>
              <w:rPr>
                <w:rFonts w:ascii="Arial" w:cs="Arial" w:eastAsia="Arial" w:hAnsi="Arial"/>
                <w:sz w:val="16"/>
                <w:szCs w:val="16"/>
                <w:color w:val="auto"/>
                <w:w w:val="89"/>
                <w:shd w:val="clear" w:color="auto" w:fill="E6E6E6"/>
              </w:rPr>
              <w:t>650</w:t>
            </w:r>
          </w:p>
        </w:tc>
        <w:tc>
          <w:tcPr>
            <w:tcW w:w="200" w:type="dxa"/>
            <w:vAlign w:val="bottom"/>
            <w:shd w:val="clear" w:color="auto" w:fill="E6E6E6"/>
          </w:tcPr>
          <w:p>
            <w:pPr>
              <w:spacing w:after="0"/>
              <w:rPr>
                <w:sz w:val="18"/>
                <w:szCs w:val="18"/>
                <w:color w:val="auto"/>
              </w:rPr>
            </w:pPr>
          </w:p>
        </w:tc>
      </w:tr>
      <w:tr>
        <w:trPr>
          <w:trHeight w:val="240"/>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Annual Bonus</w:t>
            </w:r>
          </w:p>
        </w:tc>
        <w:tc>
          <w:tcPr>
            <w:tcW w:w="160" w:type="dxa"/>
            <w:vAlign w:val="bottom"/>
            <w:shd w:val="clear" w:color="auto" w:fill="E6E6E6"/>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813</w:t>
            </w:r>
          </w:p>
        </w:tc>
      </w:tr>
      <w:tr>
        <w:trPr>
          <w:trHeight w:val="288"/>
        </w:trPr>
        <w:tc>
          <w:tcPr>
            <w:tcW w:w="2340" w:type="dxa"/>
            <w:vAlign w:val="bottom"/>
            <w:tcBorders>
              <w:bottom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Long-Term Equity</w:t>
            </w:r>
          </w:p>
        </w:tc>
        <w:tc>
          <w:tcPr>
            <w:tcW w:w="1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6"/>
                <w:szCs w:val="16"/>
                <w:color w:val="auto"/>
                <w:shd w:val="clear" w:color="auto" w:fill="E6E6E6"/>
              </w:rPr>
              <w:t>$</w:t>
            </w:r>
          </w:p>
        </w:tc>
        <w:tc>
          <w:tcPr>
            <w:tcW w:w="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w w:val="89"/>
                <w:shd w:val="clear" w:color="auto" w:fill="E6E6E6"/>
              </w:rPr>
              <w:t>990</w:t>
            </w:r>
          </w:p>
        </w:tc>
        <w:tc>
          <w:tcPr>
            <w:tcW w:w="200" w:type="dxa"/>
            <w:vAlign w:val="bottom"/>
            <w:tcBorders>
              <w:bottom w:val="single" w:sz="8" w:color="E6E6E6"/>
            </w:tcBorders>
            <w:shd w:val="clear" w:color="auto" w:fill="E6E6E6"/>
          </w:tcPr>
          <w:p>
            <w:pPr>
              <w:spacing w:after="0"/>
              <w:rPr>
                <w:sz w:val="24"/>
                <w:szCs w:val="24"/>
                <w:color w:val="auto"/>
              </w:rPr>
            </w:pPr>
          </w:p>
        </w:tc>
      </w:tr>
      <w:tr>
        <w:trPr>
          <w:trHeight w:val="229"/>
        </w:trPr>
        <w:tc>
          <w:tcPr>
            <w:tcW w:w="2340" w:type="dxa"/>
            <w:vAlign w:val="bottom"/>
            <w:tcBorders>
              <w:top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tcBorders>
            <w:gridSpan w:val="2"/>
            <w:shd w:val="clear" w:color="auto" w:fill="E6E6E6"/>
          </w:tcPr>
          <w:p>
            <w:pPr>
              <w:spacing w:after="0"/>
              <w:rPr>
                <w:sz w:val="20"/>
                <w:szCs w:val="20"/>
                <w:color w:val="auto"/>
              </w:rPr>
            </w:pPr>
            <w:r>
              <w:rPr>
                <w:rFonts w:ascii="Arial" w:cs="Arial" w:eastAsia="Arial" w:hAnsi="Arial"/>
                <w:sz w:val="16"/>
                <w:szCs w:val="16"/>
                <w:color w:val="auto"/>
                <w:w w:val="93"/>
                <w:shd w:val="clear" w:color="auto" w:fill="E6E6E6"/>
              </w:rPr>
              <w:t>$2,453</w:t>
            </w:r>
          </w:p>
        </w:tc>
        <w:tc>
          <w:tcPr>
            <w:tcW w:w="200" w:type="dxa"/>
            <w:vAlign w:val="bottom"/>
            <w:tcBorders>
              <w:top w:val="single" w:sz="8" w:color="E6E6E6"/>
            </w:tcBorders>
            <w:shd w:val="clear" w:color="auto" w:fill="E6E6E6"/>
          </w:tcPr>
          <w:p>
            <w:pPr>
              <w:spacing w:after="0"/>
              <w:rPr>
                <w:sz w:val="19"/>
                <w:szCs w:val="19"/>
                <w:color w:val="auto"/>
              </w:rPr>
            </w:pPr>
          </w:p>
        </w:tc>
      </w:tr>
      <w:tr>
        <w:trPr>
          <w:trHeight w:val="228"/>
        </w:trPr>
        <w:tc>
          <w:tcPr>
            <w:tcW w:w="2340" w:type="dxa"/>
            <w:vAlign w:val="bottom"/>
          </w:tcPr>
          <w:p>
            <w:pPr>
              <w:ind w:left="360"/>
              <w:spacing w:after="0"/>
              <w:rPr>
                <w:sz w:val="20"/>
                <w:szCs w:val="20"/>
                <w:color w:val="auto"/>
              </w:rPr>
            </w:pPr>
            <w:r>
              <w:rPr>
                <w:rFonts w:ascii="Arial" w:cs="Arial" w:eastAsia="Arial" w:hAnsi="Arial"/>
                <w:sz w:val="16"/>
                <w:szCs w:val="16"/>
                <w:color w:val="auto"/>
              </w:rPr>
              <w:t>Total as % of Target</w:t>
            </w:r>
          </w:p>
        </w:tc>
        <w:tc>
          <w:tcPr>
            <w:tcW w:w="680" w:type="dxa"/>
            <w:vAlign w:val="bottom"/>
            <w:gridSpan w:val="3"/>
          </w:tcPr>
          <w:p>
            <w:pPr>
              <w:ind w:left="80"/>
              <w:spacing w:after="0"/>
              <w:rPr>
                <w:sz w:val="20"/>
                <w:szCs w:val="20"/>
                <w:color w:val="auto"/>
              </w:rPr>
            </w:pPr>
            <w:r>
              <w:rPr>
                <w:rFonts w:ascii="Arial" w:cs="Arial" w:eastAsia="Arial" w:hAnsi="Arial"/>
                <w:sz w:val="16"/>
                <w:szCs w:val="16"/>
                <w:color w:val="auto"/>
              </w:rPr>
              <w:t>107%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-149225</wp:posOffset>
                </wp:positionV>
                <wp:extent cx="1923415" cy="611505"/>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3415" cy="611505"/>
                        </a:xfrm>
                        <a:prstGeom prst="rect">
                          <a:avLst/>
                        </a:prstGeom>
                        <a:solidFill>
                          <a:srgbClr val="E6E6E6"/>
                        </a:solidFill>
                      </wps:spPr>
                      <wps:bodyPr/>
                    </wps:wsp>
                  </a:graphicData>
                </a:graphic>
              </wp:anchor>
            </w:drawing>
          </mc:Choice>
          <mc:Fallback>
            <w:pict>
              <v:rect id="Shape 477" o:spid="_x0000_s1502" style="position:absolute;margin-left:0pt;margin-top:-11.7499pt;width:151.45pt;height:48.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379730</wp:posOffset>
                </wp:positionV>
                <wp:extent cx="6400800" cy="17780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78" o:spid="_x0000_s1503" style="position:absolute;margin-left:0pt;margin-top:29.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379730</wp:posOffset>
                </wp:positionV>
                <wp:extent cx="0" cy="17780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9.9pt" to="0.75pt,43.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548005</wp:posOffset>
                </wp:positionV>
                <wp:extent cx="6400800"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15pt" to="504pt,43.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389255</wp:posOffset>
                </wp:positionV>
                <wp:extent cx="6400800"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65pt" to="504pt,30.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379730</wp:posOffset>
                </wp:positionV>
                <wp:extent cx="0" cy="17780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29.9pt" to="503.25pt,43.9pt" o:allowincell="f" strokecolor="#000000" strokeweight="1.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Responsibilities</w:t>
      </w:r>
    </w:p>
    <w:p>
      <w:pPr>
        <w:spacing w:after="0" w:line="134"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Mr. Berkes has overall responsibility for the performance of the Company’s operating assets, development and redevelopment projects as well as overall responsibility for property acquisitions and dispositions.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121285</wp:posOffset>
                </wp:positionV>
                <wp:extent cx="4349750" cy="22860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6E6"/>
                        </a:solidFill>
                      </wps:spPr>
                      <wps:bodyPr/>
                    </wps:wsp>
                  </a:graphicData>
                </a:graphic>
              </wp:anchor>
            </w:drawing>
          </mc:Choice>
          <mc:Fallback>
            <w:pict>
              <v:rect id="Shape 483" o:spid="_x0000_s1508" style="position:absolute;margin-left:-4.4999pt;margin-top:9.55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Achievements</w:t>
      </w:r>
    </w:p>
    <w:p>
      <w:pPr>
        <w:spacing w:after="0" w:line="214" w:lineRule="exact"/>
        <w:rPr>
          <w:sz w:val="20"/>
          <w:szCs w:val="20"/>
          <w:color w:val="auto"/>
        </w:rPr>
      </w:pPr>
    </w:p>
    <w:p>
      <w:pPr>
        <w:ind w:left="400" w:right="2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Oversaw Company-wide efforts that led to delivery of record level of top line revenue</w:t>
      </w:r>
    </w:p>
    <w:p>
      <w:pPr>
        <w:spacing w:after="0" w:line="15" w:lineRule="exact"/>
        <w:rPr>
          <w:sz w:val="20"/>
          <w:szCs w:val="20"/>
          <w:color w:val="auto"/>
        </w:rPr>
      </w:pPr>
    </w:p>
    <w:p>
      <w:pPr>
        <w:ind w:left="400" w:right="240" w:hanging="400"/>
        <w:spacing w:after="0" w:line="236"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the Company’s capital recycling efforts with the sale of non-core, slower growing properties totaling $136 million and investment of $526 million into new operating assets with better growth and value creation prospects</w:t>
      </w:r>
    </w:p>
    <w:p>
      <w:pPr>
        <w:spacing w:after="0" w:line="18" w:lineRule="exact"/>
        <w:rPr>
          <w:sz w:val="20"/>
          <w:szCs w:val="20"/>
          <w:color w:val="auto"/>
        </w:rPr>
      </w:pPr>
    </w:p>
    <w:p>
      <w:pPr>
        <w:ind w:left="400" w:right="140" w:hanging="400"/>
        <w:spacing w:after="0" w:line="235"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Oversaw historically strong year of comparable space lease signings that will deliver $74 million of new revenue in the first year of the lease terms</w:t>
      </w:r>
    </w:p>
    <w:p>
      <w:pPr>
        <w:spacing w:after="0" w:line="16" w:lineRule="exact"/>
        <w:rPr>
          <w:sz w:val="20"/>
          <w:szCs w:val="20"/>
          <w:color w:val="auto"/>
        </w:rPr>
      </w:pPr>
    </w:p>
    <w:p>
      <w:pPr>
        <w:ind w:left="400" w:right="40" w:hanging="400"/>
        <w:spacing w:after="0" w:line="232"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Oversaw leasing and construction efforts that resulted in year over year gain of 1.1 million square feet of portfolio occupancy</w:t>
      </w:r>
    </w:p>
    <w:p>
      <w:pPr>
        <w:spacing w:after="0" w:line="392" w:lineRule="exact"/>
        <w:rPr>
          <w:sz w:val="20"/>
          <w:szCs w:val="20"/>
          <w:color w:val="auto"/>
        </w:rPr>
      </w:pPr>
    </w:p>
    <w:p>
      <w:pPr>
        <w:sectPr>
          <w:pgSz w:w="11880" w:h="15480" w:orient="portrait"/>
          <w:cols w:equalWidth="0" w:num="2">
            <w:col w:w="3020" w:space="300"/>
            <w:col w:w="6760"/>
          </w:cols>
          <w:pgMar w:left="900" w:top="1324" w:right="900" w:bottom="764"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26</w:t>
      </w:r>
    </w:p>
    <w:p>
      <w:pPr>
        <w:sectPr>
          <w:pgSz w:w="11880" w:h="15480" w:orient="portrait"/>
          <w:cols w:equalWidth="0" w:num="1">
            <w:col w:w="10080"/>
          </w:cols>
          <w:pgMar w:left="900" w:top="1324" w:right="900" w:bottom="764"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1923415" cy="20980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88">
                      <a:extLst>
                        <a:ext uri="{28A0092B-C50C-407E-A947-70E740481C1C}"/>
                      </a:extLst>
                    </a:blip>
                    <a:srcRect/>
                    <a:stretch>
                      <a:fillRect/>
                    </a:stretch>
                  </pic:blipFill>
                  <pic:spPr bwMode="auto">
                    <a:xfrm>
                      <a:off x="0" y="0"/>
                      <a:ext cx="1923415" cy="209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FB1717"/>
        </w:rPr>
        <w:t>Daniel Guglielmone</w:t>
      </w:r>
    </w:p>
    <w:p>
      <w:pPr>
        <w:spacing w:after="0" w:line="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Executive Vice President</w:t>
      </w:r>
    </w:p>
    <w:p>
      <w:pPr>
        <w:spacing w:after="0" w:line="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color w:val="FB1717"/>
        </w:rPr>
        <w:t>2022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Base Pay</w:t>
            </w:r>
          </w:p>
        </w:tc>
        <w:tc>
          <w:tcPr>
            <w:tcW w:w="160" w:type="dxa"/>
            <w:vAlign w:val="bottom"/>
            <w:shd w:val="clear" w:color="auto" w:fill="E6E6E6"/>
          </w:tcPr>
          <w:p>
            <w:pPr>
              <w:spacing w:after="0"/>
              <w:rPr>
                <w:sz w:val="20"/>
                <w:szCs w:val="20"/>
                <w:color w:val="auto"/>
              </w:rPr>
            </w:pPr>
            <w:r>
              <w:rPr>
                <w:rFonts w:ascii="Arial" w:cs="Arial" w:eastAsia="Arial" w:hAnsi="Arial"/>
                <w:sz w:val="16"/>
                <w:szCs w:val="16"/>
                <w:color w:val="auto"/>
                <w:shd w:val="clear" w:color="auto" w:fill="E6E6E6"/>
              </w:rPr>
              <w:t>$</w:t>
            </w:r>
          </w:p>
        </w:tc>
        <w:tc>
          <w:tcPr>
            <w:tcW w:w="320" w:type="dxa"/>
            <w:vAlign w:val="bottom"/>
            <w:shd w:val="clear" w:color="auto" w:fill="E6E6E6"/>
          </w:tcPr>
          <w:p>
            <w:pPr>
              <w:ind w:left="60"/>
              <w:spacing w:after="0"/>
              <w:rPr>
                <w:sz w:val="20"/>
                <w:szCs w:val="20"/>
                <w:color w:val="auto"/>
              </w:rPr>
            </w:pPr>
            <w:r>
              <w:rPr>
                <w:rFonts w:ascii="Arial" w:cs="Arial" w:eastAsia="Arial" w:hAnsi="Arial"/>
                <w:sz w:val="16"/>
                <w:szCs w:val="16"/>
                <w:color w:val="auto"/>
                <w:w w:val="89"/>
                <w:shd w:val="clear" w:color="auto" w:fill="E6E6E6"/>
              </w:rPr>
              <w:t>575</w:t>
            </w:r>
          </w:p>
        </w:tc>
        <w:tc>
          <w:tcPr>
            <w:tcW w:w="200" w:type="dxa"/>
            <w:vAlign w:val="bottom"/>
            <w:shd w:val="clear" w:color="auto" w:fill="E6E6E6"/>
          </w:tcPr>
          <w:p>
            <w:pPr>
              <w:spacing w:after="0"/>
              <w:rPr>
                <w:sz w:val="18"/>
                <w:szCs w:val="18"/>
                <w:color w:val="auto"/>
              </w:rPr>
            </w:pPr>
          </w:p>
        </w:tc>
      </w:tr>
      <w:tr>
        <w:trPr>
          <w:trHeight w:val="240"/>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Annual Bonus</w:t>
            </w:r>
          </w:p>
        </w:tc>
        <w:tc>
          <w:tcPr>
            <w:tcW w:w="160" w:type="dxa"/>
            <w:vAlign w:val="bottom"/>
            <w:shd w:val="clear" w:color="auto" w:fill="E6E6E6"/>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719</w:t>
            </w:r>
          </w:p>
        </w:tc>
      </w:tr>
      <w:tr>
        <w:trPr>
          <w:trHeight w:val="288"/>
        </w:trPr>
        <w:tc>
          <w:tcPr>
            <w:tcW w:w="2340" w:type="dxa"/>
            <w:vAlign w:val="bottom"/>
            <w:tcBorders>
              <w:bottom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Long-Term Equity</w:t>
            </w:r>
          </w:p>
        </w:tc>
        <w:tc>
          <w:tcPr>
            <w:tcW w:w="1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6"/>
                <w:szCs w:val="16"/>
                <w:color w:val="auto"/>
                <w:shd w:val="clear" w:color="auto" w:fill="E6E6E6"/>
              </w:rPr>
              <w:t>$</w:t>
            </w:r>
          </w:p>
        </w:tc>
        <w:tc>
          <w:tcPr>
            <w:tcW w:w="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w w:val="89"/>
                <w:shd w:val="clear" w:color="auto" w:fill="E6E6E6"/>
              </w:rPr>
              <w:t>990</w:t>
            </w:r>
          </w:p>
        </w:tc>
        <w:tc>
          <w:tcPr>
            <w:tcW w:w="200" w:type="dxa"/>
            <w:vAlign w:val="bottom"/>
            <w:tcBorders>
              <w:bottom w:val="single" w:sz="8" w:color="E6E6E6"/>
            </w:tcBorders>
            <w:shd w:val="clear" w:color="auto" w:fill="E6E6E6"/>
          </w:tcPr>
          <w:p>
            <w:pPr>
              <w:spacing w:after="0"/>
              <w:rPr>
                <w:sz w:val="24"/>
                <w:szCs w:val="24"/>
                <w:color w:val="auto"/>
              </w:rPr>
            </w:pPr>
          </w:p>
        </w:tc>
      </w:tr>
      <w:tr>
        <w:trPr>
          <w:trHeight w:val="217"/>
        </w:trPr>
        <w:tc>
          <w:tcPr>
            <w:tcW w:w="2340" w:type="dxa"/>
            <w:vAlign w:val="bottom"/>
            <w:tcBorders>
              <w:top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tcBorders>
            <w:gridSpan w:val="2"/>
            <w:shd w:val="clear" w:color="auto" w:fill="E6E6E6"/>
          </w:tcPr>
          <w:p>
            <w:pPr>
              <w:spacing w:after="0"/>
              <w:rPr>
                <w:sz w:val="20"/>
                <w:szCs w:val="20"/>
                <w:color w:val="auto"/>
              </w:rPr>
            </w:pPr>
            <w:r>
              <w:rPr>
                <w:rFonts w:ascii="Arial" w:cs="Arial" w:eastAsia="Arial" w:hAnsi="Arial"/>
                <w:sz w:val="16"/>
                <w:szCs w:val="16"/>
                <w:color w:val="auto"/>
                <w:w w:val="93"/>
                <w:shd w:val="clear" w:color="auto" w:fill="E6E6E6"/>
              </w:rPr>
              <w:t>$2,284</w:t>
            </w:r>
          </w:p>
        </w:tc>
        <w:tc>
          <w:tcPr>
            <w:tcW w:w="200" w:type="dxa"/>
            <w:vAlign w:val="bottom"/>
            <w:tcBorders>
              <w:top w:val="single" w:sz="8" w:color="E6E6E6"/>
            </w:tcBorders>
            <w:shd w:val="clear" w:color="auto" w:fill="E6E6E6"/>
          </w:tcPr>
          <w:p>
            <w:pPr>
              <w:spacing w:after="0"/>
              <w:rPr>
                <w:sz w:val="18"/>
                <w:szCs w:val="18"/>
                <w:color w:val="auto"/>
              </w:rPr>
            </w:pPr>
          </w:p>
        </w:tc>
      </w:tr>
      <w:tr>
        <w:trPr>
          <w:trHeight w:val="240"/>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Total as % of Target</w:t>
            </w:r>
          </w:p>
        </w:tc>
        <w:tc>
          <w:tcPr>
            <w:tcW w:w="680" w:type="dxa"/>
            <w:vAlign w:val="bottom"/>
            <w:gridSpan w:val="3"/>
            <w:shd w:val="clear" w:color="auto" w:fill="E6E6E6"/>
          </w:tcPr>
          <w:p>
            <w:pPr>
              <w:ind w:left="80"/>
              <w:spacing w:after="0"/>
              <w:rPr>
                <w:sz w:val="20"/>
                <w:szCs w:val="20"/>
                <w:color w:val="auto"/>
              </w:rPr>
            </w:pPr>
            <w:r>
              <w:rPr>
                <w:rFonts w:ascii="Arial" w:cs="Arial" w:eastAsia="Arial" w:hAnsi="Arial"/>
                <w:sz w:val="16"/>
                <w:szCs w:val="16"/>
                <w:color w:val="auto"/>
              </w:rPr>
              <w:t>106%</w:t>
            </w:r>
          </w:p>
        </w:tc>
      </w:tr>
      <w:tr>
        <w:trPr>
          <w:trHeight w:val="968"/>
        </w:trPr>
        <w:tc>
          <w:tcPr>
            <w:tcW w:w="234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1923415" cy="21107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89">
                      <a:extLst>
                        <a:ext uri="{28A0092B-C50C-407E-A947-70E740481C1C}"/>
                      </a:extLst>
                    </a:blip>
                    <a:srcRect/>
                    <a:stretch>
                      <a:fillRect/>
                    </a:stretch>
                  </pic:blipFill>
                  <pic:spPr bwMode="auto">
                    <a:xfrm>
                      <a:off x="0" y="0"/>
                      <a:ext cx="1923415" cy="211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FB1717"/>
        </w:rPr>
        <w:t>Dawn M. Becker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Executive Vice President</w:t>
      </w:r>
    </w:p>
    <w:p>
      <w:pPr>
        <w:spacing w:after="0" w:line="10"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FB1717"/>
        </w:rPr>
        <w:t>2022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Base Pay</w:t>
            </w:r>
          </w:p>
        </w:tc>
        <w:tc>
          <w:tcPr>
            <w:tcW w:w="160" w:type="dxa"/>
            <w:vAlign w:val="bottom"/>
            <w:shd w:val="clear" w:color="auto" w:fill="E6E6E6"/>
          </w:tcPr>
          <w:p>
            <w:pPr>
              <w:spacing w:after="0"/>
              <w:rPr>
                <w:sz w:val="20"/>
                <w:szCs w:val="20"/>
                <w:color w:val="auto"/>
              </w:rPr>
            </w:pPr>
            <w:r>
              <w:rPr>
                <w:rFonts w:ascii="Arial" w:cs="Arial" w:eastAsia="Arial" w:hAnsi="Arial"/>
                <w:sz w:val="16"/>
                <w:szCs w:val="16"/>
                <w:color w:val="auto"/>
                <w:shd w:val="clear" w:color="auto" w:fill="E6E6E6"/>
              </w:rPr>
              <w:t>$</w:t>
            </w:r>
          </w:p>
        </w:tc>
        <w:tc>
          <w:tcPr>
            <w:tcW w:w="320" w:type="dxa"/>
            <w:vAlign w:val="bottom"/>
            <w:shd w:val="clear" w:color="auto" w:fill="E6E6E6"/>
          </w:tcPr>
          <w:p>
            <w:pPr>
              <w:ind w:left="60"/>
              <w:spacing w:after="0"/>
              <w:rPr>
                <w:sz w:val="20"/>
                <w:szCs w:val="20"/>
                <w:color w:val="auto"/>
              </w:rPr>
            </w:pPr>
            <w:r>
              <w:rPr>
                <w:rFonts w:ascii="Arial" w:cs="Arial" w:eastAsia="Arial" w:hAnsi="Arial"/>
                <w:sz w:val="16"/>
                <w:szCs w:val="16"/>
                <w:color w:val="auto"/>
                <w:w w:val="89"/>
                <w:shd w:val="clear" w:color="auto" w:fill="E6E6E6"/>
              </w:rPr>
              <w:t>575</w:t>
            </w:r>
          </w:p>
        </w:tc>
        <w:tc>
          <w:tcPr>
            <w:tcW w:w="200" w:type="dxa"/>
            <w:vAlign w:val="bottom"/>
            <w:shd w:val="clear" w:color="auto" w:fill="E6E6E6"/>
          </w:tcPr>
          <w:p>
            <w:pPr>
              <w:spacing w:after="0"/>
              <w:rPr>
                <w:sz w:val="18"/>
                <w:szCs w:val="18"/>
                <w:color w:val="auto"/>
              </w:rPr>
            </w:pPr>
          </w:p>
        </w:tc>
      </w:tr>
      <w:tr>
        <w:trPr>
          <w:trHeight w:val="240"/>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Annual Bonus</w:t>
            </w:r>
          </w:p>
        </w:tc>
        <w:tc>
          <w:tcPr>
            <w:tcW w:w="160" w:type="dxa"/>
            <w:vAlign w:val="bottom"/>
            <w:shd w:val="clear" w:color="auto" w:fill="E6E6E6"/>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719</w:t>
            </w:r>
          </w:p>
        </w:tc>
      </w:tr>
      <w:tr>
        <w:trPr>
          <w:trHeight w:val="288"/>
        </w:trPr>
        <w:tc>
          <w:tcPr>
            <w:tcW w:w="2340" w:type="dxa"/>
            <w:vAlign w:val="bottom"/>
            <w:tcBorders>
              <w:bottom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Long-Term Equity</w:t>
            </w:r>
          </w:p>
        </w:tc>
        <w:tc>
          <w:tcPr>
            <w:tcW w:w="1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6"/>
                <w:szCs w:val="16"/>
                <w:color w:val="auto"/>
                <w:shd w:val="clear" w:color="auto" w:fill="E6E6E6"/>
              </w:rPr>
              <w:t>$</w:t>
            </w:r>
          </w:p>
        </w:tc>
        <w:tc>
          <w:tcPr>
            <w:tcW w:w="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w w:val="89"/>
                <w:shd w:val="clear" w:color="auto" w:fill="E6E6E6"/>
              </w:rPr>
              <w:t>990</w:t>
            </w:r>
          </w:p>
        </w:tc>
        <w:tc>
          <w:tcPr>
            <w:tcW w:w="200" w:type="dxa"/>
            <w:vAlign w:val="bottom"/>
            <w:tcBorders>
              <w:bottom w:val="single" w:sz="8" w:color="E6E6E6"/>
            </w:tcBorders>
            <w:shd w:val="clear" w:color="auto" w:fill="E6E6E6"/>
          </w:tcPr>
          <w:p>
            <w:pPr>
              <w:spacing w:after="0"/>
              <w:rPr>
                <w:sz w:val="24"/>
                <w:szCs w:val="24"/>
                <w:color w:val="auto"/>
              </w:rPr>
            </w:pPr>
          </w:p>
        </w:tc>
      </w:tr>
      <w:tr>
        <w:trPr>
          <w:trHeight w:val="217"/>
        </w:trPr>
        <w:tc>
          <w:tcPr>
            <w:tcW w:w="2340" w:type="dxa"/>
            <w:vAlign w:val="bottom"/>
            <w:tcBorders>
              <w:top w:val="single" w:sz="8" w:color="E6E6E6"/>
            </w:tcBorders>
            <w:shd w:val="clear" w:color="auto" w:fill="E6E6E6"/>
          </w:tcPr>
          <w:p>
            <w:pPr>
              <w:ind w:left="36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tcBorders>
            <w:gridSpan w:val="2"/>
            <w:shd w:val="clear" w:color="auto" w:fill="E6E6E6"/>
          </w:tcPr>
          <w:p>
            <w:pPr>
              <w:spacing w:after="0"/>
              <w:rPr>
                <w:sz w:val="20"/>
                <w:szCs w:val="20"/>
                <w:color w:val="auto"/>
              </w:rPr>
            </w:pPr>
            <w:r>
              <w:rPr>
                <w:rFonts w:ascii="Arial" w:cs="Arial" w:eastAsia="Arial" w:hAnsi="Arial"/>
                <w:sz w:val="16"/>
                <w:szCs w:val="16"/>
                <w:color w:val="auto"/>
                <w:w w:val="93"/>
                <w:shd w:val="clear" w:color="auto" w:fill="E6E6E6"/>
              </w:rPr>
              <w:t>$2,284</w:t>
            </w:r>
          </w:p>
        </w:tc>
        <w:tc>
          <w:tcPr>
            <w:tcW w:w="200" w:type="dxa"/>
            <w:vAlign w:val="bottom"/>
            <w:tcBorders>
              <w:top w:val="single" w:sz="8" w:color="E6E6E6"/>
            </w:tcBorders>
            <w:shd w:val="clear" w:color="auto" w:fill="E6E6E6"/>
          </w:tcPr>
          <w:p>
            <w:pPr>
              <w:spacing w:after="0"/>
              <w:rPr>
                <w:sz w:val="18"/>
                <w:szCs w:val="18"/>
                <w:color w:val="auto"/>
              </w:rPr>
            </w:pPr>
          </w:p>
        </w:tc>
      </w:tr>
      <w:tr>
        <w:trPr>
          <w:trHeight w:val="240"/>
        </w:trPr>
        <w:tc>
          <w:tcPr>
            <w:tcW w:w="2340" w:type="dxa"/>
            <w:vAlign w:val="bottom"/>
            <w:shd w:val="clear" w:color="auto" w:fill="E6E6E6"/>
          </w:tcPr>
          <w:p>
            <w:pPr>
              <w:ind w:left="360"/>
              <w:spacing w:after="0"/>
              <w:rPr>
                <w:sz w:val="20"/>
                <w:szCs w:val="20"/>
                <w:color w:val="auto"/>
              </w:rPr>
            </w:pPr>
            <w:r>
              <w:rPr>
                <w:rFonts w:ascii="Arial" w:cs="Arial" w:eastAsia="Arial" w:hAnsi="Arial"/>
                <w:sz w:val="16"/>
                <w:szCs w:val="16"/>
                <w:color w:val="auto"/>
              </w:rPr>
              <w:t>Total as % of Target</w:t>
            </w:r>
          </w:p>
        </w:tc>
        <w:tc>
          <w:tcPr>
            <w:tcW w:w="680" w:type="dxa"/>
            <w:vAlign w:val="bottom"/>
            <w:gridSpan w:val="3"/>
            <w:shd w:val="clear" w:color="auto" w:fill="E6E6E6"/>
          </w:tcPr>
          <w:p>
            <w:pPr>
              <w:ind w:left="80"/>
              <w:spacing w:after="0"/>
              <w:rPr>
                <w:sz w:val="20"/>
                <w:szCs w:val="20"/>
                <w:color w:val="auto"/>
              </w:rPr>
            </w:pPr>
            <w:r>
              <w:rPr>
                <w:rFonts w:ascii="Arial" w:cs="Arial" w:eastAsia="Arial" w:hAnsi="Arial"/>
                <w:sz w:val="16"/>
                <w:szCs w:val="16"/>
                <w:color w:val="auto"/>
              </w:rPr>
              <w:t>106%</w:t>
            </w:r>
          </w:p>
        </w:tc>
      </w:tr>
      <w:tr>
        <w:trPr>
          <w:trHeight w:val="1448"/>
        </w:trPr>
        <w:tc>
          <w:tcPr>
            <w:tcW w:w="234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508000</wp:posOffset>
                </wp:positionV>
                <wp:extent cx="6400800" cy="17780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86" o:spid="_x0000_s1511" style="position:absolute;margin-left:0pt;margin-top:40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508000</wp:posOffset>
                </wp:positionV>
                <wp:extent cx="0" cy="17780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40pt" to="0.75pt,5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676275</wp:posOffset>
                </wp:positionV>
                <wp:extent cx="6400800"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25pt" to="504pt,53.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517525</wp:posOffset>
                </wp:positionV>
                <wp:extent cx="6400800"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75pt" to="504pt,40.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508000</wp:posOffset>
                </wp:positionV>
                <wp:extent cx="0" cy="17780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40pt" to="503.25pt,54pt" o:allowincell="f" strokecolor="#000000" strokeweight="1.5pt"/>
            </w:pict>
          </mc:Fallback>
        </mc:AlternateConten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Responsibilities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-177165</wp:posOffset>
                </wp:positionV>
                <wp:extent cx="4349750" cy="227965"/>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7965"/>
                        </a:xfrm>
                        <a:prstGeom prst="rect">
                          <a:avLst/>
                        </a:prstGeom>
                        <a:solidFill>
                          <a:srgbClr val="E6E6E6"/>
                        </a:solidFill>
                      </wps:spPr>
                      <wps:bodyPr/>
                    </wps:wsp>
                  </a:graphicData>
                </a:graphic>
              </wp:anchor>
            </w:drawing>
          </mc:Choice>
          <mc:Fallback>
            <w:pict>
              <v:rect id="Shape 491" o:spid="_x0000_s1516" style="position:absolute;margin-left:-4.4999pt;margin-top:-13.9499pt;width:342.5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16"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19050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190500"/>
                        </a:xfrm>
                        <a:prstGeom prst="rect">
                          <a:avLst/>
                        </a:prstGeom>
                        <a:solidFill>
                          <a:srgbClr val="E6E6E6"/>
                        </a:solidFill>
                      </wps:spPr>
                      <wps:bodyPr/>
                    </wps:wsp>
                  </a:graphicData>
                </a:graphic>
              </wp:anchor>
            </w:drawing>
          </mc:Choice>
          <mc:Fallback>
            <w:pict>
              <v:rect id="Shape 492" o:spid="_x0000_s1517" style="position:absolute;margin-left:-4.4999pt;margin-top:9.65pt;width:34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Achievements</w:t>
      </w:r>
    </w:p>
    <w:p>
      <w:pPr>
        <w:spacing w:after="0" w:line="76" w:lineRule="exact"/>
        <w:rPr>
          <w:sz w:val="20"/>
          <w:szCs w:val="20"/>
          <w:color w:val="auto"/>
        </w:rPr>
      </w:pPr>
    </w:p>
    <w:p>
      <w:pPr>
        <w:ind w:left="400" w:hanging="400"/>
        <w:spacing w:after="0" w:line="236"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Co-led the Company’s capital recycling efforts with the sale of non-core, slower growing properties totaling $136 million and investment of $526 million into new operating assets with better growth and value creation prospects</w:t>
      </w:r>
    </w:p>
    <w:p>
      <w:pPr>
        <w:spacing w:after="0" w:line="18" w:lineRule="exact"/>
        <w:rPr>
          <w:sz w:val="20"/>
          <w:szCs w:val="20"/>
          <w:color w:val="auto"/>
        </w:rPr>
      </w:pPr>
    </w:p>
    <w:p>
      <w:pPr>
        <w:ind w:left="400" w:right="260" w:hanging="400"/>
        <w:spacing w:after="0" w:line="234"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Improved our overall liquidity by increasing borrowing capacity by $550 million through a restructure of both our line of credit and bank term loan</w:t>
      </w:r>
    </w:p>
    <w:p>
      <w:pPr>
        <w:spacing w:after="0" w:line="19" w:lineRule="exact"/>
        <w:rPr>
          <w:sz w:val="20"/>
          <w:szCs w:val="20"/>
          <w:color w:val="auto"/>
        </w:rPr>
      </w:pPr>
    </w:p>
    <w:p>
      <w:pPr>
        <w:ind w:left="400" w:right="280" w:hanging="400"/>
        <w:spacing w:after="0" w:line="235"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Strengthened our balance sheet with the issuance of $346 million of equity under our ATM program including through strategic use of forward contracts and other timely sales</w:t>
      </w:r>
    </w:p>
    <w:p>
      <w:pPr>
        <w:spacing w:after="0" w:line="16" w:lineRule="exact"/>
        <w:rPr>
          <w:sz w:val="20"/>
          <w:szCs w:val="20"/>
          <w:color w:val="auto"/>
        </w:rPr>
      </w:pPr>
    </w:p>
    <w:p>
      <w:pPr>
        <w:ind w:left="400" w:right="300" w:hanging="400"/>
        <w:spacing w:after="0" w:line="269" w:lineRule="exact"/>
        <w:rPr>
          <w:sz w:val="20"/>
          <w:szCs w:val="20"/>
          <w:color w:val="auto"/>
        </w:rPr>
      </w:pP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Led financial efforts enabling the Company to increase our annual dividend rate to common shareholders for the 55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consecutive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638810</wp:posOffset>
                </wp:positionV>
                <wp:extent cx="4349750" cy="22860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6E6"/>
                        </a:solidFill>
                      </wps:spPr>
                      <wps:bodyPr/>
                    </wps:wsp>
                  </a:graphicData>
                </a:graphic>
              </wp:anchor>
            </w:drawing>
          </mc:Choice>
          <mc:Fallback>
            <w:pict>
              <v:rect id="Shape 493" o:spid="_x0000_s1518" style="position:absolute;margin-left:-4.4999pt;margin-top:50.3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Responsibilities</w:t>
      </w:r>
    </w:p>
    <w:p>
      <w:pPr>
        <w:spacing w:after="0" w:line="134"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color w:val="auto"/>
        </w:rPr>
        <w:t>Ms. Becker has overall responsibility for all legal functions within the Company and heads all of our ESG efforts in addition to overseeing our Human Resources, Information Technology and other administrative functions.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20320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03200"/>
                        </a:xfrm>
                        <a:prstGeom prst="rect">
                          <a:avLst/>
                        </a:prstGeom>
                        <a:solidFill>
                          <a:srgbClr val="E6E6E6"/>
                        </a:solidFill>
                      </wps:spPr>
                      <wps:bodyPr/>
                    </wps:wsp>
                  </a:graphicData>
                </a:graphic>
              </wp:anchor>
            </w:drawing>
          </mc:Choice>
          <mc:Fallback>
            <w:pict>
              <v:rect id="Shape 494" o:spid="_x0000_s1519" style="position:absolute;margin-left:-4.4999pt;margin-top:9.65pt;width:342.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Achievements</w:t>
      </w:r>
    </w:p>
    <w:p>
      <w:pPr>
        <w:spacing w:after="0" w:line="94" w:lineRule="exact"/>
        <w:rPr>
          <w:sz w:val="20"/>
          <w:szCs w:val="20"/>
          <w:color w:val="auto"/>
        </w:rPr>
      </w:pPr>
    </w:p>
    <w:p>
      <w:pPr>
        <w:ind w:left="400" w:right="20" w:hanging="400"/>
        <w:spacing w:after="0" w:line="236"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the Company’s environmental, social and governance efforts, including achievement of our initial GHG reduction target, and establishment of more stringent, science-based targets for reduction of Scope 1 and 2 GHG emissions</w:t>
      </w:r>
    </w:p>
    <w:p>
      <w:pPr>
        <w:spacing w:after="0" w:line="18" w:lineRule="exact"/>
        <w:rPr>
          <w:sz w:val="20"/>
          <w:szCs w:val="20"/>
          <w:color w:val="auto"/>
        </w:rPr>
      </w:pPr>
    </w:p>
    <w:p>
      <w:pPr>
        <w:ind w:left="400" w:right="10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the Company’s progress to date on reducing Scope 1 and 2 GHG emissions</w:t>
      </w:r>
    </w:p>
    <w:p>
      <w:pPr>
        <w:spacing w:after="0" w:line="15" w:lineRule="exact"/>
        <w:rPr>
          <w:sz w:val="20"/>
          <w:szCs w:val="20"/>
          <w:color w:val="auto"/>
        </w:rPr>
      </w:pPr>
    </w:p>
    <w:p>
      <w:pPr>
        <w:ind w:left="400" w:right="240" w:hanging="400"/>
        <w:spacing w:after="0" w:line="235"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the Company’s corporate sustainability reporting in line with the Global Reporting Initiative, Task Force on Climate-Related Financial Disclosures and Sustainability Accounting Standards Board</w:t>
      </w:r>
    </w:p>
    <w:p>
      <w:pPr>
        <w:spacing w:after="0" w:line="16" w:lineRule="exact"/>
        <w:rPr>
          <w:sz w:val="20"/>
          <w:szCs w:val="20"/>
          <w:color w:val="auto"/>
        </w:rPr>
      </w:pPr>
    </w:p>
    <w:p>
      <w:pPr>
        <w:ind w:left="400" w:right="120" w:hanging="400"/>
        <w:spacing w:after="0" w:line="233"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Oversaw employee efforts that resulted in continued strong employee engagement results and advancement of DE&amp;I initiatives</w:t>
      </w:r>
    </w:p>
    <w:p>
      <w:pPr>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  Led continued technology system improvements and reporting to drive</w:t>
      </w:r>
    </w:p>
    <w:p>
      <w:pPr>
        <w:spacing w:after="0" w:line="15" w:lineRule="exact"/>
        <w:rPr>
          <w:sz w:val="20"/>
          <w:szCs w:val="20"/>
          <w:color w:val="auto"/>
        </w:rPr>
      </w:pPr>
    </w:p>
    <w:p>
      <w:pPr>
        <w:ind w:left="400" w:right="420"/>
        <w:spacing w:after="0" w:line="245" w:lineRule="auto"/>
        <w:rPr>
          <w:sz w:val="20"/>
          <w:szCs w:val="20"/>
          <w:color w:val="auto"/>
        </w:rPr>
      </w:pPr>
      <w:r>
        <w:rPr>
          <w:rFonts w:ascii="Arial" w:cs="Arial" w:eastAsia="Arial" w:hAnsi="Arial"/>
          <w:sz w:val="20"/>
          <w:szCs w:val="20"/>
          <w:color w:val="auto"/>
        </w:rPr>
        <w:t>Company-wide efficiency and data availability and improved cyber security readiness</w:t>
      </w:r>
    </w:p>
    <w:p>
      <w:pPr>
        <w:spacing w:after="0" w:line="674" w:lineRule="exact"/>
        <w:rPr>
          <w:sz w:val="20"/>
          <w:szCs w:val="20"/>
          <w:color w:val="auto"/>
        </w:rPr>
      </w:pPr>
    </w:p>
    <w:p>
      <w:pPr>
        <w:sectPr>
          <w:pgSz w:w="11880" w:h="15480" w:orient="portrait"/>
          <w:cols w:equalWidth="0" w:num="2">
            <w:col w:w="3020" w:space="300"/>
            <w:col w:w="6680"/>
          </w:cols>
          <w:pgMar w:left="900" w:top="1440" w:right="98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27</w:t>
      </w:r>
    </w:p>
    <w:p>
      <w:pPr>
        <w:sectPr>
          <w:pgSz w:w="11880" w:h="15480" w:orient="portrait"/>
          <w:cols w:equalWidth="0" w:num="1">
            <w:col w:w="10000"/>
          </w:cols>
          <w:pgMar w:left="900" w:top="1440" w:right="980" w:bottom="764" w:gutter="0" w:footer="0" w:header="0"/>
          <w:type w:val="continuous"/>
        </w:sectPr>
      </w:pPr>
    </w:p>
    <w:bookmarkStart w:id="147" w:name="page148"/>
    <w:bookmarkEnd w:id="147"/>
    <w:p>
      <w:pPr>
        <w:ind w:left="120"/>
        <w:spacing w:after="0"/>
        <w:rPr>
          <w:sz w:val="20"/>
          <w:szCs w:val="20"/>
          <w:color w:val="auto"/>
        </w:rPr>
      </w:pPr>
      <w:r>
        <w:rPr>
          <w:rFonts w:ascii="Arial" w:cs="Arial" w:eastAsia="Arial" w:hAnsi="Arial"/>
          <w:sz w:val="24"/>
          <w:szCs w:val="24"/>
          <w:b w:val="1"/>
          <w:bCs w:val="1"/>
          <w:color w:val="FB1717"/>
        </w:rPr>
        <mc:AlternateContent>
          <mc:Choice Requires="wps">
            <w:drawing>
              <wp:anchor simplePos="0" relativeHeight="251657728" behindDoc="1" locked="0" layoutInCell="0" allowOverlap="1">
                <wp:simplePos x="0" y="0"/>
                <wp:positionH relativeFrom="page">
                  <wp:posOffset>571500</wp:posOffset>
                </wp:positionH>
                <wp:positionV relativeFrom="page">
                  <wp:posOffset>803275</wp:posOffset>
                </wp:positionV>
                <wp:extent cx="6400800"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3.25pt" to="549pt,63.25pt" o:allowincell="f" strokecolor="#000000" strokeweight="0.5pt">
                <w10:wrap anchorx="page" anchory="page"/>
              </v:line>
            </w:pict>
          </mc:Fallback>
        </mc:AlternateContent>
        <w:t>O</w:t>
      </w:r>
      <w:r>
        <w:rPr>
          <w:rFonts w:ascii="Arial" w:cs="Arial" w:eastAsia="Arial" w:hAnsi="Arial"/>
          <w:sz w:val="18"/>
          <w:szCs w:val="18"/>
          <w:b w:val="1"/>
          <w:bCs w:val="1"/>
          <w:color w:val="FB1717"/>
        </w:rPr>
        <w:t>THER</w:t>
      </w:r>
      <w:r>
        <w:rPr>
          <w:rFonts w:ascii="Arial" w:cs="Arial" w:eastAsia="Arial" w:hAnsi="Arial"/>
          <w:sz w:val="24"/>
          <w:szCs w:val="24"/>
          <w:b w:val="1"/>
          <w:bCs w:val="1"/>
          <w:color w:val="FB1717"/>
        </w:rPr>
        <w:t xml:space="preserve"> C</w:t>
      </w:r>
      <w:r>
        <w:rPr>
          <w:rFonts w:ascii="Arial" w:cs="Arial" w:eastAsia="Arial" w:hAnsi="Arial"/>
          <w:sz w:val="18"/>
          <w:szCs w:val="18"/>
          <w:b w:val="1"/>
          <w:bCs w:val="1"/>
          <w:color w:val="FB1717"/>
        </w:rPr>
        <w:t>OMPENSATION</w:t>
      </w:r>
      <w:r>
        <w:rPr>
          <w:rFonts w:ascii="Arial" w:cs="Arial" w:eastAsia="Arial" w:hAnsi="Arial"/>
          <w:sz w:val="24"/>
          <w:szCs w:val="24"/>
          <w:b w:val="1"/>
          <w:bCs w:val="1"/>
          <w:color w:val="FB1717"/>
        </w:rPr>
        <w:t xml:space="preserve"> P</w:t>
      </w:r>
      <w:r>
        <w:rPr>
          <w:rFonts w:ascii="Arial" w:cs="Arial" w:eastAsia="Arial" w:hAnsi="Arial"/>
          <w:sz w:val="18"/>
          <w:szCs w:val="18"/>
          <w:b w:val="1"/>
          <w:bCs w:val="1"/>
          <w:color w:val="FB1717"/>
        </w:rPr>
        <w:t>RACTICES AND</w:t>
      </w:r>
      <w:r>
        <w:rPr>
          <w:rFonts w:ascii="Arial" w:cs="Arial" w:eastAsia="Arial" w:hAnsi="Arial"/>
          <w:sz w:val="24"/>
          <w:szCs w:val="24"/>
          <w:b w:val="1"/>
          <w:bCs w:val="1"/>
          <w:color w:val="FB1717"/>
        </w:rPr>
        <w:t xml:space="preserve"> P</w:t>
      </w:r>
      <w:r>
        <w:rPr>
          <w:rFonts w:ascii="Arial" w:cs="Arial" w:eastAsia="Arial" w:hAnsi="Arial"/>
          <w:sz w:val="18"/>
          <w:szCs w:val="18"/>
          <w:b w:val="1"/>
          <w:bCs w:val="1"/>
          <w:color w:val="FB1717"/>
        </w:rPr>
        <w:t>OLICIES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6400800" cy="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504pt,1.75pt" o:allowincell="f" strokecolor="#000000" strokeweight="0.5pt"/>
            </w:pict>
          </mc:Fallback>
        </mc:AlternateContent>
      </w:r>
    </w:p>
    <w:p>
      <w:pPr>
        <w:spacing w:after="0" w:line="27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CONSIDERATION OF SAY ON PAY VOTE</w:t>
      </w: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Company conducts an annual “say on pay” vote to approve executive compensation. At the 2022 annual meeting of shareholders, approximately 94% of the shares voted were in support of the compensation paid to our NEOs. Although the vote is advisory and non-binding on the Board, the Compensation Committee regularly considers the results of this vote in evaluating the Company’s compensation programs, including for 2022 compensation. In light of the feedback from our shareholders and the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2022.</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NO HEDGING OR PLEDGING OF OUR SHARES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SEVERANCE AND CHANGE-IN-CONTROL ARRANGEMENTS</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 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1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CLAWBACK POLICY</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have a clawback policy that provides for the return from an NEO of performance based compensation if that NEO has engaged in fraud or grossly negligent misconduct that results in us having to issue a restatement of financial results to correct material non-compliance with reporting requirements and the performance compensation paid to that NEO is more than it would have been based on the restated financial results. We will revise our clawback policy to comply with Rule 10D-1 under the Securities Exchange Act of 1934 adopted by the SEC in October 2022 once final rules are adopted by the NYSE.</w:t>
      </w:r>
    </w:p>
    <w:p>
      <w:pPr>
        <w:spacing w:after="0" w:line="20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SHARE OWNERSHIP GUIDELINES</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maintain guidelines requiring each of our NEOs as well as other executive vice presidents to maintain a specific level of ownership of our shares as shown below. These guidelines are intended to link the interests of our NEOs and other vice presidents with the interests of our shareholders. Each individual subject to these guidelines has five years to achieve the required level of ownership after becoming subject to the guidelines.</w: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Compliance with our ownership guidelines gets measured and reviewed by the Board at the end of each fiscal year and the ownership level of each of our NEOs as of December 31, 2022 is shown below based on the closing price of our shares on December 30,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123190</wp:posOffset>
                </wp:positionV>
                <wp:extent cx="6400800" cy="17780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497" o:spid="_x0000_s1522" style="position:absolute;margin-left:0pt;margin-top:9.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122555</wp:posOffset>
                </wp:positionV>
                <wp:extent cx="0" cy="17780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65pt" to="0.75pt,23.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400800"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pt" to="504pt,10.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122555</wp:posOffset>
                </wp:positionV>
                <wp:extent cx="0" cy="17780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65pt" to="503.25pt,23.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290830</wp:posOffset>
                </wp:positionV>
                <wp:extent cx="640080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9pt" to="504pt,22.9pt" o:allowincell="f" strokecolor="#000000" strokeweight="1.5pt"/>
            </w:pict>
          </mc:Fallback>
        </mc:AlternateContent>
      </w:r>
    </w:p>
    <w:p>
      <w:pPr>
        <w:sectPr>
          <w:pgSz w:w="11880" w:h="15480" w:orient="portrait"/>
          <w:cols w:equalWidth="0" w:num="1">
            <w:col w:w="10080"/>
          </w:cols>
          <w:pgMar w:left="900" w:top="1364" w:right="900" w:bottom="764" w:gutter="0" w:footer="0" w:header="0"/>
        </w:sectPr>
      </w:pPr>
    </w:p>
    <w:p>
      <w:pPr>
        <w:spacing w:after="0" w:line="242"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28</w:t>
      </w:r>
    </w:p>
    <w:p>
      <w:pPr>
        <w:sectPr>
          <w:pgSz w:w="11880" w:h="15480" w:orient="portrait"/>
          <w:cols w:equalWidth="0" w:num="1">
            <w:col w:w="10080"/>
          </w:cols>
          <w:pgMar w:left="900" w:top="1364" w:right="900" w:bottom="764" w:gutter="0" w:footer="0" w:header="0"/>
          <w:type w:val="continuous"/>
        </w:sectPr>
      </w:pPr>
    </w:p>
    <w:bookmarkStart w:id="148" w:name="page149"/>
    <w:bookmarkEnd w:id="148"/>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791845</wp:posOffset>
            </wp:positionV>
            <wp:extent cx="6400800" cy="4159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90">
                      <a:extLst>
                        <a:ext uri="{28A0092B-C50C-407E-A947-70E740481C1C}"/>
                      </a:extLst>
                    </a:blip>
                    <a:srcRect/>
                    <a:stretch>
                      <a:fillRect/>
                    </a:stretch>
                  </pic:blipFill>
                  <pic:spPr bwMode="auto">
                    <a:xfrm>
                      <a:off x="0" y="0"/>
                      <a:ext cx="6400800" cy="415925"/>
                    </a:xfrm>
                    <a:prstGeom prst="rect">
                      <a:avLst/>
                    </a:prstGeom>
                    <a:noFill/>
                  </pic:spPr>
                </pic:pic>
              </a:graphicData>
            </a:graphic>
          </wp:anchor>
        </w:drawing>
      </w:r>
    </w:p>
    <w:p>
      <w:pPr>
        <w:ind w:left="860"/>
        <w:spacing w:after="0"/>
        <w:rPr>
          <w:sz w:val="20"/>
          <w:szCs w:val="20"/>
          <w:color w:val="auto"/>
        </w:rPr>
      </w:pPr>
      <w:r>
        <w:rPr>
          <w:rFonts w:ascii="Arial" w:cs="Arial" w:eastAsia="Arial" w:hAnsi="Arial"/>
          <w:sz w:val="20"/>
          <w:szCs w:val="20"/>
          <w:b w:val="1"/>
          <w:bCs w:val="1"/>
          <w:color w:val="FFFFFF"/>
        </w:rPr>
        <w:t>Our NEOs were in compliance with our equity ownership requirements as of December 31, 2022.</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Arial" w:cs="Arial" w:eastAsia="Arial" w:hAnsi="Arial"/>
                <w:sz w:val="17"/>
                <w:szCs w:val="17"/>
                <w:b w:val="1"/>
                <w:bCs w:val="1"/>
                <w:color w:val="auto"/>
              </w:rPr>
              <w:t>Wood</w:t>
            </w:r>
          </w:p>
        </w:tc>
        <w:tc>
          <w:tcPr>
            <w:tcW w:w="1120" w:type="dxa"/>
            <w:vAlign w:val="bottom"/>
            <w:tcBorders>
              <w:right w:val="single" w:sz="8" w:color="A6A6A6"/>
            </w:tcBorders>
            <w:shd w:val="clear" w:color="auto" w:fill="A6A6A6"/>
          </w:tcPr>
          <w:p>
            <w:pPr>
              <w:spacing w:after="0"/>
              <w:rPr>
                <w:sz w:val="20"/>
                <w:szCs w:val="20"/>
                <w:color w:val="auto"/>
              </w:rPr>
            </w:pPr>
          </w:p>
        </w:tc>
        <w:tc>
          <w:tcPr>
            <w:tcW w:w="1500" w:type="dxa"/>
            <w:vAlign w:val="bottom"/>
            <w:shd w:val="clear" w:color="auto" w:fill="A6A6A6"/>
          </w:tcPr>
          <w:p>
            <w:pPr>
              <w:spacing w:after="0"/>
              <w:rPr>
                <w:sz w:val="20"/>
                <w:szCs w:val="20"/>
                <w:color w:val="auto"/>
              </w:rPr>
            </w:pPr>
          </w:p>
        </w:tc>
        <w:tc>
          <w:tcPr>
            <w:tcW w:w="220" w:type="dxa"/>
            <w:vAlign w:val="bottom"/>
            <w:shd w:val="clear" w:color="auto" w:fill="A6A6A6"/>
          </w:tcPr>
          <w:p>
            <w:pPr>
              <w:spacing w:after="0"/>
              <w:rPr>
                <w:sz w:val="20"/>
                <w:szCs w:val="20"/>
                <w:color w:val="auto"/>
              </w:rPr>
            </w:pPr>
          </w:p>
        </w:tc>
        <w:tc>
          <w:tcPr>
            <w:tcW w:w="200" w:type="dxa"/>
            <w:vAlign w:val="bottom"/>
            <w:shd w:val="clear" w:color="auto" w:fill="A6A6A6"/>
          </w:tcPr>
          <w:p>
            <w:pPr>
              <w:spacing w:after="0"/>
              <w:rPr>
                <w:sz w:val="20"/>
                <w:szCs w:val="20"/>
                <w:color w:val="auto"/>
              </w:rPr>
            </w:pPr>
          </w:p>
        </w:tc>
        <w:tc>
          <w:tcPr>
            <w:tcW w:w="1720" w:type="dxa"/>
            <w:vAlign w:val="bottom"/>
            <w:shd w:val="clear" w:color="auto" w:fill="FB1717"/>
          </w:tcPr>
          <w:p>
            <w:pPr>
              <w:spacing w:after="0"/>
              <w:rPr>
                <w:sz w:val="20"/>
                <w:szCs w:val="20"/>
                <w:color w:val="auto"/>
              </w:rPr>
            </w:pPr>
          </w:p>
        </w:tc>
        <w:tc>
          <w:tcPr>
            <w:tcW w:w="3200" w:type="dxa"/>
            <w:vAlign w:val="bottom"/>
            <w:shd w:val="clear" w:color="auto" w:fill="FB1717"/>
          </w:tcPr>
          <w:p>
            <w:pPr>
              <w:ind w:left="1920"/>
              <w:spacing w:after="0"/>
              <w:rPr>
                <w:sz w:val="20"/>
                <w:szCs w:val="20"/>
                <w:color w:val="auto"/>
              </w:rPr>
            </w:pPr>
            <w:r>
              <w:rPr>
                <w:rFonts w:ascii="Arial" w:cs="Arial" w:eastAsia="Arial" w:hAnsi="Arial"/>
                <w:sz w:val="17"/>
                <w:szCs w:val="17"/>
                <w:b w:val="1"/>
                <w:bCs w:val="1"/>
                <w:color w:val="FFFFFF"/>
              </w:rPr>
              <w:t>31.7x</w:t>
            </w: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40" w:type="dxa"/>
            <w:vAlign w:val="bottom"/>
            <w:gridSpan w:val="5"/>
          </w:tcPr>
          <w:p>
            <w:pPr>
              <w:jc w:val="right"/>
              <w:ind w:right="4876"/>
              <w:spacing w:after="0"/>
              <w:rPr>
                <w:sz w:val="20"/>
                <w:szCs w:val="20"/>
                <w:color w:val="auto"/>
              </w:rPr>
            </w:pPr>
            <w:r>
              <w:rPr>
                <w:rFonts w:ascii="Arial" w:cs="Arial" w:eastAsia="Arial" w:hAnsi="Arial"/>
                <w:sz w:val="14"/>
                <w:szCs w:val="14"/>
                <w:color w:val="auto"/>
              </w:rPr>
              <w:t>Ownership Target:</w:t>
            </w:r>
          </w:p>
        </w:tc>
        <w:tc>
          <w:tcPr>
            <w:tcW w:w="0" w:type="dxa"/>
            <w:vAlign w:val="bottom"/>
          </w:tcPr>
          <w:p>
            <w:pPr>
              <w:spacing w:after="0"/>
              <w:rPr>
                <w:sz w:val="1"/>
                <w:szCs w:val="1"/>
                <w:color w:val="auto"/>
              </w:rPr>
            </w:pPr>
          </w:p>
        </w:tc>
      </w:tr>
      <w:tr>
        <w:trPr>
          <w:trHeight w:val="219"/>
        </w:trPr>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40" w:type="dxa"/>
            <w:vAlign w:val="bottom"/>
            <w:gridSpan w:val="5"/>
          </w:tcPr>
          <w:p>
            <w:pPr>
              <w:jc w:val="right"/>
              <w:ind w:right="4876"/>
              <w:spacing w:after="0"/>
              <w:rPr>
                <w:sz w:val="20"/>
                <w:szCs w:val="20"/>
                <w:color w:val="auto"/>
              </w:rPr>
            </w:pPr>
            <w:r>
              <w:rPr>
                <w:rFonts w:ascii="Arial" w:cs="Arial" w:eastAsia="Arial" w:hAnsi="Arial"/>
                <w:sz w:val="14"/>
                <w:szCs w:val="14"/>
                <w:color w:val="FC0211"/>
              </w:rPr>
              <w:t>7x Base Pay</w:t>
            </w:r>
          </w:p>
        </w:tc>
        <w:tc>
          <w:tcPr>
            <w:tcW w:w="0" w:type="dxa"/>
            <w:vAlign w:val="bottom"/>
          </w:tcPr>
          <w:p>
            <w:pPr>
              <w:spacing w:after="0"/>
              <w:rPr>
                <w:sz w:val="1"/>
                <w:szCs w:val="1"/>
                <w:color w:val="auto"/>
              </w:rPr>
            </w:pPr>
          </w:p>
        </w:tc>
      </w:tr>
      <w:tr>
        <w:trPr>
          <w:trHeight w:val="24"/>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Berkes</w:t>
            </w: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vMerge w:val="continue"/>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vMerge w:val="restart"/>
          </w:tcPr>
          <w:p>
            <w:pPr>
              <w:spacing w:after="0"/>
              <w:rPr>
                <w:sz w:val="19"/>
                <w:szCs w:val="19"/>
                <w:color w:val="auto"/>
              </w:rPr>
            </w:pPr>
          </w:p>
        </w:tc>
        <w:tc>
          <w:tcPr>
            <w:tcW w:w="1720" w:type="dxa"/>
            <w:vAlign w:val="bottom"/>
            <w:vMerge w:val="restart"/>
          </w:tcPr>
          <w:p>
            <w:pPr>
              <w:spacing w:after="0"/>
              <w:rPr>
                <w:sz w:val="19"/>
                <w:szCs w:val="19"/>
                <w:color w:val="auto"/>
              </w:rPr>
            </w:pPr>
          </w:p>
        </w:tc>
        <w:tc>
          <w:tcPr>
            <w:tcW w:w="32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1120" w:type="dxa"/>
            <w:vAlign w:val="bottom"/>
            <w:tcBorders>
              <w:right w:val="single" w:sz="8" w:color="auto"/>
            </w:tcBorders>
            <w:shd w:val="clear" w:color="auto" w:fill="A6A6A6"/>
          </w:tcPr>
          <w:p>
            <w:pPr>
              <w:spacing w:after="0"/>
              <w:rPr>
                <w:sz w:val="20"/>
                <w:szCs w:val="20"/>
                <w:color w:val="auto"/>
              </w:rPr>
            </w:pPr>
          </w:p>
        </w:tc>
        <w:tc>
          <w:tcPr>
            <w:tcW w:w="1720" w:type="dxa"/>
            <w:vAlign w:val="bottom"/>
            <w:gridSpan w:val="2"/>
            <w:shd w:val="clear" w:color="auto" w:fill="FB1717"/>
          </w:tcPr>
          <w:p>
            <w:pPr>
              <w:ind w:left="1320"/>
              <w:spacing w:after="0"/>
              <w:rPr>
                <w:sz w:val="20"/>
                <w:szCs w:val="20"/>
                <w:color w:val="auto"/>
              </w:rPr>
            </w:pPr>
            <w:r>
              <w:rPr>
                <w:rFonts w:ascii="Arial" w:cs="Arial" w:eastAsia="Arial" w:hAnsi="Arial"/>
                <w:sz w:val="17"/>
                <w:szCs w:val="17"/>
                <w:b w:val="1"/>
                <w:bCs w:val="1"/>
                <w:color w:val="FFFFFF"/>
              </w:rPr>
              <w:t>4.6x</w:t>
            </w:r>
          </w:p>
        </w:tc>
        <w:tc>
          <w:tcPr>
            <w:tcW w:w="20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Guglielmone</w:t>
            </w:r>
          </w:p>
        </w:tc>
        <w:tc>
          <w:tcPr>
            <w:tcW w:w="1120" w:type="dxa"/>
            <w:vAlign w:val="bottom"/>
            <w:tcBorders>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2140" w:type="dxa"/>
            <w:vAlign w:val="bottom"/>
            <w:gridSpan w:val="3"/>
            <w:vMerge w:val="restart"/>
          </w:tcPr>
          <w:p>
            <w:pPr>
              <w:spacing w:after="0"/>
              <w:rPr>
                <w:sz w:val="4"/>
                <w:szCs w:val="4"/>
                <w:color w:val="auto"/>
              </w:rPr>
            </w:pPr>
          </w:p>
        </w:tc>
        <w:tc>
          <w:tcPr>
            <w:tcW w:w="32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1120" w:type="dxa"/>
            <w:vAlign w:val="bottom"/>
            <w:tcBorders>
              <w:right w:val="single" w:sz="8" w:color="auto"/>
            </w:tcBorders>
            <w:shd w:val="clear" w:color="auto" w:fill="A6A6A6"/>
          </w:tcPr>
          <w:p>
            <w:pPr>
              <w:spacing w:after="0"/>
              <w:rPr>
                <w:sz w:val="20"/>
                <w:szCs w:val="20"/>
                <w:color w:val="auto"/>
              </w:rPr>
            </w:pPr>
          </w:p>
        </w:tc>
        <w:tc>
          <w:tcPr>
            <w:tcW w:w="1500" w:type="dxa"/>
            <w:vAlign w:val="bottom"/>
            <w:shd w:val="clear" w:color="auto" w:fill="FB1717"/>
          </w:tcPr>
          <w:p>
            <w:pPr>
              <w:ind w:left="1100"/>
              <w:spacing w:after="0"/>
              <w:rPr>
                <w:sz w:val="20"/>
                <w:szCs w:val="20"/>
                <w:color w:val="auto"/>
              </w:rPr>
            </w:pPr>
            <w:r>
              <w:rPr>
                <w:rFonts w:ascii="Arial" w:cs="Arial" w:eastAsia="Arial" w:hAnsi="Arial"/>
                <w:sz w:val="17"/>
                <w:szCs w:val="17"/>
                <w:b w:val="1"/>
                <w:bCs w:val="1"/>
                <w:color w:val="FFFFFF"/>
              </w:rPr>
              <w:t>3.7x</w:t>
            </w:r>
          </w:p>
        </w:tc>
        <w:tc>
          <w:tcPr>
            <w:tcW w:w="2140" w:type="dxa"/>
            <w:vAlign w:val="bottom"/>
            <w:gridSpan w:val="3"/>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Becker</w:t>
            </w:r>
          </w:p>
        </w:tc>
        <w:tc>
          <w:tcPr>
            <w:tcW w:w="1120" w:type="dxa"/>
            <w:vAlign w:val="bottom"/>
            <w:tcBorders>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2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1120" w:type="dxa"/>
            <w:vAlign w:val="bottom"/>
            <w:tcBorders>
              <w:right w:val="single" w:sz="8" w:color="auto"/>
            </w:tcBorders>
            <w:shd w:val="clear" w:color="auto" w:fill="A6A6A6"/>
          </w:tcPr>
          <w:p>
            <w:pPr>
              <w:spacing w:after="0"/>
              <w:rPr>
                <w:sz w:val="20"/>
                <w:szCs w:val="20"/>
                <w:color w:val="auto"/>
              </w:rPr>
            </w:pPr>
          </w:p>
        </w:tc>
        <w:tc>
          <w:tcPr>
            <w:tcW w:w="1500" w:type="dxa"/>
            <w:vAlign w:val="bottom"/>
            <w:shd w:val="clear" w:color="auto" w:fill="FB1717"/>
          </w:tcPr>
          <w:p>
            <w:pPr>
              <w:spacing w:after="0"/>
              <w:rPr>
                <w:sz w:val="20"/>
                <w:szCs w:val="20"/>
                <w:color w:val="auto"/>
              </w:rPr>
            </w:pPr>
          </w:p>
        </w:tc>
        <w:tc>
          <w:tcPr>
            <w:tcW w:w="220" w:type="dxa"/>
            <w:vAlign w:val="bottom"/>
            <w:shd w:val="clear" w:color="auto" w:fill="FB1717"/>
          </w:tcPr>
          <w:p>
            <w:pPr>
              <w:spacing w:after="0"/>
              <w:rPr>
                <w:sz w:val="20"/>
                <w:szCs w:val="20"/>
                <w:color w:val="auto"/>
              </w:rPr>
            </w:pPr>
          </w:p>
        </w:tc>
        <w:tc>
          <w:tcPr>
            <w:tcW w:w="200" w:type="dxa"/>
            <w:vAlign w:val="bottom"/>
            <w:shd w:val="clear" w:color="auto" w:fill="FB1717"/>
          </w:tcPr>
          <w:p>
            <w:pPr>
              <w:spacing w:after="0"/>
              <w:rPr>
                <w:sz w:val="20"/>
                <w:szCs w:val="20"/>
                <w:color w:val="auto"/>
              </w:rPr>
            </w:pPr>
          </w:p>
        </w:tc>
        <w:tc>
          <w:tcPr>
            <w:tcW w:w="1720" w:type="dxa"/>
            <w:vAlign w:val="bottom"/>
            <w:shd w:val="clear" w:color="auto" w:fill="FB1717"/>
          </w:tcPr>
          <w:p>
            <w:pPr>
              <w:ind w:left="1240"/>
              <w:spacing w:after="0"/>
              <w:rPr>
                <w:sz w:val="20"/>
                <w:szCs w:val="20"/>
                <w:color w:val="auto"/>
              </w:rPr>
            </w:pPr>
            <w:r>
              <w:rPr>
                <w:rFonts w:ascii="Arial" w:cs="Arial" w:eastAsia="Arial" w:hAnsi="Arial"/>
                <w:sz w:val="17"/>
                <w:szCs w:val="17"/>
                <w:b w:val="1"/>
                <w:bCs w:val="1"/>
                <w:color w:val="FFFFFF"/>
              </w:rPr>
              <w:t>11.6x</w:t>
            </w: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Ownership Target:</w:t>
            </w: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FC0211"/>
              </w:rPr>
              <w:t>2½x Base Pay + Bonus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RISK ASSESSMENT OF COMPENSATION PROGRAMS</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Compensation Committee completed its last annual review of our compensation programs and policies from a risk perspective in February 2023.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and have differing performance requirements. Further, we have in place policies to mitigate risk including robust stock ownership requirements and vesting periods on equity awards made as part of our compensation programs.</w:t>
      </w:r>
    </w:p>
    <w:p>
      <w:pPr>
        <w:spacing w:after="0" w:line="18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EQUITY GRANT PRACTICES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do not have a practice or policy of timing our equity grants relative to the release of material non-public information. All of our options have an exercise price equal to the closing price of our shares on the date of grant and our 2020 Performance Incentive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18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TAX DEDUCTIBILITY OF EXECUTIVE COMPENSATION</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18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HEALTH AND WELFARE BENEFITS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400800" cy="17780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03" o:spid="_x0000_s1528" style="position:absolute;margin-left:0pt;margin-top:10.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129540</wp:posOffset>
                </wp:positionV>
                <wp:extent cx="0" cy="17780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2pt" to="0.75pt,24.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400800" cy="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5pt" to="504pt,10.9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129540</wp:posOffset>
                </wp:positionV>
                <wp:extent cx="0" cy="17780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2pt" to="503.25pt,24.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297815</wp:posOffset>
                </wp:positionV>
                <wp:extent cx="640080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45pt" to="504pt,23.45pt" o:allowincell="f" strokecolor="#000000" strokeweight="1.5pt"/>
            </w:pict>
          </mc:Fallback>
        </mc:AlternateContent>
      </w:r>
    </w:p>
    <w:p>
      <w:pPr>
        <w:sectPr>
          <w:pgSz w:w="11880" w:h="15480" w:orient="portrait"/>
          <w:cols w:equalWidth="0" w:num="1">
            <w:col w:w="10080"/>
          </w:cols>
          <w:pgMar w:left="900" w:top="1440" w:right="900" w:bottom="764" w:gutter="0" w:footer="0" w:header="0"/>
        </w:sectPr>
      </w:pPr>
    </w:p>
    <w:p>
      <w:pPr>
        <w:spacing w:after="0" w:line="253"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29</w:t>
      </w:r>
    </w:p>
    <w:p>
      <w:pPr>
        <w:sectPr>
          <w:pgSz w:w="11880" w:h="15480" w:orient="portrait"/>
          <w:cols w:equalWidth="0" w:num="1">
            <w:col w:w="10080"/>
          </w:cols>
          <w:pgMar w:left="900" w:top="1440" w:right="900" w:bottom="764" w:gutter="0" w:footer="0" w:header="0"/>
          <w:type w:val="continuous"/>
        </w:sectPr>
      </w:pPr>
    </w:p>
    <w:bookmarkStart w:id="149" w:name="page150"/>
    <w:bookmarkEnd w:id="149"/>
    <w:p>
      <w:pPr>
        <w:ind w:left="120"/>
        <w:spacing w:after="0"/>
        <w:rPr>
          <w:sz w:val="20"/>
          <w:szCs w:val="20"/>
          <w:color w:val="auto"/>
        </w:rPr>
      </w:pPr>
      <w:r>
        <w:rPr>
          <w:rFonts w:ascii="Arial" w:cs="Arial" w:eastAsia="Arial" w:hAnsi="Arial"/>
          <w:sz w:val="24"/>
          <w:szCs w:val="24"/>
          <w:b w:val="1"/>
          <w:bCs w:val="1"/>
          <w:color w:val="FB1717"/>
        </w:rPr>
        <mc:AlternateContent>
          <mc:Choice Requires="wps">
            <w:drawing>
              <wp:anchor simplePos="0" relativeHeight="251657728" behindDoc="1" locked="0" layoutInCell="0" allowOverlap="1">
                <wp:simplePos x="0" y="0"/>
                <wp:positionH relativeFrom="page">
                  <wp:posOffset>571500</wp:posOffset>
                </wp:positionH>
                <wp:positionV relativeFrom="page">
                  <wp:posOffset>803275</wp:posOffset>
                </wp:positionV>
                <wp:extent cx="6400800"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3.25pt" to="549pt,63.25pt" o:allowincell="f" strokecolor="#000000" strokeweight="0.5pt">
                <w10:wrap anchorx="page" anchory="page"/>
              </v:line>
            </w:pict>
          </mc:Fallback>
        </mc:AlternateContent>
        <w:t>C</w:t>
      </w:r>
      <w:r>
        <w:rPr>
          <w:rFonts w:ascii="Arial" w:cs="Arial" w:eastAsia="Arial" w:hAnsi="Arial"/>
          <w:sz w:val="18"/>
          <w:szCs w:val="18"/>
          <w:b w:val="1"/>
          <w:bCs w:val="1"/>
          <w:color w:val="FB1717"/>
        </w:rPr>
        <w:t>OMPENSATION</w:t>
      </w:r>
      <w:r>
        <w:rPr>
          <w:rFonts w:ascii="Arial" w:cs="Arial" w:eastAsia="Arial" w:hAnsi="Arial"/>
          <w:sz w:val="24"/>
          <w:szCs w:val="24"/>
          <w:b w:val="1"/>
          <w:bCs w:val="1"/>
          <w:color w:val="FB1717"/>
        </w:rPr>
        <w:t xml:space="preserve"> C</w:t>
      </w:r>
      <w:r>
        <w:rPr>
          <w:rFonts w:ascii="Arial" w:cs="Arial" w:eastAsia="Arial" w:hAnsi="Arial"/>
          <w:sz w:val="18"/>
          <w:szCs w:val="18"/>
          <w:b w:val="1"/>
          <w:bCs w:val="1"/>
          <w:color w:val="FB1717"/>
        </w:rPr>
        <w:t>OMMITTEE</w:t>
      </w:r>
      <w:r>
        <w:rPr>
          <w:rFonts w:ascii="Arial" w:cs="Arial" w:eastAsia="Arial" w:hAnsi="Arial"/>
          <w:sz w:val="24"/>
          <w:szCs w:val="24"/>
          <w:b w:val="1"/>
          <w:bCs w:val="1"/>
          <w:color w:val="FB1717"/>
        </w:rPr>
        <w:t xml:space="preserve"> R</w:t>
      </w:r>
      <w:r>
        <w:rPr>
          <w:rFonts w:ascii="Arial" w:cs="Arial" w:eastAsia="Arial" w:hAnsi="Arial"/>
          <w:sz w:val="18"/>
          <w:szCs w:val="18"/>
          <w:b w:val="1"/>
          <w:bCs w:val="1"/>
          <w:color w:val="FB1717"/>
        </w:rPr>
        <w:t>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6400800" cy="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504pt,1.75pt" o:allowincell="f" strokecolor="#000000" strokeweight="0.5pt"/>
            </w:pict>
          </mc:Fallback>
        </mc:AlternateContent>
      </w:r>
    </w:p>
    <w:p>
      <w:pPr>
        <w:spacing w:after="0" w:line="31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Submitted by: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Elizabeth I. Holland, Chairperson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Nicole Y. Lamb-Hale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Thomas A. McEachin (as of October 1, 2022)</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Gail P. Steinel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6070600</wp:posOffset>
                </wp:positionV>
                <wp:extent cx="6400800" cy="17780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10" o:spid="_x0000_s1535" style="position:absolute;margin-left:0pt;margin-top:47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6070600</wp:posOffset>
                </wp:positionV>
                <wp:extent cx="0" cy="17780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478pt" to="0.75pt,49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6080125</wp:posOffset>
                </wp:positionV>
                <wp:extent cx="6400800"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8.75pt" to="504pt,478.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6070600</wp:posOffset>
                </wp:positionV>
                <wp:extent cx="0" cy="17780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478pt" to="503.25pt,49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6238875</wp:posOffset>
                </wp:positionV>
                <wp:extent cx="64008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1.25pt" to="504pt,491.25pt" o:allowincell="f" strokecolor="#000000" strokeweight="1.5pt"/>
            </w:pict>
          </mc:Fallback>
        </mc:AlternateContent>
      </w:r>
    </w:p>
    <w:p>
      <w:pPr>
        <w:sectPr>
          <w:pgSz w:w="11880" w:h="15480" w:orient="portrait"/>
          <w:cols w:equalWidth="0" w:num="1">
            <w:col w:w="10080"/>
          </w:cols>
          <w:pgMar w:left="900" w:top="1364"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30</w:t>
      </w:r>
    </w:p>
    <w:p>
      <w:pPr>
        <w:sectPr>
          <w:pgSz w:w="11880" w:h="15480" w:orient="portrait"/>
          <w:cols w:equalWidth="0" w:num="1">
            <w:col w:w="10080"/>
          </w:cols>
          <w:pgMar w:left="900" w:top="1364" w:right="900" w:bottom="764" w:gutter="0" w:footer="0" w:header="0"/>
          <w:type w:val="continuous"/>
        </w:sectPr>
      </w:pPr>
    </w:p>
    <w:bookmarkStart w:id="150" w:name="page151"/>
    <w:bookmarkEnd w:id="150"/>
    <w:p>
      <w:pPr>
        <w:ind w:left="140"/>
        <w:spacing w:after="0"/>
        <w:rPr>
          <w:sz w:val="20"/>
          <w:szCs w:val="20"/>
          <w:color w:val="auto"/>
        </w:rPr>
      </w:pPr>
      <w:r>
        <w:rPr>
          <w:rFonts w:ascii="Arial" w:cs="Arial" w:eastAsia="Arial" w:hAnsi="Arial"/>
          <w:sz w:val="36"/>
          <w:szCs w:val="36"/>
          <w:b w:val="1"/>
          <w:bCs w:val="1"/>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FB1717" strokeweight="3pt">
                <w10:wrap anchorx="page" anchory="page"/>
              </v:line>
            </w:pict>
          </mc:Fallback>
        </mc:AlternateContent>
        <w:t>Compensation Tables and Narratives</w:t>
      </w:r>
    </w:p>
    <w:p>
      <w:pPr>
        <w:spacing w:after="0" w:line="17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SUMMARY COMPENSATION TABLE</w:t>
      </w: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table below summarizes the total compensation earned by or paid to the individuals who were NEOs for the fiscal years ended December 31, 2022, 2021 and 2020. All amounts are calculated in accordance with current SEC rules.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740" w:type="dxa"/>
            <w:vAlign w:val="bottom"/>
            <w:shd w:val="clear" w:color="auto" w:fill="FB1717"/>
          </w:tcPr>
          <w:p>
            <w:pPr>
              <w:spacing w:after="0"/>
              <w:rPr>
                <w:sz w:val="21"/>
                <w:szCs w:val="21"/>
                <w:color w:val="auto"/>
              </w:rPr>
            </w:pPr>
          </w:p>
        </w:tc>
        <w:tc>
          <w:tcPr>
            <w:tcW w:w="600" w:type="dxa"/>
            <w:vAlign w:val="bottom"/>
            <w:shd w:val="clear" w:color="auto" w:fill="FB1717"/>
          </w:tcPr>
          <w:p>
            <w:pPr>
              <w:spacing w:after="0"/>
              <w:rPr>
                <w:sz w:val="21"/>
                <w:szCs w:val="21"/>
                <w:color w:val="auto"/>
              </w:rPr>
            </w:pPr>
          </w:p>
        </w:tc>
        <w:tc>
          <w:tcPr>
            <w:tcW w:w="220" w:type="dxa"/>
            <w:vAlign w:val="bottom"/>
            <w:shd w:val="clear" w:color="auto" w:fill="FB1717"/>
          </w:tcPr>
          <w:p>
            <w:pPr>
              <w:spacing w:after="0"/>
              <w:rPr>
                <w:sz w:val="21"/>
                <w:szCs w:val="21"/>
                <w:color w:val="auto"/>
              </w:rPr>
            </w:pPr>
          </w:p>
        </w:tc>
        <w:tc>
          <w:tcPr>
            <w:tcW w:w="780" w:type="dxa"/>
            <w:vAlign w:val="bottom"/>
            <w:shd w:val="clear" w:color="auto" w:fill="FB1717"/>
          </w:tcPr>
          <w:p>
            <w:pPr>
              <w:spacing w:after="0"/>
              <w:rPr>
                <w:sz w:val="21"/>
                <w:szCs w:val="21"/>
                <w:color w:val="auto"/>
              </w:rPr>
            </w:pPr>
          </w:p>
        </w:tc>
        <w:tc>
          <w:tcPr>
            <w:tcW w:w="280" w:type="dxa"/>
            <w:vAlign w:val="bottom"/>
            <w:shd w:val="clear" w:color="auto" w:fill="FB1717"/>
          </w:tcPr>
          <w:p>
            <w:pPr>
              <w:spacing w:after="0"/>
              <w:rPr>
                <w:sz w:val="21"/>
                <w:szCs w:val="21"/>
                <w:color w:val="auto"/>
              </w:rPr>
            </w:pPr>
          </w:p>
        </w:tc>
        <w:tc>
          <w:tcPr>
            <w:tcW w:w="660" w:type="dxa"/>
            <w:vAlign w:val="bottom"/>
            <w:shd w:val="clear" w:color="auto" w:fill="FB1717"/>
          </w:tcPr>
          <w:p>
            <w:pPr>
              <w:spacing w:after="0"/>
              <w:rPr>
                <w:sz w:val="21"/>
                <w:szCs w:val="21"/>
                <w:color w:val="auto"/>
              </w:rPr>
            </w:pPr>
          </w:p>
        </w:tc>
        <w:tc>
          <w:tcPr>
            <w:tcW w:w="320" w:type="dxa"/>
            <w:vAlign w:val="bottom"/>
            <w:shd w:val="clear" w:color="auto" w:fill="FB1717"/>
          </w:tcPr>
          <w:p>
            <w:pPr>
              <w:spacing w:after="0"/>
              <w:rPr>
                <w:sz w:val="21"/>
                <w:szCs w:val="21"/>
                <w:color w:val="auto"/>
              </w:rPr>
            </w:pPr>
          </w:p>
        </w:tc>
        <w:tc>
          <w:tcPr>
            <w:tcW w:w="800" w:type="dxa"/>
            <w:vAlign w:val="bottom"/>
            <w:shd w:val="clear" w:color="auto" w:fill="FB1717"/>
          </w:tcPr>
          <w:p>
            <w:pPr>
              <w:spacing w:after="0"/>
              <w:rPr>
                <w:sz w:val="21"/>
                <w:szCs w:val="21"/>
                <w:color w:val="auto"/>
              </w:rPr>
            </w:pPr>
          </w:p>
        </w:tc>
        <w:tc>
          <w:tcPr>
            <w:tcW w:w="360" w:type="dxa"/>
            <w:vAlign w:val="bottom"/>
            <w:shd w:val="clear" w:color="auto" w:fill="FB1717"/>
          </w:tcPr>
          <w:p>
            <w:pPr>
              <w:spacing w:after="0"/>
              <w:rPr>
                <w:sz w:val="21"/>
                <w:szCs w:val="21"/>
                <w:color w:val="auto"/>
              </w:rPr>
            </w:pPr>
          </w:p>
        </w:tc>
        <w:tc>
          <w:tcPr>
            <w:tcW w:w="1080" w:type="dxa"/>
            <w:vAlign w:val="bottom"/>
            <w:shd w:val="clear" w:color="auto" w:fill="FB1717"/>
          </w:tcPr>
          <w:p>
            <w:pPr>
              <w:jc w:val="center"/>
              <w:ind w:right="290"/>
              <w:spacing w:after="0"/>
              <w:rPr>
                <w:sz w:val="20"/>
                <w:szCs w:val="20"/>
                <w:color w:val="auto"/>
              </w:rPr>
            </w:pPr>
            <w:r>
              <w:rPr>
                <w:rFonts w:ascii="Calibri" w:cs="Calibri" w:eastAsia="Calibri" w:hAnsi="Calibri"/>
                <w:sz w:val="14"/>
                <w:szCs w:val="14"/>
                <w:b w:val="1"/>
                <w:bCs w:val="1"/>
                <w:color w:val="E9E8E3"/>
                <w:w w:val="97"/>
              </w:rPr>
              <w:t>Non-Equity</w:t>
            </w:r>
          </w:p>
        </w:tc>
        <w:tc>
          <w:tcPr>
            <w:tcW w:w="360" w:type="dxa"/>
            <w:vAlign w:val="bottom"/>
            <w:shd w:val="clear" w:color="auto" w:fill="FB1717"/>
          </w:tcPr>
          <w:p>
            <w:pPr>
              <w:spacing w:after="0"/>
              <w:rPr>
                <w:sz w:val="21"/>
                <w:szCs w:val="21"/>
                <w:color w:val="auto"/>
              </w:rPr>
            </w:pPr>
          </w:p>
        </w:tc>
        <w:tc>
          <w:tcPr>
            <w:tcW w:w="740" w:type="dxa"/>
            <w:vAlign w:val="bottom"/>
            <w:shd w:val="clear" w:color="auto" w:fill="FB1717"/>
          </w:tcPr>
          <w:p>
            <w:pPr>
              <w:spacing w:after="0"/>
              <w:rPr>
                <w:sz w:val="21"/>
                <w:szCs w:val="21"/>
                <w:color w:val="auto"/>
              </w:rPr>
            </w:pPr>
          </w:p>
        </w:tc>
        <w:tc>
          <w:tcPr>
            <w:tcW w:w="280" w:type="dxa"/>
            <w:vAlign w:val="bottom"/>
            <w:shd w:val="clear" w:color="auto" w:fill="FB1717"/>
          </w:tcPr>
          <w:p>
            <w:pPr>
              <w:spacing w:after="0"/>
              <w:rPr>
                <w:sz w:val="21"/>
                <w:szCs w:val="21"/>
                <w:color w:val="auto"/>
              </w:rPr>
            </w:pPr>
          </w:p>
        </w:tc>
        <w:tc>
          <w:tcPr>
            <w:tcW w:w="860" w:type="dxa"/>
            <w:vAlign w:val="bottom"/>
            <w:shd w:val="clear" w:color="auto" w:fill="FB1717"/>
          </w:tcPr>
          <w:p>
            <w:pPr>
              <w:spacing w:after="0"/>
              <w:rPr>
                <w:sz w:val="21"/>
                <w:szCs w:val="21"/>
                <w:color w:val="auto"/>
              </w:rPr>
            </w:pPr>
          </w:p>
        </w:tc>
      </w:tr>
      <w:tr>
        <w:trPr>
          <w:trHeight w:val="180"/>
        </w:trPr>
        <w:tc>
          <w:tcPr>
            <w:tcW w:w="2740" w:type="dxa"/>
            <w:vAlign w:val="bottom"/>
            <w:shd w:val="clear" w:color="auto" w:fill="FB1717"/>
          </w:tcPr>
          <w:p>
            <w:pPr>
              <w:spacing w:after="0"/>
              <w:rPr>
                <w:sz w:val="15"/>
                <w:szCs w:val="15"/>
                <w:color w:val="auto"/>
              </w:rPr>
            </w:pPr>
          </w:p>
        </w:tc>
        <w:tc>
          <w:tcPr>
            <w:tcW w:w="600" w:type="dxa"/>
            <w:vAlign w:val="bottom"/>
            <w:shd w:val="clear" w:color="auto" w:fill="FB1717"/>
          </w:tcPr>
          <w:p>
            <w:pPr>
              <w:spacing w:after="0"/>
              <w:rPr>
                <w:sz w:val="15"/>
                <w:szCs w:val="15"/>
                <w:color w:val="auto"/>
              </w:rPr>
            </w:pPr>
          </w:p>
        </w:tc>
        <w:tc>
          <w:tcPr>
            <w:tcW w:w="220" w:type="dxa"/>
            <w:vAlign w:val="bottom"/>
            <w:shd w:val="clear" w:color="auto" w:fill="FB1717"/>
          </w:tcPr>
          <w:p>
            <w:pPr>
              <w:spacing w:after="0"/>
              <w:rPr>
                <w:sz w:val="15"/>
                <w:szCs w:val="15"/>
                <w:color w:val="auto"/>
              </w:rPr>
            </w:pPr>
          </w:p>
        </w:tc>
        <w:tc>
          <w:tcPr>
            <w:tcW w:w="780" w:type="dxa"/>
            <w:vAlign w:val="bottom"/>
            <w:shd w:val="clear" w:color="auto" w:fill="FB1717"/>
          </w:tcPr>
          <w:p>
            <w:pPr>
              <w:spacing w:after="0"/>
              <w:rPr>
                <w:sz w:val="15"/>
                <w:szCs w:val="15"/>
                <w:color w:val="auto"/>
              </w:rPr>
            </w:pPr>
          </w:p>
        </w:tc>
        <w:tc>
          <w:tcPr>
            <w:tcW w:w="280" w:type="dxa"/>
            <w:vAlign w:val="bottom"/>
            <w:shd w:val="clear" w:color="auto" w:fill="FB1717"/>
          </w:tcPr>
          <w:p>
            <w:pPr>
              <w:spacing w:after="0"/>
              <w:rPr>
                <w:sz w:val="15"/>
                <w:szCs w:val="15"/>
                <w:color w:val="auto"/>
              </w:rPr>
            </w:pPr>
          </w:p>
        </w:tc>
        <w:tc>
          <w:tcPr>
            <w:tcW w:w="660" w:type="dxa"/>
            <w:vAlign w:val="bottom"/>
            <w:shd w:val="clear" w:color="auto" w:fill="FB1717"/>
          </w:tcPr>
          <w:p>
            <w:pPr>
              <w:spacing w:after="0"/>
              <w:rPr>
                <w:sz w:val="15"/>
                <w:szCs w:val="15"/>
                <w:color w:val="auto"/>
              </w:rPr>
            </w:pPr>
          </w:p>
        </w:tc>
        <w:tc>
          <w:tcPr>
            <w:tcW w:w="320" w:type="dxa"/>
            <w:vAlign w:val="bottom"/>
            <w:shd w:val="clear" w:color="auto" w:fill="FB1717"/>
          </w:tcPr>
          <w:p>
            <w:pPr>
              <w:spacing w:after="0"/>
              <w:rPr>
                <w:sz w:val="15"/>
                <w:szCs w:val="15"/>
                <w:color w:val="auto"/>
              </w:rPr>
            </w:pPr>
          </w:p>
        </w:tc>
        <w:tc>
          <w:tcPr>
            <w:tcW w:w="800" w:type="dxa"/>
            <w:vAlign w:val="bottom"/>
            <w:shd w:val="clear" w:color="auto" w:fill="FB1717"/>
          </w:tcPr>
          <w:p>
            <w:pPr>
              <w:spacing w:after="0"/>
              <w:rPr>
                <w:sz w:val="15"/>
                <w:szCs w:val="15"/>
                <w:color w:val="auto"/>
              </w:rPr>
            </w:pPr>
          </w:p>
        </w:tc>
        <w:tc>
          <w:tcPr>
            <w:tcW w:w="360" w:type="dxa"/>
            <w:vAlign w:val="bottom"/>
            <w:shd w:val="clear" w:color="auto" w:fill="FB1717"/>
          </w:tcPr>
          <w:p>
            <w:pPr>
              <w:spacing w:after="0"/>
              <w:rPr>
                <w:sz w:val="15"/>
                <w:szCs w:val="15"/>
                <w:color w:val="auto"/>
              </w:rPr>
            </w:pPr>
          </w:p>
        </w:tc>
        <w:tc>
          <w:tcPr>
            <w:tcW w:w="1080" w:type="dxa"/>
            <w:vAlign w:val="bottom"/>
            <w:shd w:val="clear" w:color="auto" w:fill="FB1717"/>
          </w:tcPr>
          <w:p>
            <w:pPr>
              <w:jc w:val="center"/>
              <w:ind w:right="310"/>
              <w:spacing w:after="0"/>
              <w:rPr>
                <w:sz w:val="20"/>
                <w:szCs w:val="20"/>
                <w:color w:val="auto"/>
              </w:rPr>
            </w:pPr>
            <w:r>
              <w:rPr>
                <w:rFonts w:ascii="Calibri" w:cs="Calibri" w:eastAsia="Calibri" w:hAnsi="Calibri"/>
                <w:sz w:val="14"/>
                <w:szCs w:val="14"/>
                <w:b w:val="1"/>
                <w:bCs w:val="1"/>
                <w:color w:val="E9E8E3"/>
              </w:rPr>
              <w:t>Incentive</w:t>
            </w:r>
          </w:p>
        </w:tc>
        <w:tc>
          <w:tcPr>
            <w:tcW w:w="360" w:type="dxa"/>
            <w:vAlign w:val="bottom"/>
            <w:shd w:val="clear" w:color="auto" w:fill="FB1717"/>
          </w:tcPr>
          <w:p>
            <w:pPr>
              <w:spacing w:after="0"/>
              <w:rPr>
                <w:sz w:val="15"/>
                <w:szCs w:val="15"/>
                <w:color w:val="auto"/>
              </w:rPr>
            </w:pPr>
          </w:p>
        </w:tc>
        <w:tc>
          <w:tcPr>
            <w:tcW w:w="740" w:type="dxa"/>
            <w:vAlign w:val="bottom"/>
            <w:shd w:val="clear" w:color="auto" w:fill="FB1717"/>
          </w:tcPr>
          <w:p>
            <w:pPr>
              <w:jc w:val="right"/>
              <w:spacing w:after="0"/>
              <w:rPr>
                <w:sz w:val="20"/>
                <w:szCs w:val="20"/>
                <w:color w:val="auto"/>
              </w:rPr>
            </w:pPr>
            <w:r>
              <w:rPr>
                <w:rFonts w:ascii="Calibri" w:cs="Calibri" w:eastAsia="Calibri" w:hAnsi="Calibri"/>
                <w:sz w:val="14"/>
                <w:szCs w:val="14"/>
                <w:b w:val="1"/>
                <w:bCs w:val="1"/>
                <w:color w:val="E9E8E3"/>
              </w:rPr>
              <w:t>All Other</w:t>
            </w:r>
          </w:p>
        </w:tc>
        <w:tc>
          <w:tcPr>
            <w:tcW w:w="280" w:type="dxa"/>
            <w:vAlign w:val="bottom"/>
            <w:shd w:val="clear" w:color="auto" w:fill="FB1717"/>
          </w:tcPr>
          <w:p>
            <w:pPr>
              <w:spacing w:after="0"/>
              <w:rPr>
                <w:sz w:val="15"/>
                <w:szCs w:val="15"/>
                <w:color w:val="auto"/>
              </w:rPr>
            </w:pPr>
          </w:p>
        </w:tc>
        <w:tc>
          <w:tcPr>
            <w:tcW w:w="860" w:type="dxa"/>
            <w:vAlign w:val="bottom"/>
            <w:shd w:val="clear" w:color="auto" w:fill="FB1717"/>
          </w:tcPr>
          <w:p>
            <w:pPr>
              <w:spacing w:after="0"/>
              <w:rPr>
                <w:sz w:val="15"/>
                <w:szCs w:val="15"/>
                <w:color w:val="auto"/>
              </w:rPr>
            </w:pPr>
          </w:p>
        </w:tc>
      </w:tr>
      <w:tr>
        <w:trPr>
          <w:trHeight w:val="264"/>
        </w:trPr>
        <w:tc>
          <w:tcPr>
            <w:tcW w:w="2740" w:type="dxa"/>
            <w:vAlign w:val="bottom"/>
            <w:tcBorders>
              <w:bottom w:val="single" w:sz="8" w:color="auto"/>
            </w:tcBorders>
            <w:shd w:val="clear" w:color="auto" w:fill="FB1717"/>
          </w:tcPr>
          <w:p>
            <w:pPr>
              <w:ind w:left="100"/>
              <w:spacing w:after="0"/>
              <w:rPr>
                <w:sz w:val="20"/>
                <w:szCs w:val="20"/>
                <w:color w:val="auto"/>
              </w:rPr>
            </w:pPr>
            <w:r>
              <w:rPr>
                <w:rFonts w:ascii="Calibri" w:cs="Calibri" w:eastAsia="Calibri" w:hAnsi="Calibri"/>
                <w:sz w:val="14"/>
                <w:szCs w:val="14"/>
                <w:b w:val="1"/>
                <w:bCs w:val="1"/>
                <w:color w:val="E9E8E3"/>
              </w:rPr>
              <w:t>Name and Principal Position</w:t>
            </w:r>
          </w:p>
        </w:tc>
        <w:tc>
          <w:tcPr>
            <w:tcW w:w="600" w:type="dxa"/>
            <w:vAlign w:val="bottom"/>
            <w:tcBorders>
              <w:bottom w:val="single" w:sz="8" w:color="auto"/>
            </w:tcBorders>
            <w:shd w:val="clear" w:color="auto" w:fill="FB1717"/>
          </w:tcPr>
          <w:p>
            <w:pPr>
              <w:ind w:left="220"/>
              <w:spacing w:after="0"/>
              <w:rPr>
                <w:sz w:val="20"/>
                <w:szCs w:val="20"/>
                <w:color w:val="auto"/>
              </w:rPr>
            </w:pPr>
            <w:r>
              <w:rPr>
                <w:rFonts w:ascii="Calibri" w:cs="Calibri" w:eastAsia="Calibri" w:hAnsi="Calibri"/>
                <w:sz w:val="14"/>
                <w:szCs w:val="14"/>
                <w:b w:val="1"/>
                <w:bCs w:val="1"/>
                <w:color w:val="E9E8E3"/>
              </w:rPr>
              <w:t>Year</w:t>
            </w:r>
          </w:p>
        </w:tc>
        <w:tc>
          <w:tcPr>
            <w:tcW w:w="220" w:type="dxa"/>
            <w:vAlign w:val="bottom"/>
            <w:tcBorders>
              <w:bottom w:val="single" w:sz="8" w:color="auto"/>
            </w:tcBorders>
            <w:shd w:val="clear" w:color="auto" w:fill="FB1717"/>
          </w:tcPr>
          <w:p>
            <w:pPr>
              <w:spacing w:after="0"/>
              <w:rPr>
                <w:sz w:val="22"/>
                <w:szCs w:val="22"/>
                <w:color w:val="auto"/>
              </w:rPr>
            </w:pPr>
          </w:p>
        </w:tc>
        <w:tc>
          <w:tcPr>
            <w:tcW w:w="780" w:type="dxa"/>
            <w:vAlign w:val="bottom"/>
            <w:tcBorders>
              <w:bottom w:val="single" w:sz="8" w:color="auto"/>
            </w:tcBorders>
            <w:shd w:val="clear" w:color="auto" w:fill="FB1717"/>
          </w:tcPr>
          <w:p>
            <w:pPr>
              <w:jc w:val="right"/>
              <w:ind w:right="210"/>
              <w:spacing w:after="0"/>
              <w:rPr>
                <w:sz w:val="20"/>
                <w:szCs w:val="20"/>
                <w:color w:val="auto"/>
              </w:rPr>
            </w:pPr>
            <w:r>
              <w:rPr>
                <w:rFonts w:ascii="Calibri" w:cs="Calibri" w:eastAsia="Calibri" w:hAnsi="Calibri"/>
                <w:sz w:val="14"/>
                <w:szCs w:val="14"/>
                <w:b w:val="1"/>
                <w:bCs w:val="1"/>
                <w:color w:val="E9E8E3"/>
                <w:w w:val="97"/>
              </w:rPr>
              <w:t>Salary</w:t>
            </w:r>
            <w:r>
              <w:rPr>
                <w:rFonts w:ascii="Calibri" w:cs="Calibri" w:eastAsia="Calibri" w:hAnsi="Calibri"/>
                <w:sz w:val="18"/>
                <w:szCs w:val="18"/>
                <w:b w:val="1"/>
                <w:bCs w:val="1"/>
                <w:color w:val="E9E8E3"/>
                <w:w w:val="97"/>
                <w:vertAlign w:val="superscript"/>
              </w:rPr>
              <w:t>(1)</w:t>
            </w:r>
          </w:p>
        </w:tc>
        <w:tc>
          <w:tcPr>
            <w:tcW w:w="280" w:type="dxa"/>
            <w:vAlign w:val="bottom"/>
            <w:tcBorders>
              <w:bottom w:val="single" w:sz="8" w:color="auto"/>
            </w:tcBorders>
            <w:shd w:val="clear" w:color="auto" w:fill="FB1717"/>
          </w:tcPr>
          <w:p>
            <w:pPr>
              <w:spacing w:after="0"/>
              <w:rPr>
                <w:sz w:val="22"/>
                <w:szCs w:val="22"/>
                <w:color w:val="auto"/>
              </w:rPr>
            </w:pPr>
          </w:p>
        </w:tc>
        <w:tc>
          <w:tcPr>
            <w:tcW w:w="660" w:type="dxa"/>
            <w:vAlign w:val="bottom"/>
            <w:tcBorders>
              <w:bottom w:val="single" w:sz="8" w:color="auto"/>
            </w:tcBorders>
            <w:shd w:val="clear" w:color="auto" w:fill="FB1717"/>
          </w:tcPr>
          <w:p>
            <w:pPr>
              <w:jc w:val="right"/>
              <w:ind w:right="30"/>
              <w:spacing w:after="0"/>
              <w:rPr>
                <w:sz w:val="20"/>
                <w:szCs w:val="20"/>
                <w:color w:val="auto"/>
              </w:rPr>
            </w:pPr>
            <w:r>
              <w:rPr>
                <w:rFonts w:ascii="Calibri" w:cs="Calibri" w:eastAsia="Calibri" w:hAnsi="Calibri"/>
                <w:sz w:val="14"/>
                <w:szCs w:val="14"/>
                <w:b w:val="1"/>
                <w:bCs w:val="1"/>
                <w:color w:val="E9E8E3"/>
              </w:rPr>
              <w:t>Bonus</w:t>
            </w:r>
            <w:r>
              <w:rPr>
                <w:rFonts w:ascii="Calibri" w:cs="Calibri" w:eastAsia="Calibri" w:hAnsi="Calibri"/>
                <w:sz w:val="18"/>
                <w:szCs w:val="18"/>
                <w:b w:val="1"/>
                <w:bCs w:val="1"/>
                <w:color w:val="E9E8E3"/>
                <w:vertAlign w:val="superscript"/>
              </w:rPr>
              <w:t>(2)</w:t>
            </w:r>
          </w:p>
        </w:tc>
        <w:tc>
          <w:tcPr>
            <w:tcW w:w="1120" w:type="dxa"/>
            <w:vAlign w:val="bottom"/>
            <w:tcBorders>
              <w:bottom w:val="single" w:sz="8" w:color="auto"/>
            </w:tcBorders>
            <w:gridSpan w:val="2"/>
            <w:shd w:val="clear" w:color="auto" w:fill="FB1717"/>
          </w:tcPr>
          <w:p>
            <w:pPr>
              <w:ind w:left="120"/>
              <w:spacing w:after="0"/>
              <w:rPr>
                <w:sz w:val="20"/>
                <w:szCs w:val="20"/>
                <w:color w:val="auto"/>
              </w:rPr>
            </w:pPr>
            <w:r>
              <w:rPr>
                <w:rFonts w:ascii="Calibri" w:cs="Calibri" w:eastAsia="Calibri" w:hAnsi="Calibri"/>
                <w:sz w:val="14"/>
                <w:szCs w:val="14"/>
                <w:b w:val="1"/>
                <w:bCs w:val="1"/>
                <w:color w:val="E9E8E3"/>
              </w:rPr>
              <w:t>Stock Awards</w:t>
            </w:r>
            <w:r>
              <w:rPr>
                <w:rFonts w:ascii="Calibri" w:cs="Calibri" w:eastAsia="Calibri" w:hAnsi="Calibri"/>
                <w:sz w:val="18"/>
                <w:szCs w:val="18"/>
                <w:b w:val="1"/>
                <w:bCs w:val="1"/>
                <w:color w:val="E9E8E3"/>
                <w:vertAlign w:val="superscript"/>
              </w:rPr>
              <w:t>(3)</w:t>
            </w:r>
          </w:p>
        </w:tc>
        <w:tc>
          <w:tcPr>
            <w:tcW w:w="1440" w:type="dxa"/>
            <w:vAlign w:val="bottom"/>
            <w:tcBorders>
              <w:bottom w:val="single" w:sz="8" w:color="auto"/>
            </w:tcBorders>
            <w:gridSpan w:val="2"/>
            <w:shd w:val="clear" w:color="auto" w:fill="FB1717"/>
          </w:tcPr>
          <w:p>
            <w:pPr>
              <w:jc w:val="center"/>
              <w:spacing w:after="0"/>
              <w:rPr>
                <w:sz w:val="20"/>
                <w:szCs w:val="20"/>
                <w:color w:val="auto"/>
              </w:rPr>
            </w:pPr>
            <w:r>
              <w:rPr>
                <w:rFonts w:ascii="Calibri" w:cs="Calibri" w:eastAsia="Calibri" w:hAnsi="Calibri"/>
                <w:sz w:val="14"/>
                <w:szCs w:val="14"/>
                <w:b w:val="1"/>
                <w:bCs w:val="1"/>
                <w:color w:val="E9E8E3"/>
                <w:w w:val="98"/>
              </w:rPr>
              <w:t>Plan Compensation</w:t>
            </w:r>
            <w:r>
              <w:rPr>
                <w:rFonts w:ascii="Calibri" w:cs="Calibri" w:eastAsia="Calibri" w:hAnsi="Calibri"/>
                <w:sz w:val="18"/>
                <w:szCs w:val="18"/>
                <w:b w:val="1"/>
                <w:bCs w:val="1"/>
                <w:color w:val="E9E8E3"/>
                <w:w w:val="98"/>
                <w:vertAlign w:val="superscript"/>
              </w:rPr>
              <w:t>(4)</w:t>
            </w:r>
          </w:p>
        </w:tc>
        <w:tc>
          <w:tcPr>
            <w:tcW w:w="1100" w:type="dxa"/>
            <w:vAlign w:val="bottom"/>
            <w:tcBorders>
              <w:bottom w:val="single" w:sz="8" w:color="auto"/>
            </w:tcBorders>
            <w:gridSpan w:val="2"/>
            <w:shd w:val="clear" w:color="auto" w:fill="FB1717"/>
          </w:tcPr>
          <w:p>
            <w:pPr>
              <w:jc w:val="right"/>
              <w:spacing w:after="0"/>
              <w:rPr>
                <w:sz w:val="20"/>
                <w:szCs w:val="20"/>
                <w:color w:val="auto"/>
              </w:rPr>
            </w:pPr>
            <w:r>
              <w:rPr>
                <w:rFonts w:ascii="Calibri" w:cs="Calibri" w:eastAsia="Calibri" w:hAnsi="Calibri"/>
                <w:sz w:val="14"/>
                <w:szCs w:val="14"/>
                <w:b w:val="1"/>
                <w:bCs w:val="1"/>
                <w:color w:val="E9E8E3"/>
              </w:rPr>
              <w:t>Compensation</w:t>
            </w:r>
            <w:r>
              <w:rPr>
                <w:rFonts w:ascii="Calibri" w:cs="Calibri" w:eastAsia="Calibri" w:hAnsi="Calibri"/>
                <w:sz w:val="18"/>
                <w:szCs w:val="18"/>
                <w:b w:val="1"/>
                <w:bCs w:val="1"/>
                <w:color w:val="E9E8E3"/>
                <w:vertAlign w:val="superscript"/>
              </w:rPr>
              <w:t>(5)</w:t>
            </w:r>
          </w:p>
        </w:tc>
        <w:tc>
          <w:tcPr>
            <w:tcW w:w="280" w:type="dxa"/>
            <w:vAlign w:val="bottom"/>
            <w:tcBorders>
              <w:bottom w:val="single" w:sz="8" w:color="auto"/>
            </w:tcBorders>
            <w:shd w:val="clear" w:color="auto" w:fill="FB1717"/>
          </w:tcPr>
          <w:p>
            <w:pPr>
              <w:spacing w:after="0"/>
              <w:rPr>
                <w:sz w:val="22"/>
                <w:szCs w:val="22"/>
                <w:color w:val="auto"/>
              </w:rPr>
            </w:pPr>
          </w:p>
        </w:tc>
        <w:tc>
          <w:tcPr>
            <w:tcW w:w="860" w:type="dxa"/>
            <w:vAlign w:val="bottom"/>
            <w:tcBorders>
              <w:bottom w:val="single" w:sz="8" w:color="auto"/>
            </w:tcBorders>
            <w:shd w:val="clear" w:color="auto" w:fill="FB1717"/>
          </w:tcPr>
          <w:p>
            <w:pPr>
              <w:jc w:val="right"/>
              <w:spacing w:after="0"/>
              <w:rPr>
                <w:sz w:val="20"/>
                <w:szCs w:val="20"/>
                <w:color w:val="auto"/>
              </w:rPr>
            </w:pPr>
            <w:r>
              <w:rPr>
                <w:rFonts w:ascii="Calibri" w:cs="Calibri" w:eastAsia="Calibri" w:hAnsi="Calibri"/>
                <w:sz w:val="14"/>
                <w:szCs w:val="14"/>
                <w:b w:val="1"/>
                <w:bCs w:val="1"/>
                <w:color w:val="E9E8E3"/>
              </w:rPr>
              <w:t>Total</w:t>
            </w:r>
          </w:p>
        </w:tc>
      </w:tr>
      <w:tr>
        <w:trPr>
          <w:trHeight w:val="236"/>
        </w:trPr>
        <w:tc>
          <w:tcPr>
            <w:tcW w:w="2740" w:type="dxa"/>
            <w:vAlign w:val="bottom"/>
            <w:shd w:val="clear" w:color="auto" w:fill="D9D9D9"/>
          </w:tcPr>
          <w:p>
            <w:pPr>
              <w:ind w:left="100"/>
              <w:spacing w:after="0"/>
              <w:rPr>
                <w:sz w:val="20"/>
                <w:szCs w:val="20"/>
                <w:color w:val="auto"/>
              </w:rPr>
            </w:pPr>
            <w:r>
              <w:rPr>
                <w:rFonts w:ascii="Calibri" w:cs="Calibri" w:eastAsia="Calibri" w:hAnsi="Calibri"/>
                <w:sz w:val="14"/>
                <w:szCs w:val="14"/>
                <w:b w:val="1"/>
                <w:bCs w:val="1"/>
                <w:color w:val="auto"/>
              </w:rPr>
              <w:t>Donald C. Wood (PEO)</w:t>
            </w:r>
          </w:p>
        </w:tc>
        <w:tc>
          <w:tcPr>
            <w:tcW w:w="600" w:type="dxa"/>
            <w:vAlign w:val="bottom"/>
          </w:tcPr>
          <w:p>
            <w:pPr>
              <w:ind w:left="200"/>
              <w:spacing w:after="0"/>
              <w:rPr>
                <w:sz w:val="20"/>
                <w:szCs w:val="20"/>
                <w:color w:val="auto"/>
              </w:rPr>
            </w:pPr>
            <w:r>
              <w:rPr>
                <w:rFonts w:ascii="Calibri" w:cs="Calibri" w:eastAsia="Calibri" w:hAnsi="Calibri"/>
                <w:sz w:val="14"/>
                <w:szCs w:val="14"/>
                <w:color w:val="auto"/>
              </w:rPr>
              <w:t>2022</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4"/>
                <w:szCs w:val="14"/>
                <w:color w:val="auto"/>
              </w:rPr>
              <w:t>1,000,000</w:t>
            </w:r>
          </w:p>
        </w:tc>
        <w:tc>
          <w:tcPr>
            <w:tcW w:w="28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auto"/>
              </w:rPr>
              <w:t>6,474,391</w:t>
            </w: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auto"/>
              </w:rPr>
              <w:t>1,406,250</w:t>
            </w:r>
          </w:p>
        </w:tc>
        <w:tc>
          <w:tcPr>
            <w:tcW w:w="36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70"/>
              <w:spacing w:after="0"/>
              <w:rPr>
                <w:sz w:val="20"/>
                <w:szCs w:val="20"/>
                <w:color w:val="auto"/>
              </w:rPr>
            </w:pPr>
            <w:r>
              <w:rPr>
                <w:rFonts w:ascii="Calibri" w:cs="Calibri" w:eastAsia="Calibri" w:hAnsi="Calibri"/>
                <w:sz w:val="14"/>
                <w:szCs w:val="14"/>
                <w:color w:val="auto"/>
              </w:rPr>
              <w:t>35,391</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auto"/>
              </w:rPr>
              <w:t>8,916,031</w:t>
            </w:r>
          </w:p>
        </w:tc>
      </w:tr>
      <w:tr>
        <w:trPr>
          <w:trHeight w:val="260"/>
        </w:trPr>
        <w:tc>
          <w:tcPr>
            <w:tcW w:w="2740" w:type="dxa"/>
            <w:vAlign w:val="bottom"/>
            <w:shd w:val="clear" w:color="auto" w:fill="D9D9D9"/>
          </w:tcPr>
          <w:p>
            <w:pPr>
              <w:ind w:left="100"/>
              <w:spacing w:after="0"/>
              <w:rPr>
                <w:sz w:val="20"/>
                <w:szCs w:val="20"/>
                <w:color w:val="auto"/>
              </w:rPr>
            </w:pPr>
            <w:r>
              <w:rPr>
                <w:rFonts w:ascii="Calibri" w:cs="Calibri" w:eastAsia="Calibri" w:hAnsi="Calibri"/>
                <w:sz w:val="14"/>
                <w:szCs w:val="14"/>
                <w:b w:val="1"/>
                <w:bCs w:val="1"/>
                <w:color w:val="auto"/>
              </w:rPr>
              <w:t>Chief Executive Officer</w:t>
            </w:r>
          </w:p>
        </w:tc>
        <w:tc>
          <w:tcPr>
            <w:tcW w:w="600" w:type="dxa"/>
            <w:vAlign w:val="bottom"/>
          </w:tcPr>
          <w:p>
            <w:pPr>
              <w:ind w:left="200"/>
              <w:spacing w:after="0"/>
              <w:rPr>
                <w:sz w:val="20"/>
                <w:szCs w:val="20"/>
                <w:color w:val="auto"/>
              </w:rPr>
            </w:pPr>
            <w:r>
              <w:rPr>
                <w:rFonts w:ascii="Calibri" w:cs="Calibri" w:eastAsia="Calibri" w:hAnsi="Calibri"/>
                <w:sz w:val="14"/>
                <w:szCs w:val="14"/>
                <w:color w:val="auto"/>
              </w:rPr>
              <w:t>2021</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4"/>
                <w:szCs w:val="14"/>
                <w:color w:val="auto"/>
              </w:rPr>
              <w:t>950,000</w:t>
            </w:r>
          </w:p>
        </w:tc>
        <w:tc>
          <w:tcPr>
            <w:tcW w:w="28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auto"/>
              </w:rPr>
              <w:t>5,213,719</w:t>
            </w: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auto"/>
              </w:rPr>
              <w:t>1,335,938</w:t>
            </w:r>
          </w:p>
        </w:tc>
        <w:tc>
          <w:tcPr>
            <w:tcW w:w="36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70"/>
              <w:spacing w:after="0"/>
              <w:rPr>
                <w:sz w:val="20"/>
                <w:szCs w:val="20"/>
                <w:color w:val="auto"/>
              </w:rPr>
            </w:pPr>
            <w:r>
              <w:rPr>
                <w:rFonts w:ascii="Calibri" w:cs="Calibri" w:eastAsia="Calibri" w:hAnsi="Calibri"/>
                <w:sz w:val="14"/>
                <w:szCs w:val="14"/>
                <w:color w:val="auto"/>
              </w:rPr>
              <w:t>21,260</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auto"/>
              </w:rPr>
              <w:t>7,520,917</w:t>
            </w:r>
          </w:p>
        </w:tc>
      </w:tr>
      <w:tr>
        <w:trPr>
          <w:trHeight w:val="262"/>
        </w:trPr>
        <w:tc>
          <w:tcPr>
            <w:tcW w:w="2740" w:type="dxa"/>
            <w:vAlign w:val="bottom"/>
            <w:tcBorders>
              <w:bottom w:val="single" w:sz="8" w:color="auto"/>
            </w:tcBorders>
            <w:shd w:val="clear" w:color="auto" w:fill="D9D9D9"/>
          </w:tcPr>
          <w:p>
            <w:pPr>
              <w:spacing w:after="0"/>
              <w:rPr>
                <w:sz w:val="22"/>
                <w:szCs w:val="22"/>
                <w:color w:val="auto"/>
              </w:rPr>
            </w:pPr>
          </w:p>
        </w:tc>
        <w:tc>
          <w:tcPr>
            <w:tcW w:w="600" w:type="dxa"/>
            <w:vAlign w:val="bottom"/>
            <w:tcBorders>
              <w:bottom w:val="single" w:sz="8" w:color="auto"/>
            </w:tcBorders>
          </w:tcPr>
          <w:p>
            <w:pPr>
              <w:ind w:left="200"/>
              <w:spacing w:after="0"/>
              <w:rPr>
                <w:sz w:val="20"/>
                <w:szCs w:val="20"/>
                <w:color w:val="auto"/>
              </w:rPr>
            </w:pPr>
            <w:r>
              <w:rPr>
                <w:rFonts w:ascii="Calibri" w:cs="Calibri" w:eastAsia="Calibri" w:hAnsi="Calibri"/>
                <w:sz w:val="14"/>
                <w:szCs w:val="14"/>
                <w:color w:val="auto"/>
              </w:rPr>
              <w:t>2020</w:t>
            </w:r>
          </w:p>
        </w:tc>
        <w:tc>
          <w:tcPr>
            <w:tcW w:w="2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950,000</w:t>
            </w:r>
          </w:p>
        </w:tc>
        <w:tc>
          <w:tcPr>
            <w:tcW w:w="2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5,830,493</w:t>
            </w:r>
          </w:p>
        </w:tc>
        <w:tc>
          <w:tcPr>
            <w:tcW w:w="3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Calibri" w:cs="Calibri" w:eastAsia="Calibri" w:hAnsi="Calibri"/>
                <w:sz w:val="14"/>
                <w:szCs w:val="14"/>
                <w:color w:val="auto"/>
              </w:rPr>
              <w:t>534,375</w:t>
            </w:r>
          </w:p>
        </w:tc>
        <w:tc>
          <w:tcPr>
            <w:tcW w:w="3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166,928</w:t>
            </w:r>
          </w:p>
        </w:tc>
        <w:tc>
          <w:tcPr>
            <w:tcW w:w="28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Calibri" w:cs="Calibri" w:eastAsia="Calibri" w:hAnsi="Calibri"/>
                <w:sz w:val="14"/>
                <w:szCs w:val="14"/>
                <w:color w:val="auto"/>
              </w:rPr>
              <w:t>7,481,796</w:t>
            </w:r>
          </w:p>
        </w:tc>
      </w:tr>
      <w:tr>
        <w:trPr>
          <w:trHeight w:val="278"/>
        </w:trPr>
        <w:tc>
          <w:tcPr>
            <w:tcW w:w="2740" w:type="dxa"/>
            <w:vAlign w:val="bottom"/>
            <w:shd w:val="clear" w:color="auto" w:fill="D9D9D9"/>
          </w:tcPr>
          <w:p>
            <w:pPr>
              <w:ind w:left="100"/>
              <w:spacing w:after="0"/>
              <w:rPr>
                <w:sz w:val="20"/>
                <w:szCs w:val="20"/>
                <w:color w:val="auto"/>
              </w:rPr>
            </w:pPr>
            <w:r>
              <w:rPr>
                <w:rFonts w:ascii="Calibri" w:cs="Calibri" w:eastAsia="Calibri" w:hAnsi="Calibri"/>
                <w:sz w:val="14"/>
                <w:szCs w:val="14"/>
                <w:b w:val="1"/>
                <w:bCs w:val="1"/>
                <w:color w:val="auto"/>
              </w:rPr>
              <w:t>Jeffrey S. Berkes</w:t>
            </w:r>
          </w:p>
        </w:tc>
        <w:tc>
          <w:tcPr>
            <w:tcW w:w="600" w:type="dxa"/>
            <w:vAlign w:val="bottom"/>
          </w:tcPr>
          <w:p>
            <w:pPr>
              <w:ind w:left="200"/>
              <w:spacing w:after="0"/>
              <w:rPr>
                <w:sz w:val="20"/>
                <w:szCs w:val="20"/>
                <w:color w:val="auto"/>
              </w:rPr>
            </w:pPr>
            <w:r>
              <w:rPr>
                <w:rFonts w:ascii="Calibri" w:cs="Calibri" w:eastAsia="Calibri" w:hAnsi="Calibri"/>
                <w:sz w:val="14"/>
                <w:szCs w:val="14"/>
                <w:color w:val="auto"/>
              </w:rPr>
              <w:t>2022</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4"/>
                <w:szCs w:val="14"/>
                <w:color w:val="auto"/>
              </w:rPr>
              <w:t>650,000</w:t>
            </w:r>
          </w:p>
        </w:tc>
        <w:tc>
          <w:tcPr>
            <w:tcW w:w="28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auto"/>
              </w:rPr>
              <w:t>1,205,703</w:t>
            </w: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auto"/>
              </w:rPr>
              <w:t>609,375</w:t>
            </w:r>
          </w:p>
        </w:tc>
        <w:tc>
          <w:tcPr>
            <w:tcW w:w="36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70"/>
              <w:spacing w:after="0"/>
              <w:rPr>
                <w:sz w:val="20"/>
                <w:szCs w:val="20"/>
                <w:color w:val="auto"/>
              </w:rPr>
            </w:pPr>
            <w:r>
              <w:rPr>
                <w:rFonts w:ascii="Calibri" w:cs="Calibri" w:eastAsia="Calibri" w:hAnsi="Calibri"/>
                <w:sz w:val="14"/>
                <w:szCs w:val="14"/>
                <w:color w:val="auto"/>
              </w:rPr>
              <w:t>15,613</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auto"/>
              </w:rPr>
              <w:t>2,480,691</w:t>
            </w:r>
          </w:p>
        </w:tc>
      </w:tr>
      <w:tr>
        <w:trPr>
          <w:trHeight w:val="262"/>
        </w:trPr>
        <w:tc>
          <w:tcPr>
            <w:tcW w:w="2740" w:type="dxa"/>
            <w:vAlign w:val="bottom"/>
            <w:tcBorders>
              <w:bottom w:val="single" w:sz="8" w:color="auto"/>
            </w:tcBorders>
            <w:shd w:val="clear" w:color="auto" w:fill="D9D9D9"/>
          </w:tcPr>
          <w:p>
            <w:pPr>
              <w:ind w:left="100"/>
              <w:spacing w:after="0"/>
              <w:rPr>
                <w:sz w:val="20"/>
                <w:szCs w:val="20"/>
                <w:color w:val="auto"/>
              </w:rPr>
            </w:pPr>
            <w:r>
              <w:rPr>
                <w:rFonts w:ascii="Calibri" w:cs="Calibri" w:eastAsia="Calibri" w:hAnsi="Calibri"/>
                <w:sz w:val="14"/>
                <w:szCs w:val="14"/>
                <w:b w:val="1"/>
                <w:bCs w:val="1"/>
                <w:color w:val="auto"/>
              </w:rPr>
              <w:t>President &amp; Chief Operating Officer</w:t>
            </w:r>
          </w:p>
        </w:tc>
        <w:tc>
          <w:tcPr>
            <w:tcW w:w="600" w:type="dxa"/>
            <w:vAlign w:val="bottom"/>
            <w:tcBorders>
              <w:bottom w:val="single" w:sz="8" w:color="auto"/>
            </w:tcBorders>
          </w:tcPr>
          <w:p>
            <w:pPr>
              <w:ind w:left="200"/>
              <w:spacing w:after="0"/>
              <w:rPr>
                <w:sz w:val="20"/>
                <w:szCs w:val="20"/>
                <w:color w:val="auto"/>
              </w:rPr>
            </w:pPr>
            <w:r>
              <w:rPr>
                <w:rFonts w:ascii="Calibri" w:cs="Calibri" w:eastAsia="Calibri" w:hAnsi="Calibri"/>
                <w:sz w:val="14"/>
                <w:szCs w:val="14"/>
                <w:color w:val="auto"/>
              </w:rPr>
              <w:t>2021</w:t>
            </w:r>
          </w:p>
        </w:tc>
        <w:tc>
          <w:tcPr>
            <w:tcW w:w="2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575,000</w:t>
            </w:r>
          </w:p>
        </w:tc>
        <w:tc>
          <w:tcPr>
            <w:tcW w:w="2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75,000</w:t>
            </w:r>
          </w:p>
        </w:tc>
        <w:tc>
          <w:tcPr>
            <w:tcW w:w="32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3,131,027</w:t>
            </w:r>
          </w:p>
        </w:tc>
        <w:tc>
          <w:tcPr>
            <w:tcW w:w="3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Calibri" w:cs="Calibri" w:eastAsia="Calibri" w:hAnsi="Calibri"/>
                <w:sz w:val="14"/>
                <w:szCs w:val="14"/>
                <w:color w:val="auto"/>
              </w:rPr>
              <w:t>539,063</w:t>
            </w:r>
          </w:p>
        </w:tc>
        <w:tc>
          <w:tcPr>
            <w:tcW w:w="3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14,486</w:t>
            </w:r>
          </w:p>
        </w:tc>
        <w:tc>
          <w:tcPr>
            <w:tcW w:w="28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Calibri" w:cs="Calibri" w:eastAsia="Calibri" w:hAnsi="Calibri"/>
                <w:sz w:val="14"/>
                <w:szCs w:val="14"/>
                <w:color w:val="auto"/>
              </w:rPr>
              <w:t>4,334,576</w:t>
            </w:r>
          </w:p>
        </w:tc>
      </w:tr>
      <w:tr>
        <w:trPr>
          <w:trHeight w:val="238"/>
        </w:trPr>
        <w:tc>
          <w:tcPr>
            <w:tcW w:w="2740" w:type="dxa"/>
            <w:vAlign w:val="bottom"/>
            <w:shd w:val="clear" w:color="auto" w:fill="D9D9D9"/>
          </w:tcPr>
          <w:p>
            <w:pPr>
              <w:ind w:left="100"/>
              <w:spacing w:after="0"/>
              <w:rPr>
                <w:sz w:val="20"/>
                <w:szCs w:val="20"/>
                <w:color w:val="auto"/>
              </w:rPr>
            </w:pPr>
            <w:r>
              <w:rPr>
                <w:rFonts w:ascii="Calibri" w:cs="Calibri" w:eastAsia="Calibri" w:hAnsi="Calibri"/>
                <w:sz w:val="14"/>
                <w:szCs w:val="14"/>
                <w:b w:val="1"/>
                <w:bCs w:val="1"/>
                <w:color w:val="auto"/>
              </w:rPr>
              <w:t>Daniel Guglielmone (PFO)</w:t>
            </w:r>
          </w:p>
        </w:tc>
        <w:tc>
          <w:tcPr>
            <w:tcW w:w="600" w:type="dxa"/>
            <w:vAlign w:val="bottom"/>
          </w:tcPr>
          <w:p>
            <w:pPr>
              <w:ind w:left="200"/>
              <w:spacing w:after="0"/>
              <w:rPr>
                <w:sz w:val="20"/>
                <w:szCs w:val="20"/>
                <w:color w:val="auto"/>
              </w:rPr>
            </w:pPr>
            <w:r>
              <w:rPr>
                <w:rFonts w:ascii="Calibri" w:cs="Calibri" w:eastAsia="Calibri" w:hAnsi="Calibri"/>
                <w:sz w:val="14"/>
                <w:szCs w:val="14"/>
                <w:color w:val="auto"/>
              </w:rPr>
              <w:t>2022</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4"/>
                <w:szCs w:val="14"/>
                <w:color w:val="auto"/>
              </w:rPr>
              <w:t>575,000</w:t>
            </w:r>
          </w:p>
        </w:tc>
        <w:tc>
          <w:tcPr>
            <w:tcW w:w="28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auto"/>
              </w:rPr>
              <w:t>890,996</w:t>
            </w: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auto"/>
              </w:rPr>
              <w:t>718,750</w:t>
            </w:r>
          </w:p>
        </w:tc>
        <w:tc>
          <w:tcPr>
            <w:tcW w:w="36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70"/>
              <w:spacing w:after="0"/>
              <w:rPr>
                <w:sz w:val="20"/>
                <w:szCs w:val="20"/>
                <w:color w:val="auto"/>
              </w:rPr>
            </w:pPr>
            <w:r>
              <w:rPr>
                <w:rFonts w:ascii="Calibri" w:cs="Calibri" w:eastAsia="Calibri" w:hAnsi="Calibri"/>
                <w:sz w:val="14"/>
                <w:szCs w:val="14"/>
                <w:color w:val="auto"/>
              </w:rPr>
              <w:t>11,736</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auto"/>
              </w:rPr>
              <w:t>2,196,482</w:t>
            </w:r>
          </w:p>
        </w:tc>
      </w:tr>
      <w:tr>
        <w:trPr>
          <w:trHeight w:val="260"/>
        </w:trPr>
        <w:tc>
          <w:tcPr>
            <w:tcW w:w="2740" w:type="dxa"/>
            <w:vAlign w:val="bottom"/>
            <w:shd w:val="clear" w:color="auto" w:fill="D9D9D9"/>
          </w:tcPr>
          <w:p>
            <w:pPr>
              <w:ind w:left="100"/>
              <w:spacing w:after="0"/>
              <w:rPr>
                <w:sz w:val="20"/>
                <w:szCs w:val="20"/>
                <w:color w:val="auto"/>
              </w:rPr>
            </w:pPr>
            <w:r>
              <w:rPr>
                <w:rFonts w:ascii="Calibri" w:cs="Calibri" w:eastAsia="Calibri" w:hAnsi="Calibri"/>
                <w:sz w:val="14"/>
                <w:szCs w:val="14"/>
                <w:b w:val="1"/>
                <w:bCs w:val="1"/>
                <w:color w:val="auto"/>
              </w:rPr>
              <w:t>Executive Vice President-</w:t>
            </w:r>
          </w:p>
        </w:tc>
        <w:tc>
          <w:tcPr>
            <w:tcW w:w="600" w:type="dxa"/>
            <w:vAlign w:val="bottom"/>
          </w:tcPr>
          <w:p>
            <w:pPr>
              <w:ind w:left="200"/>
              <w:spacing w:after="0"/>
              <w:rPr>
                <w:sz w:val="20"/>
                <w:szCs w:val="20"/>
                <w:color w:val="auto"/>
              </w:rPr>
            </w:pPr>
            <w:r>
              <w:rPr>
                <w:rFonts w:ascii="Calibri" w:cs="Calibri" w:eastAsia="Calibri" w:hAnsi="Calibri"/>
                <w:sz w:val="14"/>
                <w:szCs w:val="14"/>
                <w:color w:val="auto"/>
              </w:rPr>
              <w:t>2021</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4"/>
                <w:szCs w:val="14"/>
                <w:color w:val="auto"/>
              </w:rPr>
              <w:t>500,000</w:t>
            </w:r>
          </w:p>
        </w:tc>
        <w:tc>
          <w:tcPr>
            <w:tcW w:w="28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30"/>
              <w:spacing w:after="0"/>
              <w:rPr>
                <w:sz w:val="20"/>
                <w:szCs w:val="20"/>
                <w:color w:val="auto"/>
              </w:rPr>
            </w:pPr>
            <w:r>
              <w:rPr>
                <w:rFonts w:ascii="Calibri" w:cs="Calibri" w:eastAsia="Calibri" w:hAnsi="Calibri"/>
                <w:sz w:val="14"/>
                <w:szCs w:val="14"/>
                <w:color w:val="auto"/>
              </w:rPr>
              <w:t>75,000</w:t>
            </w:r>
          </w:p>
        </w:tc>
        <w:tc>
          <w:tcPr>
            <w:tcW w:w="3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auto"/>
              </w:rPr>
              <w:t>1,900,046</w:t>
            </w: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auto"/>
              </w:rPr>
              <w:t>468,750</w:t>
            </w:r>
          </w:p>
        </w:tc>
        <w:tc>
          <w:tcPr>
            <w:tcW w:w="36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70"/>
              <w:spacing w:after="0"/>
              <w:rPr>
                <w:sz w:val="20"/>
                <w:szCs w:val="20"/>
                <w:color w:val="auto"/>
              </w:rPr>
            </w:pPr>
            <w:r>
              <w:rPr>
                <w:rFonts w:ascii="Calibri" w:cs="Calibri" w:eastAsia="Calibri" w:hAnsi="Calibri"/>
                <w:sz w:val="14"/>
                <w:szCs w:val="14"/>
                <w:color w:val="auto"/>
              </w:rPr>
              <w:t>11,427</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auto"/>
              </w:rPr>
              <w:t>2,955,223</w:t>
            </w:r>
          </w:p>
        </w:tc>
      </w:tr>
      <w:tr>
        <w:trPr>
          <w:trHeight w:val="262"/>
        </w:trPr>
        <w:tc>
          <w:tcPr>
            <w:tcW w:w="2740" w:type="dxa"/>
            <w:vAlign w:val="bottom"/>
            <w:tcBorders>
              <w:bottom w:val="single" w:sz="8" w:color="auto"/>
            </w:tcBorders>
            <w:shd w:val="clear" w:color="auto" w:fill="D9D9D9"/>
          </w:tcPr>
          <w:p>
            <w:pPr>
              <w:ind w:left="100"/>
              <w:spacing w:after="0"/>
              <w:rPr>
                <w:sz w:val="20"/>
                <w:szCs w:val="20"/>
                <w:color w:val="auto"/>
              </w:rPr>
            </w:pPr>
            <w:r>
              <w:rPr>
                <w:rFonts w:ascii="Calibri" w:cs="Calibri" w:eastAsia="Calibri" w:hAnsi="Calibri"/>
                <w:sz w:val="14"/>
                <w:szCs w:val="14"/>
                <w:b w:val="1"/>
                <w:bCs w:val="1"/>
                <w:color w:val="auto"/>
              </w:rPr>
              <w:t>Chief Financial Officer &amp; Treasurer</w:t>
            </w:r>
          </w:p>
        </w:tc>
        <w:tc>
          <w:tcPr>
            <w:tcW w:w="600" w:type="dxa"/>
            <w:vAlign w:val="bottom"/>
            <w:tcBorders>
              <w:bottom w:val="single" w:sz="8" w:color="auto"/>
            </w:tcBorders>
          </w:tcPr>
          <w:p>
            <w:pPr>
              <w:ind w:left="200"/>
              <w:spacing w:after="0"/>
              <w:rPr>
                <w:sz w:val="20"/>
                <w:szCs w:val="20"/>
                <w:color w:val="auto"/>
              </w:rPr>
            </w:pPr>
            <w:r>
              <w:rPr>
                <w:rFonts w:ascii="Calibri" w:cs="Calibri" w:eastAsia="Calibri" w:hAnsi="Calibri"/>
                <w:sz w:val="14"/>
                <w:szCs w:val="14"/>
                <w:color w:val="auto"/>
              </w:rPr>
              <w:t>2020</w:t>
            </w:r>
          </w:p>
        </w:tc>
        <w:tc>
          <w:tcPr>
            <w:tcW w:w="2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500,000</w:t>
            </w:r>
          </w:p>
        </w:tc>
        <w:tc>
          <w:tcPr>
            <w:tcW w:w="2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968,270</w:t>
            </w:r>
          </w:p>
        </w:tc>
        <w:tc>
          <w:tcPr>
            <w:tcW w:w="3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Calibri" w:cs="Calibri" w:eastAsia="Calibri" w:hAnsi="Calibri"/>
                <w:sz w:val="14"/>
                <w:szCs w:val="14"/>
                <w:color w:val="auto"/>
              </w:rPr>
              <w:t>281,250</w:t>
            </w:r>
          </w:p>
        </w:tc>
        <w:tc>
          <w:tcPr>
            <w:tcW w:w="3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236,818</w:t>
            </w:r>
          </w:p>
        </w:tc>
        <w:tc>
          <w:tcPr>
            <w:tcW w:w="28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Calibri" w:cs="Calibri" w:eastAsia="Calibri" w:hAnsi="Calibri"/>
                <w:sz w:val="14"/>
                <w:szCs w:val="14"/>
                <w:color w:val="auto"/>
              </w:rPr>
              <w:t>1,986,338</w:t>
            </w:r>
          </w:p>
        </w:tc>
      </w:tr>
      <w:tr>
        <w:trPr>
          <w:trHeight w:val="238"/>
        </w:trPr>
        <w:tc>
          <w:tcPr>
            <w:tcW w:w="2740" w:type="dxa"/>
            <w:vAlign w:val="bottom"/>
            <w:shd w:val="clear" w:color="auto" w:fill="D9D9D9"/>
          </w:tcPr>
          <w:p>
            <w:pPr>
              <w:ind w:left="100"/>
              <w:spacing w:after="0"/>
              <w:rPr>
                <w:sz w:val="20"/>
                <w:szCs w:val="20"/>
                <w:color w:val="auto"/>
              </w:rPr>
            </w:pPr>
            <w:r>
              <w:rPr>
                <w:rFonts w:ascii="Calibri" w:cs="Calibri" w:eastAsia="Calibri" w:hAnsi="Calibri"/>
                <w:sz w:val="14"/>
                <w:szCs w:val="14"/>
                <w:b w:val="1"/>
                <w:bCs w:val="1"/>
                <w:color w:val="auto"/>
              </w:rPr>
              <w:t>Dawn M. Becker</w:t>
            </w:r>
          </w:p>
        </w:tc>
        <w:tc>
          <w:tcPr>
            <w:tcW w:w="600" w:type="dxa"/>
            <w:vAlign w:val="bottom"/>
          </w:tcPr>
          <w:p>
            <w:pPr>
              <w:ind w:left="200"/>
              <w:spacing w:after="0"/>
              <w:rPr>
                <w:sz w:val="20"/>
                <w:szCs w:val="20"/>
                <w:color w:val="auto"/>
              </w:rPr>
            </w:pPr>
            <w:r>
              <w:rPr>
                <w:rFonts w:ascii="Calibri" w:cs="Calibri" w:eastAsia="Calibri" w:hAnsi="Calibri"/>
                <w:sz w:val="14"/>
                <w:szCs w:val="14"/>
                <w:color w:val="auto"/>
              </w:rPr>
              <w:t>2022</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4"/>
                <w:szCs w:val="14"/>
                <w:color w:val="auto"/>
              </w:rPr>
              <w:t>575,000</w:t>
            </w:r>
          </w:p>
        </w:tc>
        <w:tc>
          <w:tcPr>
            <w:tcW w:w="28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auto"/>
              </w:rPr>
              <w:t>727,570</w:t>
            </w: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auto"/>
              </w:rPr>
              <w:t>539,063</w:t>
            </w:r>
          </w:p>
        </w:tc>
        <w:tc>
          <w:tcPr>
            <w:tcW w:w="36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70"/>
              <w:spacing w:after="0"/>
              <w:rPr>
                <w:sz w:val="20"/>
                <w:szCs w:val="20"/>
                <w:color w:val="auto"/>
              </w:rPr>
            </w:pPr>
            <w:r>
              <w:rPr>
                <w:rFonts w:ascii="Calibri" w:cs="Calibri" w:eastAsia="Calibri" w:hAnsi="Calibri"/>
                <w:sz w:val="14"/>
                <w:szCs w:val="14"/>
                <w:color w:val="auto"/>
              </w:rPr>
              <w:t>14,521</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auto"/>
              </w:rPr>
              <w:t>1,856,154</w:t>
            </w:r>
          </w:p>
        </w:tc>
      </w:tr>
      <w:tr>
        <w:trPr>
          <w:trHeight w:val="260"/>
        </w:trPr>
        <w:tc>
          <w:tcPr>
            <w:tcW w:w="2740" w:type="dxa"/>
            <w:vAlign w:val="bottom"/>
            <w:shd w:val="clear" w:color="auto" w:fill="D9D9D9"/>
          </w:tcPr>
          <w:p>
            <w:pPr>
              <w:ind w:left="100"/>
              <w:spacing w:after="0"/>
              <w:rPr>
                <w:sz w:val="20"/>
                <w:szCs w:val="20"/>
                <w:color w:val="auto"/>
              </w:rPr>
            </w:pPr>
            <w:r>
              <w:rPr>
                <w:rFonts w:ascii="Calibri" w:cs="Calibri" w:eastAsia="Calibri" w:hAnsi="Calibri"/>
                <w:sz w:val="14"/>
                <w:szCs w:val="14"/>
                <w:b w:val="1"/>
                <w:bCs w:val="1"/>
                <w:color w:val="auto"/>
              </w:rPr>
              <w:t>Executive Vice President-</w:t>
            </w:r>
          </w:p>
        </w:tc>
        <w:tc>
          <w:tcPr>
            <w:tcW w:w="600" w:type="dxa"/>
            <w:vAlign w:val="bottom"/>
          </w:tcPr>
          <w:p>
            <w:pPr>
              <w:ind w:left="200"/>
              <w:spacing w:after="0"/>
              <w:rPr>
                <w:sz w:val="20"/>
                <w:szCs w:val="20"/>
                <w:color w:val="auto"/>
              </w:rPr>
            </w:pPr>
            <w:r>
              <w:rPr>
                <w:rFonts w:ascii="Calibri" w:cs="Calibri" w:eastAsia="Calibri" w:hAnsi="Calibri"/>
                <w:sz w:val="14"/>
                <w:szCs w:val="14"/>
                <w:color w:val="auto"/>
              </w:rPr>
              <w:t>2021</w:t>
            </w:r>
          </w:p>
        </w:tc>
        <w:tc>
          <w:tcPr>
            <w:tcW w:w="2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0"/>
              <w:spacing w:after="0"/>
              <w:rPr>
                <w:sz w:val="20"/>
                <w:szCs w:val="20"/>
                <w:color w:val="auto"/>
              </w:rPr>
            </w:pPr>
            <w:r>
              <w:rPr>
                <w:rFonts w:ascii="Calibri" w:cs="Calibri" w:eastAsia="Calibri" w:hAnsi="Calibri"/>
                <w:sz w:val="14"/>
                <w:szCs w:val="14"/>
                <w:color w:val="auto"/>
              </w:rPr>
              <w:t>475,000</w:t>
            </w:r>
          </w:p>
        </w:tc>
        <w:tc>
          <w:tcPr>
            <w:tcW w:w="280" w:type="dxa"/>
            <w:vAlign w:val="bottom"/>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30"/>
              <w:spacing w:after="0"/>
              <w:rPr>
                <w:sz w:val="20"/>
                <w:szCs w:val="20"/>
                <w:color w:val="auto"/>
              </w:rPr>
            </w:pPr>
            <w:r>
              <w:rPr>
                <w:rFonts w:ascii="Calibri" w:cs="Calibri" w:eastAsia="Calibri" w:hAnsi="Calibri"/>
                <w:sz w:val="14"/>
                <w:szCs w:val="14"/>
                <w:color w:val="auto"/>
              </w:rPr>
              <w:t>75,000</w:t>
            </w:r>
          </w:p>
        </w:tc>
        <w:tc>
          <w:tcPr>
            <w:tcW w:w="320" w:type="dxa"/>
            <w:vAlign w:val="bottom"/>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auto"/>
              </w:rPr>
              <w:t>680,159</w:t>
            </w: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auto"/>
              </w:rPr>
              <w:t>333,984</w:t>
            </w:r>
          </w:p>
        </w:tc>
        <w:tc>
          <w:tcPr>
            <w:tcW w:w="36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70"/>
              <w:spacing w:after="0"/>
              <w:rPr>
                <w:sz w:val="20"/>
                <w:szCs w:val="20"/>
                <w:color w:val="auto"/>
              </w:rPr>
            </w:pPr>
            <w:r>
              <w:rPr>
                <w:rFonts w:ascii="Calibri" w:cs="Calibri" w:eastAsia="Calibri" w:hAnsi="Calibri"/>
                <w:sz w:val="14"/>
                <w:szCs w:val="14"/>
                <w:color w:val="auto"/>
              </w:rPr>
              <w:t>13,638</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auto"/>
              </w:rPr>
              <w:t>1,577,781</w:t>
            </w:r>
          </w:p>
        </w:tc>
      </w:tr>
      <w:tr>
        <w:trPr>
          <w:trHeight w:val="262"/>
        </w:trPr>
        <w:tc>
          <w:tcPr>
            <w:tcW w:w="2740" w:type="dxa"/>
            <w:vAlign w:val="bottom"/>
            <w:tcBorders>
              <w:bottom w:val="single" w:sz="8" w:color="auto"/>
            </w:tcBorders>
            <w:shd w:val="clear" w:color="auto" w:fill="D9D9D9"/>
          </w:tcPr>
          <w:p>
            <w:pPr>
              <w:ind w:left="100"/>
              <w:spacing w:after="0"/>
              <w:rPr>
                <w:sz w:val="20"/>
                <w:szCs w:val="20"/>
                <w:color w:val="auto"/>
              </w:rPr>
            </w:pPr>
            <w:r>
              <w:rPr>
                <w:rFonts w:ascii="Calibri" w:cs="Calibri" w:eastAsia="Calibri" w:hAnsi="Calibri"/>
                <w:sz w:val="14"/>
                <w:szCs w:val="14"/>
                <w:b w:val="1"/>
                <w:bCs w:val="1"/>
                <w:color w:val="auto"/>
              </w:rPr>
              <w:t>General Counsel &amp; Secretary</w:t>
            </w:r>
          </w:p>
        </w:tc>
        <w:tc>
          <w:tcPr>
            <w:tcW w:w="600" w:type="dxa"/>
            <w:vAlign w:val="bottom"/>
            <w:tcBorders>
              <w:bottom w:val="single" w:sz="8" w:color="auto"/>
            </w:tcBorders>
          </w:tcPr>
          <w:p>
            <w:pPr>
              <w:ind w:left="200"/>
              <w:spacing w:after="0"/>
              <w:rPr>
                <w:sz w:val="20"/>
                <w:szCs w:val="20"/>
                <w:color w:val="auto"/>
              </w:rPr>
            </w:pPr>
            <w:r>
              <w:rPr>
                <w:rFonts w:ascii="Calibri" w:cs="Calibri" w:eastAsia="Calibri" w:hAnsi="Calibri"/>
                <w:sz w:val="14"/>
                <w:szCs w:val="14"/>
                <w:color w:val="auto"/>
              </w:rPr>
              <w:t>2020</w:t>
            </w:r>
          </w:p>
        </w:tc>
        <w:tc>
          <w:tcPr>
            <w:tcW w:w="2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475,000</w:t>
            </w:r>
          </w:p>
        </w:tc>
        <w:tc>
          <w:tcPr>
            <w:tcW w:w="28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32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758,275</w:t>
            </w:r>
          </w:p>
        </w:tc>
        <w:tc>
          <w:tcPr>
            <w:tcW w:w="3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Calibri" w:cs="Calibri" w:eastAsia="Calibri" w:hAnsi="Calibri"/>
                <w:sz w:val="14"/>
                <w:szCs w:val="14"/>
                <w:color w:val="auto"/>
              </w:rPr>
              <w:t>200,391</w:t>
            </w:r>
          </w:p>
        </w:tc>
        <w:tc>
          <w:tcPr>
            <w:tcW w:w="36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86,359</w:t>
            </w:r>
          </w:p>
        </w:tc>
        <w:tc>
          <w:tcPr>
            <w:tcW w:w="280" w:type="dxa"/>
            <w:vAlign w:val="bottom"/>
            <w:tcBorders>
              <w:bottom w:val="single" w:sz="8" w:color="auto"/>
            </w:tcBorders>
          </w:tcPr>
          <w:p>
            <w:pPr>
              <w:jc w:val="right"/>
              <w:ind w:right="7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Calibri" w:cs="Calibri" w:eastAsia="Calibri" w:hAnsi="Calibri"/>
                <w:sz w:val="14"/>
                <w:szCs w:val="14"/>
                <w:color w:val="auto"/>
              </w:rPr>
              <w:t>1,520,025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09600"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48pt,7.75pt" o:allowincell="f" strokecolor="#000000" strokeweight="0.5pt"/>
            </w:pict>
          </mc:Fallback>
        </mc:AlternateContent>
      </w:r>
    </w:p>
    <w:p>
      <w:pPr>
        <w:spacing w:after="0" w:line="195" w:lineRule="exact"/>
        <w:rPr>
          <w:sz w:val="20"/>
          <w:szCs w:val="20"/>
          <w:color w:val="auto"/>
        </w:rPr>
      </w:pPr>
    </w:p>
    <w:p>
      <w:pPr>
        <w:ind w:left="360" w:hanging="360"/>
        <w:spacing w:after="0" w:line="214" w:lineRule="auto"/>
        <w:tabs>
          <w:tab w:leader="none" w:pos="36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Amounts shown in the Salary column include all amounts deferred at the election of the NEOs into our non-qualified deferred compensation plan.</w:t>
      </w:r>
    </w:p>
    <w:p>
      <w:pPr>
        <w:ind w:left="360" w:hanging="360"/>
        <w:spacing w:after="0" w:line="199" w:lineRule="auto"/>
        <w:tabs>
          <w:tab w:leader="none" w:pos="36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Amounts represent a one-time cash bonus described for each of these NEOs in our 2022 proxy statement.</w:t>
      </w:r>
    </w:p>
    <w:p>
      <w:pPr>
        <w:spacing w:after="0" w:line="55" w:lineRule="exact"/>
        <w:rPr>
          <w:rFonts w:ascii="Arial" w:cs="Arial" w:eastAsia="Arial" w:hAnsi="Arial"/>
          <w:sz w:val="23"/>
          <w:szCs w:val="23"/>
          <w:color w:val="auto"/>
          <w:vertAlign w:val="superscript"/>
        </w:rPr>
      </w:pPr>
    </w:p>
    <w:p>
      <w:pPr>
        <w:jc w:val="both"/>
        <w:ind w:left="360" w:hanging="360"/>
        <w:spacing w:after="0" w:line="236" w:lineRule="auto"/>
        <w:tabs>
          <w:tab w:leader="none" w:pos="36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Amounts shown in this column reflect the aggregate grant date fair value of the awards calculated in accordance with FASB ASC Topic 718 that were issued in the year shown. With the exception of the performance based restricted share units issued to Mr. Berkes in 2021, all other awards in this column were valued based on the closing price of our shares on the grant date. The performance-based restricted share units issued to Mr. Berkes in February 2021 are tied to our total shareholder return versus the total shareholder return for the BBRESHOP over the performance period. These restricted share units were valued based on our data and that of the index using a Monte Carlo simulation method. The key assumptions used in the valuation were: (a) stock price volatility of 38.0% for the Company and 38.8% for the index;</w:t>
      </w:r>
    </w:p>
    <w:p>
      <w:pPr>
        <w:spacing w:after="0" w:line="22" w:lineRule="exact"/>
        <w:rPr>
          <w:rFonts w:ascii="Arial" w:cs="Arial" w:eastAsia="Arial" w:hAnsi="Arial"/>
          <w:sz w:val="23"/>
          <w:szCs w:val="23"/>
          <w:color w:val="auto"/>
          <w:vertAlign w:val="superscript"/>
        </w:rPr>
      </w:pPr>
    </w:p>
    <w:p>
      <w:pPr>
        <w:jc w:val="both"/>
        <w:ind w:left="360"/>
        <w:spacing w:after="0" w:line="251" w:lineRule="auto"/>
        <w:tabs>
          <w:tab w:leader="none" w:pos="63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risk-free interest rate of 0.31%; and (c) no dividend yield assumption given that the award includes dividend equivalent rights that are earned only if the underlying shares are earned. Based on the performance goals and these assumptions, the award was valued at $97.01 per share.</w:t>
      </w:r>
    </w:p>
    <w:p>
      <w:pPr>
        <w:spacing w:after="0" w:line="10" w:lineRule="exact"/>
        <w:rPr>
          <w:rFonts w:ascii="Arial" w:cs="Arial" w:eastAsia="Arial" w:hAnsi="Arial"/>
          <w:sz w:val="18"/>
          <w:szCs w:val="18"/>
          <w:color w:val="auto"/>
        </w:rPr>
      </w:pPr>
    </w:p>
    <w:p>
      <w:pPr>
        <w:ind w:left="360" w:hanging="360"/>
        <w:spacing w:after="0" w:line="214" w:lineRule="auto"/>
        <w:tabs>
          <w:tab w:leader="none" w:pos="36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Amounts shown in this column represent the cash amount paid under our annual bonus plan and include amounts deferred by our NEOs into our non-qualified deferred compensation plan.</w:t>
      </w:r>
    </w:p>
    <w:p>
      <w:pPr>
        <w:spacing w:after="0" w:line="19" w:lineRule="exact"/>
        <w:rPr>
          <w:rFonts w:ascii="Arial" w:cs="Arial" w:eastAsia="Arial" w:hAnsi="Arial"/>
          <w:sz w:val="23"/>
          <w:szCs w:val="23"/>
          <w:color w:val="auto"/>
          <w:vertAlign w:val="superscript"/>
        </w:rPr>
      </w:pPr>
    </w:p>
    <w:p>
      <w:pPr>
        <w:jc w:val="both"/>
        <w:ind w:left="360" w:hanging="360"/>
        <w:spacing w:after="0" w:line="226" w:lineRule="auto"/>
        <w:tabs>
          <w:tab w:leader="none" w:pos="36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The amounts shown in this column for the most recent fiscal year include: (a) contributions to our 401(k) plan of $7,625 for each of our NEOs; and (b) payments for various life, long-term disability and other medical related insurance of $27,766 for Mr. Wood, $7,988 for Mr. Berkes, $3,966 for Mr. Guglielmone and $6,896 for Ms. Becker.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1781810</wp:posOffset>
                </wp:positionV>
                <wp:extent cx="6400800" cy="17780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17" o:spid="_x0000_s1542" style="position:absolute;margin-left:0pt;margin-top:140.3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1781810</wp:posOffset>
                </wp:positionV>
                <wp:extent cx="0" cy="17780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40.3pt" to="0.75pt,154.3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1791335</wp:posOffset>
                </wp:positionV>
                <wp:extent cx="6400800"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05pt" to="504pt,141.0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1781810</wp:posOffset>
                </wp:positionV>
                <wp:extent cx="0" cy="17780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40.3pt" to="503.25pt,154.3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1950085</wp:posOffset>
                </wp:positionV>
                <wp:extent cx="6400800"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3.55pt" to="504pt,153.55pt" o:allowincell="f" strokecolor="#000000" strokeweight="1.5pt"/>
            </w:pict>
          </mc:Fallback>
        </mc:AlternateContent>
      </w:r>
    </w:p>
    <w:p>
      <w:pPr>
        <w:sectPr>
          <w:pgSz w:w="11880" w:h="15480" w:orient="portrait"/>
          <w:cols w:equalWidth="0" w:num="1">
            <w:col w:w="10080"/>
          </w:cols>
          <w:pgMar w:left="900" w:top="1340"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31</w:t>
      </w:r>
    </w:p>
    <w:p>
      <w:pPr>
        <w:sectPr>
          <w:pgSz w:w="11880" w:h="15480" w:orient="portrait"/>
          <w:cols w:equalWidth="0" w:num="1">
            <w:col w:w="10080"/>
          </w:cols>
          <w:pgMar w:left="900" w:top="1340" w:right="900" w:bottom="764" w:gutter="0" w:footer="0" w:header="0"/>
          <w:type w:val="continuous"/>
        </w:sectPr>
      </w:pPr>
    </w:p>
    <w:bookmarkStart w:id="151" w:name="page152"/>
    <w:bookmarkEnd w:id="151"/>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GRANTS OF PLAN BASED AWARDS TABLE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equity awards were made in 2022 to our NEOs.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4300" w:type="dxa"/>
            <w:vAlign w:val="bottom"/>
            <w:shd w:val="clear" w:color="auto" w:fill="FB1717"/>
          </w:tcPr>
          <w:p>
            <w:pPr>
              <w:spacing w:after="0"/>
              <w:rPr>
                <w:sz w:val="24"/>
                <w:szCs w:val="24"/>
                <w:color w:val="auto"/>
              </w:rPr>
            </w:pPr>
          </w:p>
        </w:tc>
        <w:tc>
          <w:tcPr>
            <w:tcW w:w="1340" w:type="dxa"/>
            <w:vAlign w:val="bottom"/>
            <w:shd w:val="clear" w:color="auto" w:fill="FB1717"/>
          </w:tcPr>
          <w:p>
            <w:pPr>
              <w:spacing w:after="0"/>
              <w:rPr>
                <w:sz w:val="24"/>
                <w:szCs w:val="24"/>
                <w:color w:val="auto"/>
              </w:rPr>
            </w:pPr>
          </w:p>
        </w:tc>
        <w:tc>
          <w:tcPr>
            <w:tcW w:w="1800" w:type="dxa"/>
            <w:vAlign w:val="bottom"/>
            <w:shd w:val="clear" w:color="auto" w:fill="FB1717"/>
          </w:tcPr>
          <w:p>
            <w:pPr>
              <w:jc w:val="right"/>
              <w:spacing w:after="0"/>
              <w:rPr>
                <w:sz w:val="20"/>
                <w:szCs w:val="20"/>
                <w:color w:val="auto"/>
              </w:rPr>
            </w:pPr>
            <w:r>
              <w:rPr>
                <w:rFonts w:ascii="Calibri" w:cs="Calibri" w:eastAsia="Calibri" w:hAnsi="Calibri"/>
                <w:sz w:val="16"/>
                <w:szCs w:val="16"/>
                <w:b w:val="1"/>
                <w:bCs w:val="1"/>
                <w:color w:val="E9E8E3"/>
              </w:rPr>
              <w:t>All Other Stock Awards:</w:t>
            </w:r>
          </w:p>
        </w:tc>
        <w:tc>
          <w:tcPr>
            <w:tcW w:w="180" w:type="dxa"/>
            <w:vAlign w:val="bottom"/>
            <w:shd w:val="clear" w:color="auto" w:fill="FB1717"/>
          </w:tcPr>
          <w:p>
            <w:pPr>
              <w:spacing w:after="0"/>
              <w:rPr>
                <w:sz w:val="24"/>
                <w:szCs w:val="24"/>
                <w:color w:val="auto"/>
              </w:rPr>
            </w:pPr>
          </w:p>
        </w:tc>
        <w:tc>
          <w:tcPr>
            <w:tcW w:w="860" w:type="dxa"/>
            <w:vAlign w:val="bottom"/>
            <w:shd w:val="clear" w:color="auto" w:fill="FB1717"/>
          </w:tcPr>
          <w:p>
            <w:pPr>
              <w:spacing w:after="0"/>
              <w:rPr>
                <w:sz w:val="24"/>
                <w:szCs w:val="24"/>
                <w:color w:val="auto"/>
              </w:rPr>
            </w:pPr>
          </w:p>
        </w:tc>
      </w:tr>
      <w:tr>
        <w:trPr>
          <w:trHeight w:val="160"/>
        </w:trPr>
        <w:tc>
          <w:tcPr>
            <w:tcW w:w="4300" w:type="dxa"/>
            <w:vAlign w:val="bottom"/>
            <w:shd w:val="clear" w:color="auto" w:fill="FB1717"/>
          </w:tcPr>
          <w:p>
            <w:pPr>
              <w:spacing w:after="0"/>
              <w:rPr>
                <w:sz w:val="13"/>
                <w:szCs w:val="13"/>
                <w:color w:val="auto"/>
              </w:rPr>
            </w:pPr>
          </w:p>
        </w:tc>
        <w:tc>
          <w:tcPr>
            <w:tcW w:w="1340" w:type="dxa"/>
            <w:vAlign w:val="bottom"/>
            <w:shd w:val="clear" w:color="auto" w:fill="FB1717"/>
          </w:tcPr>
          <w:p>
            <w:pPr>
              <w:jc w:val="right"/>
              <w:ind w:right="320"/>
              <w:spacing w:after="0" w:line="160" w:lineRule="exact"/>
              <w:rPr>
                <w:sz w:val="20"/>
                <w:szCs w:val="20"/>
                <w:color w:val="auto"/>
              </w:rPr>
            </w:pPr>
            <w:r>
              <w:rPr>
                <w:rFonts w:ascii="Calibri" w:cs="Calibri" w:eastAsia="Calibri" w:hAnsi="Calibri"/>
                <w:sz w:val="16"/>
                <w:szCs w:val="16"/>
                <w:b w:val="1"/>
                <w:bCs w:val="1"/>
                <w:color w:val="E9E8E3"/>
              </w:rPr>
              <w:t>Grant</w:t>
            </w:r>
          </w:p>
        </w:tc>
        <w:tc>
          <w:tcPr>
            <w:tcW w:w="1800" w:type="dxa"/>
            <w:vAlign w:val="bottom"/>
            <w:shd w:val="clear" w:color="auto" w:fill="FB1717"/>
          </w:tcPr>
          <w:p>
            <w:pPr>
              <w:jc w:val="right"/>
              <w:spacing w:after="0" w:line="160" w:lineRule="exact"/>
              <w:rPr>
                <w:sz w:val="20"/>
                <w:szCs w:val="20"/>
                <w:color w:val="auto"/>
              </w:rPr>
            </w:pPr>
            <w:r>
              <w:rPr>
                <w:rFonts w:ascii="Calibri" w:cs="Calibri" w:eastAsia="Calibri" w:hAnsi="Calibri"/>
                <w:sz w:val="16"/>
                <w:szCs w:val="16"/>
                <w:b w:val="1"/>
                <w:bCs w:val="1"/>
                <w:color w:val="E9E8E3"/>
              </w:rPr>
              <w:t>Number of Shares of</w:t>
            </w:r>
          </w:p>
        </w:tc>
        <w:tc>
          <w:tcPr>
            <w:tcW w:w="180" w:type="dxa"/>
            <w:vAlign w:val="bottom"/>
            <w:shd w:val="clear" w:color="auto" w:fill="FB1717"/>
          </w:tcPr>
          <w:p>
            <w:pPr>
              <w:spacing w:after="0"/>
              <w:rPr>
                <w:sz w:val="13"/>
                <w:szCs w:val="13"/>
                <w:color w:val="auto"/>
              </w:rPr>
            </w:pPr>
          </w:p>
        </w:tc>
        <w:tc>
          <w:tcPr>
            <w:tcW w:w="860" w:type="dxa"/>
            <w:vAlign w:val="bottom"/>
            <w:shd w:val="clear" w:color="auto" w:fill="FB1717"/>
          </w:tcPr>
          <w:p>
            <w:pPr>
              <w:jc w:val="right"/>
              <w:spacing w:after="0" w:line="160" w:lineRule="exact"/>
              <w:rPr>
                <w:sz w:val="20"/>
                <w:szCs w:val="20"/>
                <w:color w:val="auto"/>
              </w:rPr>
            </w:pPr>
            <w:r>
              <w:rPr>
                <w:rFonts w:ascii="Calibri" w:cs="Calibri" w:eastAsia="Calibri" w:hAnsi="Calibri"/>
                <w:sz w:val="16"/>
                <w:szCs w:val="16"/>
                <w:b w:val="1"/>
                <w:bCs w:val="1"/>
                <w:color w:val="E9E8E3"/>
              </w:rPr>
              <w:t>Grant Date</w:t>
            </w:r>
          </w:p>
        </w:tc>
      </w:tr>
      <w:tr>
        <w:trPr>
          <w:trHeight w:val="206"/>
        </w:trPr>
        <w:tc>
          <w:tcPr>
            <w:tcW w:w="4300" w:type="dxa"/>
            <w:vAlign w:val="bottom"/>
            <w:tcBorders>
              <w:bottom w:val="single" w:sz="8" w:color="auto"/>
            </w:tcBorders>
            <w:shd w:val="clear" w:color="auto" w:fill="FB1717"/>
          </w:tcPr>
          <w:p>
            <w:pPr>
              <w:spacing w:after="0" w:line="164" w:lineRule="exact"/>
              <w:rPr>
                <w:sz w:val="20"/>
                <w:szCs w:val="20"/>
                <w:color w:val="auto"/>
              </w:rPr>
            </w:pPr>
            <w:r>
              <w:rPr>
                <w:rFonts w:ascii="Calibri" w:cs="Calibri" w:eastAsia="Calibri" w:hAnsi="Calibri"/>
                <w:sz w:val="16"/>
                <w:szCs w:val="16"/>
                <w:b w:val="1"/>
                <w:bCs w:val="1"/>
                <w:color w:val="E9E8E3"/>
              </w:rPr>
              <w:t>Name</w:t>
            </w:r>
          </w:p>
        </w:tc>
        <w:tc>
          <w:tcPr>
            <w:tcW w:w="1340" w:type="dxa"/>
            <w:vAlign w:val="bottom"/>
            <w:tcBorders>
              <w:bottom w:val="single" w:sz="8" w:color="auto"/>
            </w:tcBorders>
            <w:shd w:val="clear" w:color="auto" w:fill="FB1717"/>
          </w:tcPr>
          <w:p>
            <w:pPr>
              <w:jc w:val="right"/>
              <w:ind w:right="360"/>
              <w:spacing w:after="0" w:line="164" w:lineRule="exact"/>
              <w:rPr>
                <w:sz w:val="20"/>
                <w:szCs w:val="20"/>
                <w:color w:val="auto"/>
              </w:rPr>
            </w:pPr>
            <w:r>
              <w:rPr>
                <w:rFonts w:ascii="Calibri" w:cs="Calibri" w:eastAsia="Calibri" w:hAnsi="Calibri"/>
                <w:sz w:val="16"/>
                <w:szCs w:val="16"/>
                <w:b w:val="1"/>
                <w:bCs w:val="1"/>
                <w:color w:val="E9E8E3"/>
              </w:rPr>
              <w:t>Date</w:t>
            </w:r>
          </w:p>
        </w:tc>
        <w:tc>
          <w:tcPr>
            <w:tcW w:w="1800" w:type="dxa"/>
            <w:vAlign w:val="bottom"/>
            <w:tcBorders>
              <w:bottom w:val="single" w:sz="8" w:color="auto"/>
            </w:tcBorders>
            <w:shd w:val="clear" w:color="auto" w:fill="FB1717"/>
          </w:tcPr>
          <w:p>
            <w:pPr>
              <w:jc w:val="right"/>
              <w:spacing w:after="0" w:line="206" w:lineRule="exact"/>
              <w:rPr>
                <w:sz w:val="20"/>
                <w:szCs w:val="20"/>
                <w:color w:val="auto"/>
              </w:rPr>
            </w:pPr>
            <w:r>
              <w:rPr>
                <w:rFonts w:ascii="Calibri" w:cs="Calibri" w:eastAsia="Calibri" w:hAnsi="Calibri"/>
                <w:sz w:val="16"/>
                <w:szCs w:val="16"/>
                <w:b w:val="1"/>
                <w:bCs w:val="1"/>
                <w:color w:val="E9E8E3"/>
              </w:rPr>
              <w:t>Stock or Units</w:t>
            </w:r>
            <w:r>
              <w:rPr>
                <w:rFonts w:ascii="Calibri" w:cs="Calibri" w:eastAsia="Calibri" w:hAnsi="Calibri"/>
                <w:sz w:val="20"/>
                <w:szCs w:val="20"/>
                <w:b w:val="1"/>
                <w:bCs w:val="1"/>
                <w:color w:val="E9E8E3"/>
                <w:vertAlign w:val="superscript"/>
              </w:rPr>
              <w:t>(1)</w:t>
            </w:r>
          </w:p>
        </w:tc>
        <w:tc>
          <w:tcPr>
            <w:tcW w:w="180" w:type="dxa"/>
            <w:vAlign w:val="bottom"/>
            <w:tcBorders>
              <w:bottom w:val="single" w:sz="8" w:color="auto"/>
            </w:tcBorders>
            <w:shd w:val="clear" w:color="auto" w:fill="FB1717"/>
          </w:tcPr>
          <w:p>
            <w:pPr>
              <w:spacing w:after="0"/>
              <w:rPr>
                <w:sz w:val="17"/>
                <w:szCs w:val="17"/>
                <w:color w:val="auto"/>
              </w:rPr>
            </w:pPr>
          </w:p>
        </w:tc>
        <w:tc>
          <w:tcPr>
            <w:tcW w:w="860" w:type="dxa"/>
            <w:vAlign w:val="bottom"/>
            <w:tcBorders>
              <w:bottom w:val="single" w:sz="8" w:color="auto"/>
            </w:tcBorders>
            <w:shd w:val="clear" w:color="auto" w:fill="FB1717"/>
          </w:tcPr>
          <w:p>
            <w:pPr>
              <w:jc w:val="right"/>
              <w:spacing w:after="0" w:line="206" w:lineRule="exact"/>
              <w:rPr>
                <w:sz w:val="20"/>
                <w:szCs w:val="20"/>
                <w:color w:val="auto"/>
              </w:rPr>
            </w:pPr>
            <w:r>
              <w:rPr>
                <w:rFonts w:ascii="Calibri" w:cs="Calibri" w:eastAsia="Calibri" w:hAnsi="Calibri"/>
                <w:sz w:val="16"/>
                <w:szCs w:val="16"/>
                <w:b w:val="1"/>
                <w:bCs w:val="1"/>
                <w:color w:val="E9E8E3"/>
                <w:w w:val="98"/>
              </w:rPr>
              <w:t>Fair Value</w:t>
            </w:r>
            <w:r>
              <w:rPr>
                <w:rFonts w:ascii="Calibri" w:cs="Calibri" w:eastAsia="Calibri" w:hAnsi="Calibri"/>
                <w:sz w:val="20"/>
                <w:szCs w:val="20"/>
                <w:b w:val="1"/>
                <w:bCs w:val="1"/>
                <w:color w:val="E9E8E3"/>
                <w:w w:val="98"/>
                <w:vertAlign w:val="superscript"/>
              </w:rPr>
              <w:t>(2)</w:t>
            </w:r>
          </w:p>
        </w:tc>
      </w:tr>
      <w:tr>
        <w:trPr>
          <w:trHeight w:val="315"/>
        </w:trPr>
        <w:tc>
          <w:tcPr>
            <w:tcW w:w="4300" w:type="dxa"/>
            <w:vAlign w:val="bottom"/>
            <w:shd w:val="clear" w:color="auto" w:fill="D9D9D9"/>
          </w:tcPr>
          <w:p>
            <w:pPr>
              <w:spacing w:after="0"/>
              <w:rPr>
                <w:sz w:val="20"/>
                <w:szCs w:val="20"/>
                <w:color w:val="auto"/>
              </w:rPr>
            </w:pPr>
            <w:r>
              <w:rPr>
                <w:rFonts w:ascii="Calibri" w:cs="Calibri" w:eastAsia="Calibri" w:hAnsi="Calibri"/>
                <w:sz w:val="16"/>
                <w:szCs w:val="16"/>
                <w:color w:val="auto"/>
              </w:rPr>
              <w:t>Donald C. Wood</w:t>
            </w:r>
          </w:p>
        </w:tc>
        <w:tc>
          <w:tcPr>
            <w:tcW w:w="1340" w:type="dxa"/>
            <w:vAlign w:val="bottom"/>
          </w:tcPr>
          <w:p>
            <w:pPr>
              <w:jc w:val="right"/>
              <w:ind w:right="60"/>
              <w:spacing w:after="0"/>
              <w:rPr>
                <w:sz w:val="20"/>
                <w:szCs w:val="20"/>
                <w:color w:val="auto"/>
              </w:rPr>
            </w:pPr>
            <w:r>
              <w:rPr>
                <w:rFonts w:ascii="Calibri" w:cs="Calibri" w:eastAsia="Calibri" w:hAnsi="Calibri"/>
                <w:sz w:val="16"/>
                <w:szCs w:val="16"/>
                <w:color w:val="auto"/>
              </w:rPr>
              <w:t xml:space="preserve">2/9/2022 </w:t>
            </w:r>
            <w:r>
              <w:rPr>
                <w:rFonts w:ascii="Calibri" w:cs="Calibri" w:eastAsia="Calibri" w:hAnsi="Calibri"/>
                <w:sz w:val="20"/>
                <w:szCs w:val="20"/>
                <w:color w:val="auto"/>
                <w:vertAlign w:val="superscript"/>
              </w:rPr>
              <w:t>(3)</w:t>
            </w:r>
          </w:p>
        </w:tc>
        <w:tc>
          <w:tcPr>
            <w:tcW w:w="1800" w:type="dxa"/>
            <w:vAlign w:val="bottom"/>
          </w:tcPr>
          <w:p>
            <w:pPr>
              <w:jc w:val="right"/>
              <w:ind w:right="540"/>
              <w:spacing w:after="0"/>
              <w:rPr>
                <w:sz w:val="20"/>
                <w:szCs w:val="20"/>
                <w:color w:val="auto"/>
              </w:rPr>
            </w:pPr>
            <w:r>
              <w:rPr>
                <w:rFonts w:ascii="Calibri" w:cs="Calibri" w:eastAsia="Calibri" w:hAnsi="Calibri"/>
                <w:sz w:val="16"/>
                <w:szCs w:val="16"/>
                <w:color w:val="auto"/>
              </w:rPr>
              <w:t>4,225</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60" w:type="dxa"/>
            <w:vAlign w:val="bottom"/>
          </w:tcPr>
          <w:p>
            <w:pPr>
              <w:jc w:val="right"/>
              <w:ind w:right="80"/>
              <w:spacing w:after="0"/>
              <w:rPr>
                <w:sz w:val="20"/>
                <w:szCs w:val="20"/>
                <w:color w:val="auto"/>
              </w:rPr>
            </w:pPr>
            <w:r>
              <w:rPr>
                <w:rFonts w:ascii="Calibri" w:cs="Calibri" w:eastAsia="Calibri" w:hAnsi="Calibri"/>
                <w:sz w:val="16"/>
                <w:szCs w:val="16"/>
                <w:color w:val="auto"/>
              </w:rPr>
              <w:t>534,420</w:t>
            </w:r>
          </w:p>
        </w:tc>
      </w:tr>
      <w:tr>
        <w:trPr>
          <w:trHeight w:val="225"/>
        </w:trPr>
        <w:tc>
          <w:tcPr>
            <w:tcW w:w="4300" w:type="dxa"/>
            <w:vAlign w:val="bottom"/>
            <w:tcBorders>
              <w:bottom w:val="single" w:sz="8" w:color="auto"/>
            </w:tcBorders>
            <w:shd w:val="clear" w:color="auto" w:fill="D9D9D9"/>
          </w:tcPr>
          <w:p>
            <w:pPr>
              <w:spacing w:after="0"/>
              <w:rPr>
                <w:sz w:val="19"/>
                <w:szCs w:val="19"/>
                <w:color w:val="auto"/>
              </w:rPr>
            </w:pPr>
          </w:p>
        </w:tc>
        <w:tc>
          <w:tcPr>
            <w:tcW w:w="1340" w:type="dxa"/>
            <w:vAlign w:val="bottom"/>
            <w:tcBorders>
              <w:bottom w:val="single" w:sz="8" w:color="auto"/>
            </w:tcBorders>
          </w:tcPr>
          <w:p>
            <w:pPr>
              <w:jc w:val="right"/>
              <w:ind w:right="60"/>
              <w:spacing w:after="0" w:line="224" w:lineRule="exact"/>
              <w:rPr>
                <w:sz w:val="20"/>
                <w:szCs w:val="20"/>
                <w:color w:val="auto"/>
              </w:rPr>
            </w:pPr>
            <w:r>
              <w:rPr>
                <w:rFonts w:ascii="Calibri" w:cs="Calibri" w:eastAsia="Calibri" w:hAnsi="Calibri"/>
                <w:sz w:val="16"/>
                <w:szCs w:val="16"/>
                <w:color w:val="auto"/>
              </w:rPr>
              <w:t xml:space="preserve">2/9/2022 </w:t>
            </w:r>
            <w:r>
              <w:rPr>
                <w:rFonts w:ascii="Calibri" w:cs="Calibri" w:eastAsia="Calibri" w:hAnsi="Calibri"/>
                <w:sz w:val="20"/>
                <w:szCs w:val="20"/>
                <w:color w:val="auto"/>
                <w:vertAlign w:val="superscript"/>
              </w:rPr>
              <w:t>(4)</w:t>
            </w:r>
          </w:p>
        </w:tc>
        <w:tc>
          <w:tcPr>
            <w:tcW w:w="1800" w:type="dxa"/>
            <w:vAlign w:val="bottom"/>
            <w:tcBorders>
              <w:bottom w:val="single" w:sz="8" w:color="auto"/>
            </w:tcBorders>
          </w:tcPr>
          <w:p>
            <w:pPr>
              <w:jc w:val="right"/>
              <w:ind w:right="540"/>
              <w:spacing w:after="0"/>
              <w:rPr>
                <w:sz w:val="20"/>
                <w:szCs w:val="20"/>
                <w:color w:val="auto"/>
              </w:rPr>
            </w:pPr>
            <w:r>
              <w:rPr>
                <w:rFonts w:ascii="Calibri" w:cs="Calibri" w:eastAsia="Calibri" w:hAnsi="Calibri"/>
                <w:sz w:val="16"/>
                <w:szCs w:val="16"/>
                <w:color w:val="auto"/>
              </w:rPr>
              <w:t>46,960</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16"/>
                <w:szCs w:val="16"/>
                <w:color w:val="auto"/>
              </w:rPr>
              <w:t>5,939,970</w:t>
            </w:r>
          </w:p>
        </w:tc>
      </w:tr>
      <w:tr>
        <w:trPr>
          <w:trHeight w:val="315"/>
        </w:trPr>
        <w:tc>
          <w:tcPr>
            <w:tcW w:w="4300" w:type="dxa"/>
            <w:vAlign w:val="bottom"/>
            <w:shd w:val="clear" w:color="auto" w:fill="D9D9D9"/>
          </w:tcPr>
          <w:p>
            <w:pPr>
              <w:spacing w:after="0"/>
              <w:rPr>
                <w:sz w:val="20"/>
                <w:szCs w:val="20"/>
                <w:color w:val="auto"/>
              </w:rPr>
            </w:pPr>
            <w:r>
              <w:rPr>
                <w:rFonts w:ascii="Calibri" w:cs="Calibri" w:eastAsia="Calibri" w:hAnsi="Calibri"/>
                <w:sz w:val="16"/>
                <w:szCs w:val="16"/>
                <w:color w:val="auto"/>
              </w:rPr>
              <w:t>Jeffrey S. Berkes</w:t>
            </w:r>
          </w:p>
        </w:tc>
        <w:tc>
          <w:tcPr>
            <w:tcW w:w="1340" w:type="dxa"/>
            <w:vAlign w:val="bottom"/>
          </w:tcPr>
          <w:p>
            <w:pPr>
              <w:jc w:val="right"/>
              <w:ind w:right="60"/>
              <w:spacing w:after="0"/>
              <w:rPr>
                <w:sz w:val="20"/>
                <w:szCs w:val="20"/>
                <w:color w:val="auto"/>
              </w:rPr>
            </w:pPr>
            <w:r>
              <w:rPr>
                <w:rFonts w:ascii="Calibri" w:cs="Calibri" w:eastAsia="Calibri" w:hAnsi="Calibri"/>
                <w:sz w:val="16"/>
                <w:szCs w:val="16"/>
                <w:color w:val="auto"/>
              </w:rPr>
              <w:t xml:space="preserve">2/9/2022 </w:t>
            </w:r>
            <w:r>
              <w:rPr>
                <w:rFonts w:ascii="Calibri" w:cs="Calibri" w:eastAsia="Calibri" w:hAnsi="Calibri"/>
                <w:sz w:val="20"/>
                <w:szCs w:val="20"/>
                <w:color w:val="auto"/>
                <w:vertAlign w:val="superscript"/>
              </w:rPr>
              <w:t>(3)</w:t>
            </w:r>
          </w:p>
        </w:tc>
        <w:tc>
          <w:tcPr>
            <w:tcW w:w="1800" w:type="dxa"/>
            <w:vAlign w:val="bottom"/>
          </w:tcPr>
          <w:p>
            <w:pPr>
              <w:jc w:val="right"/>
              <w:ind w:right="540"/>
              <w:spacing w:after="0"/>
              <w:rPr>
                <w:sz w:val="20"/>
                <w:szCs w:val="20"/>
                <w:color w:val="auto"/>
              </w:rPr>
            </w:pPr>
            <w:r>
              <w:rPr>
                <w:rFonts w:ascii="Calibri" w:cs="Calibri" w:eastAsia="Calibri" w:hAnsi="Calibri"/>
                <w:sz w:val="16"/>
                <w:szCs w:val="16"/>
                <w:color w:val="auto"/>
              </w:rPr>
              <w:t>1,705</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60" w:type="dxa"/>
            <w:vAlign w:val="bottom"/>
          </w:tcPr>
          <w:p>
            <w:pPr>
              <w:jc w:val="right"/>
              <w:ind w:right="80"/>
              <w:spacing w:after="0"/>
              <w:rPr>
                <w:sz w:val="20"/>
                <w:szCs w:val="20"/>
                <w:color w:val="auto"/>
              </w:rPr>
            </w:pPr>
            <w:r>
              <w:rPr>
                <w:rFonts w:ascii="Calibri" w:cs="Calibri" w:eastAsia="Calibri" w:hAnsi="Calibri"/>
                <w:sz w:val="16"/>
                <w:szCs w:val="16"/>
                <w:color w:val="auto"/>
              </w:rPr>
              <w:t>215,665</w:t>
            </w:r>
          </w:p>
        </w:tc>
      </w:tr>
      <w:tr>
        <w:trPr>
          <w:trHeight w:val="225"/>
        </w:trPr>
        <w:tc>
          <w:tcPr>
            <w:tcW w:w="4300" w:type="dxa"/>
            <w:vAlign w:val="bottom"/>
            <w:tcBorders>
              <w:bottom w:val="single" w:sz="8" w:color="auto"/>
            </w:tcBorders>
            <w:shd w:val="clear" w:color="auto" w:fill="D9D9D9"/>
          </w:tcPr>
          <w:p>
            <w:pPr>
              <w:spacing w:after="0"/>
              <w:rPr>
                <w:sz w:val="19"/>
                <w:szCs w:val="19"/>
                <w:color w:val="auto"/>
              </w:rPr>
            </w:pPr>
          </w:p>
        </w:tc>
        <w:tc>
          <w:tcPr>
            <w:tcW w:w="1340" w:type="dxa"/>
            <w:vAlign w:val="bottom"/>
            <w:tcBorders>
              <w:bottom w:val="single" w:sz="8" w:color="auto"/>
            </w:tcBorders>
          </w:tcPr>
          <w:p>
            <w:pPr>
              <w:jc w:val="right"/>
              <w:ind w:right="60"/>
              <w:spacing w:after="0" w:line="224" w:lineRule="exact"/>
              <w:rPr>
                <w:sz w:val="20"/>
                <w:szCs w:val="20"/>
                <w:color w:val="auto"/>
              </w:rPr>
            </w:pPr>
            <w:r>
              <w:rPr>
                <w:rFonts w:ascii="Calibri" w:cs="Calibri" w:eastAsia="Calibri" w:hAnsi="Calibri"/>
                <w:sz w:val="16"/>
                <w:szCs w:val="16"/>
                <w:color w:val="auto"/>
              </w:rPr>
              <w:t xml:space="preserve">2/9/2022 </w:t>
            </w:r>
            <w:r>
              <w:rPr>
                <w:rFonts w:ascii="Calibri" w:cs="Calibri" w:eastAsia="Calibri" w:hAnsi="Calibri"/>
                <w:sz w:val="20"/>
                <w:szCs w:val="20"/>
                <w:color w:val="auto"/>
                <w:vertAlign w:val="superscript"/>
              </w:rPr>
              <w:t>(4)</w:t>
            </w:r>
          </w:p>
        </w:tc>
        <w:tc>
          <w:tcPr>
            <w:tcW w:w="1800" w:type="dxa"/>
            <w:vAlign w:val="bottom"/>
            <w:tcBorders>
              <w:bottom w:val="single" w:sz="8" w:color="auto"/>
            </w:tcBorders>
          </w:tcPr>
          <w:p>
            <w:pPr>
              <w:jc w:val="right"/>
              <w:ind w:right="540"/>
              <w:spacing w:after="0"/>
              <w:rPr>
                <w:sz w:val="20"/>
                <w:szCs w:val="20"/>
                <w:color w:val="auto"/>
              </w:rPr>
            </w:pPr>
            <w:r>
              <w:rPr>
                <w:rFonts w:ascii="Calibri" w:cs="Calibri" w:eastAsia="Calibri" w:hAnsi="Calibri"/>
                <w:sz w:val="16"/>
                <w:szCs w:val="16"/>
                <w:color w:val="auto"/>
              </w:rPr>
              <w:t>7,827</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16"/>
                <w:szCs w:val="16"/>
                <w:color w:val="auto"/>
              </w:rPr>
              <w:t>990,037</w:t>
            </w:r>
          </w:p>
        </w:tc>
      </w:tr>
      <w:tr>
        <w:trPr>
          <w:trHeight w:val="260"/>
        </w:trPr>
        <w:tc>
          <w:tcPr>
            <w:tcW w:w="4300" w:type="dxa"/>
            <w:vAlign w:val="bottom"/>
            <w:tcBorders>
              <w:bottom w:val="single" w:sz="8" w:color="auto"/>
            </w:tcBorders>
            <w:shd w:val="clear" w:color="auto" w:fill="D9D9D9"/>
          </w:tcPr>
          <w:p>
            <w:pPr>
              <w:spacing w:after="0"/>
              <w:rPr>
                <w:sz w:val="20"/>
                <w:szCs w:val="20"/>
                <w:color w:val="auto"/>
              </w:rPr>
            </w:pPr>
            <w:r>
              <w:rPr>
                <w:rFonts w:ascii="Calibri" w:cs="Calibri" w:eastAsia="Calibri" w:hAnsi="Calibri"/>
                <w:sz w:val="16"/>
                <w:szCs w:val="16"/>
                <w:color w:val="auto"/>
              </w:rPr>
              <w:t>Daniel Guglielmone</w:t>
            </w:r>
          </w:p>
        </w:tc>
        <w:tc>
          <w:tcPr>
            <w:tcW w:w="1340" w:type="dxa"/>
            <w:vAlign w:val="bottom"/>
            <w:tcBorders>
              <w:bottom w:val="single" w:sz="8" w:color="auto"/>
            </w:tcBorders>
          </w:tcPr>
          <w:p>
            <w:pPr>
              <w:jc w:val="right"/>
              <w:ind w:right="60"/>
              <w:spacing w:after="0"/>
              <w:rPr>
                <w:sz w:val="20"/>
                <w:szCs w:val="20"/>
                <w:color w:val="auto"/>
              </w:rPr>
            </w:pPr>
            <w:r>
              <w:rPr>
                <w:rFonts w:ascii="Calibri" w:cs="Calibri" w:eastAsia="Calibri" w:hAnsi="Calibri"/>
                <w:sz w:val="16"/>
                <w:szCs w:val="16"/>
                <w:color w:val="auto"/>
              </w:rPr>
              <w:t xml:space="preserve">2/9/2022 </w:t>
            </w:r>
            <w:r>
              <w:rPr>
                <w:rFonts w:ascii="Calibri" w:cs="Calibri" w:eastAsia="Calibri" w:hAnsi="Calibri"/>
                <w:sz w:val="20"/>
                <w:szCs w:val="20"/>
                <w:color w:val="auto"/>
                <w:vertAlign w:val="superscript"/>
              </w:rPr>
              <w:t>(4)</w:t>
            </w:r>
          </w:p>
        </w:tc>
        <w:tc>
          <w:tcPr>
            <w:tcW w:w="1800" w:type="dxa"/>
            <w:vAlign w:val="bottom"/>
            <w:tcBorders>
              <w:bottom w:val="single" w:sz="8" w:color="auto"/>
            </w:tcBorders>
          </w:tcPr>
          <w:p>
            <w:pPr>
              <w:jc w:val="right"/>
              <w:ind w:right="540"/>
              <w:spacing w:after="0"/>
              <w:rPr>
                <w:sz w:val="20"/>
                <w:szCs w:val="20"/>
                <w:color w:val="auto"/>
              </w:rPr>
            </w:pPr>
            <w:r>
              <w:rPr>
                <w:rFonts w:ascii="Calibri" w:cs="Calibri" w:eastAsia="Calibri" w:hAnsi="Calibri"/>
                <w:sz w:val="16"/>
                <w:szCs w:val="16"/>
                <w:color w:val="auto"/>
              </w:rPr>
              <w:t>7,044</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16"/>
                <w:szCs w:val="16"/>
                <w:color w:val="auto"/>
              </w:rPr>
              <w:t>890,996</w:t>
            </w:r>
          </w:p>
        </w:tc>
      </w:tr>
      <w:tr>
        <w:trPr>
          <w:trHeight w:val="315"/>
        </w:trPr>
        <w:tc>
          <w:tcPr>
            <w:tcW w:w="4300" w:type="dxa"/>
            <w:vAlign w:val="bottom"/>
            <w:shd w:val="clear" w:color="auto" w:fill="D9D9D9"/>
          </w:tcPr>
          <w:p>
            <w:pPr>
              <w:spacing w:after="0"/>
              <w:rPr>
                <w:sz w:val="20"/>
                <w:szCs w:val="20"/>
                <w:color w:val="auto"/>
              </w:rPr>
            </w:pPr>
            <w:r>
              <w:rPr>
                <w:rFonts w:ascii="Calibri" w:cs="Calibri" w:eastAsia="Calibri" w:hAnsi="Calibri"/>
                <w:sz w:val="16"/>
                <w:szCs w:val="16"/>
                <w:color w:val="auto"/>
              </w:rPr>
              <w:t>Dawn M. Becker</w:t>
            </w:r>
          </w:p>
        </w:tc>
        <w:tc>
          <w:tcPr>
            <w:tcW w:w="1340" w:type="dxa"/>
            <w:vAlign w:val="bottom"/>
          </w:tcPr>
          <w:p>
            <w:pPr>
              <w:jc w:val="right"/>
              <w:ind w:right="60"/>
              <w:spacing w:after="0"/>
              <w:rPr>
                <w:sz w:val="20"/>
                <w:szCs w:val="20"/>
                <w:color w:val="auto"/>
              </w:rPr>
            </w:pPr>
            <w:r>
              <w:rPr>
                <w:rFonts w:ascii="Calibri" w:cs="Calibri" w:eastAsia="Calibri" w:hAnsi="Calibri"/>
                <w:sz w:val="16"/>
                <w:szCs w:val="16"/>
                <w:color w:val="auto"/>
              </w:rPr>
              <w:t xml:space="preserve">2/9/2022 </w:t>
            </w:r>
            <w:r>
              <w:rPr>
                <w:rFonts w:ascii="Calibri" w:cs="Calibri" w:eastAsia="Calibri" w:hAnsi="Calibri"/>
                <w:sz w:val="20"/>
                <w:szCs w:val="20"/>
                <w:color w:val="auto"/>
                <w:vertAlign w:val="superscript"/>
              </w:rPr>
              <w:t>(3)</w:t>
            </w:r>
          </w:p>
        </w:tc>
        <w:tc>
          <w:tcPr>
            <w:tcW w:w="1800" w:type="dxa"/>
            <w:vAlign w:val="bottom"/>
          </w:tcPr>
          <w:p>
            <w:pPr>
              <w:jc w:val="right"/>
              <w:ind w:right="540"/>
              <w:spacing w:after="0"/>
              <w:rPr>
                <w:sz w:val="20"/>
                <w:szCs w:val="20"/>
                <w:color w:val="auto"/>
              </w:rPr>
            </w:pPr>
            <w:r>
              <w:rPr>
                <w:rFonts w:ascii="Calibri" w:cs="Calibri" w:eastAsia="Calibri" w:hAnsi="Calibri"/>
                <w:sz w:val="16"/>
                <w:szCs w:val="16"/>
                <w:color w:val="auto"/>
              </w:rPr>
              <w:t>1,056</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60" w:type="dxa"/>
            <w:vAlign w:val="bottom"/>
          </w:tcPr>
          <w:p>
            <w:pPr>
              <w:jc w:val="right"/>
              <w:ind w:right="80"/>
              <w:spacing w:after="0"/>
              <w:rPr>
                <w:sz w:val="20"/>
                <w:szCs w:val="20"/>
                <w:color w:val="auto"/>
              </w:rPr>
            </w:pPr>
            <w:r>
              <w:rPr>
                <w:rFonts w:ascii="Calibri" w:cs="Calibri" w:eastAsia="Calibri" w:hAnsi="Calibri"/>
                <w:sz w:val="16"/>
                <w:szCs w:val="16"/>
                <w:color w:val="auto"/>
              </w:rPr>
              <w:t>133,573</w:t>
            </w:r>
          </w:p>
        </w:tc>
      </w:tr>
      <w:tr>
        <w:trPr>
          <w:trHeight w:val="225"/>
        </w:trPr>
        <w:tc>
          <w:tcPr>
            <w:tcW w:w="4300" w:type="dxa"/>
            <w:vAlign w:val="bottom"/>
            <w:tcBorders>
              <w:bottom w:val="single" w:sz="8" w:color="auto"/>
            </w:tcBorders>
            <w:shd w:val="clear" w:color="auto" w:fill="D9D9D9"/>
          </w:tcPr>
          <w:p>
            <w:pPr>
              <w:spacing w:after="0"/>
              <w:rPr>
                <w:sz w:val="19"/>
                <w:szCs w:val="19"/>
                <w:color w:val="auto"/>
              </w:rPr>
            </w:pPr>
          </w:p>
        </w:tc>
        <w:tc>
          <w:tcPr>
            <w:tcW w:w="1340" w:type="dxa"/>
            <w:vAlign w:val="bottom"/>
            <w:tcBorders>
              <w:bottom w:val="single" w:sz="8" w:color="auto"/>
            </w:tcBorders>
          </w:tcPr>
          <w:p>
            <w:pPr>
              <w:jc w:val="right"/>
              <w:ind w:right="60"/>
              <w:spacing w:after="0" w:line="224" w:lineRule="exact"/>
              <w:rPr>
                <w:sz w:val="20"/>
                <w:szCs w:val="20"/>
                <w:color w:val="auto"/>
              </w:rPr>
            </w:pPr>
            <w:r>
              <w:rPr>
                <w:rFonts w:ascii="Calibri" w:cs="Calibri" w:eastAsia="Calibri" w:hAnsi="Calibri"/>
                <w:sz w:val="16"/>
                <w:szCs w:val="16"/>
                <w:color w:val="auto"/>
              </w:rPr>
              <w:t xml:space="preserve">2/9/2022 </w:t>
            </w:r>
            <w:r>
              <w:rPr>
                <w:rFonts w:ascii="Calibri" w:cs="Calibri" w:eastAsia="Calibri" w:hAnsi="Calibri"/>
                <w:sz w:val="20"/>
                <w:szCs w:val="20"/>
                <w:color w:val="auto"/>
                <w:vertAlign w:val="superscript"/>
              </w:rPr>
              <w:t>(4)</w:t>
            </w:r>
          </w:p>
        </w:tc>
        <w:tc>
          <w:tcPr>
            <w:tcW w:w="1800" w:type="dxa"/>
            <w:vAlign w:val="bottom"/>
            <w:tcBorders>
              <w:bottom w:val="single" w:sz="8" w:color="auto"/>
            </w:tcBorders>
          </w:tcPr>
          <w:p>
            <w:pPr>
              <w:jc w:val="right"/>
              <w:ind w:right="540"/>
              <w:spacing w:after="0"/>
              <w:rPr>
                <w:sz w:val="20"/>
                <w:szCs w:val="20"/>
                <w:color w:val="auto"/>
              </w:rPr>
            </w:pPr>
            <w:r>
              <w:rPr>
                <w:rFonts w:ascii="Calibri" w:cs="Calibri" w:eastAsia="Calibri" w:hAnsi="Calibri"/>
                <w:sz w:val="16"/>
                <w:szCs w:val="16"/>
                <w:color w:val="auto"/>
              </w:rPr>
              <w:t>4,696</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16"/>
                <w:szCs w:val="16"/>
                <w:color w:val="auto"/>
              </w:rPr>
              <w:t>593,997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09600"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48pt,7.75pt" o:allowincell="f" strokecolor="#000000" strokeweight="0.5pt"/>
            </w:pict>
          </mc:Fallback>
        </mc:AlternateContent>
      </w:r>
    </w:p>
    <w:p>
      <w:pPr>
        <w:spacing w:after="0" w:line="195" w:lineRule="exact"/>
        <w:rPr>
          <w:sz w:val="20"/>
          <w:szCs w:val="20"/>
          <w:color w:val="auto"/>
        </w:rPr>
      </w:pPr>
    </w:p>
    <w:p>
      <w:pPr>
        <w:ind w:left="360" w:hanging="360"/>
        <w:spacing w:after="0" w:line="214" w:lineRule="auto"/>
        <w:tabs>
          <w:tab w:leader="none" w:pos="36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Dividends are paid on these shares issued at the same rate and time as paid to all other holders of our shares as declared by our Board from time to time.</w:t>
      </w:r>
    </w:p>
    <w:p>
      <w:pPr>
        <w:ind w:left="360" w:hanging="360"/>
        <w:spacing w:after="0" w:line="199" w:lineRule="auto"/>
        <w:tabs>
          <w:tab w:leader="none" w:pos="36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Represents the grant date fair value of share awards as computed in accordance with FASB ASC Topic 718.</w:t>
      </w:r>
    </w:p>
    <w:p>
      <w:pPr>
        <w:spacing w:after="0" w:line="55" w:lineRule="exact"/>
        <w:rPr>
          <w:rFonts w:ascii="Arial" w:cs="Arial" w:eastAsia="Arial" w:hAnsi="Arial"/>
          <w:sz w:val="23"/>
          <w:szCs w:val="23"/>
          <w:color w:val="auto"/>
          <w:vertAlign w:val="superscript"/>
        </w:rPr>
      </w:pPr>
    </w:p>
    <w:p>
      <w:pPr>
        <w:ind w:left="360" w:hanging="360"/>
        <w:spacing w:after="0" w:line="196" w:lineRule="auto"/>
        <w:tabs>
          <w:tab w:leader="none" w:pos="36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Issued under our annual bonus plan for the 1-year performance period ending December 31, 2021. These shares vest equally over 3 years.</w:t>
      </w:r>
    </w:p>
    <w:p>
      <w:pPr>
        <w:spacing w:after="0" w:line="18" w:lineRule="exact"/>
        <w:rPr>
          <w:rFonts w:ascii="Arial" w:cs="Arial" w:eastAsia="Arial" w:hAnsi="Arial"/>
          <w:sz w:val="23"/>
          <w:szCs w:val="23"/>
          <w:color w:val="auto"/>
          <w:vertAlign w:val="superscript"/>
        </w:rPr>
      </w:pPr>
    </w:p>
    <w:p>
      <w:pPr>
        <w:ind w:left="360" w:hanging="360"/>
        <w:spacing w:after="0" w:line="214" w:lineRule="auto"/>
        <w:tabs>
          <w:tab w:leader="none" w:pos="36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Issued under our long-term incentive program for the 3-year performance period ending December 31, 2021. These shares vest equally over 3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4651375</wp:posOffset>
                </wp:positionV>
                <wp:extent cx="6400800" cy="17780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23" o:spid="_x0000_s1548" style="position:absolute;margin-left:0pt;margin-top:366.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4650740</wp:posOffset>
                </wp:positionV>
                <wp:extent cx="0" cy="17780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366.2pt" to="0.75pt,380.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4660265</wp:posOffset>
                </wp:positionV>
                <wp:extent cx="6400800"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6.95pt" to="504pt,366.9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4650740</wp:posOffset>
                </wp:positionV>
                <wp:extent cx="0" cy="17780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366.2pt" to="503.25pt,380.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4819015</wp:posOffset>
                </wp:positionV>
                <wp:extent cx="6400800"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9.45pt" to="504pt,379.45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32</w:t>
      </w:r>
    </w:p>
    <w:p>
      <w:pPr>
        <w:sectPr>
          <w:pgSz w:w="11880" w:h="15480" w:orient="portrait"/>
          <w:cols w:equalWidth="0" w:num="1">
            <w:col w:w="10080"/>
          </w:cols>
          <w:pgMar w:left="900" w:top="1272" w:right="900" w:bottom="764" w:gutter="0" w:footer="0" w:header="0"/>
          <w:type w:val="continuous"/>
        </w:sectPr>
      </w:pPr>
    </w:p>
    <w:bookmarkStart w:id="152" w:name="page153"/>
    <w:bookmarkEnd w:id="152"/>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OUTSTANDING EQUITY AWARDS AT FISCAL YEAR END TABLE</w:t>
      </w:r>
    </w:p>
    <w:p>
      <w:pPr>
        <w:spacing w:after="0" w:line="25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following table sets forth information about outstanding equity awards held by our NEOs as of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0" w:type="dxa"/>
            <w:vAlign w:val="bottom"/>
            <w:shd w:val="clear" w:color="auto" w:fill="FB1717"/>
          </w:tcPr>
          <w:p>
            <w:pPr>
              <w:spacing w:after="0"/>
              <w:rPr>
                <w:sz w:val="24"/>
                <w:szCs w:val="24"/>
                <w:color w:val="auto"/>
              </w:rPr>
            </w:pPr>
          </w:p>
        </w:tc>
        <w:tc>
          <w:tcPr>
            <w:tcW w:w="1940" w:type="dxa"/>
            <w:vAlign w:val="bottom"/>
            <w:shd w:val="clear" w:color="auto" w:fill="FB1717"/>
          </w:tcPr>
          <w:p>
            <w:pPr>
              <w:spacing w:after="0"/>
              <w:rPr>
                <w:sz w:val="24"/>
                <w:szCs w:val="24"/>
                <w:color w:val="auto"/>
              </w:rPr>
            </w:pPr>
          </w:p>
        </w:tc>
        <w:tc>
          <w:tcPr>
            <w:tcW w:w="1220" w:type="dxa"/>
            <w:vAlign w:val="bottom"/>
            <w:shd w:val="clear" w:color="auto" w:fill="FB1717"/>
          </w:tcPr>
          <w:p>
            <w:pPr>
              <w:spacing w:after="0"/>
              <w:rPr>
                <w:sz w:val="24"/>
                <w:szCs w:val="24"/>
                <w:color w:val="auto"/>
              </w:rPr>
            </w:pPr>
          </w:p>
        </w:tc>
        <w:tc>
          <w:tcPr>
            <w:tcW w:w="200" w:type="dxa"/>
            <w:vAlign w:val="bottom"/>
            <w:shd w:val="clear" w:color="auto" w:fill="FB1717"/>
          </w:tcPr>
          <w:p>
            <w:pPr>
              <w:spacing w:after="0"/>
              <w:rPr>
                <w:sz w:val="24"/>
                <w:szCs w:val="24"/>
                <w:color w:val="auto"/>
              </w:rPr>
            </w:pPr>
          </w:p>
        </w:tc>
        <w:tc>
          <w:tcPr>
            <w:tcW w:w="180" w:type="dxa"/>
            <w:vAlign w:val="bottom"/>
            <w:shd w:val="clear" w:color="auto" w:fill="FB1717"/>
          </w:tcPr>
          <w:p>
            <w:pPr>
              <w:spacing w:after="0"/>
              <w:rPr>
                <w:sz w:val="24"/>
                <w:szCs w:val="24"/>
                <w:color w:val="auto"/>
              </w:rPr>
            </w:pPr>
          </w:p>
        </w:tc>
        <w:tc>
          <w:tcPr>
            <w:tcW w:w="1700" w:type="dxa"/>
            <w:vAlign w:val="bottom"/>
            <w:shd w:val="clear" w:color="auto" w:fill="FB1717"/>
          </w:tcPr>
          <w:p>
            <w:pPr>
              <w:jc w:val="right"/>
              <w:ind w:right="680"/>
              <w:spacing w:after="0"/>
              <w:rPr>
                <w:sz w:val="20"/>
                <w:szCs w:val="20"/>
                <w:color w:val="auto"/>
              </w:rPr>
            </w:pPr>
            <w:r>
              <w:rPr>
                <w:rFonts w:ascii="Calibri" w:cs="Calibri" w:eastAsia="Calibri" w:hAnsi="Calibri"/>
                <w:sz w:val="16"/>
                <w:szCs w:val="16"/>
                <w:b w:val="1"/>
                <w:bCs w:val="1"/>
                <w:color w:val="E9E8E3"/>
              </w:rPr>
              <w:t>Stock Awards</w:t>
            </w:r>
          </w:p>
        </w:tc>
        <w:tc>
          <w:tcPr>
            <w:tcW w:w="2040" w:type="dxa"/>
            <w:vAlign w:val="bottom"/>
            <w:shd w:val="clear" w:color="auto" w:fill="FB1717"/>
          </w:tcPr>
          <w:p>
            <w:pPr>
              <w:spacing w:after="0"/>
              <w:rPr>
                <w:sz w:val="24"/>
                <w:szCs w:val="24"/>
                <w:color w:val="auto"/>
              </w:rPr>
            </w:pPr>
          </w:p>
        </w:tc>
        <w:tc>
          <w:tcPr>
            <w:tcW w:w="160" w:type="dxa"/>
            <w:vAlign w:val="bottom"/>
            <w:shd w:val="clear" w:color="auto" w:fill="FB1717"/>
          </w:tcPr>
          <w:p>
            <w:pPr>
              <w:spacing w:after="0"/>
              <w:rPr>
                <w:sz w:val="24"/>
                <w:szCs w:val="24"/>
                <w:color w:val="auto"/>
              </w:rPr>
            </w:pPr>
          </w:p>
        </w:tc>
        <w:tc>
          <w:tcPr>
            <w:tcW w:w="1680" w:type="dxa"/>
            <w:vAlign w:val="bottom"/>
            <w:shd w:val="clear" w:color="auto" w:fill="FB1717"/>
          </w:tcPr>
          <w:p>
            <w:pPr>
              <w:spacing w:after="0"/>
              <w:rPr>
                <w:sz w:val="24"/>
                <w:szCs w:val="24"/>
                <w:color w:val="auto"/>
              </w:rPr>
            </w:pPr>
          </w:p>
        </w:tc>
      </w:tr>
      <w:tr>
        <w:trPr>
          <w:trHeight w:val="340"/>
        </w:trPr>
        <w:tc>
          <w:tcPr>
            <w:tcW w:w="960" w:type="dxa"/>
            <w:vAlign w:val="bottom"/>
            <w:shd w:val="clear" w:color="auto" w:fill="FB1717"/>
          </w:tcPr>
          <w:p>
            <w:pPr>
              <w:spacing w:after="0"/>
              <w:rPr>
                <w:sz w:val="24"/>
                <w:szCs w:val="24"/>
                <w:color w:val="auto"/>
              </w:rPr>
            </w:pPr>
          </w:p>
        </w:tc>
        <w:tc>
          <w:tcPr>
            <w:tcW w:w="1940" w:type="dxa"/>
            <w:vAlign w:val="bottom"/>
            <w:shd w:val="clear" w:color="auto" w:fill="FB1717"/>
          </w:tcPr>
          <w:p>
            <w:pPr>
              <w:spacing w:after="0"/>
              <w:rPr>
                <w:sz w:val="24"/>
                <w:szCs w:val="24"/>
                <w:color w:val="auto"/>
              </w:rPr>
            </w:pPr>
          </w:p>
        </w:tc>
        <w:tc>
          <w:tcPr>
            <w:tcW w:w="1220" w:type="dxa"/>
            <w:vAlign w:val="bottom"/>
            <w:shd w:val="clear" w:color="auto" w:fill="FB1717"/>
          </w:tcPr>
          <w:p>
            <w:pPr>
              <w:spacing w:after="0"/>
              <w:rPr>
                <w:sz w:val="24"/>
                <w:szCs w:val="24"/>
                <w:color w:val="auto"/>
              </w:rPr>
            </w:pPr>
          </w:p>
        </w:tc>
        <w:tc>
          <w:tcPr>
            <w:tcW w:w="200" w:type="dxa"/>
            <w:vAlign w:val="bottom"/>
            <w:shd w:val="clear" w:color="auto" w:fill="FB1717"/>
          </w:tcPr>
          <w:p>
            <w:pPr>
              <w:spacing w:after="0"/>
              <w:rPr>
                <w:sz w:val="24"/>
                <w:szCs w:val="24"/>
                <w:color w:val="auto"/>
              </w:rPr>
            </w:pPr>
          </w:p>
        </w:tc>
        <w:tc>
          <w:tcPr>
            <w:tcW w:w="180" w:type="dxa"/>
            <w:vAlign w:val="bottom"/>
            <w:shd w:val="clear" w:color="auto" w:fill="FB1717"/>
          </w:tcPr>
          <w:p>
            <w:pPr>
              <w:spacing w:after="0"/>
              <w:rPr>
                <w:sz w:val="24"/>
                <w:szCs w:val="24"/>
                <w:color w:val="auto"/>
              </w:rPr>
            </w:pPr>
          </w:p>
        </w:tc>
        <w:tc>
          <w:tcPr>
            <w:tcW w:w="1700" w:type="dxa"/>
            <w:vAlign w:val="bottom"/>
            <w:shd w:val="clear" w:color="auto" w:fill="FB1717"/>
          </w:tcPr>
          <w:p>
            <w:pPr>
              <w:spacing w:after="0"/>
              <w:rPr>
                <w:sz w:val="24"/>
                <w:szCs w:val="24"/>
                <w:color w:val="auto"/>
              </w:rPr>
            </w:pPr>
          </w:p>
        </w:tc>
        <w:tc>
          <w:tcPr>
            <w:tcW w:w="2040" w:type="dxa"/>
            <w:vAlign w:val="bottom"/>
            <w:shd w:val="clear" w:color="auto" w:fill="FB1717"/>
          </w:tcPr>
          <w:p>
            <w:pPr>
              <w:spacing w:after="0"/>
              <w:rPr>
                <w:sz w:val="24"/>
                <w:szCs w:val="24"/>
                <w:color w:val="auto"/>
              </w:rPr>
            </w:pPr>
          </w:p>
        </w:tc>
        <w:tc>
          <w:tcPr>
            <w:tcW w:w="160" w:type="dxa"/>
            <w:vAlign w:val="bottom"/>
            <w:shd w:val="clear" w:color="auto" w:fill="FB1717"/>
          </w:tcPr>
          <w:p>
            <w:pPr>
              <w:spacing w:after="0"/>
              <w:rPr>
                <w:sz w:val="24"/>
                <w:szCs w:val="24"/>
                <w:color w:val="auto"/>
              </w:rPr>
            </w:pPr>
          </w:p>
        </w:tc>
        <w:tc>
          <w:tcPr>
            <w:tcW w:w="1680" w:type="dxa"/>
            <w:vAlign w:val="bottom"/>
            <w:shd w:val="clear" w:color="auto" w:fill="FB1717"/>
          </w:tcPr>
          <w:p>
            <w:pPr>
              <w:jc w:val="center"/>
              <w:ind w:right="120"/>
              <w:spacing w:after="0"/>
              <w:rPr>
                <w:sz w:val="20"/>
                <w:szCs w:val="20"/>
                <w:color w:val="auto"/>
              </w:rPr>
            </w:pPr>
            <w:r>
              <w:rPr>
                <w:rFonts w:ascii="Calibri" w:cs="Calibri" w:eastAsia="Calibri" w:hAnsi="Calibri"/>
                <w:sz w:val="16"/>
                <w:szCs w:val="16"/>
                <w:b w:val="1"/>
                <w:bCs w:val="1"/>
                <w:color w:val="E9E8E3"/>
              </w:rPr>
              <w:t>Equity incentive plan</w:t>
            </w:r>
          </w:p>
        </w:tc>
      </w:tr>
      <w:tr>
        <w:trPr>
          <w:trHeight w:val="200"/>
        </w:trPr>
        <w:tc>
          <w:tcPr>
            <w:tcW w:w="960" w:type="dxa"/>
            <w:vAlign w:val="bottom"/>
            <w:shd w:val="clear" w:color="auto" w:fill="FB1717"/>
          </w:tcPr>
          <w:p>
            <w:pPr>
              <w:spacing w:after="0"/>
              <w:rPr>
                <w:sz w:val="17"/>
                <w:szCs w:val="17"/>
                <w:color w:val="auto"/>
              </w:rPr>
            </w:pPr>
          </w:p>
        </w:tc>
        <w:tc>
          <w:tcPr>
            <w:tcW w:w="1940" w:type="dxa"/>
            <w:vAlign w:val="bottom"/>
            <w:shd w:val="clear" w:color="auto" w:fill="FB1717"/>
          </w:tcPr>
          <w:p>
            <w:pPr>
              <w:spacing w:after="0"/>
              <w:rPr>
                <w:sz w:val="17"/>
                <w:szCs w:val="17"/>
                <w:color w:val="auto"/>
              </w:rPr>
            </w:pPr>
          </w:p>
        </w:tc>
        <w:tc>
          <w:tcPr>
            <w:tcW w:w="1220" w:type="dxa"/>
            <w:vAlign w:val="bottom"/>
            <w:shd w:val="clear" w:color="auto" w:fill="FB1717"/>
          </w:tcPr>
          <w:p>
            <w:pPr>
              <w:spacing w:after="0"/>
              <w:rPr>
                <w:sz w:val="17"/>
                <w:szCs w:val="17"/>
                <w:color w:val="auto"/>
              </w:rPr>
            </w:pPr>
          </w:p>
        </w:tc>
        <w:tc>
          <w:tcPr>
            <w:tcW w:w="200" w:type="dxa"/>
            <w:vAlign w:val="bottom"/>
            <w:shd w:val="clear" w:color="auto" w:fill="FB1717"/>
          </w:tcPr>
          <w:p>
            <w:pPr>
              <w:spacing w:after="0"/>
              <w:rPr>
                <w:sz w:val="17"/>
                <w:szCs w:val="17"/>
                <w:color w:val="auto"/>
              </w:rPr>
            </w:pPr>
          </w:p>
        </w:tc>
        <w:tc>
          <w:tcPr>
            <w:tcW w:w="180" w:type="dxa"/>
            <w:vAlign w:val="bottom"/>
            <w:shd w:val="clear" w:color="auto" w:fill="FB1717"/>
          </w:tcPr>
          <w:p>
            <w:pPr>
              <w:spacing w:after="0"/>
              <w:rPr>
                <w:sz w:val="17"/>
                <w:szCs w:val="17"/>
                <w:color w:val="auto"/>
              </w:rPr>
            </w:pPr>
          </w:p>
        </w:tc>
        <w:tc>
          <w:tcPr>
            <w:tcW w:w="1700" w:type="dxa"/>
            <w:vAlign w:val="bottom"/>
            <w:shd w:val="clear" w:color="auto" w:fill="FB1717"/>
          </w:tcPr>
          <w:p>
            <w:pPr>
              <w:spacing w:after="0"/>
              <w:rPr>
                <w:sz w:val="17"/>
                <w:szCs w:val="17"/>
                <w:color w:val="auto"/>
              </w:rPr>
            </w:pPr>
          </w:p>
        </w:tc>
        <w:tc>
          <w:tcPr>
            <w:tcW w:w="3880" w:type="dxa"/>
            <w:vAlign w:val="bottom"/>
            <w:gridSpan w:val="3"/>
            <w:shd w:val="clear" w:color="auto" w:fill="FB1717"/>
          </w:tcPr>
          <w:p>
            <w:pPr>
              <w:jc w:val="right"/>
              <w:spacing w:after="0"/>
              <w:rPr>
                <w:sz w:val="20"/>
                <w:szCs w:val="20"/>
                <w:color w:val="auto"/>
              </w:rPr>
            </w:pPr>
            <w:r>
              <w:rPr>
                <w:rFonts w:ascii="Calibri" w:cs="Calibri" w:eastAsia="Calibri" w:hAnsi="Calibri"/>
                <w:sz w:val="16"/>
                <w:szCs w:val="16"/>
                <w:b w:val="1"/>
                <w:bCs w:val="1"/>
                <w:color w:val="E9E8E3"/>
              </w:rPr>
              <w:t>Equity incentive plan awards: awards: market or payout</w:t>
            </w:r>
          </w:p>
        </w:tc>
      </w:tr>
      <w:tr>
        <w:trPr>
          <w:trHeight w:val="200"/>
        </w:trPr>
        <w:tc>
          <w:tcPr>
            <w:tcW w:w="960" w:type="dxa"/>
            <w:vAlign w:val="bottom"/>
            <w:shd w:val="clear" w:color="auto" w:fill="FB1717"/>
          </w:tcPr>
          <w:p>
            <w:pPr>
              <w:spacing w:after="0"/>
              <w:rPr>
                <w:sz w:val="17"/>
                <w:szCs w:val="17"/>
                <w:color w:val="auto"/>
              </w:rPr>
            </w:pPr>
          </w:p>
        </w:tc>
        <w:tc>
          <w:tcPr>
            <w:tcW w:w="1940" w:type="dxa"/>
            <w:vAlign w:val="bottom"/>
            <w:shd w:val="clear" w:color="auto" w:fill="FB1717"/>
          </w:tcPr>
          <w:p>
            <w:pPr>
              <w:spacing w:after="0"/>
              <w:rPr>
                <w:sz w:val="17"/>
                <w:szCs w:val="17"/>
                <w:color w:val="auto"/>
              </w:rPr>
            </w:pPr>
          </w:p>
        </w:tc>
        <w:tc>
          <w:tcPr>
            <w:tcW w:w="1420" w:type="dxa"/>
            <w:vAlign w:val="bottom"/>
            <w:gridSpan w:val="2"/>
            <w:shd w:val="clear" w:color="auto" w:fill="FB1717"/>
          </w:tcPr>
          <w:p>
            <w:pPr>
              <w:jc w:val="right"/>
              <w:ind w:right="8"/>
              <w:spacing w:after="0"/>
              <w:rPr>
                <w:sz w:val="20"/>
                <w:szCs w:val="20"/>
                <w:color w:val="auto"/>
              </w:rPr>
            </w:pPr>
            <w:r>
              <w:rPr>
                <w:rFonts w:ascii="Calibri" w:cs="Calibri" w:eastAsia="Calibri" w:hAnsi="Calibri"/>
                <w:sz w:val="16"/>
                <w:szCs w:val="16"/>
                <w:b w:val="1"/>
                <w:bCs w:val="1"/>
                <w:color w:val="E9E8E3"/>
                <w:w w:val="97"/>
              </w:rPr>
              <w:t>Number of Shares or</w:t>
            </w:r>
          </w:p>
        </w:tc>
        <w:tc>
          <w:tcPr>
            <w:tcW w:w="1880" w:type="dxa"/>
            <w:vAlign w:val="bottom"/>
            <w:gridSpan w:val="2"/>
            <w:shd w:val="clear" w:color="auto" w:fill="FB1717"/>
          </w:tcPr>
          <w:p>
            <w:pPr>
              <w:jc w:val="right"/>
              <w:spacing w:after="0"/>
              <w:rPr>
                <w:sz w:val="20"/>
                <w:szCs w:val="20"/>
                <w:color w:val="auto"/>
              </w:rPr>
            </w:pPr>
            <w:r>
              <w:rPr>
                <w:rFonts w:ascii="Calibri" w:cs="Calibri" w:eastAsia="Calibri" w:hAnsi="Calibri"/>
                <w:sz w:val="16"/>
                <w:szCs w:val="16"/>
                <w:b w:val="1"/>
                <w:bCs w:val="1"/>
                <w:color w:val="E9E8E3"/>
              </w:rPr>
              <w:t>Market Value of Shares or</w:t>
            </w:r>
          </w:p>
        </w:tc>
        <w:tc>
          <w:tcPr>
            <w:tcW w:w="204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E9E8E3"/>
                <w:w w:val="99"/>
              </w:rPr>
              <w:t>number of unearned shares,</w:t>
            </w:r>
          </w:p>
        </w:tc>
        <w:tc>
          <w:tcPr>
            <w:tcW w:w="1840" w:type="dxa"/>
            <w:vAlign w:val="bottom"/>
            <w:gridSpan w:val="2"/>
            <w:shd w:val="clear" w:color="auto" w:fill="FB1717"/>
          </w:tcPr>
          <w:p>
            <w:pPr>
              <w:jc w:val="center"/>
              <w:spacing w:after="0"/>
              <w:rPr>
                <w:sz w:val="20"/>
                <w:szCs w:val="20"/>
                <w:color w:val="auto"/>
              </w:rPr>
            </w:pPr>
            <w:r>
              <w:rPr>
                <w:rFonts w:ascii="Calibri" w:cs="Calibri" w:eastAsia="Calibri" w:hAnsi="Calibri"/>
                <w:sz w:val="16"/>
                <w:szCs w:val="16"/>
                <w:b w:val="1"/>
                <w:bCs w:val="1"/>
                <w:color w:val="E9E8E3"/>
              </w:rPr>
              <w:t>value of unearned shares,</w:t>
            </w:r>
          </w:p>
        </w:tc>
      </w:tr>
      <w:tr>
        <w:trPr>
          <w:trHeight w:val="200"/>
        </w:trPr>
        <w:tc>
          <w:tcPr>
            <w:tcW w:w="960" w:type="dxa"/>
            <w:vAlign w:val="bottom"/>
            <w:shd w:val="clear" w:color="auto" w:fill="FB1717"/>
          </w:tcPr>
          <w:p>
            <w:pPr>
              <w:spacing w:after="0"/>
              <w:rPr>
                <w:sz w:val="17"/>
                <w:szCs w:val="17"/>
                <w:color w:val="auto"/>
              </w:rPr>
            </w:pPr>
          </w:p>
        </w:tc>
        <w:tc>
          <w:tcPr>
            <w:tcW w:w="1940" w:type="dxa"/>
            <w:vAlign w:val="bottom"/>
            <w:shd w:val="clear" w:color="auto" w:fill="FB1717"/>
          </w:tcPr>
          <w:p>
            <w:pPr>
              <w:spacing w:after="0"/>
              <w:rPr>
                <w:sz w:val="17"/>
                <w:szCs w:val="17"/>
                <w:color w:val="auto"/>
              </w:rPr>
            </w:pPr>
          </w:p>
        </w:tc>
        <w:tc>
          <w:tcPr>
            <w:tcW w:w="1420" w:type="dxa"/>
            <w:vAlign w:val="bottom"/>
            <w:gridSpan w:val="2"/>
            <w:shd w:val="clear" w:color="auto" w:fill="FB1717"/>
          </w:tcPr>
          <w:p>
            <w:pPr>
              <w:jc w:val="right"/>
              <w:ind w:right="8"/>
              <w:spacing w:after="0"/>
              <w:rPr>
                <w:sz w:val="20"/>
                <w:szCs w:val="20"/>
                <w:color w:val="auto"/>
              </w:rPr>
            </w:pPr>
            <w:r>
              <w:rPr>
                <w:rFonts w:ascii="Calibri" w:cs="Calibri" w:eastAsia="Calibri" w:hAnsi="Calibri"/>
                <w:sz w:val="16"/>
                <w:szCs w:val="16"/>
                <w:b w:val="1"/>
                <w:bCs w:val="1"/>
                <w:color w:val="E9E8E3"/>
              </w:rPr>
              <w:t>Units of Stock That</w:t>
            </w:r>
          </w:p>
        </w:tc>
        <w:tc>
          <w:tcPr>
            <w:tcW w:w="180" w:type="dxa"/>
            <w:vAlign w:val="bottom"/>
            <w:shd w:val="clear" w:color="auto" w:fill="FB1717"/>
          </w:tcPr>
          <w:p>
            <w:pPr>
              <w:spacing w:after="0"/>
              <w:rPr>
                <w:sz w:val="17"/>
                <w:szCs w:val="17"/>
                <w:color w:val="auto"/>
              </w:rPr>
            </w:pPr>
          </w:p>
        </w:tc>
        <w:tc>
          <w:tcPr>
            <w:tcW w:w="1700" w:type="dxa"/>
            <w:vAlign w:val="bottom"/>
            <w:shd w:val="clear" w:color="auto" w:fill="FB1717"/>
          </w:tcPr>
          <w:p>
            <w:pPr>
              <w:jc w:val="right"/>
              <w:spacing w:after="0"/>
              <w:rPr>
                <w:sz w:val="20"/>
                <w:szCs w:val="20"/>
                <w:color w:val="auto"/>
              </w:rPr>
            </w:pPr>
            <w:r>
              <w:rPr>
                <w:rFonts w:ascii="Calibri" w:cs="Calibri" w:eastAsia="Calibri" w:hAnsi="Calibri"/>
                <w:sz w:val="16"/>
                <w:szCs w:val="16"/>
                <w:b w:val="1"/>
                <w:bCs w:val="1"/>
                <w:color w:val="E9E8E3"/>
              </w:rPr>
              <w:t>Units of Stock That Have</w:t>
            </w:r>
          </w:p>
        </w:tc>
        <w:tc>
          <w:tcPr>
            <w:tcW w:w="204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E9E8E3"/>
              </w:rPr>
              <w:t>units or other rights that</w:t>
            </w:r>
          </w:p>
        </w:tc>
        <w:tc>
          <w:tcPr>
            <w:tcW w:w="1840" w:type="dxa"/>
            <w:vAlign w:val="bottom"/>
            <w:gridSpan w:val="2"/>
            <w:shd w:val="clear" w:color="auto" w:fill="FB1717"/>
          </w:tcPr>
          <w:p>
            <w:pPr>
              <w:jc w:val="center"/>
              <w:spacing w:after="0"/>
              <w:rPr>
                <w:sz w:val="20"/>
                <w:szCs w:val="20"/>
                <w:color w:val="auto"/>
              </w:rPr>
            </w:pPr>
            <w:r>
              <w:rPr>
                <w:rFonts w:ascii="Calibri" w:cs="Calibri" w:eastAsia="Calibri" w:hAnsi="Calibri"/>
                <w:sz w:val="16"/>
                <w:szCs w:val="16"/>
                <w:b w:val="1"/>
                <w:bCs w:val="1"/>
                <w:color w:val="E9E8E3"/>
              </w:rPr>
              <w:t>units or other rights that</w:t>
            </w:r>
          </w:p>
        </w:tc>
      </w:tr>
      <w:tr>
        <w:trPr>
          <w:trHeight w:val="252"/>
        </w:trPr>
        <w:tc>
          <w:tcPr>
            <w:tcW w:w="2900" w:type="dxa"/>
            <w:vAlign w:val="bottom"/>
            <w:gridSpan w:val="2"/>
            <w:shd w:val="clear" w:color="auto" w:fill="FB1717"/>
          </w:tcPr>
          <w:p>
            <w:pPr>
              <w:spacing w:after="0"/>
              <w:rPr>
                <w:sz w:val="20"/>
                <w:szCs w:val="20"/>
                <w:color w:val="auto"/>
              </w:rPr>
            </w:pPr>
            <w:r>
              <w:rPr>
                <w:rFonts w:ascii="Calibri" w:cs="Calibri" w:eastAsia="Calibri" w:hAnsi="Calibri"/>
                <w:sz w:val="16"/>
                <w:szCs w:val="16"/>
                <w:b w:val="1"/>
                <w:bCs w:val="1"/>
                <w:color w:val="E9E8E3"/>
              </w:rPr>
              <w:t>Name</w:t>
            </w:r>
          </w:p>
        </w:tc>
        <w:tc>
          <w:tcPr>
            <w:tcW w:w="1420" w:type="dxa"/>
            <w:vAlign w:val="bottom"/>
            <w:gridSpan w:val="2"/>
            <w:shd w:val="clear" w:color="auto" w:fill="FB1717"/>
          </w:tcPr>
          <w:p>
            <w:pPr>
              <w:jc w:val="right"/>
              <w:ind w:right="8"/>
              <w:spacing w:after="0"/>
              <w:rPr>
                <w:sz w:val="20"/>
                <w:szCs w:val="20"/>
                <w:color w:val="auto"/>
              </w:rPr>
            </w:pPr>
            <w:r>
              <w:rPr>
                <w:rFonts w:ascii="Calibri" w:cs="Calibri" w:eastAsia="Calibri" w:hAnsi="Calibri"/>
                <w:sz w:val="16"/>
                <w:szCs w:val="16"/>
                <w:b w:val="1"/>
                <w:bCs w:val="1"/>
                <w:color w:val="E9E8E3"/>
              </w:rPr>
              <w:t>Have Not Vested</w:t>
            </w:r>
          </w:p>
        </w:tc>
        <w:tc>
          <w:tcPr>
            <w:tcW w:w="180" w:type="dxa"/>
            <w:vAlign w:val="bottom"/>
            <w:shd w:val="clear" w:color="auto" w:fill="FB1717"/>
          </w:tcPr>
          <w:p>
            <w:pPr>
              <w:spacing w:after="0"/>
              <w:rPr>
                <w:sz w:val="21"/>
                <w:szCs w:val="21"/>
                <w:color w:val="auto"/>
              </w:rPr>
            </w:pPr>
          </w:p>
        </w:tc>
        <w:tc>
          <w:tcPr>
            <w:tcW w:w="1700" w:type="dxa"/>
            <w:vAlign w:val="bottom"/>
            <w:shd w:val="clear" w:color="auto" w:fill="FB1717"/>
          </w:tcPr>
          <w:p>
            <w:pPr>
              <w:jc w:val="right"/>
              <w:spacing w:after="0"/>
              <w:rPr>
                <w:sz w:val="20"/>
                <w:szCs w:val="20"/>
                <w:color w:val="auto"/>
              </w:rPr>
            </w:pPr>
            <w:r>
              <w:rPr>
                <w:rFonts w:ascii="Calibri" w:cs="Calibri" w:eastAsia="Calibri" w:hAnsi="Calibri"/>
                <w:sz w:val="16"/>
                <w:szCs w:val="16"/>
                <w:b w:val="1"/>
                <w:bCs w:val="1"/>
                <w:color w:val="E9E8E3"/>
              </w:rPr>
              <w:t>Not Vested</w:t>
            </w:r>
            <w:r>
              <w:rPr>
                <w:rFonts w:ascii="Calibri" w:cs="Calibri" w:eastAsia="Calibri" w:hAnsi="Calibri"/>
                <w:sz w:val="20"/>
                <w:szCs w:val="20"/>
                <w:b w:val="1"/>
                <w:bCs w:val="1"/>
                <w:color w:val="E9E8E3"/>
                <w:vertAlign w:val="superscript"/>
              </w:rPr>
              <w:t>(9)</w:t>
            </w:r>
          </w:p>
        </w:tc>
        <w:tc>
          <w:tcPr>
            <w:tcW w:w="204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E9E8E3"/>
                <w:w w:val="99"/>
              </w:rPr>
              <w:t>have not vested</w:t>
            </w:r>
          </w:p>
        </w:tc>
        <w:tc>
          <w:tcPr>
            <w:tcW w:w="160" w:type="dxa"/>
            <w:vAlign w:val="bottom"/>
            <w:shd w:val="clear" w:color="auto" w:fill="FB1717"/>
          </w:tcPr>
          <w:p>
            <w:pPr>
              <w:spacing w:after="0"/>
              <w:rPr>
                <w:sz w:val="21"/>
                <w:szCs w:val="21"/>
                <w:color w:val="auto"/>
              </w:rPr>
            </w:pPr>
          </w:p>
        </w:tc>
        <w:tc>
          <w:tcPr>
            <w:tcW w:w="1680" w:type="dxa"/>
            <w:vAlign w:val="bottom"/>
            <w:shd w:val="clear" w:color="auto" w:fill="FB1717"/>
          </w:tcPr>
          <w:p>
            <w:pPr>
              <w:jc w:val="center"/>
              <w:ind w:right="140"/>
              <w:spacing w:after="0"/>
              <w:rPr>
                <w:sz w:val="20"/>
                <w:szCs w:val="20"/>
                <w:color w:val="auto"/>
              </w:rPr>
            </w:pPr>
            <w:r>
              <w:rPr>
                <w:rFonts w:ascii="Calibri" w:cs="Calibri" w:eastAsia="Calibri" w:hAnsi="Calibri"/>
                <w:sz w:val="16"/>
                <w:szCs w:val="16"/>
                <w:b w:val="1"/>
                <w:bCs w:val="1"/>
                <w:color w:val="E9E8E3"/>
                <w:w w:val="97"/>
              </w:rPr>
              <w:t>have not vested</w:t>
            </w:r>
            <w:r>
              <w:rPr>
                <w:rFonts w:ascii="Calibri" w:cs="Calibri" w:eastAsia="Calibri" w:hAnsi="Calibri"/>
                <w:sz w:val="20"/>
                <w:szCs w:val="20"/>
                <w:b w:val="1"/>
                <w:bCs w:val="1"/>
                <w:color w:val="E9E8E3"/>
                <w:w w:val="97"/>
                <w:vertAlign w:val="superscript"/>
              </w:rPr>
              <w:t>(9)</w:t>
            </w:r>
          </w:p>
        </w:tc>
      </w:tr>
      <w:tr>
        <w:trPr>
          <w:trHeight w:val="306"/>
        </w:trPr>
        <w:tc>
          <w:tcPr>
            <w:tcW w:w="2900" w:type="dxa"/>
            <w:vAlign w:val="bottom"/>
            <w:gridSpan w:val="2"/>
            <w:shd w:val="clear" w:color="auto" w:fill="D9D9D9"/>
          </w:tcPr>
          <w:p>
            <w:pPr>
              <w:spacing w:after="0"/>
              <w:rPr>
                <w:sz w:val="20"/>
                <w:szCs w:val="20"/>
                <w:color w:val="auto"/>
              </w:rPr>
            </w:pPr>
            <w:r>
              <w:rPr>
                <w:rFonts w:ascii="Calibri" w:cs="Calibri" w:eastAsia="Calibri" w:hAnsi="Calibri"/>
                <w:sz w:val="16"/>
                <w:szCs w:val="16"/>
                <w:color w:val="auto"/>
              </w:rPr>
              <w:t>Donald C. Wood</w:t>
            </w:r>
          </w:p>
        </w:tc>
        <w:tc>
          <w:tcPr>
            <w:tcW w:w="1420" w:type="dxa"/>
            <w:vAlign w:val="bottom"/>
            <w:gridSpan w:val="2"/>
          </w:tcPr>
          <w:p>
            <w:pPr>
              <w:jc w:val="right"/>
              <w:ind w:right="8"/>
              <w:spacing w:after="0"/>
              <w:rPr>
                <w:sz w:val="20"/>
                <w:szCs w:val="20"/>
                <w:color w:val="auto"/>
              </w:rPr>
            </w:pPr>
            <w:r>
              <w:rPr>
                <w:rFonts w:ascii="Calibri" w:cs="Calibri" w:eastAsia="Calibri" w:hAnsi="Calibri"/>
                <w:sz w:val="16"/>
                <w:szCs w:val="16"/>
                <w:color w:val="auto"/>
              </w:rPr>
              <w:t xml:space="preserve">4,225 </w:t>
            </w:r>
            <w:r>
              <w:rPr>
                <w:rFonts w:ascii="Calibri" w:cs="Calibri" w:eastAsia="Calibri" w:hAnsi="Calibri"/>
                <w:sz w:val="20"/>
                <w:szCs w:val="20"/>
                <w:color w:val="auto"/>
                <w:vertAlign w:val="superscript"/>
              </w:rPr>
              <w:t>(1)</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426,894</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4"/>
        </w:trPr>
        <w:tc>
          <w:tcPr>
            <w:tcW w:w="960" w:type="dxa"/>
            <w:vAlign w:val="bottom"/>
            <w:shd w:val="clear" w:color="auto" w:fill="D9D9D9"/>
          </w:tcPr>
          <w:p>
            <w:pPr>
              <w:spacing w:after="0"/>
              <w:rPr>
                <w:sz w:val="14"/>
                <w:szCs w:val="14"/>
                <w:color w:val="auto"/>
              </w:rPr>
            </w:pPr>
          </w:p>
        </w:tc>
        <w:tc>
          <w:tcPr>
            <w:tcW w:w="1940" w:type="dxa"/>
            <w:vAlign w:val="bottom"/>
            <w:shd w:val="clear" w:color="auto" w:fill="D9D9D9"/>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Calibri" w:cs="Calibri" w:eastAsia="Calibri" w:hAnsi="Calibri"/>
                <w:sz w:val="16"/>
                <w:szCs w:val="16"/>
                <w:color w:val="auto"/>
              </w:rPr>
              <w:t>46,960</w:t>
            </w:r>
          </w:p>
        </w:tc>
        <w:tc>
          <w:tcPr>
            <w:tcW w:w="200" w:type="dxa"/>
            <w:vAlign w:val="bottom"/>
          </w:tcPr>
          <w:p>
            <w:pPr>
              <w:jc w:val="right"/>
              <w:ind w:right="8"/>
              <w:spacing w:after="0" w:line="112" w:lineRule="exact"/>
              <w:rPr>
                <w:sz w:val="20"/>
                <w:szCs w:val="20"/>
                <w:color w:val="auto"/>
              </w:rPr>
            </w:pPr>
            <w:r>
              <w:rPr>
                <w:rFonts w:ascii="Calibri" w:cs="Calibri" w:eastAsia="Calibri" w:hAnsi="Calibri"/>
                <w:sz w:val="10"/>
                <w:szCs w:val="10"/>
                <w:color w:val="auto"/>
              </w:rPr>
              <w:t>(1)</w:t>
            </w:r>
          </w:p>
        </w:tc>
        <w:tc>
          <w:tcPr>
            <w:tcW w:w="18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line="164" w:lineRule="exact"/>
              <w:rPr>
                <w:sz w:val="20"/>
                <w:szCs w:val="20"/>
                <w:color w:val="auto"/>
              </w:rPr>
            </w:pPr>
            <w:r>
              <w:rPr>
                <w:rFonts w:ascii="Calibri" w:cs="Calibri" w:eastAsia="Calibri" w:hAnsi="Calibri"/>
                <w:sz w:val="16"/>
                <w:szCs w:val="16"/>
                <w:color w:val="auto"/>
              </w:rPr>
              <w:t>4,744,838</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1,488</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(2)</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150,348</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34,805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(2)</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3,516,697</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1,182</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(3)</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119,429</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960" w:type="dxa"/>
            <w:vAlign w:val="bottom"/>
            <w:tcBorders>
              <w:bottom w:val="single" w:sz="8" w:color="auto"/>
            </w:tcBorders>
            <w:shd w:val="clear" w:color="auto" w:fill="D9D9D9"/>
          </w:tcPr>
          <w:p>
            <w:pPr>
              <w:spacing w:after="0"/>
              <w:rPr>
                <w:sz w:val="18"/>
                <w:szCs w:val="18"/>
                <w:color w:val="auto"/>
              </w:rPr>
            </w:pPr>
          </w:p>
        </w:tc>
        <w:tc>
          <w:tcPr>
            <w:tcW w:w="1940" w:type="dxa"/>
            <w:vAlign w:val="bottom"/>
            <w:tcBorders>
              <w:bottom w:val="single" w:sz="8" w:color="auto"/>
            </w:tcBorders>
            <w:shd w:val="clear" w:color="auto" w:fill="D9D9D9"/>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14,089</w:t>
            </w:r>
          </w:p>
        </w:tc>
        <w:tc>
          <w:tcPr>
            <w:tcW w:w="20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0"/>
                <w:szCs w:val="10"/>
                <w:color w:val="auto"/>
              </w:rPr>
              <w:t>(3)</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1,423,553</w:t>
            </w:r>
          </w:p>
        </w:tc>
        <w:tc>
          <w:tcPr>
            <w:tcW w:w="2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70"/>
        </w:trPr>
        <w:tc>
          <w:tcPr>
            <w:tcW w:w="2900" w:type="dxa"/>
            <w:vAlign w:val="bottom"/>
            <w:gridSpan w:val="2"/>
            <w:shd w:val="clear" w:color="auto" w:fill="D9D9D9"/>
          </w:tcPr>
          <w:p>
            <w:pPr>
              <w:spacing w:after="0"/>
              <w:rPr>
                <w:sz w:val="20"/>
                <w:szCs w:val="20"/>
                <w:color w:val="auto"/>
              </w:rPr>
            </w:pPr>
            <w:r>
              <w:rPr>
                <w:rFonts w:ascii="Calibri" w:cs="Calibri" w:eastAsia="Calibri" w:hAnsi="Calibri"/>
                <w:sz w:val="16"/>
                <w:szCs w:val="16"/>
                <w:color w:val="auto"/>
              </w:rPr>
              <w:t>Jeffrey S. Berkes</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1,705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(1)</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172,273</w:t>
            </w:r>
          </w:p>
        </w:tc>
        <w:tc>
          <w:tcPr>
            <w:tcW w:w="2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7,827</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(1)</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790,840</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822</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(2)</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83,055</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6,961</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(2)</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703,339</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435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(3)</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43,952</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2,818</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(3)</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284,731</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7,450</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(4)</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752,748</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8,354</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(5)</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844,088</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0"/>
        </w:trPr>
        <w:tc>
          <w:tcPr>
            <w:tcW w:w="960" w:type="dxa"/>
            <w:vAlign w:val="bottom"/>
            <w:tcBorders>
              <w:bottom w:val="single" w:sz="8" w:color="auto"/>
            </w:tcBorders>
            <w:shd w:val="clear" w:color="auto" w:fill="D9D9D9"/>
          </w:tcPr>
          <w:p>
            <w:pPr>
              <w:spacing w:after="0"/>
              <w:rPr>
                <w:sz w:val="19"/>
                <w:szCs w:val="19"/>
                <w:color w:val="auto"/>
              </w:rPr>
            </w:pPr>
          </w:p>
        </w:tc>
        <w:tc>
          <w:tcPr>
            <w:tcW w:w="194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line="220" w:lineRule="exact"/>
              <w:rPr>
                <w:sz w:val="20"/>
                <w:szCs w:val="20"/>
                <w:color w:val="auto"/>
              </w:rPr>
            </w:pPr>
            <w:r>
              <w:rPr>
                <w:rFonts w:ascii="Calibri" w:cs="Calibri" w:eastAsia="Calibri" w:hAnsi="Calibri"/>
                <w:sz w:val="16"/>
                <w:szCs w:val="16"/>
                <w:color w:val="auto"/>
              </w:rPr>
              <w:t xml:space="preserve">5,221 </w:t>
            </w:r>
            <w:r>
              <w:rPr>
                <w:rFonts w:ascii="Calibri" w:cs="Calibri" w:eastAsia="Calibri" w:hAnsi="Calibri"/>
                <w:sz w:val="20"/>
                <w:szCs w:val="20"/>
                <w:color w:val="auto"/>
                <w:vertAlign w:val="superscript"/>
              </w:rPr>
              <w:t>(6)</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527,530</w:t>
            </w:r>
          </w:p>
        </w:tc>
      </w:tr>
      <w:tr>
        <w:trPr>
          <w:trHeight w:val="296"/>
        </w:trPr>
        <w:tc>
          <w:tcPr>
            <w:tcW w:w="2900" w:type="dxa"/>
            <w:vAlign w:val="bottom"/>
            <w:gridSpan w:val="2"/>
            <w:shd w:val="clear" w:color="auto" w:fill="D9D9D9"/>
          </w:tcPr>
          <w:p>
            <w:pPr>
              <w:spacing w:after="0"/>
              <w:rPr>
                <w:sz w:val="20"/>
                <w:szCs w:val="20"/>
                <w:color w:val="auto"/>
              </w:rPr>
            </w:pPr>
            <w:r>
              <w:rPr>
                <w:rFonts w:ascii="Calibri" w:cs="Calibri" w:eastAsia="Calibri" w:hAnsi="Calibri"/>
                <w:sz w:val="16"/>
                <w:szCs w:val="16"/>
                <w:color w:val="auto"/>
              </w:rPr>
              <w:t>Daniel Guglielmone</w:t>
            </w:r>
          </w:p>
        </w:tc>
        <w:tc>
          <w:tcPr>
            <w:tcW w:w="1420" w:type="dxa"/>
            <w:vAlign w:val="bottom"/>
            <w:gridSpan w:val="2"/>
          </w:tcPr>
          <w:p>
            <w:pPr>
              <w:jc w:val="right"/>
              <w:ind w:right="8"/>
              <w:spacing w:after="0"/>
              <w:rPr>
                <w:sz w:val="20"/>
                <w:szCs w:val="20"/>
                <w:color w:val="auto"/>
              </w:rPr>
            </w:pPr>
            <w:r>
              <w:rPr>
                <w:rFonts w:ascii="Calibri" w:cs="Calibri" w:eastAsia="Calibri" w:hAnsi="Calibri"/>
                <w:sz w:val="16"/>
                <w:szCs w:val="16"/>
                <w:color w:val="auto"/>
              </w:rPr>
              <w:t xml:space="preserve">7,044 </w:t>
            </w:r>
            <w:r>
              <w:rPr>
                <w:rFonts w:ascii="Calibri" w:cs="Calibri" w:eastAsia="Calibri" w:hAnsi="Calibri"/>
                <w:sz w:val="20"/>
                <w:szCs w:val="20"/>
                <w:color w:val="auto"/>
                <w:vertAlign w:val="superscript"/>
              </w:rPr>
              <w:t>(1)</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711,726</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4"/>
        </w:trPr>
        <w:tc>
          <w:tcPr>
            <w:tcW w:w="960" w:type="dxa"/>
            <w:vAlign w:val="bottom"/>
            <w:shd w:val="clear" w:color="auto" w:fill="D9D9D9"/>
          </w:tcPr>
          <w:p>
            <w:pPr>
              <w:spacing w:after="0"/>
              <w:rPr>
                <w:sz w:val="14"/>
                <w:szCs w:val="14"/>
                <w:color w:val="auto"/>
              </w:rPr>
            </w:pPr>
          </w:p>
        </w:tc>
        <w:tc>
          <w:tcPr>
            <w:tcW w:w="1940" w:type="dxa"/>
            <w:vAlign w:val="bottom"/>
            <w:shd w:val="clear" w:color="auto" w:fill="D9D9D9"/>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Calibri" w:cs="Calibri" w:eastAsia="Calibri" w:hAnsi="Calibri"/>
                <w:sz w:val="16"/>
                <w:szCs w:val="16"/>
                <w:color w:val="auto"/>
              </w:rPr>
              <w:t>6,265</w:t>
            </w:r>
          </w:p>
        </w:tc>
        <w:tc>
          <w:tcPr>
            <w:tcW w:w="200" w:type="dxa"/>
            <w:vAlign w:val="bottom"/>
          </w:tcPr>
          <w:p>
            <w:pPr>
              <w:jc w:val="right"/>
              <w:ind w:right="8"/>
              <w:spacing w:after="0" w:line="112" w:lineRule="exact"/>
              <w:rPr>
                <w:sz w:val="20"/>
                <w:szCs w:val="20"/>
                <w:color w:val="auto"/>
              </w:rPr>
            </w:pPr>
            <w:r>
              <w:rPr>
                <w:rFonts w:ascii="Calibri" w:cs="Calibri" w:eastAsia="Calibri" w:hAnsi="Calibri"/>
                <w:sz w:val="10"/>
                <w:szCs w:val="10"/>
                <w:color w:val="auto"/>
              </w:rPr>
              <w:t>(2)</w:t>
            </w:r>
          </w:p>
        </w:tc>
        <w:tc>
          <w:tcPr>
            <w:tcW w:w="18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line="164" w:lineRule="exact"/>
              <w:rPr>
                <w:sz w:val="20"/>
                <w:szCs w:val="20"/>
                <w:color w:val="auto"/>
              </w:rPr>
            </w:pPr>
            <w:r>
              <w:rPr>
                <w:rFonts w:ascii="Calibri" w:cs="Calibri" w:eastAsia="Calibri" w:hAnsi="Calibri"/>
                <w:sz w:val="16"/>
                <w:szCs w:val="16"/>
                <w:color w:val="auto"/>
              </w:rPr>
              <w:t>633,016</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2,536</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(3)</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256,237</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895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(7)</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90,431</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960" w:type="dxa"/>
            <w:vAlign w:val="bottom"/>
            <w:tcBorders>
              <w:bottom w:val="single" w:sz="8" w:color="auto"/>
            </w:tcBorders>
            <w:shd w:val="clear" w:color="auto" w:fill="D9D9D9"/>
          </w:tcPr>
          <w:p>
            <w:pPr>
              <w:spacing w:after="0"/>
              <w:rPr>
                <w:sz w:val="18"/>
                <w:szCs w:val="18"/>
                <w:color w:val="auto"/>
              </w:rPr>
            </w:pPr>
          </w:p>
        </w:tc>
        <w:tc>
          <w:tcPr>
            <w:tcW w:w="1940" w:type="dxa"/>
            <w:vAlign w:val="bottom"/>
            <w:tcBorders>
              <w:bottom w:val="single" w:sz="8" w:color="auto"/>
            </w:tcBorders>
            <w:shd w:val="clear" w:color="auto" w:fill="D9D9D9"/>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6,855</w:t>
            </w:r>
          </w:p>
        </w:tc>
        <w:tc>
          <w:tcPr>
            <w:tcW w:w="20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0"/>
                <w:szCs w:val="10"/>
                <w:color w:val="auto"/>
              </w:rPr>
              <w:t>(8)</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692,629</w:t>
            </w:r>
          </w:p>
        </w:tc>
        <w:tc>
          <w:tcPr>
            <w:tcW w:w="2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306"/>
        </w:trPr>
        <w:tc>
          <w:tcPr>
            <w:tcW w:w="2900" w:type="dxa"/>
            <w:vAlign w:val="bottom"/>
            <w:gridSpan w:val="2"/>
            <w:shd w:val="clear" w:color="auto" w:fill="D9D9D9"/>
          </w:tcPr>
          <w:p>
            <w:pPr>
              <w:spacing w:after="0"/>
              <w:rPr>
                <w:sz w:val="20"/>
                <w:szCs w:val="20"/>
                <w:color w:val="auto"/>
              </w:rPr>
            </w:pPr>
            <w:r>
              <w:rPr>
                <w:rFonts w:ascii="Calibri" w:cs="Calibri" w:eastAsia="Calibri" w:hAnsi="Calibri"/>
                <w:sz w:val="16"/>
                <w:szCs w:val="16"/>
                <w:color w:val="auto"/>
              </w:rPr>
              <w:t>Dawn M. Becker</w:t>
            </w:r>
          </w:p>
        </w:tc>
        <w:tc>
          <w:tcPr>
            <w:tcW w:w="1420" w:type="dxa"/>
            <w:vAlign w:val="bottom"/>
            <w:gridSpan w:val="2"/>
          </w:tcPr>
          <w:p>
            <w:pPr>
              <w:jc w:val="right"/>
              <w:ind w:right="8"/>
              <w:spacing w:after="0"/>
              <w:rPr>
                <w:sz w:val="20"/>
                <w:szCs w:val="20"/>
                <w:color w:val="auto"/>
              </w:rPr>
            </w:pPr>
            <w:r>
              <w:rPr>
                <w:rFonts w:ascii="Calibri" w:cs="Calibri" w:eastAsia="Calibri" w:hAnsi="Calibri"/>
                <w:sz w:val="16"/>
                <w:szCs w:val="16"/>
                <w:color w:val="auto"/>
              </w:rPr>
              <w:t xml:space="preserve">1,056 </w:t>
            </w:r>
            <w:r>
              <w:rPr>
                <w:rFonts w:ascii="Calibri" w:cs="Calibri" w:eastAsia="Calibri" w:hAnsi="Calibri"/>
                <w:sz w:val="20"/>
                <w:szCs w:val="20"/>
                <w:color w:val="auto"/>
                <w:vertAlign w:val="superscript"/>
              </w:rPr>
              <w:t>(1)</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106,698</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4"/>
        </w:trPr>
        <w:tc>
          <w:tcPr>
            <w:tcW w:w="960" w:type="dxa"/>
            <w:vAlign w:val="bottom"/>
            <w:shd w:val="clear" w:color="auto" w:fill="D9D9D9"/>
          </w:tcPr>
          <w:p>
            <w:pPr>
              <w:spacing w:after="0"/>
              <w:rPr>
                <w:sz w:val="14"/>
                <w:szCs w:val="14"/>
                <w:color w:val="auto"/>
              </w:rPr>
            </w:pPr>
          </w:p>
        </w:tc>
        <w:tc>
          <w:tcPr>
            <w:tcW w:w="1940" w:type="dxa"/>
            <w:vAlign w:val="bottom"/>
            <w:shd w:val="clear" w:color="auto" w:fill="D9D9D9"/>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Calibri" w:cs="Calibri" w:eastAsia="Calibri" w:hAnsi="Calibri"/>
                <w:sz w:val="16"/>
                <w:szCs w:val="16"/>
                <w:color w:val="auto"/>
              </w:rPr>
              <w:t>4,696</w:t>
            </w:r>
          </w:p>
        </w:tc>
        <w:tc>
          <w:tcPr>
            <w:tcW w:w="200" w:type="dxa"/>
            <w:vAlign w:val="bottom"/>
          </w:tcPr>
          <w:p>
            <w:pPr>
              <w:jc w:val="right"/>
              <w:ind w:right="8"/>
              <w:spacing w:after="0" w:line="112" w:lineRule="exact"/>
              <w:rPr>
                <w:sz w:val="20"/>
                <w:szCs w:val="20"/>
                <w:color w:val="auto"/>
              </w:rPr>
            </w:pPr>
            <w:r>
              <w:rPr>
                <w:rFonts w:ascii="Calibri" w:cs="Calibri" w:eastAsia="Calibri" w:hAnsi="Calibri"/>
                <w:sz w:val="10"/>
                <w:szCs w:val="10"/>
                <w:color w:val="auto"/>
              </w:rPr>
              <w:t>(1)</w:t>
            </w:r>
          </w:p>
        </w:tc>
        <w:tc>
          <w:tcPr>
            <w:tcW w:w="18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line="164" w:lineRule="exact"/>
              <w:rPr>
                <w:sz w:val="20"/>
                <w:szCs w:val="20"/>
                <w:color w:val="auto"/>
              </w:rPr>
            </w:pPr>
            <w:r>
              <w:rPr>
                <w:rFonts w:ascii="Calibri" w:cs="Calibri" w:eastAsia="Calibri" w:hAnsi="Calibri"/>
                <w:sz w:val="16"/>
                <w:szCs w:val="16"/>
                <w:color w:val="auto"/>
              </w:rPr>
              <w:t>474,484</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558</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(2)</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56,380</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4,177</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(2)</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422,044</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9D9D9"/>
          </w:tcPr>
          <w:p>
            <w:pPr>
              <w:spacing w:after="0"/>
              <w:rPr>
                <w:sz w:val="17"/>
                <w:szCs w:val="17"/>
                <w:color w:val="auto"/>
              </w:rPr>
            </w:pPr>
          </w:p>
        </w:tc>
        <w:tc>
          <w:tcPr>
            <w:tcW w:w="1940" w:type="dxa"/>
            <w:vAlign w:val="bottom"/>
            <w:shd w:val="clear" w:color="auto" w:fill="D9D9D9"/>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295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auto"/>
              </w:rPr>
              <w:t>(3)</w:t>
            </w:r>
          </w:p>
        </w:tc>
        <w:tc>
          <w:tcPr>
            <w:tcW w:w="1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29,807</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960" w:type="dxa"/>
            <w:vAlign w:val="bottom"/>
            <w:tcBorders>
              <w:bottom w:val="single" w:sz="8" w:color="auto"/>
            </w:tcBorders>
            <w:shd w:val="clear" w:color="auto" w:fill="D9D9D9"/>
          </w:tcPr>
          <w:p>
            <w:pPr>
              <w:spacing w:after="0"/>
              <w:rPr>
                <w:sz w:val="18"/>
                <w:szCs w:val="18"/>
                <w:color w:val="auto"/>
              </w:rPr>
            </w:pPr>
          </w:p>
        </w:tc>
        <w:tc>
          <w:tcPr>
            <w:tcW w:w="1940" w:type="dxa"/>
            <w:vAlign w:val="bottom"/>
            <w:tcBorders>
              <w:bottom w:val="single" w:sz="8" w:color="auto"/>
            </w:tcBorders>
            <w:shd w:val="clear" w:color="auto" w:fill="D9D9D9"/>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1,691</w:t>
            </w:r>
          </w:p>
        </w:tc>
        <w:tc>
          <w:tcPr>
            <w:tcW w:w="20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0"/>
                <w:szCs w:val="10"/>
                <w:color w:val="auto"/>
              </w:rPr>
              <w:t>(3)</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170,859</w:t>
            </w:r>
          </w:p>
        </w:tc>
        <w:tc>
          <w:tcPr>
            <w:tcW w:w="2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150"/>
        </w:trPr>
        <w:tc>
          <w:tcPr>
            <w:tcW w:w="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r>
    </w:tbl>
    <w:p>
      <w:pPr>
        <w:spacing w:after="0" w:line="55" w:lineRule="exact"/>
        <w:rPr>
          <w:sz w:val="20"/>
          <w:szCs w:val="20"/>
          <w:color w:val="auto"/>
        </w:rPr>
      </w:pPr>
    </w:p>
    <w:p>
      <w:pPr>
        <w:ind w:left="360" w:hanging="360"/>
        <w:spacing w:after="0" w:line="214" w:lineRule="auto"/>
        <w:tabs>
          <w:tab w:leader="none" w:pos="360"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One-third of these shares vested on February 12, 2023 and the remaining shares will vest equally on February 12 of each of 2024 and 2025.</w:t>
      </w:r>
    </w:p>
    <w:p>
      <w:pPr>
        <w:ind w:left="360" w:hanging="360"/>
        <w:spacing w:after="0" w:line="199" w:lineRule="auto"/>
        <w:tabs>
          <w:tab w:leader="none" w:pos="360"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One-half of these shares vested on February 12, 2023 and the remaining shares will vest on February 12, 2024.</w:t>
      </w:r>
    </w:p>
    <w:p>
      <w:pPr>
        <w:spacing w:after="0" w:line="55" w:lineRule="exact"/>
        <w:rPr>
          <w:rFonts w:ascii="Arial" w:cs="Arial" w:eastAsia="Arial" w:hAnsi="Arial"/>
          <w:sz w:val="23"/>
          <w:szCs w:val="23"/>
          <w:color w:val="auto"/>
          <w:vertAlign w:val="superscript"/>
        </w:rPr>
      </w:pPr>
    </w:p>
    <w:p>
      <w:pPr>
        <w:ind w:left="360" w:hanging="360"/>
        <w:spacing w:after="0" w:line="181" w:lineRule="auto"/>
        <w:tabs>
          <w:tab w:leader="none" w:pos="36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These shares vested on February 12, 2023.</w:t>
      </w:r>
    </w:p>
    <w:p>
      <w:pPr>
        <w:spacing w:after="0" w:line="55" w:lineRule="exact"/>
        <w:rPr>
          <w:rFonts w:ascii="Arial" w:cs="Arial" w:eastAsia="Arial" w:hAnsi="Arial"/>
          <w:sz w:val="19"/>
          <w:szCs w:val="19"/>
          <w:color w:val="auto"/>
          <w:vertAlign w:val="superscript"/>
        </w:rPr>
      </w:pPr>
    </w:p>
    <w:p>
      <w:pPr>
        <w:ind w:left="360" w:hanging="360"/>
        <w:spacing w:after="0" w:line="181" w:lineRule="auto"/>
        <w:tabs>
          <w:tab w:leader="none" w:pos="36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One-half of these shares vested on February 12, 2023 and the remaining shares will vest on February 12, 2024.</w:t>
      </w:r>
    </w:p>
    <w:p>
      <w:pPr>
        <w:spacing w:after="0" w:line="55" w:lineRule="exact"/>
        <w:rPr>
          <w:rFonts w:ascii="Arial" w:cs="Arial" w:eastAsia="Arial" w:hAnsi="Arial"/>
          <w:sz w:val="19"/>
          <w:szCs w:val="19"/>
          <w:color w:val="auto"/>
          <w:vertAlign w:val="superscript"/>
        </w:rPr>
      </w:pPr>
    </w:p>
    <w:p>
      <w:pPr>
        <w:ind w:left="360" w:hanging="360"/>
        <w:spacing w:after="0" w:line="196" w:lineRule="auto"/>
        <w:tabs>
          <w:tab w:leader="none" w:pos="360"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One-fourth of these shares vested on February 12, 2023. The remaining shares will vest equally on February 12 of each of 2024 through 2026.</w:t>
      </w:r>
    </w:p>
    <w:p>
      <w:pPr>
        <w:spacing w:after="0" w:line="18" w:lineRule="exact"/>
        <w:rPr>
          <w:rFonts w:ascii="Arial" w:cs="Arial" w:eastAsia="Arial" w:hAnsi="Arial"/>
          <w:sz w:val="23"/>
          <w:szCs w:val="23"/>
          <w:color w:val="auto"/>
          <w:vertAlign w:val="superscript"/>
        </w:rPr>
      </w:pPr>
    </w:p>
    <w:p>
      <w:pPr>
        <w:ind w:left="360" w:hanging="360"/>
        <w:spacing w:after="0" w:line="214" w:lineRule="auto"/>
        <w:tabs>
          <w:tab w:leader="none" w:pos="360"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The number of shares represent the threshold payout level. The final number of shares earned cannot be determined until after December 31, 2024, the end of the performance period.</w:t>
      </w:r>
    </w:p>
    <w:p>
      <w:pPr>
        <w:ind w:left="360" w:hanging="360"/>
        <w:spacing w:after="0" w:line="199" w:lineRule="auto"/>
        <w:tabs>
          <w:tab w:leader="none" w:pos="360"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These shares will vest on August 15, 2023.</w:t>
      </w:r>
    </w:p>
    <w:p>
      <w:pPr>
        <w:spacing w:after="0" w:line="55" w:lineRule="exact"/>
        <w:rPr>
          <w:rFonts w:ascii="Arial" w:cs="Arial" w:eastAsia="Arial" w:hAnsi="Arial"/>
          <w:sz w:val="23"/>
          <w:szCs w:val="23"/>
          <w:color w:val="auto"/>
          <w:vertAlign w:val="superscript"/>
        </w:rPr>
      </w:pPr>
    </w:p>
    <w:p>
      <w:pPr>
        <w:ind w:left="360" w:hanging="360"/>
        <w:spacing w:after="0" w:line="181" w:lineRule="auto"/>
        <w:tabs>
          <w:tab w:leader="none" w:pos="36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These shares will vest equally on August 3 of each of 2023 through 2026.</w:t>
      </w:r>
    </w:p>
    <w:p>
      <w:pPr>
        <w:spacing w:after="0" w:line="55" w:lineRule="exact"/>
        <w:rPr>
          <w:rFonts w:ascii="Arial" w:cs="Arial" w:eastAsia="Arial" w:hAnsi="Arial"/>
          <w:sz w:val="19"/>
          <w:szCs w:val="19"/>
          <w:color w:val="auto"/>
          <w:vertAlign w:val="superscript"/>
        </w:rPr>
      </w:pPr>
    </w:p>
    <w:p>
      <w:pPr>
        <w:ind w:left="360" w:hanging="360"/>
        <w:spacing w:after="0" w:line="181" w:lineRule="auto"/>
        <w:tabs>
          <w:tab w:leader="none" w:pos="36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The value of shares is calculated based on $101.04, the closing price of our shares on the NYSE on December 30,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967740</wp:posOffset>
                </wp:positionV>
                <wp:extent cx="6400800" cy="17780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28" o:spid="_x0000_s1553" style="position:absolute;margin-left:0pt;margin-top:76.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967740</wp:posOffset>
                </wp:positionV>
                <wp:extent cx="0" cy="17780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76.2pt" to="0.75pt,90.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977265</wp:posOffset>
                </wp:positionV>
                <wp:extent cx="6400800"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95pt" to="504pt,76.9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967740</wp:posOffset>
                </wp:positionV>
                <wp:extent cx="0" cy="17780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76.2pt" to="503.25pt,90.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1136015</wp:posOffset>
                </wp:positionV>
                <wp:extent cx="640080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45pt" to="504pt,89.45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33</w:t>
      </w:r>
    </w:p>
    <w:p>
      <w:pPr>
        <w:sectPr>
          <w:pgSz w:w="11880" w:h="15480" w:orient="portrait"/>
          <w:cols w:equalWidth="0" w:num="1">
            <w:col w:w="10080"/>
          </w:cols>
          <w:pgMar w:left="900" w:top="1272" w:right="900" w:bottom="764" w:gutter="0" w:footer="0" w:header="0"/>
          <w:type w:val="continuous"/>
        </w:sectPr>
      </w:pPr>
    </w:p>
    <w:bookmarkStart w:id="153" w:name="page154"/>
    <w:bookmarkEnd w:id="153"/>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OPTIONS EXERCISED AND STOCK VESTED IN 2022</w:t>
      </w:r>
    </w:p>
    <w:p>
      <w:pPr>
        <w:spacing w:after="0" w:line="29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following table includes information with respect to shares held by our NEOs that vested in 2022. None of our NEOs holds any options or exercised any options during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0" w:type="dxa"/>
            <w:vAlign w:val="bottom"/>
            <w:shd w:val="clear" w:color="auto" w:fill="FB1717"/>
          </w:tcPr>
          <w:p>
            <w:pPr>
              <w:spacing w:after="0"/>
              <w:rPr>
                <w:sz w:val="24"/>
                <w:szCs w:val="24"/>
                <w:color w:val="auto"/>
              </w:rPr>
            </w:pPr>
          </w:p>
        </w:tc>
        <w:tc>
          <w:tcPr>
            <w:tcW w:w="1240" w:type="dxa"/>
            <w:vAlign w:val="bottom"/>
            <w:shd w:val="clear" w:color="auto" w:fill="FB1717"/>
          </w:tcPr>
          <w:p>
            <w:pPr>
              <w:spacing w:after="0"/>
              <w:rPr>
                <w:sz w:val="24"/>
                <w:szCs w:val="24"/>
                <w:color w:val="auto"/>
              </w:rPr>
            </w:pPr>
          </w:p>
        </w:tc>
        <w:tc>
          <w:tcPr>
            <w:tcW w:w="4440" w:type="dxa"/>
            <w:vAlign w:val="bottom"/>
            <w:gridSpan w:val="2"/>
            <w:shd w:val="clear" w:color="auto" w:fill="FB1717"/>
          </w:tcPr>
          <w:p>
            <w:pPr>
              <w:jc w:val="right"/>
              <w:ind w:right="160"/>
              <w:spacing w:after="0"/>
              <w:rPr>
                <w:sz w:val="20"/>
                <w:szCs w:val="20"/>
                <w:color w:val="auto"/>
              </w:rPr>
            </w:pPr>
            <w:r>
              <w:rPr>
                <w:rFonts w:ascii="Calibri" w:cs="Calibri" w:eastAsia="Calibri" w:hAnsi="Calibri"/>
                <w:sz w:val="16"/>
                <w:szCs w:val="16"/>
                <w:b w:val="1"/>
                <w:bCs w:val="1"/>
                <w:color w:val="E9E8E3"/>
              </w:rPr>
              <w:t>Stock Awards</w:t>
            </w:r>
          </w:p>
        </w:tc>
        <w:tc>
          <w:tcPr>
            <w:tcW w:w="760" w:type="dxa"/>
            <w:vAlign w:val="bottom"/>
            <w:shd w:val="clear" w:color="auto" w:fill="FB1717"/>
          </w:tcPr>
          <w:p>
            <w:pPr>
              <w:spacing w:after="0"/>
              <w:rPr>
                <w:sz w:val="24"/>
                <w:szCs w:val="24"/>
                <w:color w:val="auto"/>
              </w:rPr>
            </w:pPr>
          </w:p>
        </w:tc>
      </w:tr>
      <w:tr>
        <w:trPr>
          <w:trHeight w:val="340"/>
        </w:trPr>
        <w:tc>
          <w:tcPr>
            <w:tcW w:w="960" w:type="dxa"/>
            <w:vAlign w:val="bottom"/>
            <w:shd w:val="clear" w:color="auto" w:fill="FB1717"/>
          </w:tcPr>
          <w:p>
            <w:pPr>
              <w:spacing w:after="0"/>
              <w:rPr>
                <w:sz w:val="24"/>
                <w:szCs w:val="24"/>
                <w:color w:val="auto"/>
              </w:rPr>
            </w:pPr>
          </w:p>
        </w:tc>
        <w:tc>
          <w:tcPr>
            <w:tcW w:w="1240" w:type="dxa"/>
            <w:vAlign w:val="bottom"/>
            <w:shd w:val="clear" w:color="auto" w:fill="FB1717"/>
          </w:tcPr>
          <w:p>
            <w:pPr>
              <w:spacing w:after="0"/>
              <w:rPr>
                <w:sz w:val="24"/>
                <w:szCs w:val="24"/>
                <w:color w:val="auto"/>
              </w:rPr>
            </w:pPr>
          </w:p>
        </w:tc>
        <w:tc>
          <w:tcPr>
            <w:tcW w:w="3940" w:type="dxa"/>
            <w:vAlign w:val="bottom"/>
            <w:shd w:val="clear" w:color="auto" w:fill="FB1717"/>
          </w:tcPr>
          <w:p>
            <w:pPr>
              <w:jc w:val="right"/>
              <w:ind w:right="120"/>
              <w:spacing w:after="0"/>
              <w:rPr>
                <w:sz w:val="20"/>
                <w:szCs w:val="20"/>
                <w:color w:val="auto"/>
              </w:rPr>
            </w:pPr>
            <w:r>
              <w:rPr>
                <w:rFonts w:ascii="Calibri" w:cs="Calibri" w:eastAsia="Calibri" w:hAnsi="Calibri"/>
                <w:sz w:val="16"/>
                <w:szCs w:val="16"/>
                <w:b w:val="1"/>
                <w:bCs w:val="1"/>
                <w:color w:val="E9E8E3"/>
              </w:rPr>
              <w:t>Number of Shares</w:t>
            </w:r>
          </w:p>
        </w:tc>
        <w:tc>
          <w:tcPr>
            <w:tcW w:w="1260" w:type="dxa"/>
            <w:vAlign w:val="bottom"/>
            <w:gridSpan w:val="2"/>
            <w:shd w:val="clear" w:color="auto" w:fill="FB1717"/>
          </w:tcPr>
          <w:p>
            <w:pPr>
              <w:jc w:val="right"/>
              <w:spacing w:after="0"/>
              <w:rPr>
                <w:sz w:val="20"/>
                <w:szCs w:val="20"/>
                <w:color w:val="auto"/>
              </w:rPr>
            </w:pPr>
            <w:r>
              <w:rPr>
                <w:rFonts w:ascii="Calibri" w:cs="Calibri" w:eastAsia="Calibri" w:hAnsi="Calibri"/>
                <w:sz w:val="16"/>
                <w:szCs w:val="16"/>
                <w:b w:val="1"/>
                <w:bCs w:val="1"/>
                <w:color w:val="E9E8E3"/>
              </w:rPr>
              <w:t>Value Realized</w:t>
            </w:r>
          </w:p>
        </w:tc>
      </w:tr>
      <w:tr>
        <w:trPr>
          <w:trHeight w:val="232"/>
        </w:trPr>
        <w:tc>
          <w:tcPr>
            <w:tcW w:w="2200" w:type="dxa"/>
            <w:vAlign w:val="bottom"/>
            <w:gridSpan w:val="2"/>
            <w:shd w:val="clear" w:color="auto" w:fill="FB1717"/>
          </w:tcPr>
          <w:p>
            <w:pPr>
              <w:spacing w:after="0"/>
              <w:rPr>
                <w:sz w:val="20"/>
                <w:szCs w:val="20"/>
                <w:color w:val="auto"/>
              </w:rPr>
            </w:pPr>
            <w:r>
              <w:rPr>
                <w:rFonts w:ascii="Calibri" w:cs="Calibri" w:eastAsia="Calibri" w:hAnsi="Calibri"/>
                <w:sz w:val="16"/>
                <w:szCs w:val="16"/>
                <w:b w:val="1"/>
                <w:bCs w:val="1"/>
                <w:color w:val="E9E8E3"/>
              </w:rPr>
              <w:t>Name</w:t>
            </w:r>
          </w:p>
        </w:tc>
        <w:tc>
          <w:tcPr>
            <w:tcW w:w="3940" w:type="dxa"/>
            <w:vAlign w:val="bottom"/>
            <w:shd w:val="clear" w:color="auto" w:fill="FB1717"/>
          </w:tcPr>
          <w:p>
            <w:pPr>
              <w:jc w:val="right"/>
              <w:ind w:right="120"/>
              <w:spacing w:after="0"/>
              <w:rPr>
                <w:sz w:val="20"/>
                <w:szCs w:val="20"/>
                <w:color w:val="auto"/>
              </w:rPr>
            </w:pPr>
            <w:r>
              <w:rPr>
                <w:rFonts w:ascii="Calibri" w:cs="Calibri" w:eastAsia="Calibri" w:hAnsi="Calibri"/>
                <w:sz w:val="16"/>
                <w:szCs w:val="16"/>
                <w:b w:val="1"/>
                <w:bCs w:val="1"/>
                <w:color w:val="E9E8E3"/>
              </w:rPr>
              <w:t>Acquired on Vesting</w:t>
            </w:r>
          </w:p>
        </w:tc>
        <w:tc>
          <w:tcPr>
            <w:tcW w:w="1260" w:type="dxa"/>
            <w:vAlign w:val="bottom"/>
            <w:gridSpan w:val="2"/>
            <w:shd w:val="clear" w:color="auto" w:fill="FB1717"/>
          </w:tcPr>
          <w:p>
            <w:pPr>
              <w:jc w:val="right"/>
              <w:ind w:right="40"/>
              <w:spacing w:after="0" w:line="232" w:lineRule="exact"/>
              <w:rPr>
                <w:sz w:val="20"/>
                <w:szCs w:val="20"/>
                <w:color w:val="auto"/>
              </w:rPr>
            </w:pPr>
            <w:r>
              <w:rPr>
                <w:rFonts w:ascii="Calibri" w:cs="Calibri" w:eastAsia="Calibri" w:hAnsi="Calibri"/>
                <w:sz w:val="16"/>
                <w:szCs w:val="16"/>
                <w:b w:val="1"/>
                <w:bCs w:val="1"/>
                <w:color w:val="E9E8E3"/>
              </w:rPr>
              <w:t>on Vesting</w:t>
            </w:r>
            <w:r>
              <w:rPr>
                <w:rFonts w:ascii="Calibri" w:cs="Calibri" w:eastAsia="Calibri" w:hAnsi="Calibri"/>
                <w:sz w:val="20"/>
                <w:szCs w:val="20"/>
                <w:b w:val="1"/>
                <w:bCs w:val="1"/>
                <w:color w:val="E9E8E3"/>
                <w:vertAlign w:val="superscript"/>
              </w:rPr>
              <w:t>(1)</w:t>
            </w:r>
          </w:p>
        </w:tc>
      </w:tr>
      <w:tr>
        <w:trPr>
          <w:trHeight w:val="230"/>
        </w:trPr>
        <w:tc>
          <w:tcPr>
            <w:tcW w:w="2200" w:type="dxa"/>
            <w:vAlign w:val="bottom"/>
            <w:gridSpan w:val="2"/>
            <w:shd w:val="clear" w:color="auto" w:fill="D9D9D9"/>
          </w:tcPr>
          <w:p>
            <w:pPr>
              <w:spacing w:after="0"/>
              <w:rPr>
                <w:sz w:val="20"/>
                <w:szCs w:val="20"/>
                <w:color w:val="auto"/>
              </w:rPr>
            </w:pPr>
            <w:r>
              <w:rPr>
                <w:rFonts w:ascii="Calibri" w:cs="Calibri" w:eastAsia="Calibri" w:hAnsi="Calibri"/>
                <w:sz w:val="16"/>
                <w:szCs w:val="16"/>
                <w:color w:val="auto"/>
              </w:rPr>
              <w:t>Donald C. Wood</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auto"/>
              </w:rPr>
              <w:t>47,161</w:t>
            </w:r>
          </w:p>
        </w:tc>
        <w:tc>
          <w:tcPr>
            <w:tcW w:w="5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5,670,167</w:t>
            </w:r>
          </w:p>
        </w:tc>
      </w:tr>
      <w:tr>
        <w:trPr>
          <w:trHeight w:val="200"/>
        </w:trPr>
        <w:tc>
          <w:tcPr>
            <w:tcW w:w="2200" w:type="dxa"/>
            <w:vAlign w:val="bottom"/>
            <w:gridSpan w:val="2"/>
            <w:shd w:val="clear" w:color="auto" w:fill="D9D9D9"/>
          </w:tcPr>
          <w:p>
            <w:pPr>
              <w:spacing w:after="0"/>
              <w:rPr>
                <w:sz w:val="20"/>
                <w:szCs w:val="20"/>
                <w:color w:val="auto"/>
              </w:rPr>
            </w:pPr>
            <w:r>
              <w:rPr>
                <w:rFonts w:ascii="Calibri" w:cs="Calibri" w:eastAsia="Calibri" w:hAnsi="Calibri"/>
                <w:sz w:val="16"/>
                <w:szCs w:val="16"/>
                <w:color w:val="auto"/>
              </w:rPr>
              <w:t>Jeffrey S. Berkes</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auto"/>
              </w:rPr>
              <w:t>15,277</w:t>
            </w:r>
          </w:p>
        </w:tc>
        <w:tc>
          <w:tcPr>
            <w:tcW w:w="5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1,836,754</w:t>
            </w:r>
          </w:p>
        </w:tc>
      </w:tr>
      <w:tr>
        <w:trPr>
          <w:trHeight w:val="200"/>
        </w:trPr>
        <w:tc>
          <w:tcPr>
            <w:tcW w:w="2200" w:type="dxa"/>
            <w:vAlign w:val="bottom"/>
            <w:gridSpan w:val="2"/>
            <w:shd w:val="clear" w:color="auto" w:fill="D9D9D9"/>
          </w:tcPr>
          <w:p>
            <w:pPr>
              <w:spacing w:after="0"/>
              <w:rPr>
                <w:sz w:val="20"/>
                <w:szCs w:val="20"/>
                <w:color w:val="auto"/>
              </w:rPr>
            </w:pPr>
            <w:r>
              <w:rPr>
                <w:rFonts w:ascii="Calibri" w:cs="Calibri" w:eastAsia="Calibri" w:hAnsi="Calibri"/>
                <w:sz w:val="16"/>
                <w:szCs w:val="16"/>
                <w:color w:val="auto"/>
              </w:rPr>
              <w:t>Daniel Guglielmone</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auto"/>
              </w:rPr>
              <w:t>10,513</w:t>
            </w:r>
          </w:p>
        </w:tc>
        <w:tc>
          <w:tcPr>
            <w:tcW w:w="5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1,228,897</w:t>
            </w:r>
          </w:p>
        </w:tc>
      </w:tr>
      <w:tr>
        <w:trPr>
          <w:trHeight w:val="210"/>
        </w:trPr>
        <w:tc>
          <w:tcPr>
            <w:tcW w:w="2200" w:type="dxa"/>
            <w:vAlign w:val="bottom"/>
            <w:tcBorders>
              <w:bottom w:val="single" w:sz="8" w:color="D9D9D9"/>
            </w:tcBorders>
            <w:gridSpan w:val="2"/>
            <w:shd w:val="clear" w:color="auto" w:fill="D9D9D9"/>
          </w:tcPr>
          <w:p>
            <w:pPr>
              <w:spacing w:after="0"/>
              <w:rPr>
                <w:sz w:val="20"/>
                <w:szCs w:val="20"/>
                <w:color w:val="auto"/>
              </w:rPr>
            </w:pPr>
            <w:r>
              <w:rPr>
                <w:rFonts w:ascii="Calibri" w:cs="Calibri" w:eastAsia="Calibri" w:hAnsi="Calibri"/>
                <w:sz w:val="16"/>
                <w:szCs w:val="16"/>
                <w:color w:val="auto"/>
              </w:rPr>
              <w:t>Dawn M. Becker</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auto"/>
              </w:rPr>
              <w:t>6,157</w:t>
            </w:r>
          </w:p>
        </w:tc>
        <w:tc>
          <w:tcPr>
            <w:tcW w:w="5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740,256</w:t>
            </w:r>
          </w:p>
        </w:tc>
      </w:tr>
      <w:tr>
        <w:trPr>
          <w:trHeight w:val="150"/>
        </w:trPr>
        <w:tc>
          <w:tcPr>
            <w:tcW w:w="960" w:type="dxa"/>
            <w:vAlign w:val="bottom"/>
            <w:tcBorders>
              <w:bottom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ind w:left="360" w:hanging="360"/>
        <w:spacing w:after="0" w:line="232" w:lineRule="auto"/>
        <w:tabs>
          <w:tab w:leader="none" w:pos="360" w:val="left"/>
        </w:tabs>
        <w:numPr>
          <w:ilvl w:val="0"/>
          <w:numId w:val="139"/>
        </w:numPr>
        <w:rPr>
          <w:rFonts w:ascii="Arial" w:cs="Arial" w:eastAsia="Arial" w:hAnsi="Arial"/>
          <w:sz w:val="23"/>
          <w:szCs w:val="23"/>
          <w:color w:val="auto"/>
          <w:vertAlign w:val="superscript"/>
        </w:rPr>
      </w:pPr>
      <w:r>
        <w:rPr>
          <w:rFonts w:ascii="Arial" w:cs="Arial" w:eastAsia="Arial" w:hAnsi="Arial"/>
          <w:sz w:val="18"/>
          <w:szCs w:val="18"/>
          <w:color w:val="auto"/>
        </w:rPr>
        <w:t>The amounts in this column were calculated using the closing price of a share on the date the shares vested.</w:t>
      </w:r>
    </w:p>
    <w:p>
      <w:pPr>
        <w:spacing w:after="0" w:line="391"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NON-QUALIFIED DEFERRED COMPENSATION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maintain a non-qualified deferred compensation plan that is open to participation by 48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2022 activity for the NEOs who participate in our plan is described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500" w:type="dxa"/>
            <w:vAlign w:val="bottom"/>
            <w:shd w:val="clear" w:color="auto" w:fill="FB1717"/>
          </w:tcPr>
          <w:p>
            <w:pPr>
              <w:spacing w:after="0"/>
              <w:rPr>
                <w:sz w:val="24"/>
                <w:szCs w:val="24"/>
                <w:color w:val="auto"/>
              </w:rPr>
            </w:pPr>
          </w:p>
        </w:tc>
        <w:tc>
          <w:tcPr>
            <w:tcW w:w="1100" w:type="dxa"/>
            <w:vAlign w:val="bottom"/>
            <w:shd w:val="clear" w:color="auto" w:fill="FB1717"/>
          </w:tcPr>
          <w:p>
            <w:pPr>
              <w:spacing w:after="0"/>
              <w:rPr>
                <w:sz w:val="24"/>
                <w:szCs w:val="24"/>
                <w:color w:val="auto"/>
              </w:rPr>
            </w:pPr>
          </w:p>
        </w:tc>
        <w:tc>
          <w:tcPr>
            <w:tcW w:w="160" w:type="dxa"/>
            <w:vAlign w:val="bottom"/>
            <w:shd w:val="clear" w:color="auto" w:fill="FB1717"/>
          </w:tcPr>
          <w:p>
            <w:pPr>
              <w:spacing w:after="0"/>
              <w:rPr>
                <w:sz w:val="24"/>
                <w:szCs w:val="24"/>
                <w:color w:val="auto"/>
              </w:rPr>
            </w:pPr>
          </w:p>
        </w:tc>
        <w:tc>
          <w:tcPr>
            <w:tcW w:w="1380" w:type="dxa"/>
            <w:vAlign w:val="bottom"/>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Executive</w:t>
            </w:r>
          </w:p>
        </w:tc>
        <w:tc>
          <w:tcPr>
            <w:tcW w:w="560" w:type="dxa"/>
            <w:vAlign w:val="bottom"/>
            <w:shd w:val="clear" w:color="auto" w:fill="FB1717"/>
          </w:tcPr>
          <w:p>
            <w:pPr>
              <w:spacing w:after="0"/>
              <w:rPr>
                <w:sz w:val="24"/>
                <w:szCs w:val="24"/>
                <w:color w:val="auto"/>
              </w:rPr>
            </w:pPr>
          </w:p>
        </w:tc>
        <w:tc>
          <w:tcPr>
            <w:tcW w:w="1300" w:type="dxa"/>
            <w:vAlign w:val="bottom"/>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Registrant</w:t>
            </w:r>
          </w:p>
        </w:tc>
        <w:tc>
          <w:tcPr>
            <w:tcW w:w="300" w:type="dxa"/>
            <w:vAlign w:val="bottom"/>
            <w:shd w:val="clear" w:color="auto" w:fill="FB1717"/>
          </w:tcPr>
          <w:p>
            <w:pPr>
              <w:spacing w:after="0"/>
              <w:rPr>
                <w:sz w:val="24"/>
                <w:szCs w:val="24"/>
                <w:color w:val="auto"/>
              </w:rPr>
            </w:pPr>
          </w:p>
        </w:tc>
        <w:tc>
          <w:tcPr>
            <w:tcW w:w="1120" w:type="dxa"/>
            <w:vAlign w:val="bottom"/>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Aggregate</w:t>
            </w:r>
          </w:p>
        </w:tc>
        <w:tc>
          <w:tcPr>
            <w:tcW w:w="140" w:type="dxa"/>
            <w:vAlign w:val="bottom"/>
            <w:shd w:val="clear" w:color="auto" w:fill="FB1717"/>
          </w:tcPr>
          <w:p>
            <w:pPr>
              <w:spacing w:after="0"/>
              <w:rPr>
                <w:sz w:val="24"/>
                <w:szCs w:val="24"/>
                <w:color w:val="auto"/>
              </w:rPr>
            </w:pPr>
          </w:p>
        </w:tc>
        <w:tc>
          <w:tcPr>
            <w:tcW w:w="1140" w:type="dxa"/>
            <w:vAlign w:val="bottom"/>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Aggregate</w:t>
            </w:r>
          </w:p>
        </w:tc>
        <w:tc>
          <w:tcPr>
            <w:tcW w:w="320" w:type="dxa"/>
            <w:vAlign w:val="bottom"/>
            <w:shd w:val="clear" w:color="auto" w:fill="FB1717"/>
          </w:tcPr>
          <w:p>
            <w:pPr>
              <w:spacing w:after="0"/>
              <w:rPr>
                <w:sz w:val="24"/>
                <w:szCs w:val="24"/>
                <w:color w:val="auto"/>
              </w:rPr>
            </w:pPr>
          </w:p>
        </w:tc>
        <w:tc>
          <w:tcPr>
            <w:tcW w:w="1060" w:type="dxa"/>
            <w:vAlign w:val="bottom"/>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Aggregate</w:t>
            </w:r>
          </w:p>
        </w:tc>
      </w:tr>
      <w:tr>
        <w:trPr>
          <w:trHeight w:val="240"/>
        </w:trPr>
        <w:tc>
          <w:tcPr>
            <w:tcW w:w="1500" w:type="dxa"/>
            <w:vAlign w:val="bottom"/>
            <w:shd w:val="clear" w:color="auto" w:fill="FB1717"/>
          </w:tcPr>
          <w:p>
            <w:pPr>
              <w:spacing w:after="0"/>
              <w:rPr>
                <w:sz w:val="20"/>
                <w:szCs w:val="20"/>
                <w:color w:val="auto"/>
              </w:rPr>
            </w:pPr>
          </w:p>
        </w:tc>
        <w:tc>
          <w:tcPr>
            <w:tcW w:w="1100" w:type="dxa"/>
            <w:vAlign w:val="bottom"/>
            <w:shd w:val="clear" w:color="auto" w:fill="FB1717"/>
          </w:tcPr>
          <w:p>
            <w:pPr>
              <w:spacing w:after="0"/>
              <w:rPr>
                <w:sz w:val="20"/>
                <w:szCs w:val="20"/>
                <w:color w:val="auto"/>
              </w:rPr>
            </w:pPr>
          </w:p>
        </w:tc>
        <w:tc>
          <w:tcPr>
            <w:tcW w:w="160" w:type="dxa"/>
            <w:vAlign w:val="bottom"/>
            <w:shd w:val="clear" w:color="auto" w:fill="FB1717"/>
          </w:tcPr>
          <w:p>
            <w:pPr>
              <w:spacing w:after="0"/>
              <w:rPr>
                <w:sz w:val="20"/>
                <w:szCs w:val="20"/>
                <w:color w:val="auto"/>
              </w:rPr>
            </w:pPr>
          </w:p>
        </w:tc>
        <w:tc>
          <w:tcPr>
            <w:tcW w:w="1380" w:type="dxa"/>
            <w:vAlign w:val="bottom"/>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w w:val="96"/>
              </w:rPr>
              <w:t>Contributions in</w:t>
            </w:r>
          </w:p>
        </w:tc>
        <w:tc>
          <w:tcPr>
            <w:tcW w:w="1860" w:type="dxa"/>
            <w:vAlign w:val="bottom"/>
            <w:gridSpan w:val="2"/>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rPr>
              <w:t>Contributions in Last</w:t>
            </w:r>
          </w:p>
        </w:tc>
        <w:tc>
          <w:tcPr>
            <w:tcW w:w="300" w:type="dxa"/>
            <w:vAlign w:val="bottom"/>
            <w:shd w:val="clear" w:color="auto" w:fill="FB1717"/>
          </w:tcPr>
          <w:p>
            <w:pPr>
              <w:spacing w:after="0"/>
              <w:rPr>
                <w:sz w:val="20"/>
                <w:szCs w:val="20"/>
                <w:color w:val="auto"/>
              </w:rPr>
            </w:pPr>
          </w:p>
        </w:tc>
        <w:tc>
          <w:tcPr>
            <w:tcW w:w="1120" w:type="dxa"/>
            <w:vAlign w:val="bottom"/>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rPr>
              <w:t>Earnings in</w:t>
            </w:r>
          </w:p>
        </w:tc>
        <w:tc>
          <w:tcPr>
            <w:tcW w:w="1280" w:type="dxa"/>
            <w:vAlign w:val="bottom"/>
            <w:gridSpan w:val="2"/>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rPr>
              <w:t>Withdrawals/</w:t>
            </w:r>
          </w:p>
        </w:tc>
        <w:tc>
          <w:tcPr>
            <w:tcW w:w="1380" w:type="dxa"/>
            <w:vAlign w:val="bottom"/>
            <w:gridSpan w:val="2"/>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rPr>
              <w:t>Balance at Last</w:t>
            </w:r>
          </w:p>
        </w:tc>
      </w:tr>
      <w:tr>
        <w:trPr>
          <w:trHeight w:val="264"/>
        </w:trPr>
        <w:tc>
          <w:tcPr>
            <w:tcW w:w="2600" w:type="dxa"/>
            <w:vAlign w:val="bottom"/>
            <w:gridSpan w:val="2"/>
            <w:shd w:val="clear" w:color="auto" w:fill="FB1717"/>
          </w:tcPr>
          <w:p>
            <w:pPr>
              <w:ind w:left="60"/>
              <w:spacing w:after="0" w:line="240" w:lineRule="exact"/>
              <w:rPr>
                <w:sz w:val="20"/>
                <w:szCs w:val="20"/>
                <w:color w:val="auto"/>
              </w:rPr>
            </w:pPr>
            <w:r>
              <w:rPr>
                <w:rFonts w:ascii="Calibri" w:cs="Calibri" w:eastAsia="Calibri" w:hAnsi="Calibri"/>
                <w:sz w:val="20"/>
                <w:szCs w:val="20"/>
                <w:b w:val="1"/>
                <w:bCs w:val="1"/>
                <w:color w:val="E9E8E3"/>
              </w:rPr>
              <w:t>Name</w:t>
            </w:r>
          </w:p>
        </w:tc>
        <w:tc>
          <w:tcPr>
            <w:tcW w:w="1540" w:type="dxa"/>
            <w:vAlign w:val="bottom"/>
            <w:gridSpan w:val="2"/>
            <w:shd w:val="clear" w:color="auto" w:fill="FB1717"/>
          </w:tcPr>
          <w:p>
            <w:pPr>
              <w:jc w:val="right"/>
              <w:spacing w:after="0" w:line="264" w:lineRule="exact"/>
              <w:rPr>
                <w:sz w:val="20"/>
                <w:szCs w:val="20"/>
                <w:color w:val="auto"/>
              </w:rPr>
            </w:pPr>
            <w:r>
              <w:rPr>
                <w:rFonts w:ascii="Calibri" w:cs="Calibri" w:eastAsia="Calibri" w:hAnsi="Calibri"/>
                <w:sz w:val="20"/>
                <w:szCs w:val="20"/>
                <w:b w:val="1"/>
                <w:bCs w:val="1"/>
                <w:color w:val="FFFFFF"/>
              </w:rPr>
              <w:t>Last Fiscal Year</w:t>
            </w:r>
            <w:r>
              <w:rPr>
                <w:rFonts w:ascii="Calibri" w:cs="Calibri" w:eastAsia="Calibri" w:hAnsi="Calibri"/>
                <w:sz w:val="25"/>
                <w:szCs w:val="25"/>
                <w:b w:val="1"/>
                <w:bCs w:val="1"/>
                <w:color w:val="FFFFFF"/>
                <w:vertAlign w:val="superscript"/>
              </w:rPr>
              <w:t>(1)</w:t>
            </w:r>
          </w:p>
        </w:tc>
        <w:tc>
          <w:tcPr>
            <w:tcW w:w="560" w:type="dxa"/>
            <w:vAlign w:val="bottom"/>
            <w:shd w:val="clear" w:color="auto" w:fill="FB1717"/>
          </w:tcPr>
          <w:p>
            <w:pPr>
              <w:spacing w:after="0"/>
              <w:rPr>
                <w:sz w:val="22"/>
                <w:szCs w:val="22"/>
                <w:color w:val="auto"/>
              </w:rPr>
            </w:pPr>
          </w:p>
        </w:tc>
        <w:tc>
          <w:tcPr>
            <w:tcW w:w="1300" w:type="dxa"/>
            <w:vAlign w:val="bottom"/>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rPr>
              <w:t>Fiscal Year</w:t>
            </w:r>
          </w:p>
        </w:tc>
        <w:tc>
          <w:tcPr>
            <w:tcW w:w="1420" w:type="dxa"/>
            <w:vAlign w:val="bottom"/>
            <w:gridSpan w:val="2"/>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rPr>
              <w:t>Last Fiscal Year</w:t>
            </w:r>
          </w:p>
        </w:tc>
        <w:tc>
          <w:tcPr>
            <w:tcW w:w="140" w:type="dxa"/>
            <w:vAlign w:val="bottom"/>
            <w:shd w:val="clear" w:color="auto" w:fill="FB1717"/>
          </w:tcPr>
          <w:p>
            <w:pPr>
              <w:spacing w:after="0"/>
              <w:rPr>
                <w:sz w:val="22"/>
                <w:szCs w:val="22"/>
                <w:color w:val="auto"/>
              </w:rPr>
            </w:pPr>
          </w:p>
        </w:tc>
        <w:tc>
          <w:tcPr>
            <w:tcW w:w="1140" w:type="dxa"/>
            <w:vAlign w:val="bottom"/>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w w:val="98"/>
              </w:rPr>
              <w:t>Distributions</w:t>
            </w:r>
          </w:p>
        </w:tc>
        <w:tc>
          <w:tcPr>
            <w:tcW w:w="1380" w:type="dxa"/>
            <w:vAlign w:val="bottom"/>
            <w:gridSpan w:val="2"/>
            <w:shd w:val="clear" w:color="auto" w:fill="FB1717"/>
          </w:tcPr>
          <w:p>
            <w:pPr>
              <w:jc w:val="right"/>
              <w:spacing w:after="0" w:line="240" w:lineRule="exact"/>
              <w:rPr>
                <w:sz w:val="20"/>
                <w:szCs w:val="20"/>
                <w:color w:val="auto"/>
              </w:rPr>
            </w:pPr>
            <w:r>
              <w:rPr>
                <w:rFonts w:ascii="Calibri" w:cs="Calibri" w:eastAsia="Calibri" w:hAnsi="Calibri"/>
                <w:sz w:val="20"/>
                <w:szCs w:val="20"/>
                <w:b w:val="1"/>
                <w:bCs w:val="1"/>
                <w:color w:val="FFFFFF"/>
              </w:rPr>
              <w:t>Fiscal Year-End</w:t>
            </w:r>
          </w:p>
        </w:tc>
      </w:tr>
      <w:tr>
        <w:trPr>
          <w:trHeight w:val="276"/>
        </w:trPr>
        <w:tc>
          <w:tcPr>
            <w:tcW w:w="260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Donald C. Wood</w:t>
            </w:r>
          </w:p>
        </w:tc>
        <w:tc>
          <w:tcPr>
            <w:tcW w:w="1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color w:val="auto"/>
              </w:rPr>
              <w:t>250,000</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(2,126,341)</w:t>
            </w:r>
          </w:p>
        </w:tc>
        <w:tc>
          <w:tcPr>
            <w:tcW w:w="1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320" w:type="dxa"/>
            <w:vAlign w:val="bottom"/>
          </w:tcPr>
          <w:p>
            <w:pPr>
              <w:jc w:val="right"/>
              <w:ind w:right="61"/>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color w:val="auto"/>
              </w:rPr>
              <w:t>8,949,810</w:t>
            </w:r>
          </w:p>
        </w:tc>
      </w:tr>
      <w:tr>
        <w:trPr>
          <w:trHeight w:val="300"/>
        </w:trPr>
        <w:tc>
          <w:tcPr>
            <w:tcW w:w="260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Jeffrey S. Berkes</w:t>
            </w:r>
          </w:p>
        </w:tc>
        <w:tc>
          <w:tcPr>
            <w:tcW w:w="1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color w:val="auto"/>
              </w:rPr>
              <w:t>269,531</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(52,677)</w:t>
            </w:r>
          </w:p>
        </w:tc>
        <w:tc>
          <w:tcPr>
            <w:tcW w:w="1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320" w:type="dxa"/>
            <w:vAlign w:val="bottom"/>
          </w:tcPr>
          <w:p>
            <w:pPr>
              <w:jc w:val="right"/>
              <w:ind w:right="61"/>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color w:val="auto"/>
              </w:rPr>
              <w:t>382,048</w:t>
            </w:r>
          </w:p>
        </w:tc>
      </w:tr>
      <w:tr>
        <w:trPr>
          <w:trHeight w:val="304"/>
        </w:trPr>
        <w:tc>
          <w:tcPr>
            <w:tcW w:w="2600" w:type="dxa"/>
            <w:vAlign w:val="bottom"/>
            <w:tcBorders>
              <w:bottom w:val="single" w:sz="8" w:color="D9D9D9"/>
            </w:tcBorders>
            <w:gridSpan w:val="2"/>
            <w:shd w:val="clear" w:color="auto" w:fill="D9D9D9"/>
          </w:tcPr>
          <w:p>
            <w:pPr>
              <w:ind w:left="60"/>
              <w:spacing w:after="0"/>
              <w:rPr>
                <w:sz w:val="20"/>
                <w:szCs w:val="20"/>
                <w:color w:val="auto"/>
              </w:rPr>
            </w:pPr>
            <w:r>
              <w:rPr>
                <w:rFonts w:ascii="Calibri" w:cs="Calibri" w:eastAsia="Calibri" w:hAnsi="Calibri"/>
                <w:sz w:val="20"/>
                <w:szCs w:val="20"/>
                <w:color w:val="auto"/>
              </w:rPr>
              <w:t>Dawn M. Becker</w:t>
            </w:r>
          </w:p>
        </w:tc>
        <w:tc>
          <w:tcPr>
            <w:tcW w:w="1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color w:val="auto"/>
              </w:rPr>
              <w:t>57,500</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(456,259)</w:t>
            </w:r>
          </w:p>
        </w:tc>
        <w:tc>
          <w:tcPr>
            <w:tcW w:w="1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320" w:type="dxa"/>
            <w:vAlign w:val="bottom"/>
          </w:tcPr>
          <w:p>
            <w:pPr>
              <w:jc w:val="right"/>
              <w:ind w:right="61"/>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color w:val="auto"/>
              </w:rPr>
              <w:t>2,060,810</w:t>
            </w:r>
          </w:p>
        </w:tc>
      </w:tr>
      <w:tr>
        <w:trPr>
          <w:trHeight w:val="150"/>
        </w:trPr>
        <w:tc>
          <w:tcPr>
            <w:tcW w:w="150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55" w:lineRule="exact"/>
        <w:rPr>
          <w:sz w:val="20"/>
          <w:szCs w:val="20"/>
          <w:color w:val="auto"/>
        </w:rPr>
      </w:pPr>
    </w:p>
    <w:p>
      <w:pPr>
        <w:ind w:left="480" w:hanging="360"/>
        <w:spacing w:after="0" w:line="214" w:lineRule="auto"/>
        <w:tabs>
          <w:tab w:leader="none" w:pos="480" w:val="left"/>
        </w:tabs>
        <w:numPr>
          <w:ilvl w:val="1"/>
          <w:numId w:val="141"/>
        </w:numPr>
        <w:rPr>
          <w:rFonts w:ascii="Arial" w:cs="Arial" w:eastAsia="Arial" w:hAnsi="Arial"/>
          <w:sz w:val="23"/>
          <w:szCs w:val="23"/>
          <w:color w:val="auto"/>
          <w:vertAlign w:val="superscript"/>
        </w:rPr>
      </w:pPr>
      <w:r>
        <w:rPr>
          <w:rFonts w:ascii="Arial" w:cs="Arial" w:eastAsia="Arial" w:hAnsi="Arial"/>
          <w:sz w:val="18"/>
          <w:szCs w:val="18"/>
          <w:color w:val="auto"/>
        </w:rPr>
        <w:t>All amounts in this column are included in either the “Salary” or “Non-Equity Incentive Plan Compensation” column of the Summary Compensation Table for 2022.</w:t>
      </w:r>
    </w:p>
    <w:p>
      <w:pPr>
        <w:spacing w:after="0" w:line="251" w:lineRule="exact"/>
        <w:rPr>
          <w:rFonts w:ascii="Arial" w:cs="Arial" w:eastAsia="Arial" w:hAnsi="Arial"/>
          <w:sz w:val="23"/>
          <w:szCs w:val="23"/>
          <w:color w:val="auto"/>
          <w:vertAlign w:val="superscript"/>
        </w:rPr>
      </w:pPr>
    </w:p>
    <w:p>
      <w:pPr>
        <w:spacing w:after="0" w:line="268" w:lineRule="exact"/>
        <w:rPr>
          <w:rFonts w:ascii="Arial" w:cs="Arial" w:eastAsia="Arial" w:hAnsi="Arial"/>
          <w:sz w:val="23"/>
          <w:szCs w:val="23"/>
          <w:color w:val="auto"/>
          <w:vertAlign w:val="superscript"/>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POTENTIAL PAYMENTS ON TERMINATION OF EMPLOYMENT AND CHANGE-IN-CONTROL</w:t>
      </w:r>
    </w:p>
    <w:p>
      <w:pPr>
        <w:spacing w:after="0" w:line="29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have entered into severance agreements with each of our NEOs that require us to make certain payments and provide certain benefits to them in the event of a termination of employment or change in control of the Company.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partial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6400800" cy="17780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33" o:spid="_x0000_s1558" style="position:absolute;margin-left:0pt;margin-top:9.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125095</wp:posOffset>
                </wp:positionV>
                <wp:extent cx="0" cy="17780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85pt" to="0.75pt,23.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400800"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pt" to="504pt,10.6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125095</wp:posOffset>
                </wp:positionV>
                <wp:extent cx="0" cy="17780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85pt" to="503.25pt,23.8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293370</wp:posOffset>
                </wp:positionV>
                <wp:extent cx="6400800"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pt" to="504pt,23.1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4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34</w:t>
      </w:r>
    </w:p>
    <w:p>
      <w:pPr>
        <w:sectPr>
          <w:pgSz w:w="11880" w:h="15480" w:orient="portrait"/>
          <w:cols w:equalWidth="0" w:num="1">
            <w:col w:w="10080"/>
          </w:cols>
          <w:pgMar w:left="900" w:top="1272" w:right="900" w:bottom="764" w:gutter="0" w:footer="0" w:header="0"/>
          <w:type w:val="continuous"/>
        </w:sectPr>
      </w:pPr>
    </w:p>
    <w:bookmarkStart w:id="154" w:name="page155"/>
    <w:bookmarkEnd w:id="154"/>
    <w:p>
      <w:pPr>
        <w:ind w:right="60"/>
        <w:spacing w:after="0" w:line="243" w:lineRule="auto"/>
        <w:rPr>
          <w:sz w:val="20"/>
          <w:szCs w:val="20"/>
          <w:color w:val="auto"/>
        </w:rPr>
      </w:pPr>
      <w:r>
        <w:rPr>
          <w:rFonts w:ascii="Arial" w:cs="Arial" w:eastAsia="Arial" w:hAnsi="Arial"/>
          <w:sz w:val="20"/>
          <w:szCs w:val="20"/>
          <w:color w:val="auto"/>
        </w:rPr>
        <w:t>be made to an NEO on termination vary depending on the reason for termination and may be conditioned on the signing of a release in favor of the Company.</w:t>
      </w:r>
    </w:p>
    <w:p>
      <w:pPr>
        <w:spacing w:after="0" w:line="21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amount of compensation payable to each of our NEOs under various termination scenarios is reflected below assuming that the separation of service was effective on December 31,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0" w:type="dxa"/>
            <w:vAlign w:val="bottom"/>
            <w:shd w:val="clear" w:color="auto" w:fill="FB1717"/>
          </w:tcPr>
          <w:p>
            <w:pPr>
              <w:spacing w:after="0"/>
              <w:rPr>
                <w:sz w:val="21"/>
                <w:szCs w:val="21"/>
                <w:color w:val="auto"/>
              </w:rPr>
            </w:pPr>
          </w:p>
        </w:tc>
        <w:tc>
          <w:tcPr>
            <w:tcW w:w="600" w:type="dxa"/>
            <w:vAlign w:val="bottom"/>
            <w:shd w:val="clear" w:color="auto" w:fill="FB1717"/>
          </w:tcPr>
          <w:p>
            <w:pPr>
              <w:spacing w:after="0"/>
              <w:rPr>
                <w:sz w:val="21"/>
                <w:szCs w:val="21"/>
                <w:color w:val="auto"/>
              </w:rPr>
            </w:pPr>
          </w:p>
        </w:tc>
        <w:tc>
          <w:tcPr>
            <w:tcW w:w="1920" w:type="dxa"/>
            <w:vAlign w:val="bottom"/>
            <w:shd w:val="clear" w:color="auto" w:fill="FB1717"/>
          </w:tcPr>
          <w:p>
            <w:pPr>
              <w:spacing w:after="0"/>
              <w:rPr>
                <w:sz w:val="21"/>
                <w:szCs w:val="21"/>
                <w:color w:val="auto"/>
              </w:rPr>
            </w:pPr>
          </w:p>
        </w:tc>
        <w:tc>
          <w:tcPr>
            <w:tcW w:w="300" w:type="dxa"/>
            <w:vAlign w:val="bottom"/>
            <w:shd w:val="clear" w:color="auto" w:fill="FB1717"/>
          </w:tcPr>
          <w:p>
            <w:pPr>
              <w:spacing w:after="0"/>
              <w:rPr>
                <w:sz w:val="21"/>
                <w:szCs w:val="21"/>
                <w:color w:val="auto"/>
              </w:rPr>
            </w:pPr>
          </w:p>
        </w:tc>
        <w:tc>
          <w:tcPr>
            <w:tcW w:w="940" w:type="dxa"/>
            <w:vAlign w:val="bottom"/>
            <w:shd w:val="clear" w:color="auto" w:fill="FB1717"/>
          </w:tcPr>
          <w:p>
            <w:pPr>
              <w:spacing w:after="0"/>
              <w:rPr>
                <w:sz w:val="21"/>
                <w:szCs w:val="21"/>
                <w:color w:val="auto"/>
              </w:rPr>
            </w:pPr>
          </w:p>
        </w:tc>
        <w:tc>
          <w:tcPr>
            <w:tcW w:w="320" w:type="dxa"/>
            <w:vAlign w:val="bottom"/>
            <w:shd w:val="clear" w:color="auto" w:fill="FB1717"/>
          </w:tcPr>
          <w:p>
            <w:pPr>
              <w:spacing w:after="0"/>
              <w:rPr>
                <w:sz w:val="21"/>
                <w:szCs w:val="21"/>
                <w:color w:val="auto"/>
              </w:rPr>
            </w:pPr>
          </w:p>
        </w:tc>
        <w:tc>
          <w:tcPr>
            <w:tcW w:w="1120" w:type="dxa"/>
            <w:vAlign w:val="bottom"/>
            <w:shd w:val="clear" w:color="auto" w:fill="FB1717"/>
          </w:tcPr>
          <w:p>
            <w:pPr>
              <w:spacing w:after="0"/>
              <w:rPr>
                <w:sz w:val="21"/>
                <w:szCs w:val="21"/>
                <w:color w:val="auto"/>
              </w:rPr>
            </w:pPr>
          </w:p>
        </w:tc>
        <w:tc>
          <w:tcPr>
            <w:tcW w:w="1400" w:type="dxa"/>
            <w:vAlign w:val="bottom"/>
            <w:gridSpan w:val="2"/>
            <w:shd w:val="clear" w:color="auto" w:fill="FB1717"/>
          </w:tcPr>
          <w:p>
            <w:pPr>
              <w:jc w:val="right"/>
              <w:ind w:right="183"/>
              <w:spacing w:after="0"/>
              <w:rPr>
                <w:sz w:val="20"/>
                <w:szCs w:val="20"/>
                <w:color w:val="auto"/>
              </w:rPr>
            </w:pPr>
            <w:r>
              <w:rPr>
                <w:rFonts w:ascii="Calibri" w:cs="Calibri" w:eastAsia="Calibri" w:hAnsi="Calibri"/>
                <w:sz w:val="20"/>
                <w:szCs w:val="20"/>
                <w:b w:val="1"/>
                <w:bCs w:val="1"/>
                <w:color w:val="FFFFFF"/>
              </w:rPr>
              <w:t>Change-in-</w:t>
            </w:r>
          </w:p>
        </w:tc>
        <w:tc>
          <w:tcPr>
            <w:tcW w:w="260" w:type="dxa"/>
            <w:vAlign w:val="bottom"/>
            <w:shd w:val="clear" w:color="auto" w:fill="FB1717"/>
          </w:tcPr>
          <w:p>
            <w:pPr>
              <w:spacing w:after="0"/>
              <w:rPr>
                <w:sz w:val="21"/>
                <w:szCs w:val="21"/>
                <w:color w:val="auto"/>
              </w:rPr>
            </w:pPr>
          </w:p>
        </w:tc>
        <w:tc>
          <w:tcPr>
            <w:tcW w:w="1060" w:type="dxa"/>
            <w:vAlign w:val="bottom"/>
            <w:shd w:val="clear" w:color="auto" w:fill="FB1717"/>
          </w:tcPr>
          <w:p>
            <w:pPr>
              <w:spacing w:after="0"/>
              <w:rPr>
                <w:sz w:val="21"/>
                <w:szCs w:val="21"/>
                <w:color w:val="auto"/>
              </w:rPr>
            </w:pPr>
          </w:p>
        </w:tc>
        <w:tc>
          <w:tcPr>
            <w:tcW w:w="240" w:type="dxa"/>
            <w:vAlign w:val="bottom"/>
            <w:shd w:val="clear" w:color="auto" w:fill="FB1717"/>
          </w:tcPr>
          <w:p>
            <w:pPr>
              <w:spacing w:after="0"/>
              <w:rPr>
                <w:sz w:val="21"/>
                <w:szCs w:val="21"/>
                <w:color w:val="auto"/>
              </w:rPr>
            </w:pPr>
          </w:p>
        </w:tc>
        <w:tc>
          <w:tcPr>
            <w:tcW w:w="1020" w:type="dxa"/>
            <w:vAlign w:val="bottom"/>
            <w:shd w:val="clear" w:color="auto" w:fill="FB1717"/>
          </w:tcPr>
          <w:p>
            <w:pPr>
              <w:spacing w:after="0"/>
              <w:rPr>
                <w:sz w:val="21"/>
                <w:szCs w:val="21"/>
                <w:color w:val="auto"/>
              </w:rPr>
            </w:pPr>
          </w:p>
        </w:tc>
      </w:tr>
      <w:tr>
        <w:trPr>
          <w:trHeight w:val="200"/>
        </w:trPr>
        <w:tc>
          <w:tcPr>
            <w:tcW w:w="960" w:type="dxa"/>
            <w:vAlign w:val="bottom"/>
            <w:shd w:val="clear" w:color="auto" w:fill="FB1717"/>
          </w:tcPr>
          <w:p>
            <w:pPr>
              <w:spacing w:after="0"/>
              <w:rPr>
                <w:sz w:val="17"/>
                <w:szCs w:val="17"/>
                <w:color w:val="auto"/>
              </w:rPr>
            </w:pPr>
          </w:p>
        </w:tc>
        <w:tc>
          <w:tcPr>
            <w:tcW w:w="600" w:type="dxa"/>
            <w:vAlign w:val="bottom"/>
            <w:shd w:val="clear" w:color="auto" w:fill="FB1717"/>
          </w:tcPr>
          <w:p>
            <w:pPr>
              <w:spacing w:after="0"/>
              <w:rPr>
                <w:sz w:val="17"/>
                <w:szCs w:val="17"/>
                <w:color w:val="auto"/>
              </w:rPr>
            </w:pPr>
          </w:p>
        </w:tc>
        <w:tc>
          <w:tcPr>
            <w:tcW w:w="1920" w:type="dxa"/>
            <w:vAlign w:val="bottom"/>
            <w:shd w:val="clear" w:color="auto" w:fill="FB1717"/>
          </w:tcPr>
          <w:p>
            <w:pPr>
              <w:spacing w:after="0"/>
              <w:rPr>
                <w:sz w:val="17"/>
                <w:szCs w:val="17"/>
                <w:color w:val="auto"/>
              </w:rPr>
            </w:pPr>
          </w:p>
        </w:tc>
        <w:tc>
          <w:tcPr>
            <w:tcW w:w="1240" w:type="dxa"/>
            <w:vAlign w:val="bottom"/>
            <w:gridSpan w:val="2"/>
            <w:shd w:val="clear" w:color="auto" w:fill="FB1717"/>
          </w:tcPr>
          <w:p>
            <w:pPr>
              <w:jc w:val="right"/>
              <w:ind w:right="143"/>
              <w:spacing w:after="0" w:line="200" w:lineRule="exact"/>
              <w:rPr>
                <w:sz w:val="20"/>
                <w:szCs w:val="20"/>
                <w:color w:val="auto"/>
              </w:rPr>
            </w:pPr>
            <w:r>
              <w:rPr>
                <w:rFonts w:ascii="Calibri" w:cs="Calibri" w:eastAsia="Calibri" w:hAnsi="Calibri"/>
                <w:sz w:val="20"/>
                <w:szCs w:val="20"/>
                <w:b w:val="1"/>
                <w:bCs w:val="1"/>
                <w:color w:val="FFFFFF"/>
              </w:rPr>
              <w:t>For Cause</w:t>
            </w:r>
          </w:p>
        </w:tc>
        <w:tc>
          <w:tcPr>
            <w:tcW w:w="1440" w:type="dxa"/>
            <w:vAlign w:val="bottom"/>
            <w:gridSpan w:val="2"/>
            <w:shd w:val="clear" w:color="auto" w:fill="FB1717"/>
          </w:tcPr>
          <w:p>
            <w:pPr>
              <w:ind w:left="220"/>
              <w:spacing w:after="0" w:line="200" w:lineRule="exact"/>
              <w:rPr>
                <w:sz w:val="20"/>
                <w:szCs w:val="20"/>
                <w:color w:val="auto"/>
              </w:rPr>
            </w:pPr>
            <w:r>
              <w:rPr>
                <w:rFonts w:ascii="Calibri" w:cs="Calibri" w:eastAsia="Calibri" w:hAnsi="Calibri"/>
                <w:sz w:val="20"/>
                <w:szCs w:val="20"/>
                <w:b w:val="1"/>
                <w:bCs w:val="1"/>
                <w:color w:val="FFFFFF"/>
              </w:rPr>
              <w:t>Termination</w:t>
            </w:r>
          </w:p>
        </w:tc>
        <w:tc>
          <w:tcPr>
            <w:tcW w:w="300" w:type="dxa"/>
            <w:vAlign w:val="bottom"/>
            <w:shd w:val="clear" w:color="auto" w:fill="FB1717"/>
          </w:tcPr>
          <w:p>
            <w:pPr>
              <w:spacing w:after="0"/>
              <w:rPr>
                <w:sz w:val="17"/>
                <w:szCs w:val="17"/>
                <w:color w:val="auto"/>
              </w:rPr>
            </w:pPr>
          </w:p>
        </w:tc>
        <w:tc>
          <w:tcPr>
            <w:tcW w:w="1100" w:type="dxa"/>
            <w:vAlign w:val="bottom"/>
            <w:shd w:val="clear" w:color="auto" w:fill="FB1717"/>
          </w:tcPr>
          <w:p>
            <w:pPr>
              <w:jc w:val="right"/>
              <w:ind w:right="303"/>
              <w:spacing w:after="0" w:line="200" w:lineRule="exact"/>
              <w:rPr>
                <w:sz w:val="20"/>
                <w:szCs w:val="20"/>
                <w:color w:val="auto"/>
              </w:rPr>
            </w:pPr>
            <w:r>
              <w:rPr>
                <w:rFonts w:ascii="Calibri" w:cs="Calibri" w:eastAsia="Calibri" w:hAnsi="Calibri"/>
                <w:sz w:val="20"/>
                <w:szCs w:val="20"/>
                <w:b w:val="1"/>
                <w:bCs w:val="1"/>
                <w:color w:val="FFFFFF"/>
              </w:rPr>
              <w:t>Control</w:t>
            </w:r>
          </w:p>
        </w:tc>
        <w:tc>
          <w:tcPr>
            <w:tcW w:w="2580" w:type="dxa"/>
            <w:vAlign w:val="bottom"/>
            <w:gridSpan w:val="4"/>
            <w:shd w:val="clear" w:color="auto" w:fill="FB1717"/>
          </w:tcPr>
          <w:p>
            <w:pPr>
              <w:jc w:val="right"/>
              <w:spacing w:after="0" w:line="200" w:lineRule="exact"/>
              <w:rPr>
                <w:sz w:val="20"/>
                <w:szCs w:val="20"/>
                <w:color w:val="auto"/>
              </w:rPr>
            </w:pPr>
            <w:r>
              <w:rPr>
                <w:rFonts w:ascii="Calibri" w:cs="Calibri" w:eastAsia="Calibri" w:hAnsi="Calibri"/>
                <w:sz w:val="20"/>
                <w:szCs w:val="20"/>
                <w:b w:val="1"/>
                <w:bCs w:val="1"/>
                <w:color w:val="FFFFFF"/>
                <w:w w:val="98"/>
              </w:rPr>
              <w:t>Termination on Termination on</w:t>
            </w:r>
          </w:p>
        </w:tc>
      </w:tr>
      <w:tr>
        <w:trPr>
          <w:trHeight w:val="226"/>
        </w:trPr>
        <w:tc>
          <w:tcPr>
            <w:tcW w:w="1560" w:type="dxa"/>
            <w:vAlign w:val="bottom"/>
            <w:gridSpan w:val="2"/>
            <w:shd w:val="clear" w:color="auto" w:fill="FB1717"/>
          </w:tcPr>
          <w:p>
            <w:pPr>
              <w:spacing w:after="0" w:line="202" w:lineRule="exact"/>
              <w:rPr>
                <w:sz w:val="20"/>
                <w:szCs w:val="20"/>
                <w:color w:val="auto"/>
              </w:rPr>
            </w:pPr>
            <w:r>
              <w:rPr>
                <w:rFonts w:ascii="Calibri" w:cs="Calibri" w:eastAsia="Calibri" w:hAnsi="Calibri"/>
                <w:sz w:val="20"/>
                <w:szCs w:val="20"/>
                <w:b w:val="1"/>
                <w:bCs w:val="1"/>
                <w:color w:val="FFFFFF"/>
              </w:rPr>
              <w:t>Name</w:t>
            </w:r>
          </w:p>
        </w:tc>
        <w:tc>
          <w:tcPr>
            <w:tcW w:w="1920" w:type="dxa"/>
            <w:vAlign w:val="bottom"/>
            <w:shd w:val="clear" w:color="auto" w:fill="FB1717"/>
          </w:tcPr>
          <w:p>
            <w:pPr>
              <w:ind w:left="40"/>
              <w:spacing w:after="0" w:line="202" w:lineRule="exact"/>
              <w:rPr>
                <w:sz w:val="20"/>
                <w:szCs w:val="20"/>
                <w:color w:val="auto"/>
              </w:rPr>
            </w:pPr>
            <w:r>
              <w:rPr>
                <w:rFonts w:ascii="Calibri" w:cs="Calibri" w:eastAsia="Calibri" w:hAnsi="Calibri"/>
                <w:sz w:val="20"/>
                <w:szCs w:val="20"/>
                <w:b w:val="1"/>
                <w:bCs w:val="1"/>
                <w:color w:val="FFFFFF"/>
                <w:w w:val="99"/>
              </w:rPr>
              <w:t>Type of Compensation</w:t>
            </w:r>
          </w:p>
        </w:tc>
        <w:tc>
          <w:tcPr>
            <w:tcW w:w="1240" w:type="dxa"/>
            <w:vAlign w:val="bottom"/>
            <w:gridSpan w:val="2"/>
            <w:shd w:val="clear" w:color="auto" w:fill="FB1717"/>
          </w:tcPr>
          <w:p>
            <w:pPr>
              <w:jc w:val="right"/>
              <w:spacing w:after="0" w:line="226" w:lineRule="exact"/>
              <w:rPr>
                <w:sz w:val="20"/>
                <w:szCs w:val="20"/>
                <w:color w:val="auto"/>
              </w:rPr>
            </w:pPr>
            <w:r>
              <w:rPr>
                <w:rFonts w:ascii="Calibri" w:cs="Calibri" w:eastAsia="Calibri" w:hAnsi="Calibri"/>
                <w:sz w:val="19"/>
                <w:szCs w:val="19"/>
                <w:b w:val="1"/>
                <w:bCs w:val="1"/>
                <w:color w:val="FFFFFF"/>
              </w:rPr>
              <w:t>Termination</w:t>
            </w:r>
            <w:r>
              <w:rPr>
                <w:rFonts w:ascii="Calibri" w:cs="Calibri" w:eastAsia="Calibri" w:hAnsi="Calibri"/>
                <w:sz w:val="24"/>
                <w:szCs w:val="24"/>
                <w:b w:val="1"/>
                <w:bCs w:val="1"/>
                <w:color w:val="FFFFFF"/>
                <w:vertAlign w:val="superscript"/>
              </w:rPr>
              <w:t>(1)</w:t>
            </w:r>
          </w:p>
        </w:tc>
        <w:tc>
          <w:tcPr>
            <w:tcW w:w="1440" w:type="dxa"/>
            <w:vAlign w:val="bottom"/>
            <w:gridSpan w:val="2"/>
            <w:shd w:val="clear" w:color="auto" w:fill="FB1717"/>
          </w:tcPr>
          <w:p>
            <w:pPr>
              <w:jc w:val="right"/>
              <w:spacing w:after="0" w:line="226" w:lineRule="exact"/>
              <w:rPr>
                <w:sz w:val="20"/>
                <w:szCs w:val="20"/>
                <w:color w:val="auto"/>
              </w:rPr>
            </w:pPr>
            <w:r>
              <w:rPr>
                <w:rFonts w:ascii="Calibri" w:cs="Calibri" w:eastAsia="Calibri" w:hAnsi="Calibri"/>
                <w:sz w:val="19"/>
                <w:szCs w:val="19"/>
                <w:b w:val="1"/>
                <w:bCs w:val="1"/>
                <w:color w:val="FFFFFF"/>
              </w:rPr>
              <w:t>Without Cause</w:t>
            </w:r>
            <w:r>
              <w:rPr>
                <w:rFonts w:ascii="Calibri" w:cs="Calibri" w:eastAsia="Calibri" w:hAnsi="Calibri"/>
                <w:sz w:val="24"/>
                <w:szCs w:val="24"/>
                <w:b w:val="1"/>
                <w:bCs w:val="1"/>
                <w:color w:val="FFFFFF"/>
                <w:vertAlign w:val="superscript"/>
              </w:rPr>
              <w:t>(1)</w:t>
            </w:r>
          </w:p>
        </w:tc>
        <w:tc>
          <w:tcPr>
            <w:tcW w:w="1400" w:type="dxa"/>
            <w:vAlign w:val="bottom"/>
            <w:gridSpan w:val="2"/>
            <w:shd w:val="clear" w:color="auto" w:fill="FB1717"/>
          </w:tcPr>
          <w:p>
            <w:pPr>
              <w:jc w:val="right"/>
              <w:spacing w:after="0" w:line="226" w:lineRule="exact"/>
              <w:rPr>
                <w:sz w:val="20"/>
                <w:szCs w:val="20"/>
                <w:color w:val="auto"/>
              </w:rPr>
            </w:pPr>
            <w:r>
              <w:rPr>
                <w:rFonts w:ascii="Calibri" w:cs="Calibri" w:eastAsia="Calibri" w:hAnsi="Calibri"/>
                <w:sz w:val="19"/>
                <w:szCs w:val="19"/>
                <w:b w:val="1"/>
                <w:bCs w:val="1"/>
                <w:color w:val="FFFFFF"/>
                <w:w w:val="96"/>
              </w:rPr>
              <w:t>Termination</w:t>
            </w:r>
            <w:r>
              <w:rPr>
                <w:rFonts w:ascii="Calibri" w:cs="Calibri" w:eastAsia="Calibri" w:hAnsi="Calibri"/>
                <w:sz w:val="24"/>
                <w:szCs w:val="24"/>
                <w:b w:val="1"/>
                <w:bCs w:val="1"/>
                <w:color w:val="FFFFFF"/>
                <w:w w:val="96"/>
                <w:vertAlign w:val="superscript"/>
              </w:rPr>
              <w:t>(1) (5)</w:t>
            </w:r>
          </w:p>
        </w:tc>
        <w:tc>
          <w:tcPr>
            <w:tcW w:w="260" w:type="dxa"/>
            <w:vAlign w:val="bottom"/>
            <w:shd w:val="clear" w:color="auto" w:fill="FB1717"/>
          </w:tcPr>
          <w:p>
            <w:pPr>
              <w:spacing w:after="0"/>
              <w:rPr>
                <w:sz w:val="19"/>
                <w:szCs w:val="19"/>
                <w:color w:val="auto"/>
              </w:rPr>
            </w:pPr>
          </w:p>
        </w:tc>
        <w:tc>
          <w:tcPr>
            <w:tcW w:w="1060" w:type="dxa"/>
            <w:vAlign w:val="bottom"/>
            <w:shd w:val="clear" w:color="auto" w:fill="FB1717"/>
          </w:tcPr>
          <w:p>
            <w:pPr>
              <w:jc w:val="right"/>
              <w:ind w:right="263"/>
              <w:spacing w:after="0" w:line="226" w:lineRule="exact"/>
              <w:rPr>
                <w:sz w:val="20"/>
                <w:szCs w:val="20"/>
                <w:color w:val="auto"/>
              </w:rPr>
            </w:pPr>
            <w:r>
              <w:rPr>
                <w:rFonts w:ascii="Calibri" w:cs="Calibri" w:eastAsia="Calibri" w:hAnsi="Calibri"/>
                <w:sz w:val="19"/>
                <w:szCs w:val="19"/>
                <w:b w:val="1"/>
                <w:bCs w:val="1"/>
                <w:color w:val="FFFFFF"/>
              </w:rPr>
              <w:t>Death</w:t>
            </w:r>
            <w:r>
              <w:rPr>
                <w:rFonts w:ascii="Calibri" w:cs="Calibri" w:eastAsia="Calibri" w:hAnsi="Calibri"/>
                <w:sz w:val="24"/>
                <w:szCs w:val="24"/>
                <w:b w:val="1"/>
                <w:bCs w:val="1"/>
                <w:color w:val="FFFFFF"/>
                <w:vertAlign w:val="superscript"/>
              </w:rPr>
              <w:t>(1)</w:t>
            </w:r>
          </w:p>
        </w:tc>
        <w:tc>
          <w:tcPr>
            <w:tcW w:w="1260" w:type="dxa"/>
            <w:vAlign w:val="bottom"/>
            <w:gridSpan w:val="2"/>
            <w:shd w:val="clear" w:color="auto" w:fill="FB1717"/>
          </w:tcPr>
          <w:p>
            <w:pPr>
              <w:jc w:val="right"/>
              <w:ind w:right="83"/>
              <w:spacing w:after="0" w:line="226" w:lineRule="exact"/>
              <w:rPr>
                <w:sz w:val="20"/>
                <w:szCs w:val="20"/>
                <w:color w:val="auto"/>
              </w:rPr>
            </w:pPr>
            <w:r>
              <w:rPr>
                <w:rFonts w:ascii="Calibri" w:cs="Calibri" w:eastAsia="Calibri" w:hAnsi="Calibri"/>
                <w:sz w:val="19"/>
                <w:szCs w:val="19"/>
                <w:b w:val="1"/>
                <w:bCs w:val="1"/>
                <w:color w:val="FFFFFF"/>
              </w:rPr>
              <w:t>Disability</w:t>
            </w:r>
            <w:r>
              <w:rPr>
                <w:rFonts w:ascii="Calibri" w:cs="Calibri" w:eastAsia="Calibri" w:hAnsi="Calibri"/>
                <w:sz w:val="24"/>
                <w:szCs w:val="24"/>
                <w:b w:val="1"/>
                <w:bCs w:val="1"/>
                <w:color w:val="FFFFFF"/>
                <w:vertAlign w:val="superscript"/>
              </w:rPr>
              <w:t>(1)</w:t>
            </w:r>
          </w:p>
        </w:tc>
      </w:tr>
      <w:tr>
        <w:trPr>
          <w:trHeight w:val="275"/>
        </w:trPr>
        <w:tc>
          <w:tcPr>
            <w:tcW w:w="1560" w:type="dxa"/>
            <w:vAlign w:val="bottom"/>
            <w:gridSpan w:val="2"/>
          </w:tcPr>
          <w:p>
            <w:pPr>
              <w:spacing w:after="0"/>
              <w:rPr>
                <w:sz w:val="20"/>
                <w:szCs w:val="20"/>
                <w:color w:val="auto"/>
              </w:rPr>
            </w:pPr>
            <w:r>
              <w:rPr>
                <w:rFonts w:ascii="Calibri" w:cs="Calibri" w:eastAsia="Calibri" w:hAnsi="Calibri"/>
                <w:sz w:val="20"/>
                <w:szCs w:val="20"/>
                <w:color w:val="auto"/>
              </w:rPr>
              <w:t>Donald C. Wood</w:t>
            </w:r>
          </w:p>
        </w:tc>
        <w:tc>
          <w:tcPr>
            <w:tcW w:w="1920" w:type="dxa"/>
            <w:vAlign w:val="bottom"/>
            <w:tcBorders>
              <w:bottom w:val="single" w:sz="8" w:color="E6E6E6"/>
            </w:tcBorders>
            <w:shd w:val="clear" w:color="auto" w:fill="E6E6E6"/>
          </w:tcPr>
          <w:p>
            <w:pPr>
              <w:spacing w:after="0"/>
              <w:rPr>
                <w:sz w:val="20"/>
                <w:szCs w:val="20"/>
                <w:color w:val="auto"/>
              </w:rPr>
            </w:pPr>
            <w:r>
              <w:rPr>
                <w:rFonts w:ascii="Calibri" w:cs="Calibri" w:eastAsia="Calibri" w:hAnsi="Calibri"/>
                <w:sz w:val="20"/>
                <w:szCs w:val="20"/>
                <w:color w:val="auto"/>
                <w:w w:val="98"/>
              </w:rPr>
              <w:t>Cash Benefits (multiple)</w:t>
            </w:r>
          </w:p>
        </w:tc>
        <w:tc>
          <w:tcPr>
            <w:tcW w:w="30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jc w:val="right"/>
              <w:ind w:right="103"/>
              <w:spacing w:after="0"/>
              <w:rPr>
                <w:sz w:val="20"/>
                <w:szCs w:val="20"/>
                <w:color w:val="auto"/>
              </w:rPr>
            </w:pPr>
            <w:r>
              <w:rPr>
                <w:rFonts w:ascii="Calibri" w:cs="Calibri" w:eastAsia="Calibri" w:hAnsi="Calibri"/>
                <w:sz w:val="20"/>
                <w:szCs w:val="20"/>
                <w:color w:val="auto"/>
                <w:w w:val="93"/>
              </w:rPr>
              <w:t>6 months</w:t>
            </w:r>
          </w:p>
        </w:tc>
        <w:tc>
          <w:tcPr>
            <w:tcW w:w="320" w:type="dxa"/>
            <w:vAlign w:val="bottom"/>
            <w:tcBorders>
              <w:bottom w:val="single" w:sz="8" w:color="E6E6E6"/>
            </w:tcBorders>
            <w:shd w:val="clear" w:color="auto" w:fill="E6E6E6"/>
          </w:tcPr>
          <w:p>
            <w:pPr>
              <w:spacing w:after="0"/>
              <w:rPr>
                <w:sz w:val="23"/>
                <w:szCs w:val="23"/>
                <w:color w:val="auto"/>
              </w:rPr>
            </w:pPr>
          </w:p>
        </w:tc>
        <w:tc>
          <w:tcPr>
            <w:tcW w:w="1120" w:type="dxa"/>
            <w:vAlign w:val="bottom"/>
            <w:tcBorders>
              <w:bottom w:val="single" w:sz="8" w:color="E6E6E6"/>
            </w:tcBorders>
            <w:shd w:val="clear" w:color="auto" w:fill="E6E6E6"/>
          </w:tcPr>
          <w:p>
            <w:pPr>
              <w:jc w:val="right"/>
              <w:ind w:right="123"/>
              <w:spacing w:after="0"/>
              <w:rPr>
                <w:sz w:val="20"/>
                <w:szCs w:val="20"/>
                <w:color w:val="auto"/>
              </w:rPr>
            </w:pPr>
            <w:r>
              <w:rPr>
                <w:rFonts w:ascii="Calibri" w:cs="Calibri" w:eastAsia="Calibri" w:hAnsi="Calibri"/>
                <w:sz w:val="20"/>
                <w:szCs w:val="20"/>
                <w:color w:val="auto"/>
              </w:rPr>
              <w:t>1.5x</w:t>
            </w:r>
          </w:p>
        </w:tc>
        <w:tc>
          <w:tcPr>
            <w:tcW w:w="300" w:type="dxa"/>
            <w:vAlign w:val="bottom"/>
            <w:tcBorders>
              <w:bottom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jc w:val="right"/>
              <w:ind w:right="103"/>
              <w:spacing w:after="0"/>
              <w:rPr>
                <w:sz w:val="20"/>
                <w:szCs w:val="20"/>
                <w:color w:val="auto"/>
              </w:rPr>
            </w:pPr>
            <w:r>
              <w:rPr>
                <w:rFonts w:ascii="Calibri" w:cs="Calibri" w:eastAsia="Calibri" w:hAnsi="Calibri"/>
                <w:sz w:val="20"/>
                <w:szCs w:val="20"/>
                <w:color w:val="auto"/>
              </w:rPr>
              <w:t>3.0x</w:t>
            </w:r>
          </w:p>
        </w:tc>
        <w:tc>
          <w:tcPr>
            <w:tcW w:w="26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Borders>
              <w:bottom w:val="single" w:sz="8" w:color="E6E6E6"/>
            </w:tcBorders>
            <w:shd w:val="clear" w:color="auto" w:fill="E6E6E6"/>
          </w:tcPr>
          <w:p>
            <w:pPr>
              <w:spacing w:after="0"/>
              <w:rPr>
                <w:sz w:val="23"/>
                <w:szCs w:val="23"/>
                <w:color w:val="auto"/>
              </w:rPr>
            </w:pPr>
          </w:p>
        </w:tc>
        <w:tc>
          <w:tcPr>
            <w:tcW w:w="1020" w:type="dxa"/>
            <w:vAlign w:val="bottom"/>
            <w:tcBorders>
              <w:bottom w:val="single" w:sz="8" w:color="E6E6E6"/>
            </w:tcBorders>
            <w:shd w:val="clear" w:color="auto" w:fill="E6E6E6"/>
          </w:tcPr>
          <w:p>
            <w:pPr>
              <w:jc w:val="right"/>
              <w:ind w:right="23"/>
              <w:spacing w:after="0"/>
              <w:rPr>
                <w:sz w:val="20"/>
                <w:szCs w:val="20"/>
                <w:color w:val="auto"/>
              </w:rPr>
            </w:pPr>
            <w:r>
              <w:rPr>
                <w:rFonts w:ascii="Calibri" w:cs="Calibri" w:eastAsia="Calibri" w:hAnsi="Calibri"/>
                <w:sz w:val="20"/>
                <w:szCs w:val="20"/>
                <w:color w:val="auto"/>
              </w:rPr>
              <w:t>N/A</w:t>
            </w:r>
          </w:p>
        </w:tc>
      </w:tr>
      <w:tr>
        <w:trPr>
          <w:trHeight w:val="271"/>
        </w:trPr>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w w:val="99"/>
              </w:rPr>
              <w:t>Cash Benefits (amount)</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500,000</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4,171,875</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8,343,750</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1,375,745</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Medical Benefits</w:t>
            </w:r>
            <w:r>
              <w:rPr>
                <w:rFonts w:ascii="Calibri" w:cs="Calibri" w:eastAsia="Calibri" w:hAnsi="Calibri"/>
                <w:sz w:val="25"/>
                <w:szCs w:val="25"/>
                <w:color w:val="auto"/>
                <w:vertAlign w:val="superscript"/>
              </w:rPr>
              <w:t>(2)</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16,918</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123"/>
              <w:spacing w:after="0"/>
              <w:rPr>
                <w:sz w:val="20"/>
                <w:szCs w:val="20"/>
                <w:color w:val="auto"/>
              </w:rPr>
            </w:pPr>
            <w:r>
              <w:rPr>
                <w:rFonts w:ascii="Calibri" w:cs="Calibri" w:eastAsia="Calibri" w:hAnsi="Calibri"/>
                <w:sz w:val="20"/>
                <w:szCs w:val="20"/>
                <w:color w:val="auto"/>
              </w:rPr>
              <w:t>1,617,377</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1,693,508</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63"/>
              <w:spacing w:after="0"/>
              <w:rPr>
                <w:sz w:val="20"/>
                <w:szCs w:val="20"/>
                <w:color w:val="auto"/>
              </w:rPr>
            </w:pPr>
            <w:r>
              <w:rPr>
                <w:rFonts w:ascii="Calibri" w:cs="Calibri" w:eastAsia="Calibri" w:hAnsi="Calibri"/>
                <w:sz w:val="20"/>
                <w:szCs w:val="20"/>
                <w:color w:val="auto"/>
              </w:rPr>
              <w:t>1,345,000</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3"/>
              <w:spacing w:after="0"/>
              <w:rPr>
                <w:sz w:val="20"/>
                <w:szCs w:val="20"/>
                <w:color w:val="auto"/>
              </w:rPr>
            </w:pPr>
            <w:r>
              <w:rPr>
                <w:rFonts w:ascii="Calibri" w:cs="Calibri" w:eastAsia="Calibri" w:hAnsi="Calibri"/>
                <w:sz w:val="20"/>
                <w:szCs w:val="20"/>
                <w:color w:val="auto"/>
              </w:rPr>
              <w:t>1,633,836</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line="294" w:lineRule="exact"/>
              <w:rPr>
                <w:sz w:val="20"/>
                <w:szCs w:val="20"/>
                <w:color w:val="auto"/>
              </w:rPr>
            </w:pPr>
            <w:r>
              <w:rPr>
                <w:rFonts w:ascii="Calibri" w:cs="Calibri" w:eastAsia="Calibri" w:hAnsi="Calibri"/>
                <w:sz w:val="20"/>
                <w:szCs w:val="20"/>
                <w:color w:val="auto"/>
              </w:rPr>
              <w:t>Accelerated Equity</w:t>
            </w:r>
            <w:r>
              <w:rPr>
                <w:rFonts w:ascii="Calibri" w:cs="Calibri" w:eastAsia="Calibri" w:hAnsi="Calibri"/>
                <w:sz w:val="25"/>
                <w:szCs w:val="25"/>
                <w:color w:val="auto"/>
                <w:vertAlign w:val="superscript"/>
              </w:rPr>
              <w:t>(3)</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w w:val="96"/>
              </w:rPr>
              <w:t>10,381,759</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w w:val="96"/>
              </w:rPr>
              <w:t>10,381,759</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w w:val="96"/>
              </w:rPr>
              <w:t>10,381,759</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w w:val="96"/>
              </w:rPr>
              <w:t>10,381,759</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Other Benefits</w:t>
            </w:r>
            <w:r>
              <w:rPr>
                <w:rFonts w:ascii="Calibri" w:cs="Calibri" w:eastAsia="Calibri" w:hAnsi="Calibri"/>
                <w:sz w:val="25"/>
                <w:szCs w:val="25"/>
                <w:color w:val="auto"/>
                <w:vertAlign w:val="superscript"/>
              </w:rPr>
              <w:t>(4)</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123"/>
              <w:spacing w:after="0"/>
              <w:rPr>
                <w:sz w:val="20"/>
                <w:szCs w:val="20"/>
                <w:color w:val="auto"/>
              </w:rPr>
            </w:pPr>
            <w:r>
              <w:rPr>
                <w:rFonts w:ascii="Calibri" w:cs="Calibri" w:eastAsia="Calibri" w:hAnsi="Calibri"/>
                <w:sz w:val="20"/>
                <w:szCs w:val="20"/>
                <w:color w:val="auto"/>
              </w:rPr>
              <w:t>60,250</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167,165</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23"/>
              <w:spacing w:after="0"/>
              <w:rPr>
                <w:sz w:val="20"/>
                <w:szCs w:val="20"/>
                <w:color w:val="auto"/>
              </w:rPr>
            </w:pPr>
            <w:r>
              <w:rPr>
                <w:rFonts w:ascii="Calibri" w:cs="Calibri" w:eastAsia="Calibri" w:hAnsi="Calibri"/>
                <w:sz w:val="20"/>
                <w:szCs w:val="20"/>
                <w:color w:val="auto"/>
              </w:rPr>
              <w:t>-</w:t>
            </w:r>
          </w:p>
        </w:tc>
      </w:tr>
      <w:tr>
        <w:trPr>
          <w:trHeight w:val="271"/>
        </w:trPr>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rPr>
              <w:t>Excise Tax Gross-Up</w:t>
            </w:r>
          </w:p>
        </w:tc>
        <w:tc>
          <w:tcPr>
            <w:tcW w:w="300" w:type="dxa"/>
            <w:vAlign w:val="bottom"/>
          </w:tcPr>
          <w:p>
            <w:pPr>
              <w:spacing w:after="0"/>
              <w:rPr>
                <w:sz w:val="23"/>
                <w:szCs w:val="23"/>
                <w:color w:val="auto"/>
              </w:rPr>
            </w:pP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N/A</w:t>
            </w:r>
          </w:p>
        </w:tc>
        <w:tc>
          <w:tcPr>
            <w:tcW w:w="32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N/A</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303"/>
              <w:spacing w:after="0"/>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N/A</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1560" w:type="dxa"/>
            <w:vAlign w:val="bottom"/>
            <w:tcBorders>
              <w:bottom w:val="single" w:sz="8" w:color="FB1717"/>
            </w:tcBorders>
            <w:gridSpan w:val="2"/>
            <w:shd w:val="clear" w:color="auto" w:fill="FB1717"/>
          </w:tcPr>
          <w:p>
            <w:pPr>
              <w:spacing w:after="0"/>
              <w:rPr>
                <w:sz w:val="20"/>
                <w:szCs w:val="20"/>
                <w:color w:val="auto"/>
              </w:rPr>
            </w:pPr>
            <w:r>
              <w:rPr>
                <w:rFonts w:ascii="Calibri" w:cs="Calibri" w:eastAsia="Calibri" w:hAnsi="Calibri"/>
                <w:sz w:val="20"/>
                <w:szCs w:val="20"/>
                <w:b w:val="1"/>
                <w:bCs w:val="1"/>
                <w:color w:val="FFFFFF"/>
              </w:rPr>
              <w:t>Total</w:t>
            </w:r>
          </w:p>
        </w:tc>
        <w:tc>
          <w:tcPr>
            <w:tcW w:w="1920" w:type="dxa"/>
            <w:vAlign w:val="bottom"/>
            <w:tcBorders>
              <w:bottom w:val="single" w:sz="8" w:color="FB1717"/>
            </w:tcBorders>
            <w:shd w:val="clear" w:color="auto" w:fill="FB1717"/>
          </w:tcPr>
          <w:p>
            <w:pPr>
              <w:spacing w:after="0"/>
              <w:rPr>
                <w:sz w:val="23"/>
                <w:szCs w:val="23"/>
                <w:color w:val="auto"/>
              </w:rPr>
            </w:pP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940" w:type="dxa"/>
            <w:vAlign w:val="bottom"/>
            <w:tcBorders>
              <w:bottom w:val="single" w:sz="8" w:color="FB1717"/>
            </w:tcBorders>
            <w:shd w:val="clear" w:color="auto" w:fill="FB1717"/>
          </w:tcPr>
          <w:p>
            <w:pPr>
              <w:jc w:val="right"/>
              <w:ind w:right="103"/>
              <w:spacing w:after="0"/>
              <w:rPr>
                <w:sz w:val="20"/>
                <w:szCs w:val="20"/>
                <w:color w:val="auto"/>
              </w:rPr>
            </w:pPr>
            <w:r>
              <w:rPr>
                <w:rFonts w:ascii="Calibri" w:cs="Calibri" w:eastAsia="Calibri" w:hAnsi="Calibri"/>
                <w:sz w:val="20"/>
                <w:szCs w:val="20"/>
                <w:b w:val="1"/>
                <w:bCs w:val="1"/>
                <w:color w:val="FFFFFF"/>
              </w:rPr>
              <w:t>516,918</w:t>
            </w:r>
          </w:p>
        </w:tc>
        <w:tc>
          <w:tcPr>
            <w:tcW w:w="320" w:type="dxa"/>
            <w:vAlign w:val="bottom"/>
            <w:tcBorders>
              <w:bottom w:val="single" w:sz="8" w:color="FB1717"/>
            </w:tcBorders>
            <w:shd w:val="clear" w:color="auto" w:fill="FB1717"/>
          </w:tcPr>
          <w:p>
            <w:pPr>
              <w:ind w:left="220"/>
              <w:spacing w:after="0"/>
              <w:rPr>
                <w:sz w:val="20"/>
                <w:szCs w:val="20"/>
                <w:color w:val="auto"/>
              </w:rPr>
            </w:pPr>
            <w:r>
              <w:rPr>
                <w:rFonts w:ascii="Calibri" w:cs="Calibri" w:eastAsia="Calibri" w:hAnsi="Calibri"/>
                <w:sz w:val="20"/>
                <w:szCs w:val="20"/>
                <w:b w:val="1"/>
                <w:bCs w:val="1"/>
                <w:color w:val="FFFFFF"/>
                <w:w w:val="78"/>
              </w:rPr>
              <w:t>$</w:t>
            </w:r>
          </w:p>
        </w:tc>
        <w:tc>
          <w:tcPr>
            <w:tcW w:w="1120" w:type="dxa"/>
            <w:vAlign w:val="bottom"/>
            <w:tcBorders>
              <w:bottom w:val="single" w:sz="8" w:color="FB1717"/>
            </w:tcBorders>
            <w:shd w:val="clear" w:color="auto" w:fill="FB1717"/>
          </w:tcPr>
          <w:p>
            <w:pPr>
              <w:jc w:val="right"/>
              <w:ind w:right="123"/>
              <w:spacing w:after="0"/>
              <w:rPr>
                <w:sz w:val="20"/>
                <w:szCs w:val="20"/>
                <w:color w:val="auto"/>
              </w:rPr>
            </w:pPr>
            <w:r>
              <w:rPr>
                <w:rFonts w:ascii="Calibri" w:cs="Calibri" w:eastAsia="Calibri" w:hAnsi="Calibri"/>
                <w:sz w:val="20"/>
                <w:szCs w:val="20"/>
                <w:b w:val="1"/>
                <w:bCs w:val="1"/>
                <w:color w:val="FFFFFF"/>
                <w:w w:val="96"/>
              </w:rPr>
              <w:t>16,231,261</w:t>
            </w: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100" w:type="dxa"/>
            <w:vAlign w:val="bottom"/>
            <w:tcBorders>
              <w:bottom w:val="single" w:sz="8" w:color="FB1717"/>
            </w:tcBorders>
            <w:shd w:val="clear" w:color="auto" w:fill="FB1717"/>
          </w:tcPr>
          <w:p>
            <w:pPr>
              <w:jc w:val="right"/>
              <w:ind w:right="103"/>
              <w:spacing w:after="0"/>
              <w:rPr>
                <w:sz w:val="20"/>
                <w:szCs w:val="20"/>
                <w:color w:val="auto"/>
              </w:rPr>
            </w:pPr>
            <w:r>
              <w:rPr>
                <w:rFonts w:ascii="Calibri" w:cs="Calibri" w:eastAsia="Calibri" w:hAnsi="Calibri"/>
                <w:sz w:val="20"/>
                <w:szCs w:val="20"/>
                <w:b w:val="1"/>
                <w:bCs w:val="1"/>
                <w:color w:val="FFFFFF"/>
                <w:w w:val="96"/>
              </w:rPr>
              <w:t>20,586,182</w:t>
            </w:r>
          </w:p>
        </w:tc>
        <w:tc>
          <w:tcPr>
            <w:tcW w:w="26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FB1717"/>
            </w:tcBorders>
            <w:shd w:val="clear" w:color="auto" w:fill="FB1717"/>
          </w:tcPr>
          <w:p>
            <w:pPr>
              <w:jc w:val="right"/>
              <w:ind w:right="63"/>
              <w:spacing w:after="0"/>
              <w:rPr>
                <w:sz w:val="20"/>
                <w:szCs w:val="20"/>
                <w:color w:val="auto"/>
              </w:rPr>
            </w:pPr>
            <w:r>
              <w:rPr>
                <w:rFonts w:ascii="Calibri" w:cs="Calibri" w:eastAsia="Calibri" w:hAnsi="Calibri"/>
                <w:sz w:val="20"/>
                <w:szCs w:val="20"/>
                <w:b w:val="1"/>
                <w:bCs w:val="1"/>
                <w:color w:val="FFFFFF"/>
                <w:w w:val="96"/>
              </w:rPr>
              <w:t>11,726,759</w:t>
            </w:r>
          </w:p>
        </w:tc>
        <w:tc>
          <w:tcPr>
            <w:tcW w:w="24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20" w:type="dxa"/>
            <w:vAlign w:val="bottom"/>
            <w:tcBorders>
              <w:bottom w:val="single" w:sz="8" w:color="FB1717"/>
            </w:tcBorders>
            <w:shd w:val="clear" w:color="auto" w:fill="FB1717"/>
          </w:tcPr>
          <w:p>
            <w:pPr>
              <w:jc w:val="right"/>
              <w:ind w:right="23"/>
              <w:spacing w:after="0"/>
              <w:rPr>
                <w:sz w:val="20"/>
                <w:szCs w:val="20"/>
                <w:color w:val="auto"/>
              </w:rPr>
            </w:pPr>
            <w:r>
              <w:rPr>
                <w:rFonts w:ascii="Calibri" w:cs="Calibri" w:eastAsia="Calibri" w:hAnsi="Calibri"/>
                <w:sz w:val="20"/>
                <w:szCs w:val="20"/>
                <w:b w:val="1"/>
                <w:bCs w:val="1"/>
                <w:color w:val="FFFFFF"/>
                <w:w w:val="96"/>
              </w:rPr>
              <w:t>13,391,340</w:t>
            </w:r>
          </w:p>
        </w:tc>
      </w:tr>
      <w:tr>
        <w:trPr>
          <w:trHeight w:val="275"/>
        </w:trPr>
        <w:tc>
          <w:tcPr>
            <w:tcW w:w="1560" w:type="dxa"/>
            <w:vAlign w:val="bottom"/>
            <w:gridSpan w:val="2"/>
          </w:tcPr>
          <w:p>
            <w:pPr>
              <w:spacing w:after="0"/>
              <w:rPr>
                <w:sz w:val="20"/>
                <w:szCs w:val="20"/>
                <w:color w:val="auto"/>
              </w:rPr>
            </w:pPr>
            <w:r>
              <w:rPr>
                <w:rFonts w:ascii="Calibri" w:cs="Calibri" w:eastAsia="Calibri" w:hAnsi="Calibri"/>
                <w:sz w:val="20"/>
                <w:szCs w:val="20"/>
                <w:color w:val="auto"/>
              </w:rPr>
              <w:t>Jeffrey S. Berkes</w:t>
            </w:r>
          </w:p>
        </w:tc>
        <w:tc>
          <w:tcPr>
            <w:tcW w:w="1920" w:type="dxa"/>
            <w:vAlign w:val="bottom"/>
            <w:tcBorders>
              <w:bottom w:val="single" w:sz="8" w:color="E6E6E6"/>
            </w:tcBorders>
            <w:shd w:val="clear" w:color="auto" w:fill="E6E6E6"/>
          </w:tcPr>
          <w:p>
            <w:pPr>
              <w:spacing w:after="0"/>
              <w:rPr>
                <w:sz w:val="20"/>
                <w:szCs w:val="20"/>
                <w:color w:val="auto"/>
              </w:rPr>
            </w:pPr>
            <w:r>
              <w:rPr>
                <w:rFonts w:ascii="Calibri" w:cs="Calibri" w:eastAsia="Calibri" w:hAnsi="Calibri"/>
                <w:sz w:val="20"/>
                <w:szCs w:val="20"/>
                <w:color w:val="auto"/>
                <w:w w:val="98"/>
              </w:rPr>
              <w:t>Cash Benefits (multiple)</w:t>
            </w:r>
          </w:p>
        </w:tc>
        <w:tc>
          <w:tcPr>
            <w:tcW w:w="30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jc w:val="right"/>
              <w:ind w:right="103"/>
              <w:spacing w:after="0"/>
              <w:rPr>
                <w:sz w:val="20"/>
                <w:szCs w:val="20"/>
                <w:color w:val="auto"/>
              </w:rPr>
            </w:pPr>
            <w:r>
              <w:rPr>
                <w:rFonts w:ascii="Calibri" w:cs="Calibri" w:eastAsia="Calibri" w:hAnsi="Calibri"/>
                <w:sz w:val="20"/>
                <w:szCs w:val="20"/>
                <w:color w:val="auto"/>
              </w:rPr>
              <w:t>N/A</w:t>
            </w:r>
          </w:p>
        </w:tc>
        <w:tc>
          <w:tcPr>
            <w:tcW w:w="320" w:type="dxa"/>
            <w:vAlign w:val="bottom"/>
            <w:tcBorders>
              <w:bottom w:val="single" w:sz="8" w:color="E6E6E6"/>
            </w:tcBorders>
            <w:shd w:val="clear" w:color="auto" w:fill="E6E6E6"/>
          </w:tcPr>
          <w:p>
            <w:pPr>
              <w:spacing w:after="0"/>
              <w:rPr>
                <w:sz w:val="23"/>
                <w:szCs w:val="23"/>
                <w:color w:val="auto"/>
              </w:rPr>
            </w:pPr>
          </w:p>
        </w:tc>
        <w:tc>
          <w:tcPr>
            <w:tcW w:w="1120" w:type="dxa"/>
            <w:vAlign w:val="bottom"/>
            <w:tcBorders>
              <w:bottom w:val="single" w:sz="8" w:color="E6E6E6"/>
            </w:tcBorders>
            <w:shd w:val="clear" w:color="auto" w:fill="E6E6E6"/>
          </w:tcPr>
          <w:p>
            <w:pPr>
              <w:jc w:val="right"/>
              <w:ind w:right="123"/>
              <w:spacing w:after="0"/>
              <w:rPr>
                <w:sz w:val="20"/>
                <w:szCs w:val="20"/>
                <w:color w:val="auto"/>
              </w:rPr>
            </w:pPr>
            <w:r>
              <w:rPr>
                <w:rFonts w:ascii="Calibri" w:cs="Calibri" w:eastAsia="Calibri" w:hAnsi="Calibri"/>
                <w:sz w:val="20"/>
                <w:szCs w:val="20"/>
                <w:color w:val="auto"/>
              </w:rPr>
              <w:t>1.0x</w:t>
            </w:r>
          </w:p>
        </w:tc>
        <w:tc>
          <w:tcPr>
            <w:tcW w:w="300" w:type="dxa"/>
            <w:vAlign w:val="bottom"/>
            <w:tcBorders>
              <w:bottom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jc w:val="right"/>
              <w:ind w:right="103"/>
              <w:spacing w:after="0"/>
              <w:rPr>
                <w:sz w:val="20"/>
                <w:szCs w:val="20"/>
                <w:color w:val="auto"/>
              </w:rPr>
            </w:pPr>
            <w:r>
              <w:rPr>
                <w:rFonts w:ascii="Calibri" w:cs="Calibri" w:eastAsia="Calibri" w:hAnsi="Calibri"/>
                <w:sz w:val="20"/>
                <w:szCs w:val="20"/>
                <w:color w:val="auto"/>
              </w:rPr>
              <w:t>2.0x</w:t>
            </w:r>
          </w:p>
        </w:tc>
        <w:tc>
          <w:tcPr>
            <w:tcW w:w="26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Borders>
              <w:bottom w:val="single" w:sz="8" w:color="E6E6E6"/>
            </w:tcBorders>
            <w:shd w:val="clear" w:color="auto" w:fill="E6E6E6"/>
          </w:tcPr>
          <w:p>
            <w:pPr>
              <w:spacing w:after="0"/>
              <w:rPr>
                <w:sz w:val="23"/>
                <w:szCs w:val="23"/>
                <w:color w:val="auto"/>
              </w:rPr>
            </w:pPr>
          </w:p>
        </w:tc>
        <w:tc>
          <w:tcPr>
            <w:tcW w:w="1020" w:type="dxa"/>
            <w:vAlign w:val="bottom"/>
            <w:tcBorders>
              <w:bottom w:val="single" w:sz="8" w:color="E6E6E6"/>
            </w:tcBorders>
            <w:shd w:val="clear" w:color="auto" w:fill="E6E6E6"/>
          </w:tcPr>
          <w:p>
            <w:pPr>
              <w:jc w:val="right"/>
              <w:ind w:right="23"/>
              <w:spacing w:after="0"/>
              <w:rPr>
                <w:sz w:val="20"/>
                <w:szCs w:val="20"/>
                <w:color w:val="auto"/>
              </w:rPr>
            </w:pPr>
            <w:r>
              <w:rPr>
                <w:rFonts w:ascii="Calibri" w:cs="Calibri" w:eastAsia="Calibri" w:hAnsi="Calibri"/>
                <w:sz w:val="20"/>
                <w:szCs w:val="20"/>
                <w:color w:val="auto"/>
              </w:rPr>
              <w:t>N/A</w:t>
            </w:r>
          </w:p>
        </w:tc>
      </w:tr>
      <w:tr>
        <w:trPr>
          <w:trHeight w:val="271"/>
        </w:trPr>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w w:val="99"/>
              </w:rPr>
              <w:t>Cash Benefits (amount)</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1,368,750</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2,737,500</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718,750</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718,750</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Medical Benefits</w:t>
            </w:r>
            <w:r>
              <w:rPr>
                <w:rFonts w:ascii="Calibri" w:cs="Calibri" w:eastAsia="Calibri" w:hAnsi="Calibri"/>
                <w:sz w:val="25"/>
                <w:szCs w:val="25"/>
                <w:color w:val="auto"/>
                <w:vertAlign w:val="superscript"/>
              </w:rPr>
              <w:t>(2)</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123"/>
              <w:spacing w:after="0"/>
              <w:rPr>
                <w:sz w:val="20"/>
                <w:szCs w:val="20"/>
                <w:color w:val="auto"/>
              </w:rPr>
            </w:pPr>
            <w:r>
              <w:rPr>
                <w:rFonts w:ascii="Calibri" w:cs="Calibri" w:eastAsia="Calibri" w:hAnsi="Calibri"/>
                <w:sz w:val="20"/>
                <w:szCs w:val="20"/>
                <w:color w:val="auto"/>
              </w:rPr>
              <w:t>25,844</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51,687</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3"/>
              <w:spacing w:after="0"/>
              <w:rPr>
                <w:sz w:val="20"/>
                <w:szCs w:val="20"/>
                <w:color w:val="auto"/>
              </w:rPr>
            </w:pPr>
            <w:r>
              <w:rPr>
                <w:rFonts w:ascii="Calibri" w:cs="Calibri" w:eastAsia="Calibri" w:hAnsi="Calibri"/>
                <w:sz w:val="20"/>
                <w:szCs w:val="20"/>
                <w:color w:val="auto"/>
              </w:rPr>
              <w:t>25,844</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line="294" w:lineRule="exact"/>
              <w:rPr>
                <w:sz w:val="20"/>
                <w:szCs w:val="20"/>
                <w:color w:val="auto"/>
              </w:rPr>
            </w:pPr>
            <w:r>
              <w:rPr>
                <w:rFonts w:ascii="Calibri" w:cs="Calibri" w:eastAsia="Calibri" w:hAnsi="Calibri"/>
                <w:sz w:val="20"/>
                <w:szCs w:val="20"/>
                <w:color w:val="auto"/>
              </w:rPr>
              <w:t>Accelerated Equity</w:t>
            </w:r>
            <w:r>
              <w:rPr>
                <w:rFonts w:ascii="Calibri" w:cs="Calibri" w:eastAsia="Calibri" w:hAnsi="Calibri"/>
                <w:sz w:val="25"/>
                <w:szCs w:val="25"/>
                <w:color w:val="auto"/>
                <w:vertAlign w:val="superscript"/>
              </w:rPr>
              <w:t>(3)</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3,675,027</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3,675,027</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3,675,027</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3,675,027</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Other Benefits</w:t>
            </w:r>
            <w:r>
              <w:rPr>
                <w:rFonts w:ascii="Calibri" w:cs="Calibri" w:eastAsia="Calibri" w:hAnsi="Calibri"/>
                <w:sz w:val="25"/>
                <w:szCs w:val="25"/>
                <w:color w:val="auto"/>
                <w:vertAlign w:val="superscript"/>
              </w:rPr>
              <w:t>(4)</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323"/>
              <w:spacing w:after="0"/>
              <w:rPr>
                <w:sz w:val="20"/>
                <w:szCs w:val="20"/>
                <w:color w:val="auto"/>
              </w:rPr>
            </w:pPr>
            <w:r>
              <w:rPr>
                <w:rFonts w:ascii="Calibri" w:cs="Calibri" w:eastAsia="Calibri" w:hAnsi="Calibri"/>
                <w:sz w:val="20"/>
                <w:szCs w:val="20"/>
                <w:color w:val="auto"/>
              </w:rPr>
              <w:t>-</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303"/>
              <w:spacing w:after="0"/>
              <w:rPr>
                <w:sz w:val="20"/>
                <w:szCs w:val="20"/>
                <w:color w:val="auto"/>
              </w:rPr>
            </w:pPr>
            <w:r>
              <w:rPr>
                <w:rFonts w:ascii="Calibri" w:cs="Calibri" w:eastAsia="Calibri" w:hAnsi="Calibri"/>
                <w:sz w:val="20"/>
                <w:szCs w:val="20"/>
                <w:color w:val="auto"/>
              </w:rPr>
              <w:t>-</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23"/>
              <w:spacing w:after="0"/>
              <w:rPr>
                <w:sz w:val="20"/>
                <w:szCs w:val="20"/>
                <w:color w:val="auto"/>
              </w:rPr>
            </w:pPr>
            <w:r>
              <w:rPr>
                <w:rFonts w:ascii="Calibri" w:cs="Calibri" w:eastAsia="Calibri" w:hAnsi="Calibri"/>
                <w:sz w:val="20"/>
                <w:szCs w:val="20"/>
                <w:color w:val="auto"/>
              </w:rPr>
              <w:t>-</w:t>
            </w:r>
          </w:p>
        </w:tc>
      </w:tr>
      <w:tr>
        <w:trPr>
          <w:trHeight w:val="271"/>
        </w:trPr>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rPr>
              <w:t>Excise Tax Gross-Up</w:t>
            </w:r>
          </w:p>
        </w:tc>
        <w:tc>
          <w:tcPr>
            <w:tcW w:w="300" w:type="dxa"/>
            <w:vAlign w:val="bottom"/>
          </w:tcPr>
          <w:p>
            <w:pPr>
              <w:spacing w:after="0"/>
              <w:rPr>
                <w:sz w:val="23"/>
                <w:szCs w:val="23"/>
                <w:color w:val="auto"/>
              </w:rPr>
            </w:pP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N/A</w:t>
            </w:r>
          </w:p>
        </w:tc>
        <w:tc>
          <w:tcPr>
            <w:tcW w:w="32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N/A</w:t>
            </w:r>
          </w:p>
        </w:tc>
        <w:tc>
          <w:tcPr>
            <w:tcW w:w="300" w:type="dxa"/>
            <w:vAlign w:val="bottom"/>
          </w:tcPr>
          <w:p>
            <w:pPr>
              <w:spacing w:after="0"/>
              <w:rPr>
                <w:sz w:val="23"/>
                <w:szCs w:val="23"/>
                <w:color w:val="auto"/>
              </w:rPr>
            </w:pP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N/A</w:t>
            </w:r>
          </w:p>
        </w:tc>
        <w:tc>
          <w:tcPr>
            <w:tcW w:w="26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N/A</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1560" w:type="dxa"/>
            <w:vAlign w:val="bottom"/>
            <w:tcBorders>
              <w:bottom w:val="single" w:sz="8" w:color="FB1717"/>
            </w:tcBorders>
            <w:gridSpan w:val="2"/>
            <w:shd w:val="clear" w:color="auto" w:fill="FB1717"/>
          </w:tcPr>
          <w:p>
            <w:pPr>
              <w:spacing w:after="0"/>
              <w:rPr>
                <w:sz w:val="20"/>
                <w:szCs w:val="20"/>
                <w:color w:val="auto"/>
              </w:rPr>
            </w:pPr>
            <w:r>
              <w:rPr>
                <w:rFonts w:ascii="Calibri" w:cs="Calibri" w:eastAsia="Calibri" w:hAnsi="Calibri"/>
                <w:sz w:val="20"/>
                <w:szCs w:val="20"/>
                <w:b w:val="1"/>
                <w:bCs w:val="1"/>
                <w:color w:val="FFFFFF"/>
              </w:rPr>
              <w:t>Total</w:t>
            </w:r>
          </w:p>
        </w:tc>
        <w:tc>
          <w:tcPr>
            <w:tcW w:w="1920" w:type="dxa"/>
            <w:vAlign w:val="bottom"/>
            <w:tcBorders>
              <w:bottom w:val="single" w:sz="8" w:color="FB1717"/>
            </w:tcBorders>
            <w:shd w:val="clear" w:color="auto" w:fill="FB1717"/>
          </w:tcPr>
          <w:p>
            <w:pPr>
              <w:spacing w:after="0"/>
              <w:rPr>
                <w:sz w:val="23"/>
                <w:szCs w:val="23"/>
                <w:color w:val="auto"/>
              </w:rPr>
            </w:pP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940" w:type="dxa"/>
            <w:vAlign w:val="bottom"/>
            <w:tcBorders>
              <w:bottom w:val="single" w:sz="8" w:color="FB1717"/>
            </w:tcBorders>
            <w:shd w:val="clear" w:color="auto" w:fill="FB1717"/>
          </w:tcPr>
          <w:p>
            <w:pPr>
              <w:jc w:val="center"/>
              <w:spacing w:after="0"/>
              <w:rPr>
                <w:sz w:val="20"/>
                <w:szCs w:val="20"/>
                <w:color w:val="auto"/>
              </w:rPr>
            </w:pPr>
            <w:r>
              <w:rPr>
                <w:rFonts w:ascii="Calibri" w:cs="Calibri" w:eastAsia="Calibri" w:hAnsi="Calibri"/>
                <w:sz w:val="20"/>
                <w:szCs w:val="20"/>
                <w:b w:val="1"/>
                <w:bCs w:val="1"/>
                <w:color w:val="FFFFFF"/>
                <w:w w:val="97"/>
              </w:rPr>
              <w:t>-</w:t>
            </w:r>
          </w:p>
        </w:tc>
        <w:tc>
          <w:tcPr>
            <w:tcW w:w="320" w:type="dxa"/>
            <w:vAlign w:val="bottom"/>
            <w:tcBorders>
              <w:bottom w:val="single" w:sz="8" w:color="FB1717"/>
            </w:tcBorders>
            <w:shd w:val="clear" w:color="auto" w:fill="FB1717"/>
          </w:tcPr>
          <w:p>
            <w:pPr>
              <w:ind w:left="220"/>
              <w:spacing w:after="0"/>
              <w:rPr>
                <w:sz w:val="20"/>
                <w:szCs w:val="20"/>
                <w:color w:val="auto"/>
              </w:rPr>
            </w:pPr>
            <w:r>
              <w:rPr>
                <w:rFonts w:ascii="Calibri" w:cs="Calibri" w:eastAsia="Calibri" w:hAnsi="Calibri"/>
                <w:sz w:val="20"/>
                <w:szCs w:val="20"/>
                <w:b w:val="1"/>
                <w:bCs w:val="1"/>
                <w:color w:val="FFFFFF"/>
                <w:w w:val="78"/>
              </w:rPr>
              <w:t>$</w:t>
            </w:r>
          </w:p>
        </w:tc>
        <w:tc>
          <w:tcPr>
            <w:tcW w:w="1120" w:type="dxa"/>
            <w:vAlign w:val="bottom"/>
            <w:tcBorders>
              <w:bottom w:val="single" w:sz="8" w:color="FB1717"/>
            </w:tcBorders>
            <w:shd w:val="clear" w:color="auto" w:fill="FB1717"/>
          </w:tcPr>
          <w:p>
            <w:pPr>
              <w:jc w:val="right"/>
              <w:ind w:right="123"/>
              <w:spacing w:after="0"/>
              <w:rPr>
                <w:sz w:val="20"/>
                <w:szCs w:val="20"/>
                <w:color w:val="auto"/>
              </w:rPr>
            </w:pPr>
            <w:r>
              <w:rPr>
                <w:rFonts w:ascii="Calibri" w:cs="Calibri" w:eastAsia="Calibri" w:hAnsi="Calibri"/>
                <w:sz w:val="20"/>
                <w:szCs w:val="20"/>
                <w:b w:val="1"/>
                <w:bCs w:val="1"/>
                <w:color w:val="FFFFFF"/>
              </w:rPr>
              <w:t>5,069,621</w:t>
            </w: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100" w:type="dxa"/>
            <w:vAlign w:val="bottom"/>
            <w:tcBorders>
              <w:bottom w:val="single" w:sz="8" w:color="FB1717"/>
            </w:tcBorders>
            <w:shd w:val="clear" w:color="auto" w:fill="FB1717"/>
          </w:tcPr>
          <w:p>
            <w:pPr>
              <w:jc w:val="right"/>
              <w:ind w:right="103"/>
              <w:spacing w:after="0"/>
              <w:rPr>
                <w:sz w:val="20"/>
                <w:szCs w:val="20"/>
                <w:color w:val="auto"/>
              </w:rPr>
            </w:pPr>
            <w:r>
              <w:rPr>
                <w:rFonts w:ascii="Calibri" w:cs="Calibri" w:eastAsia="Calibri" w:hAnsi="Calibri"/>
                <w:sz w:val="20"/>
                <w:szCs w:val="20"/>
                <w:b w:val="1"/>
                <w:bCs w:val="1"/>
                <w:color w:val="FFFFFF"/>
              </w:rPr>
              <w:t>6,464,214</w:t>
            </w:r>
          </w:p>
        </w:tc>
        <w:tc>
          <w:tcPr>
            <w:tcW w:w="26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FB1717"/>
            </w:tcBorders>
            <w:shd w:val="clear" w:color="auto" w:fill="FB1717"/>
          </w:tcPr>
          <w:p>
            <w:pPr>
              <w:jc w:val="right"/>
              <w:ind w:right="63"/>
              <w:spacing w:after="0"/>
              <w:rPr>
                <w:sz w:val="20"/>
                <w:szCs w:val="20"/>
                <w:color w:val="auto"/>
              </w:rPr>
            </w:pPr>
            <w:r>
              <w:rPr>
                <w:rFonts w:ascii="Calibri" w:cs="Calibri" w:eastAsia="Calibri" w:hAnsi="Calibri"/>
                <w:sz w:val="20"/>
                <w:szCs w:val="20"/>
                <w:b w:val="1"/>
                <w:bCs w:val="1"/>
                <w:color w:val="FFFFFF"/>
              </w:rPr>
              <w:t>4,393,777</w:t>
            </w:r>
          </w:p>
        </w:tc>
        <w:tc>
          <w:tcPr>
            <w:tcW w:w="24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20" w:type="dxa"/>
            <w:vAlign w:val="bottom"/>
            <w:tcBorders>
              <w:bottom w:val="single" w:sz="8" w:color="FB1717"/>
            </w:tcBorders>
            <w:shd w:val="clear" w:color="auto" w:fill="FB1717"/>
          </w:tcPr>
          <w:p>
            <w:pPr>
              <w:jc w:val="right"/>
              <w:ind w:right="23"/>
              <w:spacing w:after="0"/>
              <w:rPr>
                <w:sz w:val="20"/>
                <w:szCs w:val="20"/>
                <w:color w:val="auto"/>
              </w:rPr>
            </w:pPr>
            <w:r>
              <w:rPr>
                <w:rFonts w:ascii="Calibri" w:cs="Calibri" w:eastAsia="Calibri" w:hAnsi="Calibri"/>
                <w:sz w:val="20"/>
                <w:szCs w:val="20"/>
                <w:b w:val="1"/>
                <w:bCs w:val="1"/>
                <w:color w:val="FFFFFF"/>
              </w:rPr>
              <w:t>4,419,621</w:t>
            </w:r>
          </w:p>
        </w:tc>
      </w:tr>
      <w:tr>
        <w:trPr>
          <w:trHeight w:val="271"/>
        </w:trPr>
        <w:tc>
          <w:tcPr>
            <w:tcW w:w="3480" w:type="dxa"/>
            <w:vAlign w:val="bottom"/>
            <w:gridSpan w:val="3"/>
          </w:tcPr>
          <w:p>
            <w:pPr>
              <w:spacing w:after="0"/>
              <w:rPr>
                <w:sz w:val="20"/>
                <w:szCs w:val="20"/>
                <w:color w:val="auto"/>
              </w:rPr>
            </w:pPr>
            <w:r>
              <w:rPr>
                <w:rFonts w:ascii="Calibri" w:cs="Calibri" w:eastAsia="Calibri" w:hAnsi="Calibri"/>
                <w:sz w:val="20"/>
                <w:szCs w:val="20"/>
                <w:color w:val="auto"/>
                <w:w w:val="98"/>
              </w:rPr>
              <w:t>Daniel GuglielmoneCash Benefits (multiple)</w:t>
            </w:r>
          </w:p>
        </w:tc>
        <w:tc>
          <w:tcPr>
            <w:tcW w:w="300" w:type="dxa"/>
            <w:vAlign w:val="bottom"/>
          </w:tcPr>
          <w:p>
            <w:pPr>
              <w:spacing w:after="0"/>
              <w:rPr>
                <w:sz w:val="23"/>
                <w:szCs w:val="23"/>
                <w:color w:val="auto"/>
              </w:rPr>
            </w:pP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1 month</w:t>
            </w:r>
          </w:p>
        </w:tc>
        <w:tc>
          <w:tcPr>
            <w:tcW w:w="32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N/A</w:t>
            </w:r>
          </w:p>
        </w:tc>
        <w:tc>
          <w:tcPr>
            <w:tcW w:w="300" w:type="dxa"/>
            <w:vAlign w:val="bottom"/>
          </w:tcPr>
          <w:p>
            <w:pPr>
              <w:spacing w:after="0"/>
              <w:rPr>
                <w:sz w:val="23"/>
                <w:szCs w:val="23"/>
                <w:color w:val="auto"/>
              </w:rPr>
            </w:pP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2.0x</w:t>
            </w:r>
          </w:p>
        </w:tc>
        <w:tc>
          <w:tcPr>
            <w:tcW w:w="26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N/A</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w w:val="99"/>
              </w:rPr>
              <w:t>Cash Benefits (amount)</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47,917</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323"/>
              <w:spacing w:after="0"/>
              <w:rPr>
                <w:sz w:val="20"/>
                <w:szCs w:val="20"/>
                <w:color w:val="auto"/>
              </w:rPr>
            </w:pPr>
            <w:r>
              <w:rPr>
                <w:rFonts w:ascii="Calibri" w:cs="Calibri" w:eastAsia="Calibri" w:hAnsi="Calibri"/>
                <w:sz w:val="20"/>
                <w:szCs w:val="20"/>
                <w:color w:val="auto"/>
              </w:rPr>
              <w:t>-</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2,087,500</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549,169</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Medical Benefits</w:t>
            </w:r>
            <w:r>
              <w:rPr>
                <w:rFonts w:ascii="Calibri" w:cs="Calibri" w:eastAsia="Calibri" w:hAnsi="Calibri"/>
                <w:sz w:val="25"/>
                <w:szCs w:val="25"/>
                <w:color w:val="auto"/>
                <w:vertAlign w:val="superscript"/>
              </w:rPr>
              <w:t>(2)</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center"/>
              <w:ind w:left="3"/>
              <w:spacing w:after="0"/>
              <w:rPr>
                <w:sz w:val="20"/>
                <w:szCs w:val="20"/>
                <w:color w:val="auto"/>
              </w:rPr>
            </w:pPr>
            <w:r>
              <w:rPr>
                <w:rFonts w:ascii="Calibri" w:cs="Calibri" w:eastAsia="Calibri" w:hAnsi="Calibri"/>
                <w:sz w:val="20"/>
                <w:szCs w:val="20"/>
                <w:color w:val="auto"/>
                <w:w w:val="96"/>
              </w:rPr>
              <w:t>3,160</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323"/>
              <w:spacing w:after="0"/>
              <w:rPr>
                <w:sz w:val="20"/>
                <w:szCs w:val="20"/>
                <w:color w:val="auto"/>
              </w:rPr>
            </w:pPr>
            <w:r>
              <w:rPr>
                <w:rFonts w:ascii="Calibri" w:cs="Calibri" w:eastAsia="Calibri" w:hAnsi="Calibri"/>
                <w:sz w:val="20"/>
                <w:szCs w:val="20"/>
                <w:color w:val="auto"/>
              </w:rPr>
              <w:t>-</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75,837</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3"/>
              <w:spacing w:after="0"/>
              <w:rPr>
                <w:sz w:val="20"/>
                <w:szCs w:val="20"/>
                <w:color w:val="auto"/>
              </w:rPr>
            </w:pPr>
            <w:r>
              <w:rPr>
                <w:rFonts w:ascii="Calibri" w:cs="Calibri" w:eastAsia="Calibri" w:hAnsi="Calibri"/>
                <w:sz w:val="20"/>
                <w:szCs w:val="20"/>
                <w:color w:val="auto"/>
              </w:rPr>
              <w:t>37,919</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line="294" w:lineRule="exact"/>
              <w:rPr>
                <w:sz w:val="20"/>
                <w:szCs w:val="20"/>
                <w:color w:val="auto"/>
              </w:rPr>
            </w:pPr>
            <w:r>
              <w:rPr>
                <w:rFonts w:ascii="Calibri" w:cs="Calibri" w:eastAsia="Calibri" w:hAnsi="Calibri"/>
                <w:sz w:val="20"/>
                <w:szCs w:val="20"/>
                <w:color w:val="auto"/>
              </w:rPr>
              <w:t>Accelerated Equity</w:t>
            </w:r>
            <w:r>
              <w:rPr>
                <w:rFonts w:ascii="Calibri" w:cs="Calibri" w:eastAsia="Calibri" w:hAnsi="Calibri"/>
                <w:sz w:val="25"/>
                <w:szCs w:val="25"/>
                <w:color w:val="auto"/>
                <w:vertAlign w:val="superscript"/>
              </w:rPr>
              <w:t>(3)</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2,384,039</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2,384,039</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2,384,039</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2,384,039</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Other Benefits</w:t>
            </w:r>
            <w:r>
              <w:rPr>
                <w:rFonts w:ascii="Calibri" w:cs="Calibri" w:eastAsia="Calibri" w:hAnsi="Calibri"/>
                <w:sz w:val="25"/>
                <w:szCs w:val="25"/>
                <w:color w:val="auto"/>
                <w:vertAlign w:val="superscript"/>
              </w:rPr>
              <w:t>(4)</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323"/>
              <w:spacing w:after="0"/>
              <w:rPr>
                <w:sz w:val="20"/>
                <w:szCs w:val="20"/>
                <w:color w:val="auto"/>
              </w:rPr>
            </w:pPr>
            <w:r>
              <w:rPr>
                <w:rFonts w:ascii="Calibri" w:cs="Calibri" w:eastAsia="Calibri" w:hAnsi="Calibri"/>
                <w:sz w:val="20"/>
                <w:szCs w:val="20"/>
                <w:color w:val="auto"/>
              </w:rPr>
              <w:t>-</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90,375</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23"/>
              <w:spacing w:after="0"/>
              <w:rPr>
                <w:sz w:val="20"/>
                <w:szCs w:val="20"/>
                <w:color w:val="auto"/>
              </w:rPr>
            </w:pPr>
            <w:r>
              <w:rPr>
                <w:rFonts w:ascii="Calibri" w:cs="Calibri" w:eastAsia="Calibri" w:hAnsi="Calibri"/>
                <w:sz w:val="20"/>
                <w:szCs w:val="20"/>
                <w:color w:val="auto"/>
              </w:rPr>
              <w:t>-</w:t>
            </w:r>
          </w:p>
        </w:tc>
      </w:tr>
      <w:tr>
        <w:trPr>
          <w:trHeight w:val="271"/>
        </w:trPr>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rPr>
              <w:t>Excise Tax Gross-Up</w:t>
            </w:r>
          </w:p>
        </w:tc>
        <w:tc>
          <w:tcPr>
            <w:tcW w:w="300" w:type="dxa"/>
            <w:vAlign w:val="bottom"/>
          </w:tcPr>
          <w:p>
            <w:pPr>
              <w:spacing w:after="0"/>
              <w:rPr>
                <w:sz w:val="23"/>
                <w:szCs w:val="23"/>
                <w:color w:val="auto"/>
              </w:rPr>
            </w:pP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N/A</w:t>
            </w:r>
          </w:p>
        </w:tc>
        <w:tc>
          <w:tcPr>
            <w:tcW w:w="32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N/A</w:t>
            </w:r>
          </w:p>
        </w:tc>
        <w:tc>
          <w:tcPr>
            <w:tcW w:w="300" w:type="dxa"/>
            <w:vAlign w:val="bottom"/>
          </w:tcPr>
          <w:p>
            <w:pPr>
              <w:spacing w:after="0"/>
              <w:rPr>
                <w:sz w:val="23"/>
                <w:szCs w:val="23"/>
                <w:color w:val="auto"/>
              </w:rPr>
            </w:pP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N/A</w:t>
            </w:r>
          </w:p>
        </w:tc>
        <w:tc>
          <w:tcPr>
            <w:tcW w:w="26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N/A</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1560" w:type="dxa"/>
            <w:vAlign w:val="bottom"/>
            <w:tcBorders>
              <w:bottom w:val="single" w:sz="8" w:color="FB1717"/>
            </w:tcBorders>
            <w:gridSpan w:val="2"/>
            <w:shd w:val="clear" w:color="auto" w:fill="FB1717"/>
          </w:tcPr>
          <w:p>
            <w:pPr>
              <w:spacing w:after="0"/>
              <w:rPr>
                <w:sz w:val="20"/>
                <w:szCs w:val="20"/>
                <w:color w:val="auto"/>
              </w:rPr>
            </w:pPr>
            <w:r>
              <w:rPr>
                <w:rFonts w:ascii="Calibri" w:cs="Calibri" w:eastAsia="Calibri" w:hAnsi="Calibri"/>
                <w:sz w:val="20"/>
                <w:szCs w:val="20"/>
                <w:b w:val="1"/>
                <w:bCs w:val="1"/>
                <w:color w:val="FFFFFF"/>
              </w:rPr>
              <w:t>Total</w:t>
            </w:r>
          </w:p>
        </w:tc>
        <w:tc>
          <w:tcPr>
            <w:tcW w:w="1920" w:type="dxa"/>
            <w:vAlign w:val="bottom"/>
            <w:tcBorders>
              <w:bottom w:val="single" w:sz="8" w:color="FB1717"/>
            </w:tcBorders>
            <w:shd w:val="clear" w:color="auto" w:fill="FB1717"/>
          </w:tcPr>
          <w:p>
            <w:pPr>
              <w:spacing w:after="0"/>
              <w:rPr>
                <w:sz w:val="23"/>
                <w:szCs w:val="23"/>
                <w:color w:val="auto"/>
              </w:rPr>
            </w:pP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940" w:type="dxa"/>
            <w:vAlign w:val="bottom"/>
            <w:tcBorders>
              <w:bottom w:val="single" w:sz="8" w:color="FB1717"/>
            </w:tcBorders>
            <w:shd w:val="clear" w:color="auto" w:fill="FB1717"/>
          </w:tcPr>
          <w:p>
            <w:pPr>
              <w:jc w:val="right"/>
              <w:ind w:right="103"/>
              <w:spacing w:after="0"/>
              <w:rPr>
                <w:sz w:val="20"/>
                <w:szCs w:val="20"/>
                <w:color w:val="auto"/>
              </w:rPr>
            </w:pPr>
            <w:r>
              <w:rPr>
                <w:rFonts w:ascii="Calibri" w:cs="Calibri" w:eastAsia="Calibri" w:hAnsi="Calibri"/>
                <w:sz w:val="20"/>
                <w:szCs w:val="20"/>
                <w:b w:val="1"/>
                <w:bCs w:val="1"/>
                <w:color w:val="FFFFFF"/>
              </w:rPr>
              <w:t>51,077</w:t>
            </w:r>
          </w:p>
        </w:tc>
        <w:tc>
          <w:tcPr>
            <w:tcW w:w="320" w:type="dxa"/>
            <w:vAlign w:val="bottom"/>
            <w:tcBorders>
              <w:bottom w:val="single" w:sz="8" w:color="FB1717"/>
            </w:tcBorders>
            <w:shd w:val="clear" w:color="auto" w:fill="FB1717"/>
          </w:tcPr>
          <w:p>
            <w:pPr>
              <w:ind w:left="220"/>
              <w:spacing w:after="0"/>
              <w:rPr>
                <w:sz w:val="20"/>
                <w:szCs w:val="20"/>
                <w:color w:val="auto"/>
              </w:rPr>
            </w:pPr>
            <w:r>
              <w:rPr>
                <w:rFonts w:ascii="Calibri" w:cs="Calibri" w:eastAsia="Calibri" w:hAnsi="Calibri"/>
                <w:sz w:val="20"/>
                <w:szCs w:val="20"/>
                <w:b w:val="1"/>
                <w:bCs w:val="1"/>
                <w:color w:val="FFFFFF"/>
                <w:w w:val="78"/>
              </w:rPr>
              <w:t>$</w:t>
            </w:r>
          </w:p>
        </w:tc>
        <w:tc>
          <w:tcPr>
            <w:tcW w:w="1120" w:type="dxa"/>
            <w:vAlign w:val="bottom"/>
            <w:tcBorders>
              <w:bottom w:val="single" w:sz="8" w:color="FB1717"/>
            </w:tcBorders>
            <w:shd w:val="clear" w:color="auto" w:fill="FB1717"/>
          </w:tcPr>
          <w:p>
            <w:pPr>
              <w:jc w:val="right"/>
              <w:ind w:right="123"/>
              <w:spacing w:after="0"/>
              <w:rPr>
                <w:sz w:val="20"/>
                <w:szCs w:val="20"/>
                <w:color w:val="auto"/>
              </w:rPr>
            </w:pPr>
            <w:r>
              <w:rPr>
                <w:rFonts w:ascii="Calibri" w:cs="Calibri" w:eastAsia="Calibri" w:hAnsi="Calibri"/>
                <w:sz w:val="20"/>
                <w:szCs w:val="20"/>
                <w:b w:val="1"/>
                <w:bCs w:val="1"/>
                <w:color w:val="FFFFFF"/>
              </w:rPr>
              <w:t>2,384,039</w:t>
            </w: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100" w:type="dxa"/>
            <w:vAlign w:val="bottom"/>
            <w:tcBorders>
              <w:bottom w:val="single" w:sz="8" w:color="FB1717"/>
            </w:tcBorders>
            <w:shd w:val="clear" w:color="auto" w:fill="FB1717"/>
          </w:tcPr>
          <w:p>
            <w:pPr>
              <w:jc w:val="right"/>
              <w:ind w:right="103"/>
              <w:spacing w:after="0"/>
              <w:rPr>
                <w:sz w:val="20"/>
                <w:szCs w:val="20"/>
                <w:color w:val="auto"/>
              </w:rPr>
            </w:pPr>
            <w:r>
              <w:rPr>
                <w:rFonts w:ascii="Calibri" w:cs="Calibri" w:eastAsia="Calibri" w:hAnsi="Calibri"/>
                <w:sz w:val="20"/>
                <w:szCs w:val="20"/>
                <w:b w:val="1"/>
                <w:bCs w:val="1"/>
                <w:color w:val="FFFFFF"/>
              </w:rPr>
              <w:t>4,637,751</w:t>
            </w:r>
          </w:p>
        </w:tc>
        <w:tc>
          <w:tcPr>
            <w:tcW w:w="26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FB1717"/>
            </w:tcBorders>
            <w:shd w:val="clear" w:color="auto" w:fill="FB1717"/>
          </w:tcPr>
          <w:p>
            <w:pPr>
              <w:jc w:val="right"/>
              <w:ind w:right="63"/>
              <w:spacing w:after="0"/>
              <w:rPr>
                <w:sz w:val="20"/>
                <w:szCs w:val="20"/>
                <w:color w:val="auto"/>
              </w:rPr>
            </w:pPr>
            <w:r>
              <w:rPr>
                <w:rFonts w:ascii="Calibri" w:cs="Calibri" w:eastAsia="Calibri" w:hAnsi="Calibri"/>
                <w:sz w:val="20"/>
                <w:szCs w:val="20"/>
                <w:b w:val="1"/>
                <w:bCs w:val="1"/>
                <w:color w:val="FFFFFF"/>
              </w:rPr>
              <w:t>2,384,039</w:t>
            </w:r>
          </w:p>
        </w:tc>
        <w:tc>
          <w:tcPr>
            <w:tcW w:w="24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20" w:type="dxa"/>
            <w:vAlign w:val="bottom"/>
            <w:tcBorders>
              <w:bottom w:val="single" w:sz="8" w:color="FB1717"/>
            </w:tcBorders>
            <w:shd w:val="clear" w:color="auto" w:fill="FB1717"/>
          </w:tcPr>
          <w:p>
            <w:pPr>
              <w:jc w:val="right"/>
              <w:ind w:right="23"/>
              <w:spacing w:after="0"/>
              <w:rPr>
                <w:sz w:val="20"/>
                <w:szCs w:val="20"/>
                <w:color w:val="auto"/>
              </w:rPr>
            </w:pPr>
            <w:r>
              <w:rPr>
                <w:rFonts w:ascii="Calibri" w:cs="Calibri" w:eastAsia="Calibri" w:hAnsi="Calibri"/>
                <w:sz w:val="20"/>
                <w:szCs w:val="20"/>
                <w:b w:val="1"/>
                <w:bCs w:val="1"/>
                <w:color w:val="FFFFFF"/>
              </w:rPr>
              <w:t>2,971,127</w:t>
            </w:r>
          </w:p>
        </w:tc>
      </w:tr>
      <w:tr>
        <w:trPr>
          <w:trHeight w:val="275"/>
        </w:trPr>
        <w:tc>
          <w:tcPr>
            <w:tcW w:w="1560" w:type="dxa"/>
            <w:vAlign w:val="bottom"/>
            <w:gridSpan w:val="2"/>
          </w:tcPr>
          <w:p>
            <w:pPr>
              <w:spacing w:after="0"/>
              <w:rPr>
                <w:sz w:val="20"/>
                <w:szCs w:val="20"/>
                <w:color w:val="auto"/>
              </w:rPr>
            </w:pPr>
            <w:r>
              <w:rPr>
                <w:rFonts w:ascii="Calibri" w:cs="Calibri" w:eastAsia="Calibri" w:hAnsi="Calibri"/>
                <w:sz w:val="20"/>
                <w:szCs w:val="20"/>
                <w:color w:val="auto"/>
              </w:rPr>
              <w:t>Dawn M. Becker</w:t>
            </w:r>
          </w:p>
        </w:tc>
        <w:tc>
          <w:tcPr>
            <w:tcW w:w="1920" w:type="dxa"/>
            <w:vAlign w:val="bottom"/>
            <w:tcBorders>
              <w:bottom w:val="single" w:sz="8" w:color="E6E6E6"/>
            </w:tcBorders>
            <w:shd w:val="clear" w:color="auto" w:fill="E6E6E6"/>
          </w:tcPr>
          <w:p>
            <w:pPr>
              <w:spacing w:after="0"/>
              <w:rPr>
                <w:sz w:val="20"/>
                <w:szCs w:val="20"/>
                <w:color w:val="auto"/>
              </w:rPr>
            </w:pPr>
            <w:r>
              <w:rPr>
                <w:rFonts w:ascii="Calibri" w:cs="Calibri" w:eastAsia="Calibri" w:hAnsi="Calibri"/>
                <w:sz w:val="20"/>
                <w:szCs w:val="20"/>
                <w:color w:val="auto"/>
                <w:w w:val="98"/>
              </w:rPr>
              <w:t>Cash Benefits (multiple)</w:t>
            </w:r>
          </w:p>
        </w:tc>
        <w:tc>
          <w:tcPr>
            <w:tcW w:w="30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jc w:val="right"/>
              <w:ind w:right="103"/>
              <w:spacing w:after="0"/>
              <w:rPr>
                <w:sz w:val="20"/>
                <w:szCs w:val="20"/>
                <w:color w:val="auto"/>
              </w:rPr>
            </w:pPr>
            <w:r>
              <w:rPr>
                <w:rFonts w:ascii="Calibri" w:cs="Calibri" w:eastAsia="Calibri" w:hAnsi="Calibri"/>
                <w:sz w:val="20"/>
                <w:szCs w:val="20"/>
                <w:color w:val="auto"/>
                <w:w w:val="93"/>
              </w:rPr>
              <w:t>6 months</w:t>
            </w:r>
          </w:p>
        </w:tc>
        <w:tc>
          <w:tcPr>
            <w:tcW w:w="320" w:type="dxa"/>
            <w:vAlign w:val="bottom"/>
            <w:tcBorders>
              <w:bottom w:val="single" w:sz="8" w:color="E6E6E6"/>
            </w:tcBorders>
            <w:shd w:val="clear" w:color="auto" w:fill="E6E6E6"/>
          </w:tcPr>
          <w:p>
            <w:pPr>
              <w:spacing w:after="0"/>
              <w:rPr>
                <w:sz w:val="23"/>
                <w:szCs w:val="23"/>
                <w:color w:val="auto"/>
              </w:rPr>
            </w:pPr>
          </w:p>
        </w:tc>
        <w:tc>
          <w:tcPr>
            <w:tcW w:w="1120" w:type="dxa"/>
            <w:vAlign w:val="bottom"/>
            <w:tcBorders>
              <w:bottom w:val="single" w:sz="8" w:color="E6E6E6"/>
            </w:tcBorders>
            <w:shd w:val="clear" w:color="auto" w:fill="E6E6E6"/>
          </w:tcPr>
          <w:p>
            <w:pPr>
              <w:jc w:val="right"/>
              <w:ind w:right="123"/>
              <w:spacing w:after="0"/>
              <w:rPr>
                <w:sz w:val="20"/>
                <w:szCs w:val="20"/>
                <w:color w:val="auto"/>
              </w:rPr>
            </w:pPr>
            <w:r>
              <w:rPr>
                <w:rFonts w:ascii="Calibri" w:cs="Calibri" w:eastAsia="Calibri" w:hAnsi="Calibri"/>
                <w:sz w:val="20"/>
                <w:szCs w:val="20"/>
                <w:color w:val="auto"/>
              </w:rPr>
              <w:t>1.0x</w:t>
            </w:r>
          </w:p>
        </w:tc>
        <w:tc>
          <w:tcPr>
            <w:tcW w:w="300" w:type="dxa"/>
            <w:vAlign w:val="bottom"/>
            <w:tcBorders>
              <w:bottom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jc w:val="right"/>
              <w:ind w:right="103"/>
              <w:spacing w:after="0"/>
              <w:rPr>
                <w:sz w:val="20"/>
                <w:szCs w:val="20"/>
                <w:color w:val="auto"/>
              </w:rPr>
            </w:pPr>
            <w:r>
              <w:rPr>
                <w:rFonts w:ascii="Calibri" w:cs="Calibri" w:eastAsia="Calibri" w:hAnsi="Calibri"/>
                <w:sz w:val="20"/>
                <w:szCs w:val="20"/>
                <w:color w:val="auto"/>
              </w:rPr>
              <w:t>2.0x</w:t>
            </w:r>
          </w:p>
        </w:tc>
        <w:tc>
          <w:tcPr>
            <w:tcW w:w="26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Borders>
              <w:bottom w:val="single" w:sz="8" w:color="E6E6E6"/>
            </w:tcBorders>
            <w:shd w:val="clear" w:color="auto" w:fill="E6E6E6"/>
          </w:tcPr>
          <w:p>
            <w:pPr>
              <w:spacing w:after="0"/>
              <w:rPr>
                <w:sz w:val="23"/>
                <w:szCs w:val="23"/>
                <w:color w:val="auto"/>
              </w:rPr>
            </w:pPr>
          </w:p>
        </w:tc>
        <w:tc>
          <w:tcPr>
            <w:tcW w:w="1020" w:type="dxa"/>
            <w:vAlign w:val="bottom"/>
            <w:tcBorders>
              <w:bottom w:val="single" w:sz="8" w:color="E6E6E6"/>
            </w:tcBorders>
            <w:shd w:val="clear" w:color="auto" w:fill="E6E6E6"/>
          </w:tcPr>
          <w:p>
            <w:pPr>
              <w:jc w:val="right"/>
              <w:ind w:right="23"/>
              <w:spacing w:after="0"/>
              <w:rPr>
                <w:sz w:val="20"/>
                <w:szCs w:val="20"/>
                <w:color w:val="auto"/>
              </w:rPr>
            </w:pPr>
            <w:r>
              <w:rPr>
                <w:rFonts w:ascii="Calibri" w:cs="Calibri" w:eastAsia="Calibri" w:hAnsi="Calibri"/>
                <w:sz w:val="20"/>
                <w:szCs w:val="20"/>
                <w:color w:val="auto"/>
              </w:rPr>
              <w:t>N/A</w:t>
            </w:r>
          </w:p>
        </w:tc>
      </w:tr>
      <w:tr>
        <w:trPr>
          <w:trHeight w:val="271"/>
        </w:trPr>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w w:val="99"/>
              </w:rPr>
              <w:t>Cash Benefits (amount)</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287,500</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1,020,313</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2,040,625</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508,981</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Medical Benefits</w:t>
            </w:r>
            <w:r>
              <w:rPr>
                <w:rFonts w:ascii="Calibri" w:cs="Calibri" w:eastAsia="Calibri" w:hAnsi="Calibri"/>
                <w:sz w:val="25"/>
                <w:szCs w:val="25"/>
                <w:color w:val="auto"/>
                <w:vertAlign w:val="superscript"/>
              </w:rPr>
              <w:t>(2)</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center"/>
              <w:ind w:left="3"/>
              <w:spacing w:after="0"/>
              <w:rPr>
                <w:sz w:val="20"/>
                <w:szCs w:val="20"/>
                <w:color w:val="auto"/>
              </w:rPr>
            </w:pPr>
            <w:r>
              <w:rPr>
                <w:rFonts w:ascii="Calibri" w:cs="Calibri" w:eastAsia="Calibri" w:hAnsi="Calibri"/>
                <w:sz w:val="20"/>
                <w:szCs w:val="20"/>
                <w:color w:val="auto"/>
                <w:w w:val="96"/>
              </w:rPr>
              <w:t>8,159</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123"/>
              <w:spacing w:after="0"/>
              <w:rPr>
                <w:sz w:val="20"/>
                <w:szCs w:val="20"/>
                <w:color w:val="auto"/>
              </w:rPr>
            </w:pPr>
            <w:r>
              <w:rPr>
                <w:rFonts w:ascii="Calibri" w:cs="Calibri" w:eastAsia="Calibri" w:hAnsi="Calibri"/>
                <w:sz w:val="20"/>
                <w:szCs w:val="20"/>
                <w:color w:val="auto"/>
              </w:rPr>
              <w:t>12,238</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32,635</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3"/>
              <w:spacing w:after="0"/>
              <w:rPr>
                <w:sz w:val="20"/>
                <w:szCs w:val="20"/>
                <w:color w:val="auto"/>
              </w:rPr>
            </w:pPr>
            <w:r>
              <w:rPr>
                <w:rFonts w:ascii="Calibri" w:cs="Calibri" w:eastAsia="Calibri" w:hAnsi="Calibri"/>
                <w:sz w:val="20"/>
                <w:szCs w:val="20"/>
                <w:color w:val="auto"/>
              </w:rPr>
              <w:t>16,318</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line="294" w:lineRule="exact"/>
              <w:rPr>
                <w:sz w:val="20"/>
                <w:szCs w:val="20"/>
                <w:color w:val="auto"/>
              </w:rPr>
            </w:pPr>
            <w:r>
              <w:rPr>
                <w:rFonts w:ascii="Calibri" w:cs="Calibri" w:eastAsia="Calibri" w:hAnsi="Calibri"/>
                <w:sz w:val="20"/>
                <w:szCs w:val="20"/>
                <w:color w:val="auto"/>
              </w:rPr>
              <w:t>Accelerated Equity</w:t>
            </w:r>
            <w:r>
              <w:rPr>
                <w:rFonts w:ascii="Calibri" w:cs="Calibri" w:eastAsia="Calibri" w:hAnsi="Calibri"/>
                <w:sz w:val="25"/>
                <w:szCs w:val="25"/>
                <w:color w:val="auto"/>
                <w:vertAlign w:val="superscript"/>
              </w:rPr>
              <w:t>(3)</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1,260,272</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auto"/>
              </w:rPr>
              <w:t>1,260,272</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1,260,272</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1,260,272</w:t>
            </w:r>
          </w:p>
        </w:tc>
      </w:tr>
      <w:tr>
        <w:trPr>
          <w:trHeight w:val="295"/>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shd w:val="clear" w:color="auto" w:fill="E6E6E6"/>
          </w:tcPr>
          <w:p>
            <w:pPr>
              <w:spacing w:after="0" w:line="294" w:lineRule="exact"/>
              <w:rPr>
                <w:sz w:val="20"/>
                <w:szCs w:val="20"/>
                <w:color w:val="auto"/>
              </w:rPr>
            </w:pPr>
            <w:r>
              <w:rPr>
                <w:rFonts w:ascii="Calibri" w:cs="Calibri" w:eastAsia="Calibri" w:hAnsi="Calibri"/>
                <w:sz w:val="20"/>
                <w:szCs w:val="20"/>
                <w:color w:val="auto"/>
              </w:rPr>
              <w:t>Other Benefits</w:t>
            </w:r>
            <w:r>
              <w:rPr>
                <w:rFonts w:ascii="Calibri" w:cs="Calibri" w:eastAsia="Calibri" w:hAnsi="Calibri"/>
                <w:sz w:val="25"/>
                <w:szCs w:val="25"/>
                <w:color w:val="auto"/>
                <w:vertAlign w:val="superscript"/>
              </w:rPr>
              <w:t>(4)</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shd w:val="clear" w:color="auto" w:fill="E6E6E6"/>
          </w:tcPr>
          <w:p>
            <w:pPr>
              <w:jc w:val="center"/>
              <w:spacing w:after="0"/>
              <w:rPr>
                <w:sz w:val="20"/>
                <w:szCs w:val="20"/>
                <w:color w:val="auto"/>
              </w:rPr>
            </w:pPr>
            <w:r>
              <w:rPr>
                <w:rFonts w:ascii="Calibri" w:cs="Calibri" w:eastAsia="Calibri" w:hAnsi="Calibri"/>
                <w:sz w:val="20"/>
                <w:szCs w:val="20"/>
                <w:color w:val="auto"/>
                <w:w w:val="97"/>
              </w:rPr>
              <w:t>-</w:t>
            </w:r>
          </w:p>
        </w:tc>
        <w:tc>
          <w:tcPr>
            <w:tcW w:w="320" w:type="dxa"/>
            <w:vAlign w:val="bottom"/>
            <w:shd w:val="clear" w:color="auto" w:fill="E6E6E6"/>
          </w:tcPr>
          <w:p>
            <w:pPr>
              <w:ind w:left="220"/>
              <w:spacing w:after="0"/>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6E6E6"/>
          </w:tcPr>
          <w:p>
            <w:pPr>
              <w:jc w:val="right"/>
              <w:ind w:right="123"/>
              <w:spacing w:after="0"/>
              <w:rPr>
                <w:sz w:val="20"/>
                <w:szCs w:val="20"/>
                <w:color w:val="auto"/>
              </w:rPr>
            </w:pPr>
            <w:r>
              <w:rPr>
                <w:rFonts w:ascii="Calibri" w:cs="Calibri" w:eastAsia="Calibri" w:hAnsi="Calibri"/>
                <w:sz w:val="20"/>
                <w:szCs w:val="20"/>
                <w:color w:val="auto"/>
              </w:rPr>
              <w:t>60,250</w:t>
            </w:r>
          </w:p>
        </w:tc>
        <w:tc>
          <w:tcPr>
            <w:tcW w:w="30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E6E6E6"/>
          </w:tcPr>
          <w:p>
            <w:pPr>
              <w:jc w:val="right"/>
              <w:ind w:right="103"/>
              <w:spacing w:after="0"/>
              <w:rPr>
                <w:sz w:val="20"/>
                <w:szCs w:val="20"/>
                <w:color w:val="auto"/>
              </w:rPr>
            </w:pPr>
            <w:r>
              <w:rPr>
                <w:rFonts w:ascii="Calibri" w:cs="Calibri" w:eastAsia="Calibri" w:hAnsi="Calibri"/>
                <w:sz w:val="20"/>
                <w:szCs w:val="20"/>
                <w:color w:val="auto"/>
              </w:rPr>
              <w:t>90,375</w:t>
            </w:r>
          </w:p>
        </w:tc>
        <w:tc>
          <w:tcPr>
            <w:tcW w:w="26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6E6E6"/>
          </w:tcPr>
          <w:p>
            <w:pPr>
              <w:jc w:val="right"/>
              <w:ind w:right="263"/>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6E6E6"/>
          </w:tcPr>
          <w:p>
            <w:pPr>
              <w:jc w:val="right"/>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6E6E6"/>
          </w:tcPr>
          <w:p>
            <w:pPr>
              <w:jc w:val="right"/>
              <w:ind w:right="223"/>
              <w:spacing w:after="0"/>
              <w:rPr>
                <w:sz w:val="20"/>
                <w:szCs w:val="20"/>
                <w:color w:val="auto"/>
              </w:rPr>
            </w:pPr>
            <w:r>
              <w:rPr>
                <w:rFonts w:ascii="Calibri" w:cs="Calibri" w:eastAsia="Calibri" w:hAnsi="Calibri"/>
                <w:sz w:val="20"/>
                <w:szCs w:val="20"/>
                <w:color w:val="auto"/>
              </w:rPr>
              <w:t>-</w:t>
            </w:r>
          </w:p>
        </w:tc>
      </w:tr>
      <w:tr>
        <w:trPr>
          <w:trHeight w:val="271"/>
        </w:trPr>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auto"/>
              </w:rPr>
              <w:t>Excise Tax Gross-Up</w:t>
            </w:r>
          </w:p>
        </w:tc>
        <w:tc>
          <w:tcPr>
            <w:tcW w:w="300" w:type="dxa"/>
            <w:vAlign w:val="bottom"/>
          </w:tcPr>
          <w:p>
            <w:pPr>
              <w:spacing w:after="0"/>
              <w:rPr>
                <w:sz w:val="23"/>
                <w:szCs w:val="23"/>
                <w:color w:val="auto"/>
              </w:rPr>
            </w:pPr>
          </w:p>
        </w:tc>
        <w:tc>
          <w:tcPr>
            <w:tcW w:w="940" w:type="dxa"/>
            <w:vAlign w:val="bottom"/>
          </w:tcPr>
          <w:p>
            <w:pPr>
              <w:jc w:val="right"/>
              <w:ind w:right="103"/>
              <w:spacing w:after="0"/>
              <w:rPr>
                <w:sz w:val="20"/>
                <w:szCs w:val="20"/>
                <w:color w:val="auto"/>
              </w:rPr>
            </w:pPr>
            <w:r>
              <w:rPr>
                <w:rFonts w:ascii="Calibri" w:cs="Calibri" w:eastAsia="Calibri" w:hAnsi="Calibri"/>
                <w:sz w:val="20"/>
                <w:szCs w:val="20"/>
                <w:color w:val="auto"/>
              </w:rPr>
              <w:t>N/A</w:t>
            </w:r>
          </w:p>
        </w:tc>
        <w:tc>
          <w:tcPr>
            <w:tcW w:w="32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alibri" w:cs="Calibri" w:eastAsia="Calibri" w:hAnsi="Calibri"/>
                <w:sz w:val="20"/>
                <w:szCs w:val="20"/>
                <w:color w:val="auto"/>
              </w:rPr>
              <w:t>N/A</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ind w:right="303"/>
              <w:spacing w:after="0"/>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auto"/>
              </w:rPr>
              <w:t>N/A</w:t>
            </w:r>
          </w:p>
        </w:tc>
        <w:tc>
          <w:tcPr>
            <w:tcW w:w="24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Calibri" w:cs="Calibri" w:eastAsia="Calibri" w:hAnsi="Calibri"/>
                <w:sz w:val="20"/>
                <w:szCs w:val="20"/>
                <w:color w:val="auto"/>
              </w:rPr>
              <w:t>N/A</w:t>
            </w:r>
          </w:p>
        </w:tc>
      </w:tr>
      <w:tr>
        <w:trPr>
          <w:trHeight w:val="24"/>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1560" w:type="dxa"/>
            <w:vAlign w:val="bottom"/>
            <w:tcBorders>
              <w:bottom w:val="single" w:sz="8" w:color="FB1717"/>
            </w:tcBorders>
            <w:gridSpan w:val="2"/>
            <w:shd w:val="clear" w:color="auto" w:fill="FB1717"/>
          </w:tcPr>
          <w:p>
            <w:pPr>
              <w:spacing w:after="0"/>
              <w:rPr>
                <w:sz w:val="20"/>
                <w:szCs w:val="20"/>
                <w:color w:val="auto"/>
              </w:rPr>
            </w:pPr>
            <w:r>
              <w:rPr>
                <w:rFonts w:ascii="Calibri" w:cs="Calibri" w:eastAsia="Calibri" w:hAnsi="Calibri"/>
                <w:sz w:val="20"/>
                <w:szCs w:val="20"/>
                <w:b w:val="1"/>
                <w:bCs w:val="1"/>
                <w:color w:val="FFFFFF"/>
              </w:rPr>
              <w:t>Total</w:t>
            </w:r>
          </w:p>
        </w:tc>
        <w:tc>
          <w:tcPr>
            <w:tcW w:w="1920" w:type="dxa"/>
            <w:vAlign w:val="bottom"/>
            <w:tcBorders>
              <w:bottom w:val="single" w:sz="8" w:color="FB1717"/>
            </w:tcBorders>
            <w:shd w:val="clear" w:color="auto" w:fill="FB1717"/>
          </w:tcPr>
          <w:p>
            <w:pPr>
              <w:spacing w:after="0"/>
              <w:rPr>
                <w:sz w:val="23"/>
                <w:szCs w:val="23"/>
                <w:color w:val="auto"/>
              </w:rPr>
            </w:pP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940" w:type="dxa"/>
            <w:vAlign w:val="bottom"/>
            <w:tcBorders>
              <w:bottom w:val="single" w:sz="8" w:color="FB1717"/>
            </w:tcBorders>
            <w:shd w:val="clear" w:color="auto" w:fill="FB1717"/>
          </w:tcPr>
          <w:p>
            <w:pPr>
              <w:jc w:val="right"/>
              <w:ind w:right="103"/>
              <w:spacing w:after="0"/>
              <w:rPr>
                <w:sz w:val="20"/>
                <w:szCs w:val="20"/>
                <w:color w:val="auto"/>
              </w:rPr>
            </w:pPr>
            <w:r>
              <w:rPr>
                <w:rFonts w:ascii="Calibri" w:cs="Calibri" w:eastAsia="Calibri" w:hAnsi="Calibri"/>
                <w:sz w:val="20"/>
                <w:szCs w:val="20"/>
                <w:b w:val="1"/>
                <w:bCs w:val="1"/>
                <w:color w:val="FFFFFF"/>
              </w:rPr>
              <w:t>295,659</w:t>
            </w:r>
          </w:p>
        </w:tc>
        <w:tc>
          <w:tcPr>
            <w:tcW w:w="320" w:type="dxa"/>
            <w:vAlign w:val="bottom"/>
            <w:tcBorders>
              <w:bottom w:val="single" w:sz="8" w:color="FB1717"/>
            </w:tcBorders>
            <w:shd w:val="clear" w:color="auto" w:fill="FB1717"/>
          </w:tcPr>
          <w:p>
            <w:pPr>
              <w:ind w:left="220"/>
              <w:spacing w:after="0"/>
              <w:rPr>
                <w:sz w:val="20"/>
                <w:szCs w:val="20"/>
                <w:color w:val="auto"/>
              </w:rPr>
            </w:pPr>
            <w:r>
              <w:rPr>
                <w:rFonts w:ascii="Calibri" w:cs="Calibri" w:eastAsia="Calibri" w:hAnsi="Calibri"/>
                <w:sz w:val="20"/>
                <w:szCs w:val="20"/>
                <w:b w:val="1"/>
                <w:bCs w:val="1"/>
                <w:color w:val="FFFFFF"/>
                <w:w w:val="78"/>
              </w:rPr>
              <w:t>$</w:t>
            </w:r>
          </w:p>
        </w:tc>
        <w:tc>
          <w:tcPr>
            <w:tcW w:w="1120" w:type="dxa"/>
            <w:vAlign w:val="bottom"/>
            <w:tcBorders>
              <w:bottom w:val="single" w:sz="8" w:color="FB1717"/>
            </w:tcBorders>
            <w:shd w:val="clear" w:color="auto" w:fill="FB1717"/>
          </w:tcPr>
          <w:p>
            <w:pPr>
              <w:jc w:val="right"/>
              <w:ind w:right="123"/>
              <w:spacing w:after="0"/>
              <w:rPr>
                <w:sz w:val="20"/>
                <w:szCs w:val="20"/>
                <w:color w:val="auto"/>
              </w:rPr>
            </w:pPr>
            <w:r>
              <w:rPr>
                <w:rFonts w:ascii="Calibri" w:cs="Calibri" w:eastAsia="Calibri" w:hAnsi="Calibri"/>
                <w:sz w:val="20"/>
                <w:szCs w:val="20"/>
                <w:b w:val="1"/>
                <w:bCs w:val="1"/>
                <w:color w:val="FFFFFF"/>
              </w:rPr>
              <w:t>2,353,073</w:t>
            </w:r>
          </w:p>
        </w:tc>
        <w:tc>
          <w:tcPr>
            <w:tcW w:w="30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100" w:type="dxa"/>
            <w:vAlign w:val="bottom"/>
            <w:tcBorders>
              <w:bottom w:val="single" w:sz="8" w:color="FB1717"/>
            </w:tcBorders>
            <w:shd w:val="clear" w:color="auto" w:fill="FB1717"/>
          </w:tcPr>
          <w:p>
            <w:pPr>
              <w:jc w:val="right"/>
              <w:ind w:right="103"/>
              <w:spacing w:after="0"/>
              <w:rPr>
                <w:sz w:val="20"/>
                <w:szCs w:val="20"/>
                <w:color w:val="auto"/>
              </w:rPr>
            </w:pPr>
            <w:r>
              <w:rPr>
                <w:rFonts w:ascii="Calibri" w:cs="Calibri" w:eastAsia="Calibri" w:hAnsi="Calibri"/>
                <w:sz w:val="20"/>
                <w:szCs w:val="20"/>
                <w:b w:val="1"/>
                <w:bCs w:val="1"/>
                <w:color w:val="FFFFFF"/>
              </w:rPr>
              <w:t>3,423,907</w:t>
            </w:r>
          </w:p>
        </w:tc>
        <w:tc>
          <w:tcPr>
            <w:tcW w:w="26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FB1717"/>
            </w:tcBorders>
            <w:shd w:val="clear" w:color="auto" w:fill="FB1717"/>
          </w:tcPr>
          <w:p>
            <w:pPr>
              <w:jc w:val="right"/>
              <w:ind w:right="63"/>
              <w:spacing w:after="0"/>
              <w:rPr>
                <w:sz w:val="20"/>
                <w:szCs w:val="20"/>
                <w:color w:val="auto"/>
              </w:rPr>
            </w:pPr>
            <w:r>
              <w:rPr>
                <w:rFonts w:ascii="Calibri" w:cs="Calibri" w:eastAsia="Calibri" w:hAnsi="Calibri"/>
                <w:sz w:val="20"/>
                <w:szCs w:val="20"/>
                <w:b w:val="1"/>
                <w:bCs w:val="1"/>
                <w:color w:val="FFFFFF"/>
              </w:rPr>
              <w:t>1,260,272</w:t>
            </w:r>
          </w:p>
        </w:tc>
        <w:tc>
          <w:tcPr>
            <w:tcW w:w="240" w:type="dxa"/>
            <w:vAlign w:val="bottom"/>
            <w:tcBorders>
              <w:bottom w:val="single" w:sz="8" w:color="FB1717"/>
            </w:tcBorders>
            <w:shd w:val="clear" w:color="auto" w:fill="FB1717"/>
          </w:tcPr>
          <w:p>
            <w:pPr>
              <w:jc w:val="right"/>
              <w:spacing w:after="0"/>
              <w:rPr>
                <w:sz w:val="20"/>
                <w:szCs w:val="20"/>
                <w:color w:val="auto"/>
              </w:rPr>
            </w:pPr>
            <w:r>
              <w:rPr>
                <w:rFonts w:ascii="Calibri" w:cs="Calibri" w:eastAsia="Calibri" w:hAnsi="Calibri"/>
                <w:sz w:val="20"/>
                <w:szCs w:val="20"/>
                <w:b w:val="1"/>
                <w:bCs w:val="1"/>
                <w:color w:val="FFFFFF"/>
              </w:rPr>
              <w:t>$</w:t>
            </w:r>
          </w:p>
        </w:tc>
        <w:tc>
          <w:tcPr>
            <w:tcW w:w="1020" w:type="dxa"/>
            <w:vAlign w:val="bottom"/>
            <w:tcBorders>
              <w:bottom w:val="single" w:sz="8" w:color="FB1717"/>
            </w:tcBorders>
            <w:shd w:val="clear" w:color="auto" w:fill="FB1717"/>
          </w:tcPr>
          <w:p>
            <w:pPr>
              <w:jc w:val="right"/>
              <w:ind w:right="23"/>
              <w:spacing w:after="0"/>
              <w:rPr>
                <w:sz w:val="20"/>
                <w:szCs w:val="20"/>
                <w:color w:val="auto"/>
              </w:rPr>
            </w:pPr>
            <w:r>
              <w:rPr>
                <w:rFonts w:ascii="Calibri" w:cs="Calibri" w:eastAsia="Calibri" w:hAnsi="Calibri"/>
                <w:sz w:val="20"/>
                <w:szCs w:val="20"/>
                <w:b w:val="1"/>
                <w:bCs w:val="1"/>
                <w:color w:val="FFFFFF"/>
              </w:rPr>
              <w:t>1,785,570</w:t>
            </w:r>
          </w:p>
        </w:tc>
      </w:tr>
      <w:tr>
        <w:trPr>
          <w:trHeight w:val="150"/>
        </w:trPr>
        <w:tc>
          <w:tcPr>
            <w:tcW w:w="96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986155</wp:posOffset>
                </wp:positionH>
                <wp:positionV relativeFrom="paragraph">
                  <wp:posOffset>-2723515</wp:posOffset>
                </wp:positionV>
                <wp:extent cx="5452110" cy="187325"/>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2110" cy="187325"/>
                        </a:xfrm>
                        <a:prstGeom prst="rect">
                          <a:avLst/>
                        </a:prstGeom>
                        <a:solidFill>
                          <a:srgbClr val="E6E6E6"/>
                        </a:solidFill>
                      </wps:spPr>
                      <wps:bodyPr/>
                    </wps:wsp>
                  </a:graphicData>
                </a:graphic>
              </wp:anchor>
            </w:drawing>
          </mc:Choice>
          <mc:Fallback>
            <w:pict>
              <v:rect id="Shape 538" o:spid="_x0000_s1563" style="position:absolute;margin-left:77.65pt;margin-top:-214.4499pt;width:429.3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 w:lineRule="exact"/>
        <w:rPr>
          <w:sz w:val="20"/>
          <w:szCs w:val="20"/>
          <w:color w:val="auto"/>
        </w:rPr>
      </w:pPr>
    </w:p>
    <w:p>
      <w:pPr>
        <w:jc w:val="both"/>
        <w:ind w:left="360" w:right="60" w:hanging="360"/>
        <w:spacing w:after="0"/>
        <w:tabs>
          <w:tab w:leader="none" w:pos="360" w:val="left"/>
        </w:tabs>
        <w:numPr>
          <w:ilvl w:val="0"/>
          <w:numId w:val="142"/>
        </w:numPr>
        <w:rPr>
          <w:rFonts w:ascii="Arial" w:cs="Arial" w:eastAsia="Arial" w:hAnsi="Arial"/>
          <w:sz w:val="23"/>
          <w:szCs w:val="23"/>
          <w:color w:val="auto"/>
          <w:vertAlign w:val="superscript"/>
        </w:rPr>
      </w:pPr>
      <w:r>
        <w:rPr>
          <w:rFonts w:ascii="Arial" w:cs="Arial" w:eastAsia="Arial" w:hAnsi="Arial"/>
          <w:sz w:val="18"/>
          <w:szCs w:val="18"/>
          <w:color w:val="auto"/>
        </w:rPr>
        <w:t>Bonus years used in the calculation for termination without cause and change-in-control are 2021, 2020 and 2019, the last three completed fiscal years. The cash payments on termination with cause are 1 month of base pay for every year of service above 5 years, capped at 6 months of base pay. The cash payment on death and disability for Mr. Berkes is a pro-rated bonus for the year in which the event occurs. The cash payments on disability for Mr. Wood, Mr. Guglielmone and Ms. Becker represent 1 year of base salary less amounts received from disability insurance maintained by the Company, grossed up for taxes on non-tax exempt payments.</w:t>
      </w:r>
    </w:p>
    <w:p>
      <w:pPr>
        <w:spacing w:after="0" w:line="20" w:lineRule="exact"/>
        <w:rPr>
          <w:rFonts w:ascii="Arial" w:cs="Arial" w:eastAsia="Arial" w:hAnsi="Arial"/>
          <w:sz w:val="23"/>
          <w:szCs w:val="23"/>
          <w:color w:val="auto"/>
          <w:vertAlign w:val="superscript"/>
        </w:rPr>
      </w:pPr>
    </w:p>
    <w:p>
      <w:pPr>
        <w:jc w:val="both"/>
        <w:ind w:left="360" w:right="60" w:hanging="360"/>
        <w:spacing w:after="0" w:line="226" w:lineRule="auto"/>
        <w:tabs>
          <w:tab w:leader="none" w:pos="360" w:val="left"/>
        </w:tabs>
        <w:numPr>
          <w:ilvl w:val="0"/>
          <w:numId w:val="142"/>
        </w:numPr>
        <w:rPr>
          <w:rFonts w:ascii="Arial" w:cs="Arial" w:eastAsia="Arial" w:hAnsi="Arial"/>
          <w:sz w:val="23"/>
          <w:szCs w:val="23"/>
          <w:color w:val="auto"/>
          <w:vertAlign w:val="superscript"/>
        </w:rPr>
      </w:pPr>
      <w:r>
        <w:rPr>
          <w:rFonts w:ascii="Arial" w:cs="Arial" w:eastAsia="Arial" w:hAnsi="Arial"/>
          <w:sz w:val="18"/>
          <w:szCs w:val="18"/>
          <w:color w:val="auto"/>
        </w:rPr>
        <w:t>Amounts represent our estimate of the COBRA equivalent rates for health care benefits and current life and long-term disability premiums for Mr. Wood, Mr. Guglielmone and Ms. Becker. The period of time for which these benefits are provided varies as follows: (a) termination without cause – 9 months for Mr. Wood and Ms. Becker; 1 year for Mr. Berkes;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400800" cy="17780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39" o:spid="_x0000_s1564" style="position:absolute;margin-left:0pt;margin-top:10.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132080</wp:posOffset>
                </wp:positionV>
                <wp:extent cx="0" cy="17780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4pt" to="0.75pt,24.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6400800" cy="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5pt" to="504pt,11.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132080</wp:posOffset>
                </wp:positionV>
                <wp:extent cx="0" cy="17780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4pt" to="503.25pt,24.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300355</wp:posOffset>
                </wp:positionV>
                <wp:extent cx="6400800" cy="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65pt" to="504pt,23.65pt" o:allowincell="f" strokecolor="#000000" strokeweight="1.5pt"/>
            </w:pict>
          </mc:Fallback>
        </mc:AlternateContent>
      </w:r>
    </w:p>
    <w:p>
      <w:pPr>
        <w:sectPr>
          <w:pgSz w:w="11880" w:h="15480" w:orient="portrait"/>
          <w:cols w:equalWidth="0" w:num="1">
            <w:col w:w="10140"/>
          </w:cols>
          <w:pgMar w:left="900" w:top="1316" w:right="840" w:bottom="764" w:gutter="0" w:footer="0" w:header="0"/>
        </w:sectPr>
      </w:pPr>
    </w:p>
    <w:p>
      <w:pPr>
        <w:spacing w:after="0" w:line="256"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35</w:t>
      </w:r>
    </w:p>
    <w:p>
      <w:pPr>
        <w:sectPr>
          <w:pgSz w:w="11880" w:h="15480" w:orient="portrait"/>
          <w:cols w:equalWidth="0" w:num="1">
            <w:col w:w="10140"/>
          </w:cols>
          <w:pgMar w:left="900" w:top="1316" w:right="840" w:bottom="764" w:gutter="0" w:footer="0" w:header="0"/>
          <w:type w:val="continuous"/>
        </w:sectPr>
      </w:pPr>
    </w:p>
    <w:bookmarkStart w:id="155" w:name="page156"/>
    <w:bookmarkEnd w:id="155"/>
    <w:p>
      <w:pPr>
        <w:ind w:left="640" w:hanging="280"/>
        <w:spacing w:after="0"/>
        <w:tabs>
          <w:tab w:leader="none" w:pos="6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change-in-control – 3 years for Mr. Wood and 2 years for each other NEO; (c) termination for cause – 6 months; and</w:t>
      </w:r>
    </w:p>
    <w:p>
      <w:pPr>
        <w:spacing w:after="0" w:line="18" w:lineRule="exact"/>
        <w:rPr>
          <w:rFonts w:ascii="Arial" w:cs="Arial" w:eastAsia="Arial" w:hAnsi="Arial"/>
          <w:sz w:val="18"/>
          <w:szCs w:val="18"/>
          <w:color w:val="auto"/>
        </w:rPr>
      </w:pPr>
    </w:p>
    <w:p>
      <w:pPr>
        <w:jc w:val="both"/>
        <w:ind w:left="360"/>
        <w:spacing w:after="0" w:line="251" w:lineRule="auto"/>
        <w:tabs>
          <w:tab w:leader="none" w:pos="63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disability – 1 year. The amounts paid to Mr. Berkes are reduced by the amounts he pays for these benefits at the time of the event. All amounts shown in this column for Mr. Wood also include the estimated costs (calculated in accordance with GAAP) of satisfying the obligations under his Health Continuation Coverage Agreement.</w:t>
      </w:r>
    </w:p>
    <w:p>
      <w:pPr>
        <w:spacing w:after="0" w:line="10" w:lineRule="exact"/>
        <w:rPr>
          <w:rFonts w:ascii="Arial" w:cs="Arial" w:eastAsia="Arial" w:hAnsi="Arial"/>
          <w:sz w:val="18"/>
          <w:szCs w:val="18"/>
          <w:color w:val="auto"/>
        </w:rPr>
      </w:pPr>
    </w:p>
    <w:p>
      <w:pPr>
        <w:jc w:val="both"/>
        <w:ind w:left="360" w:hanging="360"/>
        <w:spacing w:after="0" w:line="237" w:lineRule="auto"/>
        <w:tabs>
          <w:tab w:leader="none" w:pos="360"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color w:val="auto"/>
        </w:rPr>
        <w:t>Values were calculated by multiplying the number of unvested shares that vest under each termination event using the closing price of the Company’s shares on December 31, 2022. For the performance-based restricted share units issued to Mr. Berkes, the amount includes the value of the number of units, if any, that would have been earned based on performance through the date of termination, prorated for the portion of the performance period that had lapsed, plus dividend equivalent rights on those units.</w:t>
      </w:r>
    </w:p>
    <w:p>
      <w:pPr>
        <w:spacing w:after="0" w:line="21" w:lineRule="exact"/>
        <w:rPr>
          <w:rFonts w:ascii="Arial" w:cs="Arial" w:eastAsia="Arial" w:hAnsi="Arial"/>
          <w:sz w:val="23"/>
          <w:szCs w:val="23"/>
          <w:color w:val="auto"/>
          <w:vertAlign w:val="superscript"/>
        </w:rPr>
      </w:pPr>
    </w:p>
    <w:p>
      <w:pPr>
        <w:jc w:val="both"/>
        <w:ind w:left="360" w:hanging="360"/>
        <w:spacing w:after="0" w:line="233" w:lineRule="auto"/>
        <w:tabs>
          <w:tab w:leader="none" w:pos="360"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color w:val="auto"/>
        </w:rPr>
        <w:t>Amounts are estimated costs for an administrative assistant and outplacement assistance for a period of 6 months in the event of a termination without cause and for a period of 12 months for Mr. Wood and 9 months for Mr. Guglielmone and Ms. Becker in the event of a change-in-control. The amount also includes the cost of providing a company vehicle to Mr. Wood for three years in the event of a change-in-control should he choose to use that benefit.</w:t>
      </w:r>
    </w:p>
    <w:p>
      <w:pPr>
        <w:spacing w:after="0" w:line="20" w:lineRule="exact"/>
        <w:rPr>
          <w:rFonts w:ascii="Arial" w:cs="Arial" w:eastAsia="Arial" w:hAnsi="Arial"/>
          <w:sz w:val="23"/>
          <w:szCs w:val="23"/>
          <w:color w:val="auto"/>
          <w:vertAlign w:val="superscript"/>
        </w:rPr>
      </w:pPr>
    </w:p>
    <w:p>
      <w:pPr>
        <w:jc w:val="both"/>
        <w:ind w:left="360" w:hanging="360"/>
        <w:spacing w:after="0" w:line="233" w:lineRule="auto"/>
        <w:tabs>
          <w:tab w:leader="none" w:pos="360"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color w:val="auto"/>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w:t>
      </w:r>
    </w:p>
    <w:p>
      <w:pPr>
        <w:spacing w:after="0" w:line="20" w:lineRule="exact"/>
        <w:rPr>
          <w:rFonts w:ascii="Arial" w:cs="Arial" w:eastAsia="Arial" w:hAnsi="Arial"/>
          <w:sz w:val="23"/>
          <w:szCs w:val="23"/>
          <w:color w:val="auto"/>
          <w:vertAlign w:val="superscript"/>
        </w:rPr>
      </w:pPr>
    </w:p>
    <w:p>
      <w:pPr>
        <w:jc w:val="both"/>
        <w:ind w:left="360"/>
        <w:spacing w:after="0" w:line="252" w:lineRule="auto"/>
        <w:tabs>
          <w:tab w:leader="none" w:pos="64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Mr. Wood or Ms. Becker voluntarily leaves employment within the 30-day window following the 1-year anniversary of the change-in-control; or (c) Mr. Berkes is terminated from employment by the Company (other than for cause) or he leaves the Company as a result of a constructive termination within the 6-month period prior to or within 2 years after the change-in-control.</w:t>
      </w:r>
    </w:p>
    <w:p>
      <w:pPr>
        <w:spacing w:after="0" w:line="21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CEO PAY RATIO</w:t>
      </w: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2022, excluding our CEO, which included 318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64 employees who started with us in 2022. No other adjustments were made.</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actual total annual compensation of our Chief Executive Officer and median paid employee for 2022 was calculated in accordance with the requirements of the Summary Compensation Table included in this proxy statement. Based on this methodology, we have determined that the total annual compensation paid to our Chief Executive Officer in 2022 was $8,916,031 and the total annual compensation paid to our median paid employee in 2022 was $132,186 resulting in a ratio of 67:1.</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960120</wp:posOffset>
                </wp:positionV>
                <wp:extent cx="6400800" cy="17780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44" o:spid="_x0000_s1569" style="position:absolute;margin-left:0pt;margin-top:75.6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959485</wp:posOffset>
                </wp:positionV>
                <wp:extent cx="0" cy="17780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75.55pt" to="0.75pt,89.5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969010</wp:posOffset>
                </wp:positionV>
                <wp:extent cx="6400800"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3pt" to="504pt,76.3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959485</wp:posOffset>
                </wp:positionV>
                <wp:extent cx="0" cy="17780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7" o:spid="_x0000_s1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75.55pt" to="503.25pt,89.5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1127760</wp:posOffset>
                </wp:positionV>
                <wp:extent cx="6400800"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8pt" to="504pt,88.8pt" o:allowincell="f" strokecolor="#000000" strokeweight="1.5pt"/>
            </w:pict>
          </mc:Fallback>
        </mc:AlternateContent>
      </w:r>
    </w:p>
    <w:p>
      <w:pPr>
        <w:sectPr>
          <w:pgSz w:w="11880" w:h="15480" w:orient="portrait"/>
          <w:cols w:equalWidth="0" w:num="1">
            <w:col w:w="10080"/>
          </w:cols>
          <w:pgMar w:left="900" w:top="1309"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36</w:t>
      </w:r>
    </w:p>
    <w:p>
      <w:pPr>
        <w:sectPr>
          <w:pgSz w:w="11880" w:h="15480" w:orient="portrait"/>
          <w:cols w:equalWidth="0" w:num="1">
            <w:col w:w="10080"/>
          </w:cols>
          <w:pgMar w:left="900" w:top="1309" w:right="900" w:bottom="764" w:gutter="0" w:footer="0" w:header="0"/>
          <w:type w:val="continuous"/>
        </w:sectPr>
      </w:pPr>
    </w:p>
    <w:bookmarkStart w:id="156" w:name="page157"/>
    <w:bookmarkEnd w:id="156"/>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PAY VERSUS PERFORMANCE DISCLOSURE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shd w:val="clear" w:color="auto" w:fill="FB1717"/>
          </w:tcPr>
          <w:p>
            <w:pPr>
              <w:spacing w:after="0"/>
              <w:rPr>
                <w:sz w:val="19"/>
                <w:szCs w:val="19"/>
                <w:color w:val="auto"/>
              </w:rPr>
            </w:pPr>
          </w:p>
        </w:tc>
        <w:tc>
          <w:tcPr>
            <w:tcW w:w="1860" w:type="dxa"/>
            <w:vAlign w:val="bottom"/>
            <w:shd w:val="clear" w:color="auto" w:fill="FB1717"/>
          </w:tcPr>
          <w:p>
            <w:pPr>
              <w:spacing w:after="0"/>
              <w:rPr>
                <w:sz w:val="19"/>
                <w:szCs w:val="19"/>
                <w:color w:val="auto"/>
              </w:rPr>
            </w:pPr>
          </w:p>
        </w:tc>
        <w:tc>
          <w:tcPr>
            <w:tcW w:w="1200" w:type="dxa"/>
            <w:vAlign w:val="bottom"/>
            <w:shd w:val="clear" w:color="auto" w:fill="FB1717"/>
          </w:tcPr>
          <w:p>
            <w:pPr>
              <w:spacing w:after="0"/>
              <w:rPr>
                <w:sz w:val="19"/>
                <w:szCs w:val="19"/>
                <w:color w:val="auto"/>
              </w:rPr>
            </w:pPr>
          </w:p>
        </w:tc>
        <w:tc>
          <w:tcPr>
            <w:tcW w:w="1240" w:type="dxa"/>
            <w:vAlign w:val="bottom"/>
            <w:shd w:val="clear" w:color="auto" w:fill="FB1717"/>
          </w:tcPr>
          <w:p>
            <w:pPr>
              <w:spacing w:after="0"/>
              <w:rPr>
                <w:sz w:val="19"/>
                <w:szCs w:val="19"/>
                <w:color w:val="auto"/>
              </w:rPr>
            </w:pPr>
          </w:p>
        </w:tc>
        <w:tc>
          <w:tcPr>
            <w:tcW w:w="320" w:type="dxa"/>
            <w:vAlign w:val="bottom"/>
            <w:shd w:val="clear" w:color="auto" w:fill="FB1717"/>
          </w:tcPr>
          <w:p>
            <w:pPr>
              <w:spacing w:after="0"/>
              <w:rPr>
                <w:sz w:val="19"/>
                <w:szCs w:val="19"/>
                <w:color w:val="auto"/>
              </w:rPr>
            </w:pPr>
          </w:p>
        </w:tc>
        <w:tc>
          <w:tcPr>
            <w:tcW w:w="940" w:type="dxa"/>
            <w:vAlign w:val="bottom"/>
            <w:shd w:val="clear" w:color="auto" w:fill="FB1717"/>
          </w:tcPr>
          <w:p>
            <w:pPr>
              <w:spacing w:after="0"/>
              <w:rPr>
                <w:sz w:val="19"/>
                <w:szCs w:val="19"/>
                <w:color w:val="auto"/>
              </w:rPr>
            </w:pPr>
          </w:p>
        </w:tc>
        <w:tc>
          <w:tcPr>
            <w:tcW w:w="1920" w:type="dxa"/>
            <w:vAlign w:val="bottom"/>
            <w:gridSpan w:val="2"/>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Value of Initial Fixed $100</w:t>
            </w:r>
          </w:p>
        </w:tc>
        <w:tc>
          <w:tcPr>
            <w:tcW w:w="820" w:type="dxa"/>
            <w:vAlign w:val="bottom"/>
            <w:shd w:val="clear" w:color="auto" w:fill="FB1717"/>
          </w:tcPr>
          <w:p>
            <w:pPr>
              <w:spacing w:after="0"/>
              <w:rPr>
                <w:sz w:val="19"/>
                <w:szCs w:val="19"/>
                <w:color w:val="auto"/>
              </w:rPr>
            </w:pPr>
          </w:p>
        </w:tc>
        <w:tc>
          <w:tcPr>
            <w:tcW w:w="580" w:type="dxa"/>
            <w:vAlign w:val="bottom"/>
            <w:shd w:val="clear" w:color="auto" w:fill="FB1717"/>
          </w:tcPr>
          <w:p>
            <w:pPr>
              <w:spacing w:after="0"/>
              <w:rPr>
                <w:sz w:val="19"/>
                <w:szCs w:val="19"/>
                <w:color w:val="auto"/>
              </w:rPr>
            </w:pPr>
          </w:p>
        </w:tc>
      </w:tr>
      <w:tr>
        <w:trPr>
          <w:trHeight w:val="200"/>
        </w:trPr>
        <w:tc>
          <w:tcPr>
            <w:tcW w:w="1200" w:type="dxa"/>
            <w:vAlign w:val="bottom"/>
            <w:shd w:val="clear" w:color="auto" w:fill="FB1717"/>
          </w:tcPr>
          <w:p>
            <w:pPr>
              <w:spacing w:after="0"/>
              <w:rPr>
                <w:sz w:val="17"/>
                <w:szCs w:val="17"/>
                <w:color w:val="auto"/>
              </w:rPr>
            </w:pPr>
          </w:p>
        </w:tc>
        <w:tc>
          <w:tcPr>
            <w:tcW w:w="1860" w:type="dxa"/>
            <w:vAlign w:val="bottom"/>
            <w:shd w:val="clear" w:color="auto" w:fill="FB1717"/>
          </w:tcPr>
          <w:p>
            <w:pPr>
              <w:spacing w:after="0"/>
              <w:rPr>
                <w:sz w:val="17"/>
                <w:szCs w:val="17"/>
                <w:color w:val="auto"/>
              </w:rPr>
            </w:pPr>
          </w:p>
        </w:tc>
        <w:tc>
          <w:tcPr>
            <w:tcW w:w="1200" w:type="dxa"/>
            <w:vAlign w:val="bottom"/>
            <w:shd w:val="clear" w:color="auto" w:fill="FB1717"/>
          </w:tcPr>
          <w:p>
            <w:pPr>
              <w:spacing w:after="0"/>
              <w:rPr>
                <w:sz w:val="17"/>
                <w:szCs w:val="17"/>
                <w:color w:val="auto"/>
              </w:rPr>
            </w:pPr>
          </w:p>
        </w:tc>
        <w:tc>
          <w:tcPr>
            <w:tcW w:w="1240" w:type="dxa"/>
            <w:vAlign w:val="bottom"/>
            <w:shd w:val="clear" w:color="auto" w:fill="FB1717"/>
          </w:tcPr>
          <w:p>
            <w:pPr>
              <w:spacing w:after="0"/>
              <w:rPr>
                <w:sz w:val="17"/>
                <w:szCs w:val="17"/>
                <w:color w:val="auto"/>
              </w:rPr>
            </w:pPr>
          </w:p>
        </w:tc>
        <w:tc>
          <w:tcPr>
            <w:tcW w:w="320" w:type="dxa"/>
            <w:vAlign w:val="bottom"/>
            <w:shd w:val="clear" w:color="auto" w:fill="FB1717"/>
          </w:tcPr>
          <w:p>
            <w:pPr>
              <w:spacing w:after="0"/>
              <w:rPr>
                <w:sz w:val="17"/>
                <w:szCs w:val="17"/>
                <w:color w:val="auto"/>
              </w:rPr>
            </w:pPr>
          </w:p>
        </w:tc>
        <w:tc>
          <w:tcPr>
            <w:tcW w:w="940" w:type="dxa"/>
            <w:vAlign w:val="bottom"/>
            <w:shd w:val="clear" w:color="auto" w:fill="FB1717"/>
          </w:tcPr>
          <w:p>
            <w:pPr>
              <w:spacing w:after="0"/>
              <w:rPr>
                <w:sz w:val="17"/>
                <w:szCs w:val="17"/>
                <w:color w:val="auto"/>
              </w:rPr>
            </w:pPr>
          </w:p>
        </w:tc>
        <w:tc>
          <w:tcPr>
            <w:tcW w:w="1920" w:type="dxa"/>
            <w:vAlign w:val="bottom"/>
            <w:gridSpan w:val="2"/>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Investment Based On:</w:t>
            </w:r>
          </w:p>
        </w:tc>
        <w:tc>
          <w:tcPr>
            <w:tcW w:w="820" w:type="dxa"/>
            <w:vAlign w:val="bottom"/>
            <w:shd w:val="clear" w:color="auto" w:fill="FB1717"/>
          </w:tcPr>
          <w:p>
            <w:pPr>
              <w:spacing w:after="0"/>
              <w:rPr>
                <w:sz w:val="17"/>
                <w:szCs w:val="17"/>
                <w:color w:val="auto"/>
              </w:rPr>
            </w:pPr>
          </w:p>
        </w:tc>
        <w:tc>
          <w:tcPr>
            <w:tcW w:w="580" w:type="dxa"/>
            <w:vAlign w:val="bottom"/>
            <w:shd w:val="clear" w:color="auto" w:fill="FB1717"/>
          </w:tcPr>
          <w:p>
            <w:pPr>
              <w:spacing w:after="0"/>
              <w:rPr>
                <w:sz w:val="17"/>
                <w:szCs w:val="17"/>
                <w:color w:val="auto"/>
              </w:rPr>
            </w:pPr>
          </w:p>
        </w:tc>
      </w:tr>
      <w:tr>
        <w:trPr>
          <w:trHeight w:val="260"/>
        </w:trPr>
        <w:tc>
          <w:tcPr>
            <w:tcW w:w="1200" w:type="dxa"/>
            <w:vAlign w:val="bottom"/>
            <w:shd w:val="clear" w:color="auto" w:fill="FB1717"/>
          </w:tcPr>
          <w:p>
            <w:pPr>
              <w:spacing w:after="0"/>
              <w:rPr>
                <w:sz w:val="22"/>
                <w:szCs w:val="22"/>
                <w:color w:val="auto"/>
              </w:rPr>
            </w:pPr>
          </w:p>
        </w:tc>
        <w:tc>
          <w:tcPr>
            <w:tcW w:w="1860" w:type="dxa"/>
            <w:vAlign w:val="bottom"/>
            <w:shd w:val="clear" w:color="auto" w:fill="FB1717"/>
          </w:tcPr>
          <w:p>
            <w:pPr>
              <w:spacing w:after="0"/>
              <w:rPr>
                <w:sz w:val="22"/>
                <w:szCs w:val="22"/>
                <w:color w:val="auto"/>
              </w:rPr>
            </w:pPr>
          </w:p>
        </w:tc>
        <w:tc>
          <w:tcPr>
            <w:tcW w:w="1200" w:type="dxa"/>
            <w:vAlign w:val="bottom"/>
            <w:shd w:val="clear" w:color="auto" w:fill="FB1717"/>
          </w:tcPr>
          <w:p>
            <w:pPr>
              <w:spacing w:after="0"/>
              <w:rPr>
                <w:sz w:val="22"/>
                <w:szCs w:val="22"/>
                <w:color w:val="auto"/>
              </w:rPr>
            </w:pPr>
          </w:p>
        </w:tc>
        <w:tc>
          <w:tcPr>
            <w:tcW w:w="124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8"/>
              </w:rPr>
              <w:t>Average</w:t>
            </w:r>
          </w:p>
        </w:tc>
        <w:tc>
          <w:tcPr>
            <w:tcW w:w="320" w:type="dxa"/>
            <w:vAlign w:val="bottom"/>
            <w:shd w:val="clear" w:color="auto" w:fill="FB1717"/>
          </w:tcPr>
          <w:p>
            <w:pPr>
              <w:spacing w:after="0"/>
              <w:rPr>
                <w:sz w:val="22"/>
                <w:szCs w:val="22"/>
                <w:color w:val="auto"/>
              </w:rPr>
            </w:pPr>
          </w:p>
        </w:tc>
        <w:tc>
          <w:tcPr>
            <w:tcW w:w="940" w:type="dxa"/>
            <w:vAlign w:val="bottom"/>
            <w:shd w:val="clear" w:color="auto" w:fill="FB1717"/>
          </w:tcPr>
          <w:p>
            <w:pPr>
              <w:spacing w:after="0"/>
              <w:rPr>
                <w:sz w:val="22"/>
                <w:szCs w:val="22"/>
                <w:color w:val="auto"/>
              </w:rPr>
            </w:pPr>
          </w:p>
        </w:tc>
        <w:tc>
          <w:tcPr>
            <w:tcW w:w="960" w:type="dxa"/>
            <w:vAlign w:val="bottom"/>
            <w:shd w:val="clear" w:color="auto" w:fill="FB1717"/>
          </w:tcPr>
          <w:p>
            <w:pPr>
              <w:spacing w:after="0"/>
              <w:rPr>
                <w:sz w:val="22"/>
                <w:szCs w:val="22"/>
                <w:color w:val="auto"/>
              </w:rPr>
            </w:pPr>
          </w:p>
        </w:tc>
        <w:tc>
          <w:tcPr>
            <w:tcW w:w="960" w:type="dxa"/>
            <w:vAlign w:val="bottom"/>
            <w:shd w:val="clear" w:color="auto" w:fill="FB1717"/>
          </w:tcPr>
          <w:p>
            <w:pPr>
              <w:spacing w:after="0"/>
              <w:rPr>
                <w:sz w:val="22"/>
                <w:szCs w:val="22"/>
                <w:color w:val="auto"/>
              </w:rPr>
            </w:pPr>
          </w:p>
        </w:tc>
        <w:tc>
          <w:tcPr>
            <w:tcW w:w="820" w:type="dxa"/>
            <w:vAlign w:val="bottom"/>
            <w:shd w:val="clear" w:color="auto" w:fill="FB1717"/>
          </w:tcPr>
          <w:p>
            <w:pPr>
              <w:spacing w:after="0"/>
              <w:rPr>
                <w:sz w:val="22"/>
                <w:szCs w:val="22"/>
                <w:color w:val="auto"/>
              </w:rPr>
            </w:pPr>
          </w:p>
        </w:tc>
        <w:tc>
          <w:tcPr>
            <w:tcW w:w="580" w:type="dxa"/>
            <w:vAlign w:val="bottom"/>
            <w:shd w:val="clear" w:color="auto" w:fill="FB1717"/>
          </w:tcPr>
          <w:p>
            <w:pPr>
              <w:spacing w:after="0"/>
              <w:rPr>
                <w:sz w:val="22"/>
                <w:szCs w:val="22"/>
                <w:color w:val="auto"/>
              </w:rPr>
            </w:pPr>
          </w:p>
        </w:tc>
      </w:tr>
      <w:tr>
        <w:trPr>
          <w:trHeight w:val="200"/>
        </w:trPr>
        <w:tc>
          <w:tcPr>
            <w:tcW w:w="1200" w:type="dxa"/>
            <w:vAlign w:val="bottom"/>
            <w:shd w:val="clear" w:color="auto" w:fill="FB1717"/>
          </w:tcPr>
          <w:p>
            <w:pPr>
              <w:spacing w:after="0"/>
              <w:rPr>
                <w:sz w:val="17"/>
                <w:szCs w:val="17"/>
                <w:color w:val="auto"/>
              </w:rPr>
            </w:pPr>
          </w:p>
        </w:tc>
        <w:tc>
          <w:tcPr>
            <w:tcW w:w="1860" w:type="dxa"/>
            <w:vAlign w:val="bottom"/>
            <w:shd w:val="clear" w:color="auto" w:fill="FB1717"/>
          </w:tcPr>
          <w:p>
            <w:pPr>
              <w:jc w:val="center"/>
              <w:ind w:left="676"/>
              <w:spacing w:after="0"/>
              <w:rPr>
                <w:sz w:val="20"/>
                <w:szCs w:val="20"/>
                <w:color w:val="auto"/>
              </w:rPr>
            </w:pPr>
            <w:r>
              <w:rPr>
                <w:rFonts w:ascii="Calibri" w:cs="Calibri" w:eastAsia="Calibri" w:hAnsi="Calibri"/>
                <w:sz w:val="16"/>
                <w:szCs w:val="16"/>
                <w:b w:val="1"/>
                <w:bCs w:val="1"/>
                <w:color w:val="FFFFFF"/>
                <w:w w:val="97"/>
              </w:rPr>
              <w:t>Summary</w:t>
            </w:r>
          </w:p>
        </w:tc>
        <w:tc>
          <w:tcPr>
            <w:tcW w:w="1200" w:type="dxa"/>
            <w:vAlign w:val="bottom"/>
            <w:shd w:val="clear" w:color="auto" w:fill="FB1717"/>
          </w:tcPr>
          <w:p>
            <w:pPr>
              <w:spacing w:after="0"/>
              <w:rPr>
                <w:sz w:val="17"/>
                <w:szCs w:val="17"/>
                <w:color w:val="auto"/>
              </w:rPr>
            </w:pPr>
          </w:p>
        </w:tc>
        <w:tc>
          <w:tcPr>
            <w:tcW w:w="124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7"/>
              </w:rPr>
              <w:t>Summary</w:t>
            </w:r>
          </w:p>
        </w:tc>
        <w:tc>
          <w:tcPr>
            <w:tcW w:w="320" w:type="dxa"/>
            <w:vAlign w:val="bottom"/>
            <w:shd w:val="clear" w:color="auto" w:fill="FB1717"/>
          </w:tcPr>
          <w:p>
            <w:pPr>
              <w:spacing w:after="0"/>
              <w:rPr>
                <w:sz w:val="17"/>
                <w:szCs w:val="17"/>
                <w:color w:val="auto"/>
              </w:rPr>
            </w:pPr>
          </w:p>
        </w:tc>
        <w:tc>
          <w:tcPr>
            <w:tcW w:w="940" w:type="dxa"/>
            <w:vAlign w:val="bottom"/>
            <w:shd w:val="clear" w:color="auto" w:fill="FB1717"/>
          </w:tcPr>
          <w:p>
            <w:pPr>
              <w:jc w:val="center"/>
              <w:ind w:right="233"/>
              <w:spacing w:after="0"/>
              <w:rPr>
                <w:sz w:val="20"/>
                <w:szCs w:val="20"/>
                <w:color w:val="auto"/>
              </w:rPr>
            </w:pPr>
            <w:r>
              <w:rPr>
                <w:rFonts w:ascii="Calibri" w:cs="Calibri" w:eastAsia="Calibri" w:hAnsi="Calibri"/>
                <w:sz w:val="16"/>
                <w:szCs w:val="16"/>
                <w:b w:val="1"/>
                <w:bCs w:val="1"/>
                <w:color w:val="FFFFFF"/>
                <w:w w:val="98"/>
              </w:rPr>
              <w:t>Average</w:t>
            </w:r>
          </w:p>
        </w:tc>
        <w:tc>
          <w:tcPr>
            <w:tcW w:w="960" w:type="dxa"/>
            <w:vAlign w:val="bottom"/>
            <w:shd w:val="clear" w:color="auto" w:fill="FB1717"/>
          </w:tcPr>
          <w:p>
            <w:pPr>
              <w:spacing w:after="0"/>
              <w:rPr>
                <w:sz w:val="17"/>
                <w:szCs w:val="17"/>
                <w:color w:val="auto"/>
              </w:rPr>
            </w:pPr>
          </w:p>
        </w:tc>
        <w:tc>
          <w:tcPr>
            <w:tcW w:w="96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Peer Group</w:t>
            </w:r>
          </w:p>
        </w:tc>
        <w:tc>
          <w:tcPr>
            <w:tcW w:w="820" w:type="dxa"/>
            <w:vAlign w:val="bottom"/>
            <w:shd w:val="clear" w:color="auto" w:fill="FB1717"/>
          </w:tcPr>
          <w:p>
            <w:pPr>
              <w:spacing w:after="0"/>
              <w:rPr>
                <w:sz w:val="17"/>
                <w:szCs w:val="17"/>
                <w:color w:val="auto"/>
              </w:rPr>
            </w:pPr>
          </w:p>
        </w:tc>
        <w:tc>
          <w:tcPr>
            <w:tcW w:w="580" w:type="dxa"/>
            <w:vAlign w:val="bottom"/>
            <w:shd w:val="clear" w:color="auto" w:fill="FB1717"/>
          </w:tcPr>
          <w:p>
            <w:pPr>
              <w:spacing w:after="0"/>
              <w:rPr>
                <w:sz w:val="17"/>
                <w:szCs w:val="17"/>
                <w:color w:val="auto"/>
              </w:rPr>
            </w:pPr>
          </w:p>
        </w:tc>
      </w:tr>
      <w:tr>
        <w:trPr>
          <w:trHeight w:val="200"/>
        </w:trPr>
        <w:tc>
          <w:tcPr>
            <w:tcW w:w="1200" w:type="dxa"/>
            <w:vAlign w:val="bottom"/>
            <w:shd w:val="clear" w:color="auto" w:fill="FB1717"/>
          </w:tcPr>
          <w:p>
            <w:pPr>
              <w:spacing w:after="0"/>
              <w:rPr>
                <w:sz w:val="17"/>
                <w:szCs w:val="17"/>
                <w:color w:val="auto"/>
              </w:rPr>
            </w:pPr>
          </w:p>
        </w:tc>
        <w:tc>
          <w:tcPr>
            <w:tcW w:w="1860" w:type="dxa"/>
            <w:vAlign w:val="bottom"/>
            <w:shd w:val="clear" w:color="auto" w:fill="FB1717"/>
          </w:tcPr>
          <w:p>
            <w:pPr>
              <w:jc w:val="center"/>
              <w:ind w:left="656"/>
              <w:spacing w:after="0"/>
              <w:rPr>
                <w:sz w:val="20"/>
                <w:szCs w:val="20"/>
                <w:color w:val="auto"/>
              </w:rPr>
            </w:pPr>
            <w:r>
              <w:rPr>
                <w:rFonts w:ascii="Calibri" w:cs="Calibri" w:eastAsia="Calibri" w:hAnsi="Calibri"/>
                <w:sz w:val="16"/>
                <w:szCs w:val="16"/>
                <w:b w:val="1"/>
                <w:bCs w:val="1"/>
                <w:color w:val="FFFFFF"/>
                <w:w w:val="99"/>
              </w:rPr>
              <w:t>Compenstion</w:t>
            </w:r>
          </w:p>
        </w:tc>
        <w:tc>
          <w:tcPr>
            <w:tcW w:w="120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Compensation</w:t>
            </w:r>
          </w:p>
        </w:tc>
        <w:tc>
          <w:tcPr>
            <w:tcW w:w="124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Compenstion</w:t>
            </w:r>
          </w:p>
        </w:tc>
        <w:tc>
          <w:tcPr>
            <w:tcW w:w="1260" w:type="dxa"/>
            <w:vAlign w:val="bottom"/>
            <w:gridSpan w:val="2"/>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Compensation</w:t>
            </w:r>
          </w:p>
        </w:tc>
        <w:tc>
          <w:tcPr>
            <w:tcW w:w="96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Total</w:t>
            </w:r>
          </w:p>
        </w:tc>
        <w:tc>
          <w:tcPr>
            <w:tcW w:w="96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Total</w:t>
            </w:r>
          </w:p>
        </w:tc>
        <w:tc>
          <w:tcPr>
            <w:tcW w:w="82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Net</w:t>
            </w:r>
          </w:p>
        </w:tc>
        <w:tc>
          <w:tcPr>
            <w:tcW w:w="58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FFO per</w:t>
            </w:r>
          </w:p>
        </w:tc>
      </w:tr>
      <w:tr>
        <w:trPr>
          <w:trHeight w:val="200"/>
        </w:trPr>
        <w:tc>
          <w:tcPr>
            <w:tcW w:w="1200" w:type="dxa"/>
            <w:vAlign w:val="bottom"/>
            <w:shd w:val="clear" w:color="auto" w:fill="FB1717"/>
          </w:tcPr>
          <w:p>
            <w:pPr>
              <w:spacing w:after="0"/>
              <w:rPr>
                <w:sz w:val="17"/>
                <w:szCs w:val="17"/>
                <w:color w:val="auto"/>
              </w:rPr>
            </w:pPr>
          </w:p>
        </w:tc>
        <w:tc>
          <w:tcPr>
            <w:tcW w:w="1860" w:type="dxa"/>
            <w:vAlign w:val="bottom"/>
            <w:shd w:val="clear" w:color="auto" w:fill="FB1717"/>
          </w:tcPr>
          <w:p>
            <w:pPr>
              <w:jc w:val="center"/>
              <w:ind w:left="676"/>
              <w:spacing w:after="0"/>
              <w:rPr>
                <w:sz w:val="20"/>
                <w:szCs w:val="20"/>
                <w:color w:val="auto"/>
              </w:rPr>
            </w:pPr>
            <w:r>
              <w:rPr>
                <w:rFonts w:ascii="Calibri" w:cs="Calibri" w:eastAsia="Calibri" w:hAnsi="Calibri"/>
                <w:sz w:val="16"/>
                <w:szCs w:val="16"/>
                <w:b w:val="1"/>
                <w:bCs w:val="1"/>
                <w:color w:val="FFFFFF"/>
              </w:rPr>
              <w:t>Table Total for</w:t>
            </w:r>
          </w:p>
        </w:tc>
        <w:tc>
          <w:tcPr>
            <w:tcW w:w="120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Actually Paid to</w:t>
            </w:r>
          </w:p>
        </w:tc>
        <w:tc>
          <w:tcPr>
            <w:tcW w:w="124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Table Total for</w:t>
            </w:r>
          </w:p>
        </w:tc>
        <w:tc>
          <w:tcPr>
            <w:tcW w:w="1260" w:type="dxa"/>
            <w:vAlign w:val="bottom"/>
            <w:gridSpan w:val="2"/>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Actually Paid to</w:t>
            </w:r>
          </w:p>
        </w:tc>
        <w:tc>
          <w:tcPr>
            <w:tcW w:w="96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Shareholder</w:t>
            </w:r>
          </w:p>
        </w:tc>
        <w:tc>
          <w:tcPr>
            <w:tcW w:w="96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8"/>
              </w:rPr>
              <w:t>Shareholder</w:t>
            </w:r>
          </w:p>
        </w:tc>
        <w:tc>
          <w:tcPr>
            <w:tcW w:w="82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Income</w:t>
            </w:r>
          </w:p>
        </w:tc>
        <w:tc>
          <w:tcPr>
            <w:tcW w:w="58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8"/>
              </w:rPr>
              <w:t>Diluted</w:t>
            </w:r>
          </w:p>
        </w:tc>
      </w:tr>
      <w:tr>
        <w:trPr>
          <w:trHeight w:val="232"/>
        </w:trPr>
        <w:tc>
          <w:tcPr>
            <w:tcW w:w="1200" w:type="dxa"/>
            <w:vAlign w:val="bottom"/>
            <w:shd w:val="clear" w:color="auto" w:fill="FB1717"/>
          </w:tcPr>
          <w:p>
            <w:pPr>
              <w:spacing w:after="0"/>
              <w:rPr>
                <w:sz w:val="20"/>
                <w:szCs w:val="20"/>
                <w:color w:val="auto"/>
              </w:rPr>
            </w:pPr>
            <w:r>
              <w:rPr>
                <w:rFonts w:ascii="Calibri" w:cs="Calibri" w:eastAsia="Calibri" w:hAnsi="Calibri"/>
                <w:sz w:val="16"/>
                <w:szCs w:val="16"/>
                <w:b w:val="1"/>
                <w:bCs w:val="1"/>
                <w:color w:val="FFFFFF"/>
              </w:rPr>
              <w:t>Year</w:t>
            </w:r>
          </w:p>
        </w:tc>
        <w:tc>
          <w:tcPr>
            <w:tcW w:w="1860" w:type="dxa"/>
            <w:vAlign w:val="bottom"/>
            <w:shd w:val="clear" w:color="auto" w:fill="FB1717"/>
          </w:tcPr>
          <w:p>
            <w:pPr>
              <w:jc w:val="center"/>
              <w:ind w:left="636"/>
              <w:spacing w:after="0" w:line="232" w:lineRule="exact"/>
              <w:rPr>
                <w:sz w:val="20"/>
                <w:szCs w:val="20"/>
                <w:color w:val="auto"/>
              </w:rPr>
            </w:pPr>
            <w:r>
              <w:rPr>
                <w:rFonts w:ascii="Calibri" w:cs="Calibri" w:eastAsia="Calibri" w:hAnsi="Calibri"/>
                <w:sz w:val="16"/>
                <w:szCs w:val="16"/>
                <w:b w:val="1"/>
                <w:bCs w:val="1"/>
                <w:color w:val="FFFFFF"/>
                <w:w w:val="89"/>
              </w:rPr>
              <w:t>PEO</w:t>
            </w:r>
            <w:r>
              <w:rPr>
                <w:rFonts w:ascii="Calibri" w:cs="Calibri" w:eastAsia="Calibri" w:hAnsi="Calibri"/>
                <w:sz w:val="20"/>
                <w:szCs w:val="20"/>
                <w:b w:val="1"/>
                <w:bCs w:val="1"/>
                <w:color w:val="FFFFFF"/>
                <w:w w:val="89"/>
                <w:vertAlign w:val="superscript"/>
              </w:rPr>
              <w:t>(1)</w:t>
            </w:r>
          </w:p>
        </w:tc>
        <w:tc>
          <w:tcPr>
            <w:tcW w:w="1200" w:type="dxa"/>
            <w:vAlign w:val="bottom"/>
            <w:shd w:val="clear" w:color="auto" w:fill="FB1717"/>
          </w:tcPr>
          <w:p>
            <w:pPr>
              <w:jc w:val="center"/>
              <w:spacing w:after="0" w:line="232" w:lineRule="exact"/>
              <w:rPr>
                <w:sz w:val="20"/>
                <w:szCs w:val="20"/>
                <w:color w:val="auto"/>
              </w:rPr>
            </w:pPr>
            <w:r>
              <w:rPr>
                <w:rFonts w:ascii="Calibri" w:cs="Calibri" w:eastAsia="Calibri" w:hAnsi="Calibri"/>
                <w:sz w:val="16"/>
                <w:szCs w:val="16"/>
                <w:b w:val="1"/>
                <w:bCs w:val="1"/>
                <w:color w:val="FFFFFF"/>
                <w:w w:val="94"/>
              </w:rPr>
              <w:t>PEO</w:t>
            </w:r>
            <w:r>
              <w:rPr>
                <w:rFonts w:ascii="Calibri" w:cs="Calibri" w:eastAsia="Calibri" w:hAnsi="Calibri"/>
                <w:sz w:val="20"/>
                <w:szCs w:val="20"/>
                <w:b w:val="1"/>
                <w:bCs w:val="1"/>
                <w:color w:val="FFFFFF"/>
                <w:w w:val="94"/>
                <w:vertAlign w:val="superscript"/>
              </w:rPr>
              <w:t>(1)</w:t>
            </w:r>
          </w:p>
        </w:tc>
        <w:tc>
          <w:tcPr>
            <w:tcW w:w="1240" w:type="dxa"/>
            <w:vAlign w:val="bottom"/>
            <w:shd w:val="clear" w:color="auto" w:fill="FB1717"/>
          </w:tcPr>
          <w:p>
            <w:pPr>
              <w:jc w:val="center"/>
              <w:spacing w:after="0" w:line="232" w:lineRule="exact"/>
              <w:rPr>
                <w:sz w:val="20"/>
                <w:szCs w:val="20"/>
                <w:color w:val="auto"/>
              </w:rPr>
            </w:pPr>
            <w:r>
              <w:rPr>
                <w:rFonts w:ascii="Calibri" w:cs="Calibri" w:eastAsia="Calibri" w:hAnsi="Calibri"/>
                <w:sz w:val="16"/>
                <w:szCs w:val="16"/>
                <w:b w:val="1"/>
                <w:bCs w:val="1"/>
                <w:color w:val="FFFFFF"/>
                <w:w w:val="98"/>
              </w:rPr>
              <w:t>non-PEO NEOs</w:t>
            </w:r>
            <w:r>
              <w:rPr>
                <w:rFonts w:ascii="Calibri" w:cs="Calibri" w:eastAsia="Calibri" w:hAnsi="Calibri"/>
                <w:sz w:val="20"/>
                <w:szCs w:val="20"/>
                <w:b w:val="1"/>
                <w:bCs w:val="1"/>
                <w:color w:val="FFFFFF"/>
                <w:w w:val="98"/>
                <w:vertAlign w:val="superscript"/>
              </w:rPr>
              <w:t>(2)</w:t>
            </w:r>
          </w:p>
        </w:tc>
        <w:tc>
          <w:tcPr>
            <w:tcW w:w="1260" w:type="dxa"/>
            <w:vAlign w:val="bottom"/>
            <w:gridSpan w:val="2"/>
            <w:shd w:val="clear" w:color="auto" w:fill="FB1717"/>
          </w:tcPr>
          <w:p>
            <w:pPr>
              <w:jc w:val="center"/>
              <w:spacing w:after="0" w:line="232" w:lineRule="exact"/>
              <w:rPr>
                <w:sz w:val="20"/>
                <w:szCs w:val="20"/>
                <w:color w:val="auto"/>
              </w:rPr>
            </w:pPr>
            <w:r>
              <w:rPr>
                <w:rFonts w:ascii="Calibri" w:cs="Calibri" w:eastAsia="Calibri" w:hAnsi="Calibri"/>
                <w:sz w:val="16"/>
                <w:szCs w:val="16"/>
                <w:b w:val="1"/>
                <w:bCs w:val="1"/>
                <w:color w:val="FFFFFF"/>
                <w:w w:val="98"/>
              </w:rPr>
              <w:t>non-PEO NEOs</w:t>
            </w:r>
            <w:r>
              <w:rPr>
                <w:rFonts w:ascii="Calibri" w:cs="Calibri" w:eastAsia="Calibri" w:hAnsi="Calibri"/>
                <w:sz w:val="20"/>
                <w:szCs w:val="20"/>
                <w:b w:val="1"/>
                <w:bCs w:val="1"/>
                <w:color w:val="FFFFFF"/>
                <w:w w:val="98"/>
                <w:vertAlign w:val="superscript"/>
              </w:rPr>
              <w:t>(2)</w:t>
            </w:r>
          </w:p>
        </w:tc>
        <w:tc>
          <w:tcPr>
            <w:tcW w:w="96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Return</w:t>
            </w:r>
          </w:p>
        </w:tc>
        <w:tc>
          <w:tcPr>
            <w:tcW w:w="960" w:type="dxa"/>
            <w:vAlign w:val="bottom"/>
            <w:shd w:val="clear" w:color="auto" w:fill="FB1717"/>
          </w:tcPr>
          <w:p>
            <w:pPr>
              <w:jc w:val="center"/>
              <w:spacing w:after="0" w:line="232" w:lineRule="exact"/>
              <w:rPr>
                <w:sz w:val="20"/>
                <w:szCs w:val="20"/>
                <w:color w:val="auto"/>
              </w:rPr>
            </w:pPr>
            <w:r>
              <w:rPr>
                <w:rFonts w:ascii="Calibri" w:cs="Calibri" w:eastAsia="Calibri" w:hAnsi="Calibri"/>
                <w:sz w:val="16"/>
                <w:szCs w:val="16"/>
                <w:b w:val="1"/>
                <w:bCs w:val="1"/>
                <w:color w:val="FFFFFF"/>
                <w:w w:val="95"/>
              </w:rPr>
              <w:t>Return</w:t>
            </w:r>
            <w:r>
              <w:rPr>
                <w:rFonts w:ascii="Calibri" w:cs="Calibri" w:eastAsia="Calibri" w:hAnsi="Calibri"/>
                <w:sz w:val="20"/>
                <w:szCs w:val="20"/>
                <w:b w:val="1"/>
                <w:bCs w:val="1"/>
                <w:color w:val="FFFFFF"/>
                <w:w w:val="95"/>
                <w:vertAlign w:val="superscript"/>
              </w:rPr>
              <w:t>(3)</w:t>
            </w:r>
          </w:p>
        </w:tc>
        <w:tc>
          <w:tcPr>
            <w:tcW w:w="82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(in 000s)</w:t>
            </w:r>
          </w:p>
        </w:tc>
        <w:tc>
          <w:tcPr>
            <w:tcW w:w="580" w:type="dxa"/>
            <w:vAlign w:val="bottom"/>
            <w:shd w:val="clear" w:color="auto" w:fill="FB1717"/>
          </w:tcPr>
          <w:p>
            <w:pPr>
              <w:jc w:val="center"/>
              <w:spacing w:after="0" w:line="232" w:lineRule="exact"/>
              <w:rPr>
                <w:sz w:val="20"/>
                <w:szCs w:val="20"/>
                <w:color w:val="auto"/>
              </w:rPr>
            </w:pPr>
            <w:r>
              <w:rPr>
                <w:rFonts w:ascii="Calibri" w:cs="Calibri" w:eastAsia="Calibri" w:hAnsi="Calibri"/>
                <w:sz w:val="16"/>
                <w:szCs w:val="16"/>
                <w:b w:val="1"/>
                <w:bCs w:val="1"/>
                <w:color w:val="FFFFFF"/>
                <w:w w:val="94"/>
              </w:rPr>
              <w:t>Share</w:t>
            </w:r>
            <w:r>
              <w:rPr>
                <w:rFonts w:ascii="Calibri" w:cs="Calibri" w:eastAsia="Calibri" w:hAnsi="Calibri"/>
                <w:sz w:val="20"/>
                <w:szCs w:val="20"/>
                <w:b w:val="1"/>
                <w:bCs w:val="1"/>
                <w:color w:val="FFFFFF"/>
                <w:w w:val="94"/>
                <w:vertAlign w:val="superscript"/>
              </w:rPr>
              <w:t>(4)</w:t>
            </w:r>
          </w:p>
        </w:tc>
      </w:tr>
      <w:tr>
        <w:trPr>
          <w:trHeight w:val="254"/>
        </w:trPr>
        <w:tc>
          <w:tcPr>
            <w:tcW w:w="1200" w:type="dxa"/>
            <w:vAlign w:val="bottom"/>
          </w:tcPr>
          <w:p>
            <w:pPr>
              <w:spacing w:after="0"/>
              <w:rPr>
                <w:sz w:val="20"/>
                <w:szCs w:val="20"/>
                <w:color w:val="auto"/>
              </w:rPr>
            </w:pPr>
            <w:r>
              <w:rPr>
                <w:rFonts w:ascii="Calibri" w:cs="Calibri" w:eastAsia="Calibri" w:hAnsi="Calibri"/>
                <w:sz w:val="18"/>
                <w:szCs w:val="18"/>
                <w:color w:val="auto"/>
              </w:rPr>
              <w:t>2022</w:t>
            </w:r>
          </w:p>
        </w:tc>
        <w:tc>
          <w:tcPr>
            <w:tcW w:w="1860" w:type="dxa"/>
            <w:vAlign w:val="bottom"/>
          </w:tcPr>
          <w:p>
            <w:pPr>
              <w:jc w:val="center"/>
              <w:ind w:left="676"/>
              <w:spacing w:after="0"/>
              <w:rPr>
                <w:sz w:val="20"/>
                <w:szCs w:val="20"/>
                <w:color w:val="auto"/>
              </w:rPr>
            </w:pPr>
            <w:r>
              <w:rPr>
                <w:rFonts w:ascii="Calibri" w:cs="Calibri" w:eastAsia="Calibri" w:hAnsi="Calibri"/>
                <w:sz w:val="18"/>
                <w:szCs w:val="18"/>
                <w:color w:val="auto"/>
                <w:w w:val="99"/>
              </w:rPr>
              <w:t>$8,916,031</w:t>
            </w:r>
          </w:p>
        </w:tc>
        <w:tc>
          <w:tcPr>
            <w:tcW w:w="1200" w:type="dxa"/>
            <w:vAlign w:val="bottom"/>
          </w:tcPr>
          <w:p>
            <w:pPr>
              <w:jc w:val="center"/>
              <w:spacing w:after="0"/>
              <w:rPr>
                <w:sz w:val="20"/>
                <w:szCs w:val="20"/>
                <w:color w:val="auto"/>
              </w:rPr>
            </w:pPr>
            <w:r>
              <w:rPr>
                <w:rFonts w:ascii="Calibri" w:cs="Calibri" w:eastAsia="Calibri" w:hAnsi="Calibri"/>
                <w:sz w:val="18"/>
                <w:szCs w:val="18"/>
                <w:color w:val="auto"/>
              </w:rPr>
              <w:t>$ 6,570,796</w:t>
            </w: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9"/>
              </w:rPr>
              <w:t>$2,177,775</w:t>
            </w:r>
          </w:p>
        </w:tc>
        <w:tc>
          <w:tcPr>
            <w:tcW w:w="3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33"/>
              <w:spacing w:after="0"/>
              <w:rPr>
                <w:sz w:val="20"/>
                <w:szCs w:val="20"/>
                <w:color w:val="auto"/>
              </w:rPr>
            </w:pPr>
            <w:r>
              <w:rPr>
                <w:rFonts w:ascii="Calibri" w:cs="Calibri" w:eastAsia="Calibri" w:hAnsi="Calibri"/>
                <w:sz w:val="18"/>
                <w:szCs w:val="18"/>
                <w:color w:val="auto"/>
                <w:w w:val="95"/>
              </w:rPr>
              <w:t>1,669,484</w:t>
            </w:r>
          </w:p>
        </w:tc>
        <w:tc>
          <w:tcPr>
            <w:tcW w:w="960" w:type="dxa"/>
            <w:vAlign w:val="bottom"/>
          </w:tcPr>
          <w:p>
            <w:pPr>
              <w:jc w:val="center"/>
              <w:spacing w:after="0"/>
              <w:rPr>
                <w:sz w:val="20"/>
                <w:szCs w:val="20"/>
                <w:color w:val="auto"/>
              </w:rPr>
            </w:pPr>
            <w:r>
              <w:rPr>
                <w:rFonts w:ascii="Calibri" w:cs="Calibri" w:eastAsia="Calibri" w:hAnsi="Calibri"/>
                <w:sz w:val="18"/>
                <w:szCs w:val="18"/>
                <w:color w:val="auto"/>
              </w:rPr>
              <w:t>$ 89.10</w:t>
            </w:r>
          </w:p>
        </w:tc>
        <w:tc>
          <w:tcPr>
            <w:tcW w:w="960" w:type="dxa"/>
            <w:vAlign w:val="bottom"/>
          </w:tcPr>
          <w:p>
            <w:pPr>
              <w:jc w:val="center"/>
              <w:spacing w:after="0"/>
              <w:rPr>
                <w:sz w:val="20"/>
                <w:szCs w:val="20"/>
                <w:color w:val="auto"/>
              </w:rPr>
            </w:pPr>
            <w:r>
              <w:rPr>
                <w:rFonts w:ascii="Calibri" w:cs="Calibri" w:eastAsia="Calibri" w:hAnsi="Calibri"/>
                <w:sz w:val="18"/>
                <w:szCs w:val="18"/>
                <w:color w:val="auto"/>
              </w:rPr>
              <w:t>$104.09</w:t>
            </w:r>
          </w:p>
        </w:tc>
        <w:tc>
          <w:tcPr>
            <w:tcW w:w="820" w:type="dxa"/>
            <w:vAlign w:val="bottom"/>
          </w:tcPr>
          <w:p>
            <w:pPr>
              <w:jc w:val="center"/>
              <w:spacing w:after="0"/>
              <w:rPr>
                <w:sz w:val="20"/>
                <w:szCs w:val="20"/>
                <w:color w:val="auto"/>
              </w:rPr>
            </w:pPr>
            <w:r>
              <w:rPr>
                <w:rFonts w:ascii="Calibri" w:cs="Calibri" w:eastAsia="Calibri" w:hAnsi="Calibri"/>
                <w:sz w:val="18"/>
                <w:szCs w:val="18"/>
                <w:color w:val="auto"/>
              </w:rPr>
              <w:t>$395,661</w:t>
            </w:r>
          </w:p>
        </w:tc>
        <w:tc>
          <w:tcPr>
            <w:tcW w:w="580" w:type="dxa"/>
            <w:vAlign w:val="bottom"/>
          </w:tcPr>
          <w:p>
            <w:pPr>
              <w:jc w:val="center"/>
              <w:spacing w:after="0"/>
              <w:rPr>
                <w:sz w:val="20"/>
                <w:szCs w:val="20"/>
                <w:color w:val="auto"/>
              </w:rPr>
            </w:pPr>
            <w:r>
              <w:rPr>
                <w:rFonts w:ascii="Calibri" w:cs="Calibri" w:eastAsia="Calibri" w:hAnsi="Calibri"/>
                <w:sz w:val="18"/>
                <w:szCs w:val="18"/>
                <w:color w:val="auto"/>
                <w:w w:val="97"/>
              </w:rPr>
              <w:t>$6.32</w:t>
            </w:r>
          </w:p>
        </w:tc>
      </w:tr>
      <w:tr>
        <w:trPr>
          <w:trHeight w:val="280"/>
        </w:trPr>
        <w:tc>
          <w:tcPr>
            <w:tcW w:w="1200" w:type="dxa"/>
            <w:vAlign w:val="bottom"/>
          </w:tcPr>
          <w:p>
            <w:pPr>
              <w:spacing w:after="0"/>
              <w:rPr>
                <w:sz w:val="20"/>
                <w:szCs w:val="20"/>
                <w:color w:val="auto"/>
              </w:rPr>
            </w:pPr>
            <w:r>
              <w:rPr>
                <w:rFonts w:ascii="Calibri" w:cs="Calibri" w:eastAsia="Calibri" w:hAnsi="Calibri"/>
                <w:sz w:val="18"/>
                <w:szCs w:val="18"/>
                <w:color w:val="auto"/>
              </w:rPr>
              <w:t>2021</w:t>
            </w:r>
          </w:p>
        </w:tc>
        <w:tc>
          <w:tcPr>
            <w:tcW w:w="1860" w:type="dxa"/>
            <w:vAlign w:val="bottom"/>
          </w:tcPr>
          <w:p>
            <w:pPr>
              <w:jc w:val="center"/>
              <w:ind w:left="676"/>
              <w:spacing w:after="0"/>
              <w:rPr>
                <w:sz w:val="20"/>
                <w:szCs w:val="20"/>
                <w:color w:val="auto"/>
              </w:rPr>
            </w:pPr>
            <w:r>
              <w:rPr>
                <w:rFonts w:ascii="Calibri" w:cs="Calibri" w:eastAsia="Calibri" w:hAnsi="Calibri"/>
                <w:sz w:val="18"/>
                <w:szCs w:val="18"/>
                <w:color w:val="auto"/>
                <w:w w:val="99"/>
              </w:rPr>
              <w:t>$7,520,917</w:t>
            </w: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8"/>
              </w:rPr>
              <w:t>$15,446,709</w:t>
            </w: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9"/>
              </w:rPr>
              <w:t>$2,955,860</w:t>
            </w:r>
          </w:p>
        </w:tc>
        <w:tc>
          <w:tcPr>
            <w:tcW w:w="1260" w:type="dxa"/>
            <w:vAlign w:val="bottom"/>
            <w:gridSpan w:val="2"/>
          </w:tcPr>
          <w:p>
            <w:pPr>
              <w:jc w:val="right"/>
              <w:ind w:right="133"/>
              <w:spacing w:after="0"/>
              <w:rPr>
                <w:sz w:val="20"/>
                <w:szCs w:val="20"/>
                <w:color w:val="auto"/>
              </w:rPr>
            </w:pPr>
            <w:r>
              <w:rPr>
                <w:rFonts w:ascii="Calibri" w:cs="Calibri" w:eastAsia="Calibri" w:hAnsi="Calibri"/>
                <w:sz w:val="18"/>
                <w:szCs w:val="18"/>
                <w:color w:val="auto"/>
              </w:rPr>
              <w:t>$3,999,185</w:t>
            </w:r>
          </w:p>
        </w:tc>
        <w:tc>
          <w:tcPr>
            <w:tcW w:w="960" w:type="dxa"/>
            <w:vAlign w:val="bottom"/>
          </w:tcPr>
          <w:p>
            <w:pPr>
              <w:jc w:val="center"/>
              <w:spacing w:after="0"/>
              <w:rPr>
                <w:sz w:val="20"/>
                <w:szCs w:val="20"/>
                <w:color w:val="auto"/>
              </w:rPr>
            </w:pPr>
            <w:r>
              <w:rPr>
                <w:rFonts w:ascii="Calibri" w:cs="Calibri" w:eastAsia="Calibri" w:hAnsi="Calibri"/>
                <w:sz w:val="18"/>
                <w:szCs w:val="18"/>
                <w:color w:val="auto"/>
              </w:rPr>
              <w:t>$115.21</w:t>
            </w:r>
          </w:p>
        </w:tc>
        <w:tc>
          <w:tcPr>
            <w:tcW w:w="960" w:type="dxa"/>
            <w:vAlign w:val="bottom"/>
          </w:tcPr>
          <w:p>
            <w:pPr>
              <w:jc w:val="center"/>
              <w:spacing w:after="0"/>
              <w:rPr>
                <w:sz w:val="20"/>
                <w:szCs w:val="20"/>
                <w:color w:val="auto"/>
              </w:rPr>
            </w:pPr>
            <w:r>
              <w:rPr>
                <w:rFonts w:ascii="Calibri" w:cs="Calibri" w:eastAsia="Calibri" w:hAnsi="Calibri"/>
                <w:sz w:val="18"/>
                <w:szCs w:val="18"/>
                <w:color w:val="auto"/>
              </w:rPr>
              <w:t>$119.96</w:t>
            </w:r>
          </w:p>
        </w:tc>
        <w:tc>
          <w:tcPr>
            <w:tcW w:w="820" w:type="dxa"/>
            <w:vAlign w:val="bottom"/>
          </w:tcPr>
          <w:p>
            <w:pPr>
              <w:jc w:val="center"/>
              <w:spacing w:after="0"/>
              <w:rPr>
                <w:sz w:val="20"/>
                <w:szCs w:val="20"/>
                <w:color w:val="auto"/>
              </w:rPr>
            </w:pPr>
            <w:r>
              <w:rPr>
                <w:rFonts w:ascii="Calibri" w:cs="Calibri" w:eastAsia="Calibri" w:hAnsi="Calibri"/>
                <w:sz w:val="18"/>
                <w:szCs w:val="18"/>
                <w:color w:val="auto"/>
              </w:rPr>
              <w:t>$269,081</w:t>
            </w:r>
          </w:p>
        </w:tc>
        <w:tc>
          <w:tcPr>
            <w:tcW w:w="580" w:type="dxa"/>
            <w:vAlign w:val="bottom"/>
          </w:tcPr>
          <w:p>
            <w:pPr>
              <w:jc w:val="center"/>
              <w:spacing w:after="0"/>
              <w:rPr>
                <w:sz w:val="20"/>
                <w:szCs w:val="20"/>
                <w:color w:val="auto"/>
              </w:rPr>
            </w:pPr>
            <w:r>
              <w:rPr>
                <w:rFonts w:ascii="Calibri" w:cs="Calibri" w:eastAsia="Calibri" w:hAnsi="Calibri"/>
                <w:sz w:val="18"/>
                <w:szCs w:val="18"/>
                <w:color w:val="auto"/>
                <w:w w:val="97"/>
              </w:rPr>
              <w:t>$5.57</w:t>
            </w:r>
          </w:p>
        </w:tc>
      </w:tr>
      <w:tr>
        <w:trPr>
          <w:trHeight w:val="280"/>
        </w:trPr>
        <w:tc>
          <w:tcPr>
            <w:tcW w:w="1200" w:type="dxa"/>
            <w:vAlign w:val="bottom"/>
          </w:tcPr>
          <w:p>
            <w:pPr>
              <w:spacing w:after="0"/>
              <w:rPr>
                <w:sz w:val="20"/>
                <w:szCs w:val="20"/>
                <w:color w:val="auto"/>
              </w:rPr>
            </w:pPr>
            <w:r>
              <w:rPr>
                <w:rFonts w:ascii="Calibri" w:cs="Calibri" w:eastAsia="Calibri" w:hAnsi="Calibri"/>
                <w:sz w:val="18"/>
                <w:szCs w:val="18"/>
                <w:color w:val="auto"/>
              </w:rPr>
              <w:t>2020</w:t>
            </w:r>
          </w:p>
        </w:tc>
        <w:tc>
          <w:tcPr>
            <w:tcW w:w="1860" w:type="dxa"/>
            <w:vAlign w:val="bottom"/>
          </w:tcPr>
          <w:p>
            <w:pPr>
              <w:jc w:val="center"/>
              <w:ind w:left="676"/>
              <w:spacing w:after="0"/>
              <w:rPr>
                <w:sz w:val="20"/>
                <w:szCs w:val="20"/>
                <w:color w:val="auto"/>
              </w:rPr>
            </w:pPr>
            <w:r>
              <w:rPr>
                <w:rFonts w:ascii="Calibri" w:cs="Calibri" w:eastAsia="Calibri" w:hAnsi="Calibri"/>
                <w:sz w:val="18"/>
                <w:szCs w:val="18"/>
                <w:color w:val="auto"/>
                <w:w w:val="99"/>
              </w:rPr>
              <w:t>$7,481,796</w:t>
            </w:r>
          </w:p>
        </w:tc>
        <w:tc>
          <w:tcPr>
            <w:tcW w:w="1200" w:type="dxa"/>
            <w:vAlign w:val="bottom"/>
          </w:tcPr>
          <w:p>
            <w:pPr>
              <w:jc w:val="center"/>
              <w:spacing w:after="0"/>
              <w:rPr>
                <w:sz w:val="20"/>
                <w:szCs w:val="20"/>
                <w:color w:val="auto"/>
              </w:rPr>
            </w:pPr>
            <w:r>
              <w:rPr>
                <w:rFonts w:ascii="Calibri" w:cs="Calibri" w:eastAsia="Calibri" w:hAnsi="Calibri"/>
                <w:sz w:val="18"/>
                <w:szCs w:val="18"/>
                <w:color w:val="auto"/>
              </w:rPr>
              <w:t>$ 1,832,214</w:t>
            </w: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9"/>
              </w:rPr>
              <w:t>$1,753,182</w:t>
            </w:r>
          </w:p>
        </w:tc>
        <w:tc>
          <w:tcPr>
            <w:tcW w:w="3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33"/>
              <w:spacing w:after="0"/>
              <w:rPr>
                <w:sz w:val="20"/>
                <w:szCs w:val="20"/>
                <w:color w:val="auto"/>
              </w:rPr>
            </w:pPr>
            <w:r>
              <w:rPr>
                <w:rFonts w:ascii="Calibri" w:cs="Calibri" w:eastAsia="Calibri" w:hAnsi="Calibri"/>
                <w:sz w:val="18"/>
                <w:szCs w:val="18"/>
                <w:color w:val="auto"/>
              </w:rPr>
              <w:t>859,320</w:t>
            </w:r>
          </w:p>
        </w:tc>
        <w:tc>
          <w:tcPr>
            <w:tcW w:w="960" w:type="dxa"/>
            <w:vAlign w:val="bottom"/>
          </w:tcPr>
          <w:p>
            <w:pPr>
              <w:jc w:val="center"/>
              <w:spacing w:after="0"/>
              <w:rPr>
                <w:sz w:val="20"/>
                <w:szCs w:val="20"/>
                <w:color w:val="auto"/>
              </w:rPr>
            </w:pPr>
            <w:r>
              <w:rPr>
                <w:rFonts w:ascii="Calibri" w:cs="Calibri" w:eastAsia="Calibri" w:hAnsi="Calibri"/>
                <w:sz w:val="18"/>
                <w:szCs w:val="18"/>
                <w:color w:val="auto"/>
              </w:rPr>
              <w:t>$ 69.44</w:t>
            </w:r>
          </w:p>
        </w:tc>
        <w:tc>
          <w:tcPr>
            <w:tcW w:w="960" w:type="dxa"/>
            <w:vAlign w:val="bottom"/>
          </w:tcPr>
          <w:p>
            <w:pPr>
              <w:jc w:val="center"/>
              <w:spacing w:after="0"/>
              <w:rPr>
                <w:sz w:val="20"/>
                <w:szCs w:val="20"/>
                <w:color w:val="auto"/>
              </w:rPr>
            </w:pPr>
            <w:r>
              <w:rPr>
                <w:rFonts w:ascii="Calibri" w:cs="Calibri" w:eastAsia="Calibri" w:hAnsi="Calibri"/>
                <w:sz w:val="18"/>
                <w:szCs w:val="18"/>
                <w:color w:val="auto"/>
              </w:rPr>
              <w:t>$ 73.36</w:t>
            </w:r>
          </w:p>
        </w:tc>
        <w:tc>
          <w:tcPr>
            <w:tcW w:w="820" w:type="dxa"/>
            <w:vAlign w:val="bottom"/>
          </w:tcPr>
          <w:p>
            <w:pPr>
              <w:jc w:val="center"/>
              <w:spacing w:after="0"/>
              <w:rPr>
                <w:sz w:val="20"/>
                <w:szCs w:val="20"/>
                <w:color w:val="auto"/>
              </w:rPr>
            </w:pPr>
            <w:r>
              <w:rPr>
                <w:rFonts w:ascii="Calibri" w:cs="Calibri" w:eastAsia="Calibri" w:hAnsi="Calibri"/>
                <w:sz w:val="18"/>
                <w:szCs w:val="18"/>
                <w:color w:val="auto"/>
              </w:rPr>
              <w:t>$135,888</w:t>
            </w:r>
          </w:p>
        </w:tc>
        <w:tc>
          <w:tcPr>
            <w:tcW w:w="580" w:type="dxa"/>
            <w:vAlign w:val="bottom"/>
          </w:tcPr>
          <w:p>
            <w:pPr>
              <w:jc w:val="center"/>
              <w:spacing w:after="0"/>
              <w:rPr>
                <w:sz w:val="20"/>
                <w:szCs w:val="20"/>
                <w:color w:val="auto"/>
              </w:rPr>
            </w:pPr>
            <w:r>
              <w:rPr>
                <w:rFonts w:ascii="Calibri" w:cs="Calibri" w:eastAsia="Calibri" w:hAnsi="Calibri"/>
                <w:sz w:val="18"/>
                <w:szCs w:val="18"/>
                <w:color w:val="auto"/>
                <w:w w:val="97"/>
              </w:rPr>
              <w:t>$4.38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4255135</wp:posOffset>
                </wp:positionH>
                <wp:positionV relativeFrom="paragraph">
                  <wp:posOffset>-1189990</wp:posOffset>
                </wp:positionV>
                <wp:extent cx="1216660"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666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05pt,-93.6999pt" to="430.85pt,-93.6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114300</wp:posOffset>
                </wp:positionV>
                <wp:extent cx="609600"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pt" to="48pt,9pt" o:allowincell="f" strokecolor="#000000" strokeweight="0.5pt"/>
            </w:pict>
          </mc:Fallback>
        </mc:AlternateContent>
      </w:r>
    </w:p>
    <w:p>
      <w:pPr>
        <w:spacing w:after="0" w:line="221" w:lineRule="exact"/>
        <w:rPr>
          <w:sz w:val="20"/>
          <w:szCs w:val="20"/>
          <w:color w:val="auto"/>
        </w:rPr>
      </w:pPr>
    </w:p>
    <w:p>
      <w:pPr>
        <w:ind w:left="360" w:right="60" w:hanging="360"/>
        <w:spacing w:after="0" w:line="214" w:lineRule="auto"/>
        <w:tabs>
          <w:tab w:leader="none" w:pos="360" w:val="left"/>
        </w:tabs>
        <w:numPr>
          <w:ilvl w:val="0"/>
          <w:numId w:val="148"/>
        </w:numPr>
        <w:rPr>
          <w:rFonts w:ascii="Arial" w:cs="Arial" w:eastAsia="Arial" w:hAnsi="Arial"/>
          <w:sz w:val="23"/>
          <w:szCs w:val="23"/>
          <w:color w:val="auto"/>
          <w:vertAlign w:val="superscript"/>
        </w:rPr>
      </w:pPr>
      <w:r>
        <w:rPr>
          <w:rFonts w:ascii="Arial" w:cs="Arial" w:eastAsia="Arial" w:hAnsi="Arial"/>
          <w:sz w:val="18"/>
          <w:szCs w:val="18"/>
          <w:color w:val="auto"/>
        </w:rPr>
        <w:t>Mr. Wood was our principal executive officer for all years shown. Following are the adjustments made during each year to arrive at compensation actually paid to our principal executive officer during each year.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shd w:val="clear" w:color="auto" w:fill="FB1717"/>
          </w:tcPr>
          <w:p>
            <w:pPr>
              <w:spacing w:after="0"/>
              <w:rPr>
                <w:sz w:val="19"/>
                <w:szCs w:val="19"/>
                <w:color w:val="auto"/>
              </w:rPr>
            </w:pPr>
          </w:p>
        </w:tc>
        <w:tc>
          <w:tcPr>
            <w:tcW w:w="5240" w:type="dxa"/>
            <w:vAlign w:val="bottom"/>
            <w:shd w:val="clear" w:color="auto" w:fill="FB1717"/>
          </w:tcPr>
          <w:p>
            <w:pPr>
              <w:spacing w:after="0"/>
              <w:rPr>
                <w:sz w:val="19"/>
                <w:szCs w:val="19"/>
                <w:color w:val="auto"/>
              </w:rPr>
            </w:pPr>
          </w:p>
        </w:tc>
        <w:tc>
          <w:tcPr>
            <w:tcW w:w="260" w:type="dxa"/>
            <w:vAlign w:val="bottom"/>
            <w:shd w:val="clear" w:color="auto" w:fill="FB1717"/>
          </w:tcPr>
          <w:p>
            <w:pPr>
              <w:spacing w:after="0"/>
              <w:rPr>
                <w:sz w:val="19"/>
                <w:szCs w:val="19"/>
                <w:color w:val="auto"/>
              </w:rPr>
            </w:pPr>
          </w:p>
        </w:tc>
        <w:tc>
          <w:tcPr>
            <w:tcW w:w="1000" w:type="dxa"/>
            <w:vAlign w:val="bottom"/>
            <w:shd w:val="clear" w:color="auto" w:fill="FB1717"/>
          </w:tcPr>
          <w:p>
            <w:pPr>
              <w:spacing w:after="0"/>
              <w:rPr>
                <w:sz w:val="19"/>
                <w:szCs w:val="19"/>
                <w:color w:val="auto"/>
              </w:rPr>
            </w:pPr>
          </w:p>
        </w:tc>
        <w:tc>
          <w:tcPr>
            <w:tcW w:w="300" w:type="dxa"/>
            <w:vAlign w:val="bottom"/>
            <w:shd w:val="clear" w:color="auto" w:fill="FB1717"/>
          </w:tcPr>
          <w:p>
            <w:pPr>
              <w:spacing w:after="0"/>
              <w:rPr>
                <w:sz w:val="19"/>
                <w:szCs w:val="19"/>
                <w:color w:val="auto"/>
              </w:rPr>
            </w:pPr>
          </w:p>
        </w:tc>
        <w:tc>
          <w:tcPr>
            <w:tcW w:w="1060" w:type="dxa"/>
            <w:vAlign w:val="bottom"/>
            <w:shd w:val="clear" w:color="auto" w:fill="FB1717"/>
          </w:tcPr>
          <w:p>
            <w:pPr>
              <w:jc w:val="right"/>
              <w:ind w:right="453"/>
              <w:spacing w:after="0"/>
              <w:rPr>
                <w:sz w:val="20"/>
                <w:szCs w:val="20"/>
                <w:color w:val="auto"/>
              </w:rPr>
            </w:pPr>
            <w:r>
              <w:rPr>
                <w:rFonts w:ascii="Calibri" w:cs="Calibri" w:eastAsia="Calibri" w:hAnsi="Calibri"/>
                <w:sz w:val="16"/>
                <w:szCs w:val="16"/>
                <w:b w:val="1"/>
                <w:bCs w:val="1"/>
                <w:color w:val="FFFFFF"/>
              </w:rPr>
              <w:t>PEO</w:t>
            </w:r>
          </w:p>
        </w:tc>
        <w:tc>
          <w:tcPr>
            <w:tcW w:w="320" w:type="dxa"/>
            <w:vAlign w:val="bottom"/>
            <w:shd w:val="clear" w:color="auto" w:fill="FB1717"/>
          </w:tcPr>
          <w:p>
            <w:pPr>
              <w:spacing w:after="0"/>
              <w:rPr>
                <w:sz w:val="19"/>
                <w:szCs w:val="19"/>
                <w:color w:val="auto"/>
              </w:rPr>
            </w:pPr>
          </w:p>
        </w:tc>
        <w:tc>
          <w:tcPr>
            <w:tcW w:w="940" w:type="dxa"/>
            <w:vAlign w:val="bottom"/>
            <w:shd w:val="clear" w:color="auto" w:fill="FB1717"/>
          </w:tcPr>
          <w:p>
            <w:pPr>
              <w:spacing w:after="0"/>
              <w:rPr>
                <w:sz w:val="19"/>
                <w:szCs w:val="19"/>
                <w:color w:val="auto"/>
              </w:rPr>
            </w:pPr>
          </w:p>
        </w:tc>
        <w:tc>
          <w:tcPr>
            <w:tcW w:w="60" w:type="dxa"/>
            <w:vAlign w:val="bottom"/>
          </w:tcPr>
          <w:p>
            <w:pPr>
              <w:spacing w:after="0"/>
              <w:rPr>
                <w:sz w:val="19"/>
                <w:szCs w:val="19"/>
                <w:color w:val="auto"/>
              </w:rPr>
            </w:pPr>
          </w:p>
        </w:tc>
      </w:tr>
      <w:tr>
        <w:trPr>
          <w:trHeight w:val="272"/>
        </w:trPr>
        <w:tc>
          <w:tcPr>
            <w:tcW w:w="6200" w:type="dxa"/>
            <w:vAlign w:val="bottom"/>
            <w:tcBorders>
              <w:bottom w:val="single" w:sz="8" w:color="FB1717"/>
            </w:tcBorders>
            <w:gridSpan w:val="2"/>
            <w:shd w:val="clear" w:color="auto" w:fill="FB1717"/>
          </w:tcPr>
          <w:p>
            <w:pPr>
              <w:spacing w:after="0"/>
              <w:rPr>
                <w:sz w:val="20"/>
                <w:szCs w:val="20"/>
                <w:color w:val="auto"/>
              </w:rPr>
            </w:pPr>
            <w:r>
              <w:rPr>
                <w:rFonts w:ascii="Calibri" w:cs="Calibri" w:eastAsia="Calibri" w:hAnsi="Calibri"/>
                <w:sz w:val="16"/>
                <w:szCs w:val="16"/>
                <w:b w:val="1"/>
                <w:bCs w:val="1"/>
                <w:color w:val="FFFFFF"/>
              </w:rPr>
              <w:t>Adjustments</w:t>
            </w:r>
          </w:p>
        </w:tc>
        <w:tc>
          <w:tcPr>
            <w:tcW w:w="260" w:type="dxa"/>
            <w:vAlign w:val="bottom"/>
            <w:tcBorders>
              <w:bottom w:val="single" w:sz="8" w:color="FB1717"/>
            </w:tcBorders>
            <w:shd w:val="clear" w:color="auto" w:fill="FB1717"/>
          </w:tcPr>
          <w:p>
            <w:pPr>
              <w:spacing w:after="0"/>
              <w:rPr>
                <w:sz w:val="23"/>
                <w:szCs w:val="23"/>
                <w:color w:val="auto"/>
              </w:rPr>
            </w:pPr>
          </w:p>
        </w:tc>
        <w:tc>
          <w:tcPr>
            <w:tcW w:w="1000" w:type="dxa"/>
            <w:vAlign w:val="bottom"/>
            <w:tcBorders>
              <w:bottom w:val="single" w:sz="8" w:color="FB1717"/>
            </w:tcBorders>
            <w:shd w:val="clear" w:color="auto" w:fill="FB1717"/>
          </w:tcPr>
          <w:p>
            <w:pPr>
              <w:jc w:val="right"/>
              <w:ind w:right="451"/>
              <w:spacing w:after="0"/>
              <w:rPr>
                <w:sz w:val="20"/>
                <w:szCs w:val="20"/>
                <w:color w:val="auto"/>
              </w:rPr>
            </w:pPr>
            <w:r>
              <w:rPr>
                <w:rFonts w:ascii="Calibri" w:cs="Calibri" w:eastAsia="Calibri" w:hAnsi="Calibri"/>
                <w:sz w:val="16"/>
                <w:szCs w:val="16"/>
                <w:b w:val="1"/>
                <w:bCs w:val="1"/>
                <w:color w:val="FFFFFF"/>
              </w:rPr>
              <w:t>2022</w:t>
            </w:r>
          </w:p>
        </w:tc>
        <w:tc>
          <w:tcPr>
            <w:tcW w:w="300" w:type="dxa"/>
            <w:vAlign w:val="bottom"/>
            <w:tcBorders>
              <w:bottom w:val="single" w:sz="8" w:color="FB1717"/>
            </w:tcBorders>
            <w:shd w:val="clear" w:color="auto" w:fill="FB1717"/>
          </w:tcPr>
          <w:p>
            <w:pPr>
              <w:spacing w:after="0"/>
              <w:rPr>
                <w:sz w:val="23"/>
                <w:szCs w:val="23"/>
                <w:color w:val="auto"/>
              </w:rPr>
            </w:pPr>
          </w:p>
        </w:tc>
        <w:tc>
          <w:tcPr>
            <w:tcW w:w="1060" w:type="dxa"/>
            <w:vAlign w:val="bottom"/>
            <w:tcBorders>
              <w:bottom w:val="single" w:sz="8" w:color="FB1717"/>
            </w:tcBorders>
            <w:shd w:val="clear" w:color="auto" w:fill="FB1717"/>
          </w:tcPr>
          <w:p>
            <w:pPr>
              <w:jc w:val="right"/>
              <w:ind w:right="453"/>
              <w:spacing w:after="0"/>
              <w:rPr>
                <w:sz w:val="20"/>
                <w:szCs w:val="20"/>
                <w:color w:val="auto"/>
              </w:rPr>
            </w:pPr>
            <w:r>
              <w:rPr>
                <w:rFonts w:ascii="Calibri" w:cs="Calibri" w:eastAsia="Calibri" w:hAnsi="Calibri"/>
                <w:sz w:val="16"/>
                <w:szCs w:val="16"/>
                <w:b w:val="1"/>
                <w:bCs w:val="1"/>
                <w:color w:val="FFFFFF"/>
              </w:rPr>
              <w:t>2021</w:t>
            </w:r>
          </w:p>
        </w:tc>
        <w:tc>
          <w:tcPr>
            <w:tcW w:w="320" w:type="dxa"/>
            <w:vAlign w:val="bottom"/>
            <w:tcBorders>
              <w:bottom w:val="single" w:sz="8" w:color="FB1717"/>
            </w:tcBorders>
            <w:shd w:val="clear" w:color="auto" w:fill="FB1717"/>
          </w:tcPr>
          <w:p>
            <w:pPr>
              <w:spacing w:after="0"/>
              <w:rPr>
                <w:sz w:val="23"/>
                <w:szCs w:val="23"/>
                <w:color w:val="auto"/>
              </w:rPr>
            </w:pPr>
          </w:p>
        </w:tc>
        <w:tc>
          <w:tcPr>
            <w:tcW w:w="940" w:type="dxa"/>
            <w:vAlign w:val="bottom"/>
            <w:tcBorders>
              <w:bottom w:val="single" w:sz="8" w:color="FB1717"/>
            </w:tcBorders>
            <w:shd w:val="clear" w:color="auto" w:fill="FB1717"/>
          </w:tcPr>
          <w:p>
            <w:pPr>
              <w:jc w:val="right"/>
              <w:ind w:right="331"/>
              <w:spacing w:after="0"/>
              <w:rPr>
                <w:sz w:val="20"/>
                <w:szCs w:val="20"/>
                <w:color w:val="auto"/>
              </w:rPr>
            </w:pPr>
            <w:r>
              <w:rPr>
                <w:rFonts w:ascii="Calibri" w:cs="Calibri" w:eastAsia="Calibri" w:hAnsi="Calibri"/>
                <w:sz w:val="16"/>
                <w:szCs w:val="16"/>
                <w:b w:val="1"/>
                <w:bCs w:val="1"/>
                <w:color w:val="FFFFFF"/>
              </w:rPr>
              <w:t>2020</w:t>
            </w:r>
          </w:p>
        </w:tc>
        <w:tc>
          <w:tcPr>
            <w:tcW w:w="60" w:type="dxa"/>
            <w:vAlign w:val="bottom"/>
          </w:tcPr>
          <w:p>
            <w:pPr>
              <w:spacing w:after="0"/>
              <w:rPr>
                <w:sz w:val="23"/>
                <w:szCs w:val="23"/>
                <w:color w:val="auto"/>
              </w:rPr>
            </w:pPr>
          </w:p>
        </w:tc>
      </w:tr>
      <w:tr>
        <w:trPr>
          <w:trHeight w:val="254"/>
        </w:trPr>
        <w:tc>
          <w:tcPr>
            <w:tcW w:w="6200" w:type="dxa"/>
            <w:vAlign w:val="bottom"/>
            <w:gridSpan w:val="2"/>
          </w:tcPr>
          <w:p>
            <w:pPr>
              <w:spacing w:after="0"/>
              <w:rPr>
                <w:sz w:val="20"/>
                <w:szCs w:val="20"/>
                <w:color w:val="auto"/>
              </w:rPr>
            </w:pPr>
            <w:r>
              <w:rPr>
                <w:rFonts w:ascii="Calibri" w:cs="Calibri" w:eastAsia="Calibri" w:hAnsi="Calibri"/>
                <w:sz w:val="18"/>
                <w:szCs w:val="18"/>
                <w:color w:val="auto"/>
              </w:rPr>
              <w:t>Amounts reported under “Stock Awards” in SCT</w:t>
            </w:r>
          </w:p>
        </w:tc>
        <w:tc>
          <w:tcPr>
            <w:tcW w:w="2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(6,474,391)</w:t>
            </w:r>
          </w:p>
        </w:tc>
        <w:tc>
          <w:tcPr>
            <w:tcW w:w="3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(5,213,719)</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(5,830,493)</w:t>
            </w:r>
          </w:p>
        </w:tc>
      </w:tr>
      <w:tr>
        <w:trPr>
          <w:trHeight w:val="46"/>
        </w:trPr>
        <w:tc>
          <w:tcPr>
            <w:tcW w:w="96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r>
      <w:tr>
        <w:trPr>
          <w:trHeight w:val="280"/>
        </w:trPr>
        <w:tc>
          <w:tcPr>
            <w:tcW w:w="6200" w:type="dxa"/>
            <w:vAlign w:val="bottom"/>
            <w:tcBorders>
              <w:bottom w:val="single" w:sz="8" w:color="D9D9D9"/>
            </w:tcBorders>
            <w:gridSpan w:val="2"/>
            <w:shd w:val="clear" w:color="auto" w:fill="D9D9D9"/>
          </w:tcPr>
          <w:p>
            <w:pPr>
              <w:spacing w:after="0"/>
              <w:rPr>
                <w:sz w:val="20"/>
                <w:szCs w:val="20"/>
                <w:color w:val="auto"/>
              </w:rPr>
            </w:pPr>
            <w:r>
              <w:rPr>
                <w:rFonts w:ascii="Calibri" w:cs="Calibri" w:eastAsia="Calibri" w:hAnsi="Calibri"/>
                <w:sz w:val="18"/>
                <w:szCs w:val="18"/>
                <w:color w:val="auto"/>
              </w:rPr>
              <w:t>Change Fair Value of Awards Granted in Year and Unvested as of Year-End</w:t>
            </w:r>
          </w:p>
        </w:tc>
        <w:tc>
          <w:tcPr>
            <w:tcW w:w="26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w:t>
            </w:r>
          </w:p>
        </w:tc>
        <w:tc>
          <w:tcPr>
            <w:tcW w:w="1000" w:type="dxa"/>
            <w:vAlign w:val="bottom"/>
            <w:tcBorders>
              <w:bottom w:val="single" w:sz="8" w:color="D9D9D9"/>
            </w:tcBorders>
            <w:shd w:val="clear" w:color="auto" w:fill="D9D9D9"/>
          </w:tcPr>
          <w:p>
            <w:pPr>
              <w:jc w:val="right"/>
              <w:ind w:right="51"/>
              <w:spacing w:after="0"/>
              <w:rPr>
                <w:sz w:val="20"/>
                <w:szCs w:val="20"/>
                <w:color w:val="auto"/>
              </w:rPr>
            </w:pPr>
            <w:r>
              <w:rPr>
                <w:rFonts w:ascii="Calibri" w:cs="Calibri" w:eastAsia="Calibri" w:hAnsi="Calibri"/>
                <w:sz w:val="18"/>
                <w:szCs w:val="18"/>
                <w:color w:val="auto"/>
              </w:rPr>
              <w:t>5,171,732</w:t>
            </w:r>
          </w:p>
        </w:tc>
        <w:tc>
          <w:tcPr>
            <w:tcW w:w="300" w:type="dxa"/>
            <w:vAlign w:val="bottom"/>
            <w:tcBorders>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color w:val="auto"/>
              </w:rPr>
              <w:t>$</w:t>
            </w:r>
          </w:p>
        </w:tc>
        <w:tc>
          <w:tcPr>
            <w:tcW w:w="1060" w:type="dxa"/>
            <w:vAlign w:val="bottom"/>
            <w:tcBorders>
              <w:bottom w:val="single" w:sz="8" w:color="D9D9D9"/>
            </w:tcBorders>
            <w:shd w:val="clear" w:color="auto" w:fill="D9D9D9"/>
          </w:tcPr>
          <w:p>
            <w:pPr>
              <w:jc w:val="right"/>
              <w:ind w:right="33"/>
              <w:spacing w:after="0"/>
              <w:rPr>
                <w:sz w:val="20"/>
                <w:szCs w:val="20"/>
                <w:color w:val="auto"/>
              </w:rPr>
            </w:pPr>
            <w:r>
              <w:rPr>
                <w:rFonts w:ascii="Calibri" w:cs="Calibri" w:eastAsia="Calibri" w:hAnsi="Calibri"/>
                <w:sz w:val="18"/>
                <w:szCs w:val="18"/>
                <w:color w:val="auto"/>
              </w:rPr>
              <w:t>7,421,261</w:t>
            </w:r>
          </w:p>
        </w:tc>
        <w:tc>
          <w:tcPr>
            <w:tcW w:w="320" w:type="dxa"/>
            <w:vAlign w:val="bottom"/>
            <w:tcBorders>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color w:val="auto"/>
              </w:rPr>
              <w:t>$</w:t>
            </w:r>
          </w:p>
        </w:tc>
        <w:tc>
          <w:tcPr>
            <w:tcW w:w="94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3,899,517</w:t>
            </w:r>
          </w:p>
        </w:tc>
        <w:tc>
          <w:tcPr>
            <w:tcW w:w="60" w:type="dxa"/>
            <w:vAlign w:val="bottom"/>
          </w:tcPr>
          <w:p>
            <w:pPr>
              <w:spacing w:after="0"/>
              <w:rPr>
                <w:sz w:val="24"/>
                <w:szCs w:val="24"/>
                <w:color w:val="auto"/>
              </w:rPr>
            </w:pPr>
          </w:p>
        </w:tc>
      </w:tr>
      <w:tr>
        <w:trPr>
          <w:trHeight w:val="254"/>
        </w:trPr>
        <w:tc>
          <w:tcPr>
            <w:tcW w:w="6200" w:type="dxa"/>
            <w:vAlign w:val="bottom"/>
            <w:gridSpan w:val="2"/>
          </w:tcPr>
          <w:p>
            <w:pPr>
              <w:spacing w:after="0"/>
              <w:rPr>
                <w:sz w:val="20"/>
                <w:szCs w:val="20"/>
                <w:color w:val="auto"/>
              </w:rPr>
            </w:pPr>
            <w:r>
              <w:rPr>
                <w:rFonts w:ascii="Calibri" w:cs="Calibri" w:eastAsia="Calibri" w:hAnsi="Calibri"/>
                <w:sz w:val="18"/>
                <w:szCs w:val="18"/>
                <w:color w:val="auto"/>
              </w:rPr>
              <w:t>Change in Fair Value from Prior Year-End to Current Year-End of Awards Granted</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6200" w:type="dxa"/>
            <w:vAlign w:val="bottom"/>
            <w:gridSpan w:val="2"/>
          </w:tcPr>
          <w:p>
            <w:pPr>
              <w:ind w:left="180"/>
              <w:spacing w:after="0"/>
              <w:rPr>
                <w:sz w:val="20"/>
                <w:szCs w:val="20"/>
                <w:color w:val="auto"/>
              </w:rPr>
            </w:pPr>
            <w:r>
              <w:rPr>
                <w:rFonts w:ascii="Calibri" w:cs="Calibri" w:eastAsia="Calibri" w:hAnsi="Calibri"/>
                <w:sz w:val="18"/>
                <w:szCs w:val="18"/>
                <w:color w:val="auto"/>
              </w:rPr>
              <w:t>Prior to Year that were Outstanding and Unvested as of Year-End</w:t>
            </w:r>
          </w:p>
        </w:tc>
        <w:tc>
          <w:tcPr>
            <w:tcW w:w="2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(1,546,034)</w:t>
            </w:r>
          </w:p>
        </w:tc>
        <w:tc>
          <w:tcPr>
            <w:tcW w:w="3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33"/>
              <w:spacing w:after="0"/>
              <w:rPr>
                <w:sz w:val="20"/>
                <w:szCs w:val="20"/>
                <w:color w:val="auto"/>
              </w:rPr>
            </w:pPr>
            <w:r>
              <w:rPr>
                <w:rFonts w:ascii="Calibri" w:cs="Calibri" w:eastAsia="Calibri" w:hAnsi="Calibri"/>
                <w:sz w:val="18"/>
                <w:szCs w:val="18"/>
                <w:color w:val="auto"/>
              </w:rPr>
              <w:t>4,544,000</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(3,866,637)</w:t>
            </w:r>
          </w:p>
        </w:tc>
      </w:tr>
      <w:tr>
        <w:trPr>
          <w:trHeight w:val="46"/>
        </w:trPr>
        <w:tc>
          <w:tcPr>
            <w:tcW w:w="96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4"/>
        </w:trPr>
        <w:tc>
          <w:tcPr>
            <w:tcW w:w="6200" w:type="dxa"/>
            <w:vAlign w:val="bottom"/>
            <w:gridSpan w:val="2"/>
            <w:shd w:val="clear" w:color="auto" w:fill="D9D9D9"/>
          </w:tcPr>
          <w:p>
            <w:pPr>
              <w:spacing w:after="0"/>
              <w:rPr>
                <w:sz w:val="20"/>
                <w:szCs w:val="20"/>
                <w:color w:val="auto"/>
              </w:rPr>
            </w:pPr>
            <w:r>
              <w:rPr>
                <w:rFonts w:ascii="Calibri" w:cs="Calibri" w:eastAsia="Calibri" w:hAnsi="Calibri"/>
                <w:sz w:val="18"/>
                <w:szCs w:val="18"/>
                <w:color w:val="auto"/>
              </w:rPr>
              <w:t>Change in Fair Value from Prior Year-End to Vesting Date of Awards Granted Prior</w:t>
            </w:r>
          </w:p>
        </w:tc>
        <w:tc>
          <w:tcPr>
            <w:tcW w:w="260" w:type="dxa"/>
            <w:vAlign w:val="bottom"/>
            <w:shd w:val="clear" w:color="auto" w:fill="D9D9D9"/>
          </w:tcPr>
          <w:p>
            <w:pPr>
              <w:spacing w:after="0"/>
              <w:rPr>
                <w:sz w:val="22"/>
                <w:szCs w:val="22"/>
                <w:color w:val="auto"/>
              </w:rPr>
            </w:pPr>
          </w:p>
        </w:tc>
        <w:tc>
          <w:tcPr>
            <w:tcW w:w="1000" w:type="dxa"/>
            <w:vAlign w:val="bottom"/>
            <w:shd w:val="clear" w:color="auto" w:fill="D9D9D9"/>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1060" w:type="dxa"/>
            <w:vAlign w:val="bottom"/>
            <w:shd w:val="clear" w:color="auto" w:fill="D9D9D9"/>
          </w:tcPr>
          <w:p>
            <w:pPr>
              <w:spacing w:after="0"/>
              <w:rPr>
                <w:sz w:val="22"/>
                <w:szCs w:val="22"/>
                <w:color w:val="auto"/>
              </w:rPr>
            </w:pPr>
          </w:p>
        </w:tc>
        <w:tc>
          <w:tcPr>
            <w:tcW w:w="320" w:type="dxa"/>
            <w:vAlign w:val="bottom"/>
            <w:shd w:val="clear" w:color="auto" w:fill="D9D9D9"/>
          </w:tcPr>
          <w:p>
            <w:pPr>
              <w:spacing w:after="0"/>
              <w:rPr>
                <w:sz w:val="22"/>
                <w:szCs w:val="22"/>
                <w:color w:val="auto"/>
              </w:rPr>
            </w:pPr>
          </w:p>
        </w:tc>
        <w:tc>
          <w:tcPr>
            <w:tcW w:w="940" w:type="dxa"/>
            <w:vAlign w:val="bottom"/>
            <w:shd w:val="clear" w:color="auto" w:fill="D9D9D9"/>
          </w:tcPr>
          <w:p>
            <w:pPr>
              <w:spacing w:after="0"/>
              <w:rPr>
                <w:sz w:val="22"/>
                <w:szCs w:val="22"/>
                <w:color w:val="auto"/>
              </w:rPr>
            </w:pPr>
          </w:p>
        </w:tc>
        <w:tc>
          <w:tcPr>
            <w:tcW w:w="60" w:type="dxa"/>
            <w:vAlign w:val="bottom"/>
          </w:tcPr>
          <w:p>
            <w:pPr>
              <w:spacing w:after="0"/>
              <w:rPr>
                <w:sz w:val="22"/>
                <w:szCs w:val="22"/>
                <w:color w:val="auto"/>
              </w:rPr>
            </w:pPr>
          </w:p>
        </w:tc>
      </w:tr>
      <w:tr>
        <w:trPr>
          <w:trHeight w:val="246"/>
        </w:trPr>
        <w:tc>
          <w:tcPr>
            <w:tcW w:w="6200" w:type="dxa"/>
            <w:vAlign w:val="bottom"/>
            <w:tcBorders>
              <w:bottom w:val="single" w:sz="8" w:color="D9D9D9"/>
            </w:tcBorders>
            <w:gridSpan w:val="2"/>
            <w:shd w:val="clear" w:color="auto" w:fill="D9D9D9"/>
          </w:tcPr>
          <w:p>
            <w:pPr>
              <w:ind w:left="180"/>
              <w:spacing w:after="0"/>
              <w:rPr>
                <w:sz w:val="20"/>
                <w:szCs w:val="20"/>
                <w:color w:val="auto"/>
              </w:rPr>
            </w:pPr>
            <w:r>
              <w:rPr>
                <w:rFonts w:ascii="Calibri" w:cs="Calibri" w:eastAsia="Calibri" w:hAnsi="Calibri"/>
                <w:sz w:val="18"/>
                <w:szCs w:val="18"/>
                <w:color w:val="auto"/>
              </w:rPr>
              <w:t>to Year that Vested During Year</w:t>
            </w:r>
          </w:p>
        </w:tc>
        <w:tc>
          <w:tcPr>
            <w:tcW w:w="26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w:t>
            </w:r>
          </w:p>
        </w:tc>
        <w:tc>
          <w:tcPr>
            <w:tcW w:w="1000" w:type="dxa"/>
            <w:vAlign w:val="bottom"/>
            <w:tcBorders>
              <w:bottom w:val="single" w:sz="8" w:color="D9D9D9"/>
            </w:tcBorders>
            <w:shd w:val="clear" w:color="auto" w:fill="D9D9D9"/>
          </w:tcPr>
          <w:p>
            <w:pPr>
              <w:jc w:val="right"/>
              <w:ind w:right="51"/>
              <w:spacing w:after="0"/>
              <w:rPr>
                <w:sz w:val="20"/>
                <w:szCs w:val="20"/>
                <w:color w:val="auto"/>
              </w:rPr>
            </w:pPr>
            <w:r>
              <w:rPr>
                <w:rFonts w:ascii="Calibri" w:cs="Calibri" w:eastAsia="Calibri" w:hAnsi="Calibri"/>
                <w:sz w:val="18"/>
                <w:szCs w:val="18"/>
                <w:color w:val="auto"/>
              </w:rPr>
              <w:t>66,969</w:t>
            </w:r>
          </w:p>
        </w:tc>
        <w:tc>
          <w:tcPr>
            <w:tcW w:w="300" w:type="dxa"/>
            <w:vAlign w:val="bottom"/>
            <w:tcBorders>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color w:val="auto"/>
              </w:rPr>
              <w:t>$</w:t>
            </w:r>
          </w:p>
        </w:tc>
        <w:tc>
          <w:tcPr>
            <w:tcW w:w="1060" w:type="dxa"/>
            <w:vAlign w:val="bottom"/>
            <w:tcBorders>
              <w:bottom w:val="single" w:sz="8" w:color="D9D9D9"/>
            </w:tcBorders>
            <w:shd w:val="clear" w:color="auto" w:fill="D9D9D9"/>
          </w:tcPr>
          <w:p>
            <w:pPr>
              <w:jc w:val="right"/>
              <w:ind w:right="33"/>
              <w:spacing w:after="0"/>
              <w:rPr>
                <w:sz w:val="20"/>
                <w:szCs w:val="20"/>
                <w:color w:val="auto"/>
              </w:rPr>
            </w:pPr>
            <w:r>
              <w:rPr>
                <w:rFonts w:ascii="Calibri" w:cs="Calibri" w:eastAsia="Calibri" w:hAnsi="Calibri"/>
                <w:sz w:val="18"/>
                <w:szCs w:val="18"/>
                <w:color w:val="auto"/>
              </w:rPr>
              <w:t>765,243</w:t>
            </w:r>
          </w:p>
        </w:tc>
        <w:tc>
          <w:tcPr>
            <w:tcW w:w="320" w:type="dxa"/>
            <w:vAlign w:val="bottom"/>
            <w:tcBorders>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color w:val="auto"/>
              </w:rPr>
              <w:t>$</w:t>
            </w:r>
          </w:p>
        </w:tc>
        <w:tc>
          <w:tcPr>
            <w:tcW w:w="94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(223,600)</w:t>
            </w:r>
          </w:p>
        </w:tc>
        <w:tc>
          <w:tcPr>
            <w:tcW w:w="60" w:type="dxa"/>
            <w:vAlign w:val="bottom"/>
          </w:tcPr>
          <w:p>
            <w:pPr>
              <w:spacing w:after="0"/>
              <w:rPr>
                <w:sz w:val="21"/>
                <w:szCs w:val="21"/>
                <w:color w:val="auto"/>
              </w:rPr>
            </w:pPr>
          </w:p>
        </w:tc>
      </w:tr>
      <w:tr>
        <w:trPr>
          <w:trHeight w:val="254"/>
        </w:trPr>
        <w:tc>
          <w:tcPr>
            <w:tcW w:w="6200" w:type="dxa"/>
            <w:vAlign w:val="bottom"/>
            <w:gridSpan w:val="2"/>
          </w:tcPr>
          <w:p>
            <w:pPr>
              <w:spacing w:after="0"/>
              <w:rPr>
                <w:sz w:val="20"/>
                <w:szCs w:val="20"/>
                <w:color w:val="auto"/>
              </w:rPr>
            </w:pPr>
            <w:r>
              <w:rPr>
                <w:rFonts w:ascii="Calibri" w:cs="Calibri" w:eastAsia="Calibri" w:hAnsi="Calibri"/>
                <w:sz w:val="18"/>
                <w:szCs w:val="18"/>
                <w:color w:val="auto"/>
              </w:rPr>
              <w:t>Increase based on Dividends or Other Earnings Paid During Year prior to Vesting</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6200" w:type="dxa"/>
            <w:vAlign w:val="bottom"/>
            <w:gridSpan w:val="2"/>
          </w:tcPr>
          <w:p>
            <w:pPr>
              <w:ind w:left="180"/>
              <w:spacing w:after="0"/>
              <w:rPr>
                <w:sz w:val="20"/>
                <w:szCs w:val="20"/>
                <w:color w:val="auto"/>
              </w:rPr>
            </w:pPr>
            <w:r>
              <w:rPr>
                <w:rFonts w:ascii="Calibri" w:cs="Calibri" w:eastAsia="Calibri" w:hAnsi="Calibri"/>
                <w:sz w:val="18"/>
                <w:szCs w:val="18"/>
                <w:color w:val="auto"/>
              </w:rPr>
              <w:t>Date of Award</w:t>
            </w:r>
          </w:p>
        </w:tc>
        <w:tc>
          <w:tcPr>
            <w:tcW w:w="2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51"/>
              <w:spacing w:after="0"/>
              <w:rPr>
                <w:sz w:val="20"/>
                <w:szCs w:val="20"/>
                <w:color w:val="auto"/>
              </w:rPr>
            </w:pPr>
            <w:r>
              <w:rPr>
                <w:rFonts w:ascii="Calibri" w:cs="Calibri" w:eastAsia="Calibri" w:hAnsi="Calibri"/>
                <w:sz w:val="18"/>
                <w:szCs w:val="18"/>
                <w:color w:val="auto"/>
              </w:rPr>
              <w:t>436,488</w:t>
            </w:r>
          </w:p>
        </w:tc>
        <w:tc>
          <w:tcPr>
            <w:tcW w:w="3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33"/>
              <w:spacing w:after="0"/>
              <w:rPr>
                <w:sz w:val="20"/>
                <w:szCs w:val="20"/>
                <w:color w:val="auto"/>
              </w:rPr>
            </w:pPr>
            <w:r>
              <w:rPr>
                <w:rFonts w:ascii="Calibri" w:cs="Calibri" w:eastAsia="Calibri" w:hAnsi="Calibri"/>
                <w:sz w:val="18"/>
                <w:szCs w:val="18"/>
                <w:color w:val="auto"/>
              </w:rPr>
              <w:t>409,008</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60"/>
              <w:spacing w:after="0"/>
              <w:rPr>
                <w:sz w:val="20"/>
                <w:szCs w:val="20"/>
                <w:color w:val="auto"/>
              </w:rPr>
            </w:pPr>
            <w:r>
              <w:rPr>
                <w:rFonts w:ascii="Calibri" w:cs="Calibri" w:eastAsia="Calibri" w:hAnsi="Calibri"/>
                <w:sz w:val="18"/>
                <w:szCs w:val="18"/>
                <w:color w:val="auto"/>
              </w:rPr>
              <w:t>371,631</w:t>
            </w:r>
          </w:p>
        </w:tc>
      </w:tr>
      <w:tr>
        <w:trPr>
          <w:trHeight w:val="26"/>
        </w:trPr>
        <w:tc>
          <w:tcPr>
            <w:tcW w:w="9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80"/>
        </w:trPr>
        <w:tc>
          <w:tcPr>
            <w:tcW w:w="6200" w:type="dxa"/>
            <w:vAlign w:val="bottom"/>
            <w:tcBorders>
              <w:bottom w:val="single" w:sz="8" w:color="D9D9D9"/>
            </w:tcBorders>
            <w:gridSpan w:val="2"/>
            <w:shd w:val="clear" w:color="auto" w:fill="D9D9D9"/>
          </w:tcPr>
          <w:p>
            <w:pPr>
              <w:spacing w:after="0"/>
              <w:rPr>
                <w:sz w:val="20"/>
                <w:szCs w:val="20"/>
                <w:color w:val="auto"/>
              </w:rPr>
            </w:pPr>
            <w:r>
              <w:rPr>
                <w:rFonts w:ascii="Calibri" w:cs="Calibri" w:eastAsia="Calibri" w:hAnsi="Calibri"/>
                <w:sz w:val="18"/>
                <w:szCs w:val="18"/>
                <w:b w:val="1"/>
                <w:bCs w:val="1"/>
                <w:color w:val="auto"/>
              </w:rPr>
              <w:t>Total Adjustments</w:t>
            </w:r>
          </w:p>
        </w:tc>
        <w:tc>
          <w:tcPr>
            <w:tcW w:w="26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b w:val="1"/>
                <w:bCs w:val="1"/>
                <w:color w:val="auto"/>
              </w:rPr>
              <w:t>$</w:t>
            </w:r>
          </w:p>
        </w:tc>
        <w:tc>
          <w:tcPr>
            <w:tcW w:w="100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b w:val="1"/>
                <w:bCs w:val="1"/>
                <w:color w:val="auto"/>
              </w:rPr>
              <w:t>(2,345,236)</w:t>
            </w:r>
          </w:p>
        </w:tc>
        <w:tc>
          <w:tcPr>
            <w:tcW w:w="300" w:type="dxa"/>
            <w:vAlign w:val="bottom"/>
            <w:tcBorders>
              <w:top w:val="single" w:sz="8" w:color="auto"/>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1060" w:type="dxa"/>
            <w:vAlign w:val="bottom"/>
            <w:tcBorders>
              <w:top w:val="single" w:sz="8" w:color="auto"/>
              <w:bottom w:val="single" w:sz="8" w:color="D9D9D9"/>
            </w:tcBorders>
            <w:shd w:val="clear" w:color="auto" w:fill="D9D9D9"/>
          </w:tcPr>
          <w:p>
            <w:pPr>
              <w:jc w:val="right"/>
              <w:ind w:right="33"/>
              <w:spacing w:after="0"/>
              <w:rPr>
                <w:sz w:val="20"/>
                <w:szCs w:val="20"/>
                <w:color w:val="auto"/>
              </w:rPr>
            </w:pPr>
            <w:r>
              <w:rPr>
                <w:rFonts w:ascii="Calibri" w:cs="Calibri" w:eastAsia="Calibri" w:hAnsi="Calibri"/>
                <w:sz w:val="18"/>
                <w:szCs w:val="18"/>
                <w:b w:val="1"/>
                <w:bCs w:val="1"/>
                <w:color w:val="auto"/>
              </w:rPr>
              <w:t>7,925,792</w:t>
            </w:r>
          </w:p>
        </w:tc>
        <w:tc>
          <w:tcPr>
            <w:tcW w:w="320" w:type="dxa"/>
            <w:vAlign w:val="bottom"/>
            <w:tcBorders>
              <w:top w:val="single" w:sz="8" w:color="auto"/>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94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b w:val="1"/>
                <w:bCs w:val="1"/>
                <w:color w:val="auto"/>
              </w:rPr>
              <w:t>(5,649,582)</w:t>
            </w:r>
          </w:p>
        </w:tc>
        <w:tc>
          <w:tcPr>
            <w:tcW w:w="60" w:type="dxa"/>
            <w:vAlign w:val="bottom"/>
          </w:tcPr>
          <w:p>
            <w:pPr>
              <w:spacing w:after="0"/>
              <w:rPr>
                <w:sz w:val="24"/>
                <w:szCs w:val="24"/>
                <w:color w:val="auto"/>
              </w:rPr>
            </w:pPr>
          </w:p>
        </w:tc>
      </w:tr>
      <w:tr>
        <w:trPr>
          <w:trHeight w:val="150"/>
        </w:trPr>
        <w:tc>
          <w:tcPr>
            <w:tcW w:w="960" w:type="dxa"/>
            <w:vAlign w:val="bottom"/>
            <w:tcBorders>
              <w:bottom w:val="single" w:sz="8" w:color="auto"/>
            </w:tcBorders>
          </w:tcPr>
          <w:p>
            <w:pPr>
              <w:spacing w:after="0"/>
              <w:rPr>
                <w:sz w:val="13"/>
                <w:szCs w:val="13"/>
                <w:color w:val="auto"/>
              </w:rPr>
            </w:pPr>
          </w:p>
        </w:tc>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55" w:lineRule="exact"/>
        <w:rPr>
          <w:sz w:val="20"/>
          <w:szCs w:val="20"/>
          <w:color w:val="auto"/>
        </w:rPr>
      </w:pPr>
    </w:p>
    <w:p>
      <w:pPr>
        <w:jc w:val="both"/>
        <w:ind w:left="360" w:right="60" w:hanging="360"/>
        <w:spacing w:after="0" w:line="226" w:lineRule="auto"/>
        <w:tabs>
          <w:tab w:leader="none" w:pos="360" w:val="left"/>
        </w:tabs>
        <w:numPr>
          <w:ilvl w:val="0"/>
          <w:numId w:val="149"/>
        </w:numPr>
        <w:rPr>
          <w:rFonts w:ascii="Arial" w:cs="Arial" w:eastAsia="Arial" w:hAnsi="Arial"/>
          <w:sz w:val="23"/>
          <w:szCs w:val="23"/>
          <w:color w:val="auto"/>
          <w:vertAlign w:val="superscript"/>
        </w:rPr>
      </w:pPr>
      <w:r>
        <w:rPr>
          <w:rFonts w:ascii="Arial" w:cs="Arial" w:eastAsia="Arial" w:hAnsi="Arial"/>
          <w:sz w:val="18"/>
          <w:szCs w:val="18"/>
          <w:color w:val="auto"/>
        </w:rPr>
        <w:t>For 2020, our other NEOs included Mr. Guglielmone and Ms. Becker. For 2021 and 2022, our other NEOs included Mr. Berkes, Mr. Guglielmone and Ms. Becker. Following are the adjustments made during each year to arrive at the average compensation actually paid to our other NEOs during each year.</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shd w:val="clear" w:color="auto" w:fill="FB1717"/>
          </w:tcPr>
          <w:p>
            <w:pPr>
              <w:spacing w:after="0"/>
              <w:rPr>
                <w:sz w:val="19"/>
                <w:szCs w:val="19"/>
                <w:color w:val="auto"/>
              </w:rPr>
            </w:pPr>
          </w:p>
        </w:tc>
        <w:tc>
          <w:tcPr>
            <w:tcW w:w="5180" w:type="dxa"/>
            <w:vAlign w:val="bottom"/>
            <w:shd w:val="clear" w:color="auto" w:fill="FB1717"/>
          </w:tcPr>
          <w:p>
            <w:pPr>
              <w:spacing w:after="0"/>
              <w:rPr>
                <w:sz w:val="19"/>
                <w:szCs w:val="19"/>
                <w:color w:val="auto"/>
              </w:rPr>
            </w:pPr>
          </w:p>
        </w:tc>
        <w:tc>
          <w:tcPr>
            <w:tcW w:w="300" w:type="dxa"/>
            <w:vAlign w:val="bottom"/>
            <w:shd w:val="clear" w:color="auto" w:fill="FB1717"/>
          </w:tcPr>
          <w:p>
            <w:pPr>
              <w:spacing w:after="0"/>
              <w:rPr>
                <w:sz w:val="19"/>
                <w:szCs w:val="19"/>
                <w:color w:val="auto"/>
              </w:rPr>
            </w:pPr>
          </w:p>
        </w:tc>
        <w:tc>
          <w:tcPr>
            <w:tcW w:w="900" w:type="dxa"/>
            <w:vAlign w:val="bottom"/>
            <w:shd w:val="clear" w:color="auto" w:fill="FB1717"/>
          </w:tcPr>
          <w:p>
            <w:pPr>
              <w:spacing w:after="0"/>
              <w:rPr>
                <w:sz w:val="19"/>
                <w:szCs w:val="19"/>
                <w:color w:val="auto"/>
              </w:rPr>
            </w:pPr>
          </w:p>
        </w:tc>
        <w:tc>
          <w:tcPr>
            <w:tcW w:w="1620" w:type="dxa"/>
            <w:vAlign w:val="bottom"/>
            <w:gridSpan w:val="2"/>
            <w:shd w:val="clear" w:color="auto" w:fill="FB1717"/>
          </w:tcPr>
          <w:p>
            <w:pPr>
              <w:jc w:val="right"/>
              <w:spacing w:after="0"/>
              <w:rPr>
                <w:sz w:val="20"/>
                <w:szCs w:val="20"/>
                <w:color w:val="auto"/>
              </w:rPr>
            </w:pPr>
            <w:r>
              <w:rPr>
                <w:rFonts w:ascii="Calibri" w:cs="Calibri" w:eastAsia="Calibri" w:hAnsi="Calibri"/>
                <w:sz w:val="16"/>
                <w:szCs w:val="16"/>
                <w:b w:val="1"/>
                <w:bCs w:val="1"/>
                <w:color w:val="FFFFFF"/>
                <w:w w:val="99"/>
              </w:rPr>
              <w:t>Average of Other NEOs</w:t>
            </w:r>
          </w:p>
        </w:tc>
        <w:tc>
          <w:tcPr>
            <w:tcW w:w="300" w:type="dxa"/>
            <w:vAlign w:val="bottom"/>
            <w:shd w:val="clear" w:color="auto" w:fill="FB1717"/>
          </w:tcPr>
          <w:p>
            <w:pPr>
              <w:spacing w:after="0"/>
              <w:rPr>
                <w:sz w:val="19"/>
                <w:szCs w:val="19"/>
                <w:color w:val="auto"/>
              </w:rPr>
            </w:pPr>
          </w:p>
        </w:tc>
        <w:tc>
          <w:tcPr>
            <w:tcW w:w="820" w:type="dxa"/>
            <w:vAlign w:val="bottom"/>
            <w:shd w:val="clear" w:color="auto" w:fill="FB1717"/>
          </w:tcPr>
          <w:p>
            <w:pPr>
              <w:spacing w:after="0"/>
              <w:rPr>
                <w:sz w:val="19"/>
                <w:szCs w:val="19"/>
                <w:color w:val="auto"/>
              </w:rPr>
            </w:pPr>
          </w:p>
        </w:tc>
        <w:tc>
          <w:tcPr>
            <w:tcW w:w="60" w:type="dxa"/>
            <w:vAlign w:val="bottom"/>
          </w:tcPr>
          <w:p>
            <w:pPr>
              <w:spacing w:after="0"/>
              <w:rPr>
                <w:sz w:val="19"/>
                <w:szCs w:val="19"/>
                <w:color w:val="auto"/>
              </w:rPr>
            </w:pPr>
          </w:p>
        </w:tc>
      </w:tr>
      <w:tr>
        <w:trPr>
          <w:trHeight w:val="272"/>
        </w:trPr>
        <w:tc>
          <w:tcPr>
            <w:tcW w:w="6140" w:type="dxa"/>
            <w:vAlign w:val="bottom"/>
            <w:tcBorders>
              <w:bottom w:val="single" w:sz="8" w:color="FB1717"/>
            </w:tcBorders>
            <w:gridSpan w:val="2"/>
            <w:shd w:val="clear" w:color="auto" w:fill="FB1717"/>
          </w:tcPr>
          <w:p>
            <w:pPr>
              <w:spacing w:after="0"/>
              <w:rPr>
                <w:sz w:val="20"/>
                <w:szCs w:val="20"/>
                <w:color w:val="auto"/>
              </w:rPr>
            </w:pPr>
            <w:r>
              <w:rPr>
                <w:rFonts w:ascii="Calibri" w:cs="Calibri" w:eastAsia="Calibri" w:hAnsi="Calibri"/>
                <w:sz w:val="16"/>
                <w:szCs w:val="16"/>
                <w:b w:val="1"/>
                <w:bCs w:val="1"/>
                <w:color w:val="FFFFFF"/>
              </w:rPr>
              <w:t>Adjustments</w:t>
            </w:r>
          </w:p>
        </w:tc>
        <w:tc>
          <w:tcPr>
            <w:tcW w:w="300" w:type="dxa"/>
            <w:vAlign w:val="bottom"/>
            <w:tcBorders>
              <w:bottom w:val="single" w:sz="8" w:color="FB1717"/>
            </w:tcBorders>
            <w:shd w:val="clear" w:color="auto" w:fill="FB1717"/>
          </w:tcPr>
          <w:p>
            <w:pPr>
              <w:spacing w:after="0"/>
              <w:rPr>
                <w:sz w:val="23"/>
                <w:szCs w:val="23"/>
                <w:color w:val="auto"/>
              </w:rPr>
            </w:pPr>
          </w:p>
        </w:tc>
        <w:tc>
          <w:tcPr>
            <w:tcW w:w="900" w:type="dxa"/>
            <w:vAlign w:val="bottom"/>
            <w:tcBorders>
              <w:bottom w:val="single" w:sz="8" w:color="FB1717"/>
            </w:tcBorders>
            <w:shd w:val="clear" w:color="auto" w:fill="FB1717"/>
          </w:tcPr>
          <w:p>
            <w:pPr>
              <w:jc w:val="right"/>
              <w:ind w:right="371"/>
              <w:spacing w:after="0"/>
              <w:rPr>
                <w:sz w:val="20"/>
                <w:szCs w:val="20"/>
                <w:color w:val="auto"/>
              </w:rPr>
            </w:pPr>
            <w:r>
              <w:rPr>
                <w:rFonts w:ascii="Calibri" w:cs="Calibri" w:eastAsia="Calibri" w:hAnsi="Calibri"/>
                <w:sz w:val="16"/>
                <w:szCs w:val="16"/>
                <w:b w:val="1"/>
                <w:bCs w:val="1"/>
                <w:color w:val="FFFFFF"/>
              </w:rPr>
              <w:t>2022</w:t>
            </w:r>
          </w:p>
        </w:tc>
        <w:tc>
          <w:tcPr>
            <w:tcW w:w="440" w:type="dxa"/>
            <w:vAlign w:val="bottom"/>
            <w:tcBorders>
              <w:bottom w:val="single" w:sz="8" w:color="FB1717"/>
            </w:tcBorders>
            <w:shd w:val="clear" w:color="auto" w:fill="FB1717"/>
          </w:tcPr>
          <w:p>
            <w:pPr>
              <w:spacing w:after="0"/>
              <w:rPr>
                <w:sz w:val="23"/>
                <w:szCs w:val="23"/>
                <w:color w:val="auto"/>
              </w:rPr>
            </w:pPr>
          </w:p>
        </w:tc>
        <w:tc>
          <w:tcPr>
            <w:tcW w:w="1180" w:type="dxa"/>
            <w:vAlign w:val="bottom"/>
            <w:tcBorders>
              <w:bottom w:val="single" w:sz="8" w:color="FB1717"/>
            </w:tcBorders>
            <w:shd w:val="clear" w:color="auto" w:fill="FB1717"/>
          </w:tcPr>
          <w:p>
            <w:pPr>
              <w:jc w:val="right"/>
              <w:ind w:right="551"/>
              <w:spacing w:after="0"/>
              <w:rPr>
                <w:sz w:val="20"/>
                <w:szCs w:val="20"/>
                <w:color w:val="auto"/>
              </w:rPr>
            </w:pPr>
            <w:r>
              <w:rPr>
                <w:rFonts w:ascii="Calibri" w:cs="Calibri" w:eastAsia="Calibri" w:hAnsi="Calibri"/>
                <w:sz w:val="16"/>
                <w:szCs w:val="16"/>
                <w:b w:val="1"/>
                <w:bCs w:val="1"/>
                <w:color w:val="FFFFFF"/>
              </w:rPr>
              <w:t>2021</w:t>
            </w:r>
          </w:p>
        </w:tc>
        <w:tc>
          <w:tcPr>
            <w:tcW w:w="300" w:type="dxa"/>
            <w:vAlign w:val="bottom"/>
            <w:tcBorders>
              <w:bottom w:val="single" w:sz="8" w:color="FB1717"/>
            </w:tcBorders>
            <w:shd w:val="clear" w:color="auto" w:fill="FB1717"/>
          </w:tcPr>
          <w:p>
            <w:pPr>
              <w:spacing w:after="0"/>
              <w:rPr>
                <w:sz w:val="23"/>
                <w:szCs w:val="23"/>
                <w:color w:val="auto"/>
              </w:rPr>
            </w:pPr>
          </w:p>
        </w:tc>
        <w:tc>
          <w:tcPr>
            <w:tcW w:w="820" w:type="dxa"/>
            <w:vAlign w:val="bottom"/>
            <w:tcBorders>
              <w:bottom w:val="single" w:sz="8" w:color="FB1717"/>
            </w:tcBorders>
            <w:shd w:val="clear" w:color="auto" w:fill="FB1717"/>
          </w:tcPr>
          <w:p>
            <w:pPr>
              <w:jc w:val="right"/>
              <w:ind w:right="271"/>
              <w:spacing w:after="0"/>
              <w:rPr>
                <w:sz w:val="20"/>
                <w:szCs w:val="20"/>
                <w:color w:val="auto"/>
              </w:rPr>
            </w:pPr>
            <w:r>
              <w:rPr>
                <w:rFonts w:ascii="Calibri" w:cs="Calibri" w:eastAsia="Calibri" w:hAnsi="Calibri"/>
                <w:sz w:val="16"/>
                <w:szCs w:val="16"/>
                <w:b w:val="1"/>
                <w:bCs w:val="1"/>
                <w:color w:val="FFFFFF"/>
              </w:rPr>
              <w:t>2020</w:t>
            </w:r>
          </w:p>
        </w:tc>
        <w:tc>
          <w:tcPr>
            <w:tcW w:w="60" w:type="dxa"/>
            <w:vAlign w:val="bottom"/>
          </w:tcPr>
          <w:p>
            <w:pPr>
              <w:spacing w:after="0"/>
              <w:rPr>
                <w:sz w:val="23"/>
                <w:szCs w:val="23"/>
                <w:color w:val="auto"/>
              </w:rPr>
            </w:pPr>
          </w:p>
        </w:tc>
      </w:tr>
      <w:tr>
        <w:trPr>
          <w:trHeight w:val="254"/>
        </w:trPr>
        <w:tc>
          <w:tcPr>
            <w:tcW w:w="6140" w:type="dxa"/>
            <w:vAlign w:val="bottom"/>
            <w:gridSpan w:val="2"/>
          </w:tcPr>
          <w:p>
            <w:pPr>
              <w:spacing w:after="0"/>
              <w:rPr>
                <w:sz w:val="20"/>
                <w:szCs w:val="20"/>
                <w:color w:val="auto"/>
              </w:rPr>
            </w:pPr>
            <w:r>
              <w:rPr>
                <w:rFonts w:ascii="Calibri" w:cs="Calibri" w:eastAsia="Calibri" w:hAnsi="Calibri"/>
                <w:sz w:val="18"/>
                <w:szCs w:val="18"/>
                <w:color w:val="auto"/>
              </w:rPr>
              <w:t>Amounts reported under “Stock Awards” in SCT</w:t>
            </w:r>
          </w:p>
        </w:tc>
        <w:tc>
          <w:tcPr>
            <w:tcW w:w="3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(941,423)</w:t>
            </w:r>
          </w:p>
        </w:tc>
        <w:tc>
          <w:tcPr>
            <w:tcW w:w="440" w:type="dxa"/>
            <w:vAlign w:val="bottom"/>
          </w:tcPr>
          <w:p>
            <w:pPr>
              <w:jc w:val="right"/>
              <w:ind w:right="111"/>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rPr>
                <w:sz w:val="20"/>
                <w:szCs w:val="20"/>
                <w:color w:val="auto"/>
              </w:rPr>
            </w:pPr>
            <w:r>
              <w:rPr>
                <w:rFonts w:ascii="Calibri" w:cs="Calibri" w:eastAsia="Calibri" w:hAnsi="Calibri"/>
                <w:sz w:val="18"/>
                <w:szCs w:val="18"/>
                <w:color w:val="auto"/>
              </w:rPr>
              <w:t>(1,903,744)</w:t>
            </w:r>
          </w:p>
        </w:tc>
        <w:tc>
          <w:tcPr>
            <w:tcW w:w="3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8"/>
                <w:szCs w:val="18"/>
                <w:color w:val="auto"/>
              </w:rPr>
              <w:t>(863,272)</w:t>
            </w:r>
          </w:p>
        </w:tc>
      </w:tr>
      <w:tr>
        <w:trPr>
          <w:trHeight w:val="46"/>
        </w:trPr>
        <w:tc>
          <w:tcPr>
            <w:tcW w:w="9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r>
      <w:tr>
        <w:trPr>
          <w:trHeight w:val="280"/>
        </w:trPr>
        <w:tc>
          <w:tcPr>
            <w:tcW w:w="6140" w:type="dxa"/>
            <w:vAlign w:val="bottom"/>
            <w:tcBorders>
              <w:bottom w:val="single" w:sz="8" w:color="D9D9D9"/>
            </w:tcBorders>
            <w:gridSpan w:val="2"/>
            <w:shd w:val="clear" w:color="auto" w:fill="D9D9D9"/>
          </w:tcPr>
          <w:p>
            <w:pPr>
              <w:spacing w:after="0"/>
              <w:rPr>
                <w:sz w:val="20"/>
                <w:szCs w:val="20"/>
                <w:color w:val="auto"/>
              </w:rPr>
            </w:pPr>
            <w:r>
              <w:rPr>
                <w:rFonts w:ascii="Calibri" w:cs="Calibri" w:eastAsia="Calibri" w:hAnsi="Calibri"/>
                <w:sz w:val="18"/>
                <w:szCs w:val="18"/>
                <w:color w:val="auto"/>
              </w:rPr>
              <w:t>Change Fair Value of Awards Granted in Year and Unvested as of Year-End</w:t>
            </w:r>
          </w:p>
        </w:tc>
        <w:tc>
          <w:tcPr>
            <w:tcW w:w="300" w:type="dxa"/>
            <w:vAlign w:val="bottom"/>
            <w:tcBorders>
              <w:bottom w:val="single" w:sz="8" w:color="D9D9D9"/>
            </w:tcBorders>
            <w:shd w:val="clear" w:color="auto" w:fill="D9D9D9"/>
          </w:tcPr>
          <w:p>
            <w:pPr>
              <w:jc w:val="right"/>
              <w:ind w:right="30"/>
              <w:spacing w:after="0"/>
              <w:rPr>
                <w:sz w:val="20"/>
                <w:szCs w:val="20"/>
                <w:color w:val="auto"/>
              </w:rPr>
            </w:pPr>
            <w:r>
              <w:rPr>
                <w:rFonts w:ascii="Calibri" w:cs="Calibri" w:eastAsia="Calibri" w:hAnsi="Calibri"/>
                <w:sz w:val="18"/>
                <w:szCs w:val="18"/>
                <w:color w:val="auto"/>
              </w:rPr>
              <w:t>$</w:t>
            </w:r>
          </w:p>
        </w:tc>
        <w:tc>
          <w:tcPr>
            <w:tcW w:w="90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752,007</w:t>
            </w:r>
          </w:p>
        </w:tc>
        <w:tc>
          <w:tcPr>
            <w:tcW w:w="440" w:type="dxa"/>
            <w:vAlign w:val="bottom"/>
            <w:tcBorders>
              <w:bottom w:val="single" w:sz="8" w:color="D9D9D9"/>
            </w:tcBorders>
            <w:shd w:val="clear" w:color="auto" w:fill="D9D9D9"/>
          </w:tcPr>
          <w:p>
            <w:pPr>
              <w:jc w:val="right"/>
              <w:ind w:right="111"/>
              <w:spacing w:after="0"/>
              <w:rPr>
                <w:sz w:val="20"/>
                <w:szCs w:val="20"/>
                <w:color w:val="auto"/>
              </w:rPr>
            </w:pPr>
            <w:r>
              <w:rPr>
                <w:rFonts w:ascii="Calibri" w:cs="Calibri" w:eastAsia="Calibri" w:hAnsi="Calibri"/>
                <w:sz w:val="18"/>
                <w:szCs w:val="18"/>
                <w:color w:val="auto"/>
              </w:rPr>
              <w:t>$</w:t>
            </w:r>
          </w:p>
        </w:tc>
        <w:tc>
          <w:tcPr>
            <w:tcW w:w="1180" w:type="dxa"/>
            <w:vAlign w:val="bottom"/>
            <w:tcBorders>
              <w:bottom w:val="single" w:sz="8" w:color="D9D9D9"/>
            </w:tcBorders>
            <w:shd w:val="clear" w:color="auto" w:fill="D9D9D9"/>
          </w:tcPr>
          <w:p>
            <w:pPr>
              <w:jc w:val="right"/>
              <w:ind w:right="31"/>
              <w:spacing w:after="0"/>
              <w:rPr>
                <w:sz w:val="20"/>
                <w:szCs w:val="20"/>
                <w:color w:val="auto"/>
              </w:rPr>
            </w:pPr>
            <w:r>
              <w:rPr>
                <w:rFonts w:ascii="Calibri" w:cs="Calibri" w:eastAsia="Calibri" w:hAnsi="Calibri"/>
                <w:sz w:val="18"/>
                <w:szCs w:val="18"/>
                <w:color w:val="auto"/>
              </w:rPr>
              <w:t>1,669,647</w:t>
            </w:r>
          </w:p>
        </w:tc>
        <w:tc>
          <w:tcPr>
            <w:tcW w:w="300" w:type="dxa"/>
            <w:vAlign w:val="bottom"/>
            <w:tcBorders>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577,369</w:t>
            </w:r>
          </w:p>
        </w:tc>
        <w:tc>
          <w:tcPr>
            <w:tcW w:w="60" w:type="dxa"/>
            <w:vAlign w:val="bottom"/>
          </w:tcPr>
          <w:p>
            <w:pPr>
              <w:spacing w:after="0"/>
              <w:rPr>
                <w:sz w:val="24"/>
                <w:szCs w:val="24"/>
                <w:color w:val="auto"/>
              </w:rPr>
            </w:pPr>
          </w:p>
        </w:tc>
      </w:tr>
      <w:tr>
        <w:trPr>
          <w:trHeight w:val="254"/>
        </w:trPr>
        <w:tc>
          <w:tcPr>
            <w:tcW w:w="6140" w:type="dxa"/>
            <w:vAlign w:val="bottom"/>
            <w:gridSpan w:val="2"/>
          </w:tcPr>
          <w:p>
            <w:pPr>
              <w:spacing w:after="0"/>
              <w:rPr>
                <w:sz w:val="20"/>
                <w:szCs w:val="20"/>
                <w:color w:val="auto"/>
              </w:rPr>
            </w:pPr>
            <w:r>
              <w:rPr>
                <w:rFonts w:ascii="Calibri" w:cs="Calibri" w:eastAsia="Calibri" w:hAnsi="Calibri"/>
                <w:sz w:val="18"/>
                <w:szCs w:val="18"/>
                <w:color w:val="auto"/>
              </w:rPr>
              <w:t>Change in Fair Value from Prior Year-End to Current Year-End of Awards Granted</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6140" w:type="dxa"/>
            <w:vAlign w:val="bottom"/>
            <w:gridSpan w:val="2"/>
          </w:tcPr>
          <w:p>
            <w:pPr>
              <w:ind w:left="180"/>
              <w:spacing w:after="0"/>
              <w:rPr>
                <w:sz w:val="20"/>
                <w:szCs w:val="20"/>
                <w:color w:val="auto"/>
              </w:rPr>
            </w:pPr>
            <w:r>
              <w:rPr>
                <w:rFonts w:ascii="Calibri" w:cs="Calibri" w:eastAsia="Calibri" w:hAnsi="Calibri"/>
                <w:sz w:val="18"/>
                <w:szCs w:val="18"/>
                <w:color w:val="auto"/>
              </w:rPr>
              <w:t>Prior to Year that were Outstanding and Unvested as of Year-End</w:t>
            </w:r>
          </w:p>
        </w:tc>
        <w:tc>
          <w:tcPr>
            <w:tcW w:w="3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(433,020)</w:t>
            </w:r>
          </w:p>
        </w:tc>
        <w:tc>
          <w:tcPr>
            <w:tcW w:w="440" w:type="dxa"/>
            <w:vAlign w:val="bottom"/>
          </w:tcPr>
          <w:p>
            <w:pPr>
              <w:jc w:val="right"/>
              <w:ind w:right="111"/>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ind w:right="31"/>
              <w:spacing w:after="0"/>
              <w:rPr>
                <w:sz w:val="20"/>
                <w:szCs w:val="20"/>
                <w:color w:val="auto"/>
              </w:rPr>
            </w:pPr>
            <w:r>
              <w:rPr>
                <w:rFonts w:ascii="Calibri" w:cs="Calibri" w:eastAsia="Calibri" w:hAnsi="Calibri"/>
                <w:sz w:val="18"/>
                <w:szCs w:val="18"/>
                <w:color w:val="auto"/>
              </w:rPr>
              <w:t>1,024,717</w:t>
            </w:r>
          </w:p>
        </w:tc>
        <w:tc>
          <w:tcPr>
            <w:tcW w:w="3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8"/>
                <w:szCs w:val="18"/>
                <w:color w:val="auto"/>
              </w:rPr>
              <w:t>(616,362)</w:t>
            </w:r>
          </w:p>
        </w:tc>
      </w:tr>
      <w:tr>
        <w:trPr>
          <w:trHeight w:val="46"/>
        </w:trPr>
        <w:tc>
          <w:tcPr>
            <w:tcW w:w="9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4"/>
        </w:trPr>
        <w:tc>
          <w:tcPr>
            <w:tcW w:w="6140" w:type="dxa"/>
            <w:vAlign w:val="bottom"/>
            <w:gridSpan w:val="2"/>
            <w:shd w:val="clear" w:color="auto" w:fill="D9D9D9"/>
          </w:tcPr>
          <w:p>
            <w:pPr>
              <w:spacing w:after="0"/>
              <w:rPr>
                <w:sz w:val="20"/>
                <w:szCs w:val="20"/>
                <w:color w:val="auto"/>
              </w:rPr>
            </w:pPr>
            <w:r>
              <w:rPr>
                <w:rFonts w:ascii="Calibri" w:cs="Calibri" w:eastAsia="Calibri" w:hAnsi="Calibri"/>
                <w:sz w:val="18"/>
                <w:szCs w:val="18"/>
                <w:color w:val="auto"/>
              </w:rPr>
              <w:t>Change in Fair Value from Prior Year-End to Vesting Date of Awards Granted</w:t>
            </w:r>
          </w:p>
        </w:tc>
        <w:tc>
          <w:tcPr>
            <w:tcW w:w="300" w:type="dxa"/>
            <w:vAlign w:val="bottom"/>
            <w:shd w:val="clear" w:color="auto" w:fill="D9D9D9"/>
          </w:tcPr>
          <w:p>
            <w:pPr>
              <w:spacing w:after="0"/>
              <w:rPr>
                <w:sz w:val="22"/>
                <w:szCs w:val="22"/>
                <w:color w:val="auto"/>
              </w:rPr>
            </w:pPr>
          </w:p>
        </w:tc>
        <w:tc>
          <w:tcPr>
            <w:tcW w:w="900" w:type="dxa"/>
            <w:vAlign w:val="bottom"/>
            <w:shd w:val="clear" w:color="auto" w:fill="D9D9D9"/>
          </w:tcPr>
          <w:p>
            <w:pPr>
              <w:spacing w:after="0"/>
              <w:rPr>
                <w:sz w:val="22"/>
                <w:szCs w:val="22"/>
                <w:color w:val="auto"/>
              </w:rPr>
            </w:pPr>
          </w:p>
        </w:tc>
        <w:tc>
          <w:tcPr>
            <w:tcW w:w="440" w:type="dxa"/>
            <w:vAlign w:val="bottom"/>
            <w:shd w:val="clear" w:color="auto" w:fill="D9D9D9"/>
          </w:tcPr>
          <w:p>
            <w:pPr>
              <w:spacing w:after="0"/>
              <w:rPr>
                <w:sz w:val="22"/>
                <w:szCs w:val="22"/>
                <w:color w:val="auto"/>
              </w:rPr>
            </w:pPr>
          </w:p>
        </w:tc>
        <w:tc>
          <w:tcPr>
            <w:tcW w:w="1180" w:type="dxa"/>
            <w:vAlign w:val="bottom"/>
            <w:shd w:val="clear" w:color="auto" w:fill="D9D9D9"/>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60" w:type="dxa"/>
            <w:vAlign w:val="bottom"/>
          </w:tcPr>
          <w:p>
            <w:pPr>
              <w:spacing w:after="0"/>
              <w:rPr>
                <w:sz w:val="22"/>
                <w:szCs w:val="22"/>
                <w:color w:val="auto"/>
              </w:rPr>
            </w:pPr>
          </w:p>
        </w:tc>
      </w:tr>
      <w:tr>
        <w:trPr>
          <w:trHeight w:val="246"/>
        </w:trPr>
        <w:tc>
          <w:tcPr>
            <w:tcW w:w="6140" w:type="dxa"/>
            <w:vAlign w:val="bottom"/>
            <w:tcBorders>
              <w:bottom w:val="single" w:sz="8" w:color="D9D9D9"/>
            </w:tcBorders>
            <w:gridSpan w:val="2"/>
            <w:shd w:val="clear" w:color="auto" w:fill="D9D9D9"/>
          </w:tcPr>
          <w:p>
            <w:pPr>
              <w:ind w:left="180"/>
              <w:spacing w:after="0"/>
              <w:rPr>
                <w:sz w:val="20"/>
                <w:szCs w:val="20"/>
                <w:color w:val="auto"/>
              </w:rPr>
            </w:pPr>
            <w:r>
              <w:rPr>
                <w:rFonts w:ascii="Calibri" w:cs="Calibri" w:eastAsia="Calibri" w:hAnsi="Calibri"/>
                <w:sz w:val="18"/>
                <w:szCs w:val="18"/>
                <w:color w:val="auto"/>
              </w:rPr>
              <w:t>Prior to Year that Vested During Year</w:t>
            </w:r>
          </w:p>
        </w:tc>
        <w:tc>
          <w:tcPr>
            <w:tcW w:w="300" w:type="dxa"/>
            <w:vAlign w:val="bottom"/>
            <w:tcBorders>
              <w:bottom w:val="single" w:sz="8" w:color="D9D9D9"/>
            </w:tcBorders>
            <w:shd w:val="clear" w:color="auto" w:fill="D9D9D9"/>
          </w:tcPr>
          <w:p>
            <w:pPr>
              <w:jc w:val="right"/>
              <w:ind w:right="30"/>
              <w:spacing w:after="0"/>
              <w:rPr>
                <w:sz w:val="20"/>
                <w:szCs w:val="20"/>
                <w:color w:val="auto"/>
              </w:rPr>
            </w:pPr>
            <w:r>
              <w:rPr>
                <w:rFonts w:ascii="Calibri" w:cs="Calibri" w:eastAsia="Calibri" w:hAnsi="Calibri"/>
                <w:sz w:val="18"/>
                <w:szCs w:val="18"/>
                <w:color w:val="auto"/>
              </w:rPr>
              <w:t>$</w:t>
            </w:r>
          </w:p>
        </w:tc>
        <w:tc>
          <w:tcPr>
            <w:tcW w:w="90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5,263</w:t>
            </w:r>
          </w:p>
        </w:tc>
        <w:tc>
          <w:tcPr>
            <w:tcW w:w="440" w:type="dxa"/>
            <w:vAlign w:val="bottom"/>
            <w:tcBorders>
              <w:bottom w:val="single" w:sz="8" w:color="D9D9D9"/>
            </w:tcBorders>
            <w:shd w:val="clear" w:color="auto" w:fill="D9D9D9"/>
          </w:tcPr>
          <w:p>
            <w:pPr>
              <w:jc w:val="right"/>
              <w:ind w:right="111"/>
              <w:spacing w:after="0"/>
              <w:rPr>
                <w:sz w:val="20"/>
                <w:szCs w:val="20"/>
                <w:color w:val="auto"/>
              </w:rPr>
            </w:pPr>
            <w:r>
              <w:rPr>
                <w:rFonts w:ascii="Calibri" w:cs="Calibri" w:eastAsia="Calibri" w:hAnsi="Calibri"/>
                <w:sz w:val="18"/>
                <w:szCs w:val="18"/>
                <w:color w:val="auto"/>
              </w:rPr>
              <w:t>$</w:t>
            </w:r>
          </w:p>
        </w:tc>
        <w:tc>
          <w:tcPr>
            <w:tcW w:w="1180" w:type="dxa"/>
            <w:vAlign w:val="bottom"/>
            <w:tcBorders>
              <w:bottom w:val="single" w:sz="8" w:color="D9D9D9"/>
            </w:tcBorders>
            <w:shd w:val="clear" w:color="auto" w:fill="D9D9D9"/>
          </w:tcPr>
          <w:p>
            <w:pPr>
              <w:jc w:val="right"/>
              <w:ind w:right="31"/>
              <w:spacing w:after="0"/>
              <w:rPr>
                <w:sz w:val="20"/>
                <w:szCs w:val="20"/>
                <w:color w:val="auto"/>
              </w:rPr>
            </w:pPr>
            <w:r>
              <w:rPr>
                <w:rFonts w:ascii="Calibri" w:cs="Calibri" w:eastAsia="Calibri" w:hAnsi="Calibri"/>
                <w:sz w:val="18"/>
                <w:szCs w:val="18"/>
                <w:color w:val="auto"/>
              </w:rPr>
              <w:t>149,658</w:t>
            </w:r>
          </w:p>
        </w:tc>
        <w:tc>
          <w:tcPr>
            <w:tcW w:w="300" w:type="dxa"/>
            <w:vAlign w:val="bottom"/>
            <w:tcBorders>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Borders>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color w:val="auto"/>
              </w:rPr>
              <w:t>(51,710)</w:t>
            </w:r>
          </w:p>
        </w:tc>
        <w:tc>
          <w:tcPr>
            <w:tcW w:w="60" w:type="dxa"/>
            <w:vAlign w:val="bottom"/>
          </w:tcPr>
          <w:p>
            <w:pPr>
              <w:spacing w:after="0"/>
              <w:rPr>
                <w:sz w:val="21"/>
                <w:szCs w:val="21"/>
                <w:color w:val="auto"/>
              </w:rPr>
            </w:pPr>
          </w:p>
        </w:tc>
      </w:tr>
      <w:tr>
        <w:trPr>
          <w:trHeight w:val="254"/>
        </w:trPr>
        <w:tc>
          <w:tcPr>
            <w:tcW w:w="6140" w:type="dxa"/>
            <w:vAlign w:val="bottom"/>
            <w:gridSpan w:val="2"/>
          </w:tcPr>
          <w:p>
            <w:pPr>
              <w:spacing w:after="0"/>
              <w:rPr>
                <w:sz w:val="20"/>
                <w:szCs w:val="20"/>
                <w:color w:val="auto"/>
              </w:rPr>
            </w:pPr>
            <w:r>
              <w:rPr>
                <w:rFonts w:ascii="Calibri" w:cs="Calibri" w:eastAsia="Calibri" w:hAnsi="Calibri"/>
                <w:sz w:val="18"/>
                <w:szCs w:val="18"/>
                <w:color w:val="auto"/>
              </w:rPr>
              <w:t>Increase based on Dividends or Other Earnings Paid During Year prior to Vesting</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6140" w:type="dxa"/>
            <w:vAlign w:val="bottom"/>
            <w:gridSpan w:val="2"/>
          </w:tcPr>
          <w:p>
            <w:pPr>
              <w:ind w:left="180"/>
              <w:spacing w:after="0"/>
              <w:rPr>
                <w:sz w:val="20"/>
                <w:szCs w:val="20"/>
                <w:color w:val="auto"/>
              </w:rPr>
            </w:pPr>
            <w:r>
              <w:rPr>
                <w:rFonts w:ascii="Calibri" w:cs="Calibri" w:eastAsia="Calibri" w:hAnsi="Calibri"/>
                <w:sz w:val="18"/>
                <w:szCs w:val="18"/>
                <w:color w:val="auto"/>
              </w:rPr>
              <w:t>Date of Award</w:t>
            </w:r>
          </w:p>
        </w:tc>
        <w:tc>
          <w:tcPr>
            <w:tcW w:w="3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108,881</w:t>
            </w:r>
          </w:p>
        </w:tc>
        <w:tc>
          <w:tcPr>
            <w:tcW w:w="440" w:type="dxa"/>
            <w:vAlign w:val="bottom"/>
          </w:tcPr>
          <w:p>
            <w:pPr>
              <w:jc w:val="right"/>
              <w:ind w:right="111"/>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ind w:right="31"/>
              <w:spacing w:after="0"/>
              <w:rPr>
                <w:sz w:val="20"/>
                <w:szCs w:val="20"/>
                <w:color w:val="auto"/>
              </w:rPr>
            </w:pPr>
            <w:r>
              <w:rPr>
                <w:rFonts w:ascii="Calibri" w:cs="Calibri" w:eastAsia="Calibri" w:hAnsi="Calibri"/>
                <w:sz w:val="18"/>
                <w:szCs w:val="18"/>
                <w:color w:val="auto"/>
              </w:rPr>
              <w:t>103,048</w:t>
            </w:r>
          </w:p>
        </w:tc>
        <w:tc>
          <w:tcPr>
            <w:tcW w:w="3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80" w:type="dxa"/>
            <w:vAlign w:val="bottom"/>
            <w:gridSpan w:val="2"/>
          </w:tcPr>
          <w:p>
            <w:pPr>
              <w:jc w:val="right"/>
              <w:ind w:right="60"/>
              <w:spacing w:after="0"/>
              <w:rPr>
                <w:sz w:val="20"/>
                <w:szCs w:val="20"/>
                <w:color w:val="auto"/>
              </w:rPr>
            </w:pPr>
            <w:r>
              <w:rPr>
                <w:rFonts w:ascii="Calibri" w:cs="Calibri" w:eastAsia="Calibri" w:hAnsi="Calibri"/>
                <w:sz w:val="18"/>
                <w:szCs w:val="18"/>
                <w:color w:val="auto"/>
              </w:rPr>
              <w:t>60,114</w:t>
            </w:r>
          </w:p>
        </w:tc>
      </w:tr>
      <w:tr>
        <w:trPr>
          <w:trHeight w:val="26"/>
        </w:trPr>
        <w:tc>
          <w:tcPr>
            <w:tcW w:w="9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80"/>
        </w:trPr>
        <w:tc>
          <w:tcPr>
            <w:tcW w:w="6140" w:type="dxa"/>
            <w:vAlign w:val="bottom"/>
            <w:tcBorders>
              <w:bottom w:val="single" w:sz="8" w:color="D9D9D9"/>
            </w:tcBorders>
            <w:gridSpan w:val="2"/>
            <w:shd w:val="clear" w:color="auto" w:fill="D9D9D9"/>
          </w:tcPr>
          <w:p>
            <w:pPr>
              <w:spacing w:after="0"/>
              <w:rPr>
                <w:sz w:val="20"/>
                <w:szCs w:val="20"/>
                <w:color w:val="auto"/>
              </w:rPr>
            </w:pPr>
            <w:r>
              <w:rPr>
                <w:rFonts w:ascii="Calibri" w:cs="Calibri" w:eastAsia="Calibri" w:hAnsi="Calibri"/>
                <w:sz w:val="18"/>
                <w:szCs w:val="18"/>
                <w:b w:val="1"/>
                <w:bCs w:val="1"/>
                <w:color w:val="auto"/>
              </w:rPr>
              <w:t>Total Adjustments</w:t>
            </w:r>
          </w:p>
        </w:tc>
        <w:tc>
          <w:tcPr>
            <w:tcW w:w="300" w:type="dxa"/>
            <w:vAlign w:val="bottom"/>
            <w:tcBorders>
              <w:top w:val="single" w:sz="8" w:color="auto"/>
              <w:bottom w:val="single" w:sz="8" w:color="D9D9D9"/>
            </w:tcBorders>
            <w:shd w:val="clear" w:color="auto" w:fill="D9D9D9"/>
          </w:tcPr>
          <w:p>
            <w:pPr>
              <w:jc w:val="right"/>
              <w:ind w:right="30"/>
              <w:spacing w:after="0"/>
              <w:rPr>
                <w:sz w:val="20"/>
                <w:szCs w:val="20"/>
                <w:color w:val="auto"/>
              </w:rPr>
            </w:pPr>
            <w:r>
              <w:rPr>
                <w:rFonts w:ascii="Calibri" w:cs="Calibri" w:eastAsia="Calibri" w:hAnsi="Calibri"/>
                <w:sz w:val="18"/>
                <w:szCs w:val="18"/>
                <w:b w:val="1"/>
                <w:bCs w:val="1"/>
                <w:color w:val="auto"/>
              </w:rPr>
              <w:t>$</w:t>
            </w:r>
          </w:p>
        </w:tc>
        <w:tc>
          <w:tcPr>
            <w:tcW w:w="90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b w:val="1"/>
                <w:bCs w:val="1"/>
                <w:color w:val="auto"/>
              </w:rPr>
              <w:t>(508,292)</w:t>
            </w:r>
          </w:p>
        </w:tc>
        <w:tc>
          <w:tcPr>
            <w:tcW w:w="440" w:type="dxa"/>
            <w:vAlign w:val="bottom"/>
            <w:tcBorders>
              <w:top w:val="single" w:sz="8" w:color="auto"/>
              <w:bottom w:val="single" w:sz="8" w:color="D9D9D9"/>
            </w:tcBorders>
            <w:shd w:val="clear" w:color="auto" w:fill="D9D9D9"/>
          </w:tcPr>
          <w:p>
            <w:pPr>
              <w:jc w:val="right"/>
              <w:ind w:right="111"/>
              <w:spacing w:after="0"/>
              <w:rPr>
                <w:sz w:val="20"/>
                <w:szCs w:val="20"/>
                <w:color w:val="auto"/>
              </w:rPr>
            </w:pPr>
            <w:r>
              <w:rPr>
                <w:rFonts w:ascii="Calibri" w:cs="Calibri" w:eastAsia="Calibri" w:hAnsi="Calibri"/>
                <w:sz w:val="18"/>
                <w:szCs w:val="18"/>
                <w:b w:val="1"/>
                <w:bCs w:val="1"/>
                <w:color w:val="auto"/>
              </w:rPr>
              <w:t>$</w:t>
            </w:r>
          </w:p>
        </w:tc>
        <w:tc>
          <w:tcPr>
            <w:tcW w:w="1180" w:type="dxa"/>
            <w:vAlign w:val="bottom"/>
            <w:tcBorders>
              <w:top w:val="single" w:sz="8" w:color="auto"/>
              <w:bottom w:val="single" w:sz="8" w:color="D9D9D9"/>
            </w:tcBorders>
            <w:shd w:val="clear" w:color="auto" w:fill="D9D9D9"/>
          </w:tcPr>
          <w:p>
            <w:pPr>
              <w:jc w:val="right"/>
              <w:ind w:right="31"/>
              <w:spacing w:after="0"/>
              <w:rPr>
                <w:sz w:val="20"/>
                <w:szCs w:val="20"/>
                <w:color w:val="auto"/>
              </w:rPr>
            </w:pPr>
            <w:r>
              <w:rPr>
                <w:rFonts w:ascii="Calibri" w:cs="Calibri" w:eastAsia="Calibri" w:hAnsi="Calibri"/>
                <w:sz w:val="18"/>
                <w:szCs w:val="18"/>
                <w:b w:val="1"/>
                <w:bCs w:val="1"/>
                <w:color w:val="auto"/>
              </w:rPr>
              <w:t>1,043,325</w:t>
            </w:r>
          </w:p>
        </w:tc>
        <w:tc>
          <w:tcPr>
            <w:tcW w:w="300" w:type="dxa"/>
            <w:vAlign w:val="bottom"/>
            <w:tcBorders>
              <w:top w:val="single" w:sz="8" w:color="auto"/>
              <w:bottom w:val="single" w:sz="8" w:color="D9D9D9"/>
            </w:tcBorders>
            <w:shd w:val="clear" w:color="auto" w:fill="D9D9D9"/>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82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Calibri" w:cs="Calibri" w:eastAsia="Calibri" w:hAnsi="Calibri"/>
                <w:sz w:val="18"/>
                <w:szCs w:val="18"/>
                <w:b w:val="1"/>
                <w:bCs w:val="1"/>
                <w:color w:val="auto"/>
              </w:rPr>
              <w:t>(893,862)</w:t>
            </w:r>
          </w:p>
        </w:tc>
        <w:tc>
          <w:tcPr>
            <w:tcW w:w="60" w:type="dxa"/>
            <w:vAlign w:val="bottom"/>
          </w:tcPr>
          <w:p>
            <w:pPr>
              <w:spacing w:after="0"/>
              <w:rPr>
                <w:sz w:val="24"/>
                <w:szCs w:val="24"/>
                <w:color w:val="auto"/>
              </w:rPr>
            </w:pPr>
          </w:p>
        </w:tc>
      </w:tr>
      <w:tr>
        <w:trPr>
          <w:trHeight w:val="150"/>
        </w:trPr>
        <w:tc>
          <w:tcPr>
            <w:tcW w:w="960" w:type="dxa"/>
            <w:vAlign w:val="bottom"/>
            <w:tcBorders>
              <w:bottom w:val="single" w:sz="8" w:color="auto"/>
            </w:tcBorders>
          </w:tcPr>
          <w:p>
            <w:pPr>
              <w:spacing w:after="0"/>
              <w:rPr>
                <w:sz w:val="13"/>
                <w:szCs w:val="13"/>
                <w:color w:val="auto"/>
              </w:rPr>
            </w:pPr>
          </w:p>
        </w:tc>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ind w:left="360" w:hanging="360"/>
        <w:spacing w:after="0" w:line="232" w:lineRule="auto"/>
        <w:tabs>
          <w:tab w:leader="none" w:pos="360" w:val="left"/>
        </w:tabs>
        <w:numPr>
          <w:ilvl w:val="0"/>
          <w:numId w:val="150"/>
        </w:numPr>
        <w:rPr>
          <w:rFonts w:ascii="Arial" w:cs="Arial" w:eastAsia="Arial" w:hAnsi="Arial"/>
          <w:sz w:val="23"/>
          <w:szCs w:val="23"/>
          <w:color w:val="auto"/>
          <w:vertAlign w:val="superscript"/>
        </w:rPr>
      </w:pPr>
      <w:r>
        <w:rPr>
          <w:rFonts w:ascii="Arial" w:cs="Arial" w:eastAsia="Arial" w:hAnsi="Arial"/>
          <w:sz w:val="18"/>
          <w:szCs w:val="18"/>
          <w:color w:val="auto"/>
        </w:rPr>
        <w:t>Peer group is the Bloomberg REIT Shopping Center Index (“BBRESHOP Index”).</w:t>
      </w:r>
    </w:p>
    <w:p>
      <w:pPr>
        <w:spacing w:after="0" w:line="55" w:lineRule="exact"/>
        <w:rPr>
          <w:rFonts w:ascii="Arial" w:cs="Arial" w:eastAsia="Arial" w:hAnsi="Arial"/>
          <w:sz w:val="23"/>
          <w:szCs w:val="23"/>
          <w:color w:val="auto"/>
          <w:vertAlign w:val="superscript"/>
        </w:rPr>
      </w:pPr>
    </w:p>
    <w:p>
      <w:pPr>
        <w:jc w:val="both"/>
        <w:ind w:left="360" w:right="60" w:hanging="360"/>
        <w:spacing w:after="0" w:line="238" w:lineRule="auto"/>
        <w:tabs>
          <w:tab w:leader="none" w:pos="360" w:val="left"/>
        </w:tabs>
        <w:numPr>
          <w:ilvl w:val="0"/>
          <w:numId w:val="150"/>
        </w:numPr>
        <w:rPr>
          <w:rFonts w:ascii="Arial" w:cs="Arial" w:eastAsia="Arial" w:hAnsi="Arial"/>
          <w:sz w:val="23"/>
          <w:szCs w:val="23"/>
          <w:color w:val="auto"/>
          <w:vertAlign w:val="superscript"/>
        </w:rPr>
      </w:pPr>
      <w:r>
        <w:rPr>
          <w:rFonts w:ascii="Arial" w:cs="Arial" w:eastAsia="Arial" w:hAnsi="Arial"/>
          <w:sz w:val="18"/>
          <w:szCs w:val="18"/>
          <w:color w:val="auto"/>
        </w:rPr>
        <w:t>The Company has identified FFO per diluted share as the most important additional financial metric used to link pay and performance. Our annual bonus program pays out based on our absolute level of FFO per diluted share achieved for the year and one-third of our long-term incentive plan pays out based on a metric tied to FFO per diluted share. FFO per diluted share is a non-GAAP financial measure of a real estate company’s operating performance and is defined by the National Association of Real Estate Investment Trusts. We consider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FFO per diluted share to net income is included as 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6400800" cy="17780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51" o:spid="_x0000_s1576" style="position:absolute;margin-left:0pt;margin-top:10.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135255</wp:posOffset>
                </wp:positionV>
                <wp:extent cx="0" cy="17780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65pt" to="0.75pt,24.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6400800" cy="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504pt,11.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135255</wp:posOffset>
                </wp:positionV>
                <wp:extent cx="0" cy="17780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65pt" to="503.25pt,24.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303530</wp:posOffset>
                </wp:positionV>
                <wp:extent cx="6400800" cy="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9pt" to="504pt,23.9pt" o:allowincell="f" strokecolor="#000000" strokeweight="1.5pt"/>
            </w:pict>
          </mc:Fallback>
        </mc:AlternateContent>
      </w:r>
    </w:p>
    <w:p>
      <w:pPr>
        <w:sectPr>
          <w:pgSz w:w="11880" w:h="15480" w:orient="portrait"/>
          <w:cols w:equalWidth="0" w:num="1">
            <w:col w:w="10140"/>
          </w:cols>
          <w:pgMar w:left="900" w:top="1272" w:right="840" w:bottom="764" w:gutter="0" w:footer="0" w:header="0"/>
        </w:sectPr>
      </w:pPr>
    </w:p>
    <w:p>
      <w:pPr>
        <w:spacing w:after="0" w:line="26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37</w:t>
      </w:r>
    </w:p>
    <w:p>
      <w:pPr>
        <w:sectPr>
          <w:pgSz w:w="11880" w:h="15480" w:orient="portrait"/>
          <w:cols w:equalWidth="0" w:num="1">
            <w:col w:w="10140"/>
          </w:cols>
          <w:pgMar w:left="900" w:top="1272" w:right="840" w:bottom="764" w:gutter="0" w:footer="0" w:header="0"/>
          <w:type w:val="continuous"/>
        </w:sectPr>
      </w:pPr>
    </w:p>
    <w:bookmarkStart w:id="157" w:name="page158"/>
    <w:bookmarkEnd w:id="157"/>
    <w:p>
      <w:pPr>
        <w:spacing w:after="0"/>
        <w:rPr>
          <w:sz w:val="20"/>
          <w:szCs w:val="20"/>
          <w:color w:val="auto"/>
        </w:rPr>
      </w:pPr>
      <w:r>
        <w:rPr>
          <w:rFonts w:ascii="Arial" w:cs="Arial" w:eastAsia="Arial" w:hAnsi="Arial"/>
          <w:sz w:val="20"/>
          <w:szCs w:val="20"/>
          <w:b w:val="1"/>
          <w:bCs w:val="1"/>
          <w:color w:val="auto"/>
        </w:rPr>
        <w:t>Relationship to Compensation Actually Paid</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following charts show the relationship of the compensation actually paid to our CEO and the average compensation actually paid to our other NEOs to the total shareholder return for the Company and for the BBRESHOP Index.</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620" w:type="dxa"/>
            <w:vAlign w:val="bottom"/>
            <w:tcBorders>
              <w:top w:val="single" w:sz="8" w:color="DAD8D3"/>
              <w:left w:val="single" w:sz="8" w:color="DAD8D3"/>
            </w:tcBorders>
          </w:tcPr>
          <w:p>
            <w:pPr>
              <w:spacing w:after="0"/>
              <w:rPr>
                <w:sz w:val="24"/>
                <w:szCs w:val="24"/>
                <w:color w:val="auto"/>
              </w:rPr>
            </w:pPr>
          </w:p>
        </w:tc>
        <w:tc>
          <w:tcPr>
            <w:tcW w:w="3920" w:type="dxa"/>
            <w:vAlign w:val="bottom"/>
            <w:tcBorders>
              <w:top w:val="single" w:sz="8" w:color="DAD8D3"/>
              <w:right w:val="single" w:sz="8" w:color="DAD8D3"/>
            </w:tcBorders>
            <w:gridSpan w:val="8"/>
          </w:tcPr>
          <w:p>
            <w:pPr>
              <w:jc w:val="center"/>
              <w:ind w:right="563"/>
              <w:spacing w:after="0"/>
              <w:rPr>
                <w:sz w:val="20"/>
                <w:szCs w:val="20"/>
                <w:color w:val="auto"/>
              </w:rPr>
            </w:pPr>
            <w:r>
              <w:rPr>
                <w:rFonts w:ascii="Calibri" w:cs="Calibri" w:eastAsia="Calibri" w:hAnsi="Calibri"/>
                <w:sz w:val="18"/>
                <w:szCs w:val="18"/>
                <w:color w:val="auto"/>
                <w:w w:val="99"/>
              </w:rPr>
              <w:t>CEO Compensa on Actually Paid v. TSR</w:t>
            </w:r>
          </w:p>
        </w:tc>
        <w:tc>
          <w:tcPr>
            <w:tcW w:w="80" w:type="dxa"/>
            <w:vAlign w:val="bottom"/>
            <w:tcBorders>
              <w:right w:val="single" w:sz="8" w:color="E2E2E2"/>
            </w:tcBorders>
          </w:tcPr>
          <w:p>
            <w:pPr>
              <w:spacing w:after="0"/>
              <w:rPr>
                <w:sz w:val="24"/>
                <w:szCs w:val="24"/>
                <w:color w:val="auto"/>
              </w:rPr>
            </w:pPr>
          </w:p>
        </w:tc>
        <w:tc>
          <w:tcPr>
            <w:tcW w:w="520" w:type="dxa"/>
            <w:vAlign w:val="bottom"/>
            <w:tcBorders>
              <w:top w:val="single" w:sz="8" w:color="E2E2E2"/>
            </w:tcBorders>
          </w:tcPr>
          <w:p>
            <w:pPr>
              <w:spacing w:after="0"/>
              <w:rPr>
                <w:sz w:val="24"/>
                <w:szCs w:val="24"/>
                <w:color w:val="auto"/>
              </w:rPr>
            </w:pPr>
          </w:p>
        </w:tc>
        <w:tc>
          <w:tcPr>
            <w:tcW w:w="4000" w:type="dxa"/>
            <w:vAlign w:val="bottom"/>
            <w:tcBorders>
              <w:top w:val="single" w:sz="8" w:color="E2E2E2"/>
              <w:right w:val="single" w:sz="8" w:color="E2E2E2"/>
            </w:tcBorders>
            <w:gridSpan w:val="8"/>
          </w:tcPr>
          <w:p>
            <w:pPr>
              <w:ind w:left="180"/>
              <w:spacing w:after="0"/>
              <w:rPr>
                <w:sz w:val="20"/>
                <w:szCs w:val="20"/>
                <w:color w:val="auto"/>
              </w:rPr>
            </w:pPr>
            <w:r>
              <w:rPr>
                <w:rFonts w:ascii="Calibri" w:cs="Calibri" w:eastAsia="Calibri" w:hAnsi="Calibri"/>
                <w:sz w:val="18"/>
                <w:szCs w:val="18"/>
                <w:color w:val="auto"/>
              </w:rPr>
              <w:t>Avg NEO Compensa on Actually Paid v. TSR</w:t>
            </w:r>
          </w:p>
        </w:tc>
        <w:tc>
          <w:tcPr>
            <w:tcW w:w="0" w:type="dxa"/>
            <w:vAlign w:val="bottom"/>
          </w:tcPr>
          <w:p>
            <w:pPr>
              <w:spacing w:after="0"/>
              <w:rPr>
                <w:sz w:val="1"/>
                <w:szCs w:val="1"/>
                <w:color w:val="auto"/>
              </w:rPr>
            </w:pPr>
          </w:p>
        </w:tc>
      </w:tr>
      <w:tr>
        <w:trPr>
          <w:trHeight w:val="147"/>
        </w:trPr>
        <w:tc>
          <w:tcPr>
            <w:tcW w:w="620" w:type="dxa"/>
            <w:vAlign w:val="bottom"/>
            <w:tcBorders>
              <w:left w:val="single" w:sz="8" w:color="DAD8D3"/>
            </w:tcBorders>
            <w:vMerge w:val="restart"/>
          </w:tcPr>
          <w:p>
            <w:pPr>
              <w:jc w:val="right"/>
              <w:ind w:right="83"/>
              <w:spacing w:after="0"/>
              <w:rPr>
                <w:sz w:val="20"/>
                <w:szCs w:val="20"/>
                <w:color w:val="auto"/>
              </w:rPr>
            </w:pPr>
            <w:r>
              <w:rPr>
                <w:rFonts w:ascii="Calibri" w:cs="Calibri" w:eastAsia="Calibri" w:hAnsi="Calibri"/>
                <w:sz w:val="11"/>
                <w:szCs w:val="11"/>
                <w:color w:val="262626"/>
              </w:rPr>
              <w:t>$14,500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tcBorders>
              <w:right w:val="single" w:sz="8" w:color="DAD8D3"/>
            </w:tcBorders>
            <w:gridSpan w:val="3"/>
            <w:vMerge w:val="restart"/>
          </w:tcPr>
          <w:p>
            <w:pPr>
              <w:ind w:left="1600"/>
              <w:spacing w:after="0"/>
              <w:rPr>
                <w:sz w:val="20"/>
                <w:szCs w:val="20"/>
                <w:color w:val="auto"/>
              </w:rPr>
            </w:pPr>
            <w:r>
              <w:rPr>
                <w:rFonts w:ascii="Calibri" w:cs="Calibri" w:eastAsia="Calibri" w:hAnsi="Calibri"/>
                <w:sz w:val="11"/>
                <w:szCs w:val="11"/>
                <w:color w:val="262626"/>
              </w:rPr>
              <w:t>40%</w:t>
            </w:r>
          </w:p>
        </w:tc>
        <w:tc>
          <w:tcPr>
            <w:tcW w:w="80" w:type="dxa"/>
            <w:vAlign w:val="bottom"/>
            <w:tcBorders>
              <w:right w:val="single" w:sz="8" w:color="E2E2E2"/>
            </w:tcBorders>
            <w:vMerge w:val="restart"/>
          </w:tcPr>
          <w:p>
            <w:pPr>
              <w:spacing w:after="0"/>
              <w:rPr>
                <w:sz w:val="12"/>
                <w:szCs w:val="12"/>
                <w:color w:val="auto"/>
              </w:rPr>
            </w:pPr>
          </w:p>
        </w:tc>
        <w:tc>
          <w:tcPr>
            <w:tcW w:w="52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$4,000</w:t>
            </w:r>
          </w:p>
        </w:tc>
        <w:tc>
          <w:tcPr>
            <w:tcW w:w="340" w:type="dxa"/>
            <w:vAlign w:val="bottom"/>
            <w:tcBorders>
              <w:bottom w:val="single" w:sz="8" w:color="E2E2E2"/>
            </w:tcBorders>
          </w:tcPr>
          <w:p>
            <w:pPr>
              <w:spacing w:after="0"/>
              <w:rPr>
                <w:sz w:val="12"/>
                <w:szCs w:val="12"/>
                <w:color w:val="auto"/>
              </w:rPr>
            </w:pPr>
          </w:p>
        </w:tc>
        <w:tc>
          <w:tcPr>
            <w:tcW w:w="240" w:type="dxa"/>
            <w:vAlign w:val="bottom"/>
            <w:tcBorders>
              <w:bottom w:val="single" w:sz="8" w:color="E2E2E2"/>
            </w:tcBorders>
          </w:tcPr>
          <w:p>
            <w:pPr>
              <w:spacing w:after="0"/>
              <w:rPr>
                <w:sz w:val="12"/>
                <w:szCs w:val="12"/>
                <w:color w:val="auto"/>
              </w:rPr>
            </w:pPr>
          </w:p>
        </w:tc>
        <w:tc>
          <w:tcPr>
            <w:tcW w:w="820" w:type="dxa"/>
            <w:vAlign w:val="bottom"/>
            <w:tcBorders>
              <w:bottom w:val="single" w:sz="8" w:color="E2E2E2"/>
            </w:tcBorders>
          </w:tcPr>
          <w:p>
            <w:pPr>
              <w:spacing w:after="0"/>
              <w:rPr>
                <w:sz w:val="12"/>
                <w:szCs w:val="12"/>
                <w:color w:val="auto"/>
              </w:rPr>
            </w:pPr>
          </w:p>
        </w:tc>
        <w:tc>
          <w:tcPr>
            <w:tcW w:w="240" w:type="dxa"/>
            <w:vAlign w:val="bottom"/>
            <w:tcBorders>
              <w:bottom w:val="single" w:sz="8" w:color="E2E2E2"/>
            </w:tcBorders>
          </w:tcPr>
          <w:p>
            <w:pPr>
              <w:spacing w:after="0"/>
              <w:rPr>
                <w:sz w:val="12"/>
                <w:szCs w:val="12"/>
                <w:color w:val="auto"/>
              </w:rPr>
            </w:pPr>
          </w:p>
        </w:tc>
        <w:tc>
          <w:tcPr>
            <w:tcW w:w="560" w:type="dxa"/>
            <w:vAlign w:val="bottom"/>
            <w:tcBorders>
              <w:bottom w:val="single" w:sz="8" w:color="E2E2E2"/>
            </w:tcBorders>
          </w:tcPr>
          <w:p>
            <w:pPr>
              <w:spacing w:after="0"/>
              <w:rPr>
                <w:sz w:val="12"/>
                <w:szCs w:val="12"/>
                <w:color w:val="auto"/>
              </w:rPr>
            </w:pPr>
          </w:p>
        </w:tc>
        <w:tc>
          <w:tcPr>
            <w:tcW w:w="240" w:type="dxa"/>
            <w:vAlign w:val="bottom"/>
            <w:tcBorders>
              <w:bottom w:val="single" w:sz="8" w:color="E2E2E2"/>
            </w:tcBorders>
          </w:tcPr>
          <w:p>
            <w:pPr>
              <w:spacing w:after="0"/>
              <w:rPr>
                <w:sz w:val="12"/>
                <w:szCs w:val="12"/>
                <w:color w:val="auto"/>
              </w:rPr>
            </w:pPr>
          </w:p>
        </w:tc>
        <w:tc>
          <w:tcPr>
            <w:tcW w:w="1120" w:type="dxa"/>
            <w:vAlign w:val="bottom"/>
            <w:tcBorders>
              <w:bottom w:val="single" w:sz="8" w:color="E2E2E2"/>
            </w:tcBorders>
          </w:tcPr>
          <w:p>
            <w:pPr>
              <w:spacing w:after="0"/>
              <w:rPr>
                <w:sz w:val="12"/>
                <w:szCs w:val="12"/>
                <w:color w:val="auto"/>
              </w:rPr>
            </w:pPr>
          </w:p>
        </w:tc>
        <w:tc>
          <w:tcPr>
            <w:tcW w:w="440" w:type="dxa"/>
            <w:vAlign w:val="bottom"/>
            <w:tcBorders>
              <w:right w:val="single" w:sz="8" w:color="E2E2E2"/>
            </w:tcBorders>
            <w:vMerge w:val="restart"/>
          </w:tcPr>
          <w:p>
            <w:pPr>
              <w:ind w:left="120"/>
              <w:spacing w:after="0"/>
              <w:rPr>
                <w:sz w:val="20"/>
                <w:szCs w:val="20"/>
                <w:color w:val="auto"/>
              </w:rPr>
            </w:pPr>
            <w:r>
              <w:rPr>
                <w:rFonts w:ascii="Calibri" w:cs="Calibri" w:eastAsia="Calibri" w:hAnsi="Calibri"/>
                <w:sz w:val="11"/>
                <w:szCs w:val="11"/>
                <w:color w:val="262626"/>
              </w:rPr>
              <w:t>30%</w:t>
            </w:r>
          </w:p>
        </w:tc>
        <w:tc>
          <w:tcPr>
            <w:tcW w:w="0" w:type="dxa"/>
            <w:vAlign w:val="bottom"/>
          </w:tcPr>
          <w:p>
            <w:pPr>
              <w:spacing w:after="0"/>
              <w:rPr>
                <w:sz w:val="1"/>
                <w:szCs w:val="1"/>
                <w:color w:val="auto"/>
              </w:rPr>
            </w:pPr>
          </w:p>
        </w:tc>
      </w:tr>
      <w:tr>
        <w:trPr>
          <w:trHeight w:val="50"/>
        </w:trPr>
        <w:tc>
          <w:tcPr>
            <w:tcW w:w="620" w:type="dxa"/>
            <w:vAlign w:val="bottom"/>
            <w:tcBorders>
              <w:left w:val="single" w:sz="8" w:color="DAD8D3"/>
            </w:tcBorders>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20" w:type="dxa"/>
            <w:vAlign w:val="bottom"/>
            <w:tcBorders>
              <w:right w:val="single" w:sz="8" w:color="DAD8D3"/>
            </w:tcBorders>
            <w:gridSpan w:val="3"/>
            <w:vMerge w:val="continue"/>
          </w:tcPr>
          <w:p>
            <w:pPr>
              <w:spacing w:after="0"/>
              <w:rPr>
                <w:sz w:val="4"/>
                <w:szCs w:val="4"/>
                <w:color w:val="auto"/>
              </w:rPr>
            </w:pPr>
          </w:p>
        </w:tc>
        <w:tc>
          <w:tcPr>
            <w:tcW w:w="80" w:type="dxa"/>
            <w:vAlign w:val="bottom"/>
            <w:tcBorders>
              <w:right w:val="single" w:sz="8" w:color="E2E2E2"/>
            </w:tcBorders>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DAD8D3"/>
            </w:tcBorders>
            <w:vMerge w:val="continue"/>
          </w:tcPr>
          <w:p>
            <w:pPr>
              <w:spacing w:after="0"/>
              <w:rPr>
                <w:sz w:val="9"/>
                <w:szCs w:val="9"/>
                <w:color w:val="auto"/>
              </w:rPr>
            </w:pPr>
          </w:p>
        </w:tc>
        <w:tc>
          <w:tcPr>
            <w:tcW w:w="40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58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54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1260" w:type="dxa"/>
            <w:vAlign w:val="bottom"/>
            <w:tcBorders>
              <w:bottom w:val="single" w:sz="8" w:color="E2E2E2"/>
            </w:tcBorders>
          </w:tcPr>
          <w:p>
            <w:pPr>
              <w:spacing w:after="0"/>
              <w:rPr>
                <w:sz w:val="9"/>
                <w:szCs w:val="9"/>
                <w:color w:val="auto"/>
              </w:rPr>
            </w:pPr>
          </w:p>
        </w:tc>
        <w:tc>
          <w:tcPr>
            <w:tcW w:w="420" w:type="dxa"/>
            <w:vAlign w:val="bottom"/>
            <w:tcBorders>
              <w:right w:val="single" w:sz="8" w:color="DAD8D3"/>
            </w:tcBorders>
          </w:tcPr>
          <w:p>
            <w:pPr>
              <w:spacing w:after="0"/>
              <w:rPr>
                <w:sz w:val="9"/>
                <w:szCs w:val="9"/>
                <w:color w:val="auto"/>
              </w:rPr>
            </w:pPr>
          </w:p>
        </w:tc>
        <w:tc>
          <w:tcPr>
            <w:tcW w:w="80" w:type="dxa"/>
            <w:vAlign w:val="bottom"/>
            <w:tcBorders>
              <w:right w:val="single" w:sz="8" w:color="E2E2E2"/>
            </w:tcBorders>
          </w:tcPr>
          <w:p>
            <w:pPr>
              <w:spacing w:after="0"/>
              <w:rPr>
                <w:sz w:val="9"/>
                <w:szCs w:val="9"/>
                <w:color w:val="auto"/>
              </w:rPr>
            </w:pPr>
          </w:p>
        </w:tc>
        <w:tc>
          <w:tcPr>
            <w:tcW w:w="52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$3,500</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Borders>
              <w:right w:val="single" w:sz="8" w:color="E2E2E2"/>
            </w:tcBorders>
            <w:vMerge w:val="restart"/>
          </w:tcPr>
          <w:p>
            <w:pPr>
              <w:ind w:left="120"/>
              <w:spacing w:after="0"/>
              <w:rPr>
                <w:sz w:val="20"/>
                <w:szCs w:val="20"/>
                <w:color w:val="auto"/>
              </w:rPr>
            </w:pPr>
            <w:r>
              <w:rPr>
                <w:rFonts w:ascii="Calibri" w:cs="Calibri" w:eastAsia="Calibri" w:hAnsi="Calibri"/>
                <w:sz w:val="11"/>
                <w:szCs w:val="11"/>
                <w:color w:val="262626"/>
              </w:rPr>
              <w:t>20%</w:t>
            </w:r>
          </w:p>
        </w:tc>
        <w:tc>
          <w:tcPr>
            <w:tcW w:w="0" w:type="dxa"/>
            <w:vAlign w:val="bottom"/>
          </w:tcPr>
          <w:p>
            <w:pPr>
              <w:spacing w:after="0"/>
              <w:rPr>
                <w:sz w:val="1"/>
                <w:szCs w:val="1"/>
                <w:color w:val="auto"/>
              </w:rPr>
            </w:pPr>
          </w:p>
        </w:tc>
      </w:tr>
      <w:tr>
        <w:trPr>
          <w:trHeight w:val="41"/>
        </w:trPr>
        <w:tc>
          <w:tcPr>
            <w:tcW w:w="620" w:type="dxa"/>
            <w:vAlign w:val="bottom"/>
            <w:tcBorders>
              <w:left w:val="single" w:sz="8" w:color="DAD8D3"/>
            </w:tcBorders>
            <w:vMerge w:val="continue"/>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Borders>
              <w:right w:val="single" w:sz="8" w:color="DAD8D3"/>
            </w:tcBorders>
          </w:tcPr>
          <w:p>
            <w:pPr>
              <w:spacing w:after="0"/>
              <w:rPr>
                <w:sz w:val="3"/>
                <w:szCs w:val="3"/>
                <w:color w:val="auto"/>
              </w:rPr>
            </w:pPr>
          </w:p>
        </w:tc>
        <w:tc>
          <w:tcPr>
            <w:tcW w:w="80" w:type="dxa"/>
            <w:vAlign w:val="bottom"/>
            <w:tcBorders>
              <w:right w:val="single" w:sz="8" w:color="E2E2E2"/>
            </w:tcBorders>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82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56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1120" w:type="dxa"/>
            <w:vAlign w:val="bottom"/>
            <w:tcBorders>
              <w:bottom w:val="single" w:sz="8" w:color="E2E2E2"/>
            </w:tcBorders>
          </w:tcPr>
          <w:p>
            <w:pPr>
              <w:spacing w:after="0"/>
              <w:rPr>
                <w:sz w:val="3"/>
                <w:szCs w:val="3"/>
                <w:color w:val="auto"/>
              </w:rPr>
            </w:pPr>
          </w:p>
        </w:tc>
        <w:tc>
          <w:tcPr>
            <w:tcW w:w="440" w:type="dxa"/>
            <w:vAlign w:val="bottom"/>
            <w:tcBorders>
              <w:right w:val="single" w:sz="8" w:color="E2E2E2"/>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DAD8D3"/>
            </w:tcBorders>
            <w:vMerge w:val="restart"/>
          </w:tcPr>
          <w:p>
            <w:pPr>
              <w:jc w:val="right"/>
              <w:ind w:right="83"/>
              <w:spacing w:after="0"/>
              <w:rPr>
                <w:sz w:val="20"/>
                <w:szCs w:val="20"/>
                <w:color w:val="auto"/>
              </w:rPr>
            </w:pPr>
            <w:r>
              <w:rPr>
                <w:rFonts w:ascii="Calibri" w:cs="Calibri" w:eastAsia="Calibri" w:hAnsi="Calibri"/>
                <w:sz w:val="11"/>
                <w:szCs w:val="11"/>
                <w:color w:val="262626"/>
              </w:rPr>
              <w:t>$12,000</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right w:val="single" w:sz="8" w:color="DAD8D3"/>
            </w:tcBorders>
          </w:tcPr>
          <w:p>
            <w:pPr>
              <w:spacing w:after="0"/>
              <w:rPr>
                <w:sz w:val="4"/>
                <w:szCs w:val="4"/>
                <w:color w:val="auto"/>
              </w:rPr>
            </w:pPr>
          </w:p>
        </w:tc>
        <w:tc>
          <w:tcPr>
            <w:tcW w:w="80" w:type="dxa"/>
            <w:vAlign w:val="bottom"/>
            <w:tcBorders>
              <w:right w:val="single" w:sz="8" w:color="E2E2E2"/>
            </w:tcBorders>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620" w:type="dxa"/>
            <w:vAlign w:val="bottom"/>
            <w:tcBorders>
              <w:left w:val="single" w:sz="8" w:color="DAD8D3"/>
            </w:tcBorders>
            <w:vMerge w:val="continue"/>
          </w:tcPr>
          <w:p>
            <w:pPr>
              <w:spacing w:after="0"/>
              <w:rPr>
                <w:sz w:val="19"/>
                <w:szCs w:val="19"/>
                <w:color w:val="auto"/>
              </w:rPr>
            </w:pPr>
          </w:p>
        </w:tc>
        <w:tc>
          <w:tcPr>
            <w:tcW w:w="40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58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54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1260" w:type="dxa"/>
            <w:vAlign w:val="bottom"/>
            <w:tcBorders>
              <w:bottom w:val="single" w:sz="8" w:color="E2E2E2"/>
            </w:tcBorders>
          </w:tcPr>
          <w:p>
            <w:pPr>
              <w:spacing w:after="0"/>
              <w:rPr>
                <w:sz w:val="19"/>
                <w:szCs w:val="19"/>
                <w:color w:val="auto"/>
              </w:rPr>
            </w:pPr>
          </w:p>
        </w:tc>
        <w:tc>
          <w:tcPr>
            <w:tcW w:w="420" w:type="dxa"/>
            <w:vAlign w:val="bottom"/>
            <w:tcBorders>
              <w:right w:val="single" w:sz="8" w:color="DAD8D3"/>
            </w:tcBorders>
          </w:tcPr>
          <w:p>
            <w:pPr>
              <w:spacing w:after="0"/>
              <w:rPr>
                <w:sz w:val="19"/>
                <w:szCs w:val="19"/>
                <w:color w:val="auto"/>
              </w:rPr>
            </w:pPr>
          </w:p>
        </w:tc>
        <w:tc>
          <w:tcPr>
            <w:tcW w:w="80" w:type="dxa"/>
            <w:vAlign w:val="bottom"/>
            <w:tcBorders>
              <w:right w:val="single" w:sz="8" w:color="E2E2E2"/>
            </w:tcBorders>
          </w:tcPr>
          <w:p>
            <w:pPr>
              <w:spacing w:after="0"/>
              <w:rPr>
                <w:sz w:val="19"/>
                <w:szCs w:val="19"/>
                <w:color w:val="auto"/>
              </w:rPr>
            </w:pPr>
          </w:p>
        </w:tc>
        <w:tc>
          <w:tcPr>
            <w:tcW w:w="520" w:type="dxa"/>
            <w:vAlign w:val="bottom"/>
          </w:tcPr>
          <w:p>
            <w:pPr>
              <w:jc w:val="right"/>
              <w:ind w:right="63"/>
              <w:spacing w:after="0"/>
              <w:rPr>
                <w:sz w:val="20"/>
                <w:szCs w:val="20"/>
                <w:color w:val="auto"/>
              </w:rPr>
            </w:pPr>
            <w:r>
              <w:rPr>
                <w:rFonts w:ascii="Calibri" w:cs="Calibri" w:eastAsia="Calibri" w:hAnsi="Calibri"/>
                <w:sz w:val="11"/>
                <w:szCs w:val="11"/>
                <w:color w:val="262626"/>
              </w:rPr>
              <w:t>$3,000</w:t>
            </w:r>
          </w:p>
        </w:tc>
        <w:tc>
          <w:tcPr>
            <w:tcW w:w="34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82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56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1120" w:type="dxa"/>
            <w:vAlign w:val="bottom"/>
            <w:tcBorders>
              <w:bottom w:val="single" w:sz="8" w:color="E2E2E2"/>
            </w:tcBorders>
          </w:tcPr>
          <w:p>
            <w:pPr>
              <w:spacing w:after="0"/>
              <w:rPr>
                <w:sz w:val="19"/>
                <w:szCs w:val="19"/>
                <w:color w:val="auto"/>
              </w:rPr>
            </w:pPr>
          </w:p>
        </w:tc>
        <w:tc>
          <w:tcPr>
            <w:tcW w:w="440" w:type="dxa"/>
            <w:vAlign w:val="bottom"/>
            <w:tcBorders>
              <w:right w:val="single" w:sz="8" w:color="E2E2E2"/>
            </w:tcBorders>
          </w:tcPr>
          <w:p>
            <w:pPr>
              <w:ind w:left="120"/>
              <w:spacing w:after="0"/>
              <w:rPr>
                <w:sz w:val="20"/>
                <w:szCs w:val="20"/>
                <w:color w:val="auto"/>
              </w:rPr>
            </w:pPr>
            <w:r>
              <w:rPr>
                <w:rFonts w:ascii="Calibri" w:cs="Calibri" w:eastAsia="Calibri" w:hAnsi="Calibri"/>
                <w:sz w:val="11"/>
                <w:szCs w:val="11"/>
                <w:color w:val="262626"/>
              </w:rPr>
              <w:t>10%</w:t>
            </w:r>
          </w:p>
        </w:tc>
        <w:tc>
          <w:tcPr>
            <w:tcW w:w="0" w:type="dxa"/>
            <w:vAlign w:val="bottom"/>
          </w:tcPr>
          <w:p>
            <w:pPr>
              <w:spacing w:after="0"/>
              <w:rPr>
                <w:sz w:val="1"/>
                <w:szCs w:val="1"/>
                <w:color w:val="auto"/>
              </w:rPr>
            </w:pPr>
          </w:p>
        </w:tc>
      </w:tr>
      <w:tr>
        <w:trPr>
          <w:trHeight w:val="86"/>
        </w:trPr>
        <w:tc>
          <w:tcPr>
            <w:tcW w:w="620" w:type="dxa"/>
            <w:vAlign w:val="bottom"/>
            <w:tcBorders>
              <w:left w:val="single" w:sz="8" w:color="DAD8D3"/>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920" w:type="dxa"/>
            <w:vAlign w:val="bottom"/>
            <w:tcBorders>
              <w:right w:val="single" w:sz="8" w:color="DAD8D3"/>
            </w:tcBorders>
            <w:gridSpan w:val="3"/>
          </w:tcPr>
          <w:p>
            <w:pPr>
              <w:ind w:left="1600"/>
              <w:spacing w:after="0" w:line="86" w:lineRule="exact"/>
              <w:rPr>
                <w:sz w:val="20"/>
                <w:szCs w:val="20"/>
                <w:color w:val="auto"/>
              </w:rPr>
            </w:pPr>
            <w:r>
              <w:rPr>
                <w:rFonts w:ascii="Calibri" w:cs="Calibri" w:eastAsia="Calibri" w:hAnsi="Calibri"/>
                <w:sz w:val="9"/>
                <w:szCs w:val="9"/>
                <w:color w:val="262626"/>
              </w:rPr>
              <w:t>10%</w:t>
            </w:r>
          </w:p>
        </w:tc>
        <w:tc>
          <w:tcPr>
            <w:tcW w:w="80" w:type="dxa"/>
            <w:vAlign w:val="bottom"/>
            <w:tcBorders>
              <w:right w:val="single" w:sz="8" w:color="E2E2E2"/>
            </w:tcBorders>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Borders>
              <w:right w:val="single" w:sz="8" w:color="E2E2E2"/>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20" w:type="dxa"/>
            <w:vAlign w:val="bottom"/>
            <w:tcBorders>
              <w:left w:val="single" w:sz="8" w:color="DAD8D3"/>
            </w:tcBorders>
            <w:vMerge w:val="restart"/>
          </w:tcPr>
          <w:p>
            <w:pPr>
              <w:jc w:val="right"/>
              <w:ind w:right="83"/>
              <w:spacing w:after="0"/>
              <w:rPr>
                <w:sz w:val="20"/>
                <w:szCs w:val="20"/>
                <w:color w:val="auto"/>
              </w:rPr>
            </w:pPr>
            <w:r>
              <w:rPr>
                <w:rFonts w:ascii="Calibri" w:cs="Calibri" w:eastAsia="Calibri" w:hAnsi="Calibri"/>
                <w:sz w:val="11"/>
                <w:szCs w:val="11"/>
                <w:color w:val="262626"/>
              </w:rPr>
              <w:t>$9,500</w:t>
            </w: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20" w:type="dxa"/>
            <w:vAlign w:val="bottom"/>
            <w:tcBorders>
              <w:right w:val="single" w:sz="8" w:color="DAD8D3"/>
            </w:tcBorders>
          </w:tcPr>
          <w:p>
            <w:pPr>
              <w:spacing w:after="0"/>
              <w:rPr>
                <w:sz w:val="7"/>
                <w:szCs w:val="7"/>
                <w:color w:val="auto"/>
              </w:rPr>
            </w:pPr>
          </w:p>
        </w:tc>
        <w:tc>
          <w:tcPr>
            <w:tcW w:w="80" w:type="dxa"/>
            <w:vAlign w:val="bottom"/>
            <w:tcBorders>
              <w:right w:val="single" w:sz="8" w:color="E2E2E2"/>
            </w:tcBorders>
            <w:vMerge w:val="restart"/>
          </w:tcPr>
          <w:p>
            <w:pPr>
              <w:spacing w:after="0"/>
              <w:rPr>
                <w:sz w:val="7"/>
                <w:szCs w:val="7"/>
                <w:color w:val="auto"/>
              </w:rPr>
            </w:pPr>
          </w:p>
        </w:tc>
        <w:tc>
          <w:tcPr>
            <w:tcW w:w="52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$2,500</w:t>
            </w:r>
          </w:p>
        </w:tc>
        <w:tc>
          <w:tcPr>
            <w:tcW w:w="340" w:type="dxa"/>
            <w:vAlign w:val="bottom"/>
            <w:tcBorders>
              <w:bottom w:val="single" w:sz="8" w:color="E2E2E2"/>
            </w:tcBorders>
          </w:tcPr>
          <w:p>
            <w:pPr>
              <w:spacing w:after="0"/>
              <w:rPr>
                <w:sz w:val="7"/>
                <w:szCs w:val="7"/>
                <w:color w:val="auto"/>
              </w:rPr>
            </w:pPr>
          </w:p>
        </w:tc>
        <w:tc>
          <w:tcPr>
            <w:tcW w:w="240" w:type="dxa"/>
            <w:vAlign w:val="bottom"/>
            <w:tcBorders>
              <w:bottom w:val="single" w:sz="8" w:color="E2E2E2"/>
            </w:tcBorders>
          </w:tcPr>
          <w:p>
            <w:pPr>
              <w:spacing w:after="0"/>
              <w:rPr>
                <w:sz w:val="7"/>
                <w:szCs w:val="7"/>
                <w:color w:val="auto"/>
              </w:rPr>
            </w:pPr>
          </w:p>
        </w:tc>
        <w:tc>
          <w:tcPr>
            <w:tcW w:w="820" w:type="dxa"/>
            <w:vAlign w:val="bottom"/>
            <w:tcBorders>
              <w:bottom w:val="single" w:sz="8" w:color="E2E2E2"/>
            </w:tcBorders>
          </w:tcPr>
          <w:p>
            <w:pPr>
              <w:spacing w:after="0"/>
              <w:rPr>
                <w:sz w:val="7"/>
                <w:szCs w:val="7"/>
                <w:color w:val="auto"/>
              </w:rPr>
            </w:pPr>
          </w:p>
        </w:tc>
        <w:tc>
          <w:tcPr>
            <w:tcW w:w="240" w:type="dxa"/>
            <w:vAlign w:val="bottom"/>
            <w:tcBorders>
              <w:bottom w:val="single" w:sz="8" w:color="E2E2E2"/>
            </w:tcBorders>
          </w:tcPr>
          <w:p>
            <w:pPr>
              <w:spacing w:after="0"/>
              <w:rPr>
                <w:sz w:val="7"/>
                <w:szCs w:val="7"/>
                <w:color w:val="auto"/>
              </w:rPr>
            </w:pPr>
          </w:p>
        </w:tc>
        <w:tc>
          <w:tcPr>
            <w:tcW w:w="560" w:type="dxa"/>
            <w:vAlign w:val="bottom"/>
            <w:tcBorders>
              <w:bottom w:val="single" w:sz="8" w:color="E2E2E2"/>
            </w:tcBorders>
          </w:tcPr>
          <w:p>
            <w:pPr>
              <w:spacing w:after="0"/>
              <w:rPr>
                <w:sz w:val="7"/>
                <w:szCs w:val="7"/>
                <w:color w:val="auto"/>
              </w:rPr>
            </w:pPr>
          </w:p>
        </w:tc>
        <w:tc>
          <w:tcPr>
            <w:tcW w:w="240" w:type="dxa"/>
            <w:vAlign w:val="bottom"/>
            <w:tcBorders>
              <w:bottom w:val="single" w:sz="8" w:color="E2E2E2"/>
            </w:tcBorders>
          </w:tcPr>
          <w:p>
            <w:pPr>
              <w:spacing w:after="0"/>
              <w:rPr>
                <w:sz w:val="7"/>
                <w:szCs w:val="7"/>
                <w:color w:val="auto"/>
              </w:rPr>
            </w:pPr>
          </w:p>
        </w:tc>
        <w:tc>
          <w:tcPr>
            <w:tcW w:w="1120" w:type="dxa"/>
            <w:vAlign w:val="bottom"/>
            <w:tcBorders>
              <w:bottom w:val="single" w:sz="8" w:color="E2E2E2"/>
            </w:tcBorders>
          </w:tcPr>
          <w:p>
            <w:pPr>
              <w:spacing w:after="0"/>
              <w:rPr>
                <w:sz w:val="7"/>
                <w:szCs w:val="7"/>
                <w:color w:val="auto"/>
              </w:rPr>
            </w:pPr>
          </w:p>
        </w:tc>
        <w:tc>
          <w:tcPr>
            <w:tcW w:w="440" w:type="dxa"/>
            <w:vAlign w:val="bottom"/>
            <w:tcBorders>
              <w:right w:val="single" w:sz="8" w:color="E2E2E2"/>
            </w:tcBorders>
            <w:vMerge w:val="restart"/>
          </w:tcPr>
          <w:p>
            <w:pPr>
              <w:ind w:left="120"/>
              <w:spacing w:after="0"/>
              <w:rPr>
                <w:sz w:val="20"/>
                <w:szCs w:val="20"/>
                <w:color w:val="auto"/>
              </w:rPr>
            </w:pPr>
            <w:r>
              <w:rPr>
                <w:rFonts w:ascii="Calibri" w:cs="Calibri" w:eastAsia="Calibri" w:hAnsi="Calibri"/>
                <w:sz w:val="11"/>
                <w:szCs w:val="11"/>
                <w:color w:val="262626"/>
              </w:rPr>
              <w:t>0%</w:t>
            </w:r>
          </w:p>
        </w:tc>
        <w:tc>
          <w:tcPr>
            <w:tcW w:w="0" w:type="dxa"/>
            <w:vAlign w:val="bottom"/>
          </w:tcPr>
          <w:p>
            <w:pPr>
              <w:spacing w:after="0"/>
              <w:rPr>
                <w:sz w:val="1"/>
                <w:szCs w:val="1"/>
                <w:color w:val="auto"/>
              </w:rPr>
            </w:pPr>
          </w:p>
        </w:tc>
      </w:tr>
      <w:tr>
        <w:trPr>
          <w:trHeight w:val="39"/>
        </w:trPr>
        <w:tc>
          <w:tcPr>
            <w:tcW w:w="620" w:type="dxa"/>
            <w:vAlign w:val="bottom"/>
            <w:tcBorders>
              <w:left w:val="single" w:sz="8" w:color="DAD8D3"/>
            </w:tcBorders>
            <w:vMerge w:val="continue"/>
          </w:tcPr>
          <w:p>
            <w:pPr>
              <w:spacing w:after="0"/>
              <w:rPr>
                <w:sz w:val="3"/>
                <w:szCs w:val="3"/>
                <w:color w:val="auto"/>
              </w:rPr>
            </w:pPr>
          </w:p>
        </w:tc>
        <w:tc>
          <w:tcPr>
            <w:tcW w:w="40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58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54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1260" w:type="dxa"/>
            <w:vAlign w:val="bottom"/>
            <w:tcBorders>
              <w:bottom w:val="single" w:sz="8" w:color="E2E2E2"/>
            </w:tcBorders>
          </w:tcPr>
          <w:p>
            <w:pPr>
              <w:spacing w:after="0"/>
              <w:rPr>
                <w:sz w:val="3"/>
                <w:szCs w:val="3"/>
                <w:color w:val="auto"/>
              </w:rPr>
            </w:pPr>
          </w:p>
        </w:tc>
        <w:tc>
          <w:tcPr>
            <w:tcW w:w="420" w:type="dxa"/>
            <w:vAlign w:val="bottom"/>
            <w:tcBorders>
              <w:right w:val="single" w:sz="8" w:color="DAD8D3"/>
            </w:tcBorders>
          </w:tcPr>
          <w:p>
            <w:pPr>
              <w:spacing w:after="0"/>
              <w:rPr>
                <w:sz w:val="3"/>
                <w:szCs w:val="3"/>
                <w:color w:val="auto"/>
              </w:rPr>
            </w:pPr>
          </w:p>
        </w:tc>
        <w:tc>
          <w:tcPr>
            <w:tcW w:w="80" w:type="dxa"/>
            <w:vAlign w:val="bottom"/>
            <w:tcBorders>
              <w:right w:val="single" w:sz="8" w:color="E2E2E2"/>
            </w:tcBorders>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right w:val="single" w:sz="8" w:color="E2E2E2"/>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DAD8D3"/>
            </w:tcBorders>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right w:val="single" w:sz="8" w:color="DAD8D3"/>
            </w:tcBorders>
          </w:tcPr>
          <w:p>
            <w:pPr>
              <w:spacing w:after="0"/>
              <w:rPr>
                <w:sz w:val="4"/>
                <w:szCs w:val="4"/>
                <w:color w:val="auto"/>
              </w:rPr>
            </w:pPr>
          </w:p>
        </w:tc>
        <w:tc>
          <w:tcPr>
            <w:tcW w:w="80" w:type="dxa"/>
            <w:vAlign w:val="bottom"/>
            <w:tcBorders>
              <w:right w:val="single" w:sz="8" w:color="E2E2E2"/>
            </w:tcBorders>
          </w:tcPr>
          <w:p>
            <w:pPr>
              <w:spacing w:after="0"/>
              <w:rPr>
                <w:sz w:val="4"/>
                <w:szCs w:val="4"/>
                <w:color w:val="auto"/>
              </w:rPr>
            </w:pPr>
          </w:p>
        </w:tc>
        <w:tc>
          <w:tcPr>
            <w:tcW w:w="52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$2,000</w:t>
            </w: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vMerge w:val="restart"/>
          </w:tcPr>
          <w:p>
            <w:pPr>
              <w:ind w:left="120"/>
              <w:spacing w:after="0"/>
              <w:rPr>
                <w:sz w:val="20"/>
                <w:szCs w:val="20"/>
                <w:color w:val="auto"/>
              </w:rPr>
            </w:pPr>
            <w:r>
              <w:rPr>
                <w:rFonts w:ascii="Calibri" w:cs="Calibri" w:eastAsia="Calibri" w:hAnsi="Calibri"/>
                <w:sz w:val="11"/>
                <w:szCs w:val="11"/>
                <w:color w:val="262626"/>
              </w:rPr>
              <w:t>-10%</w:t>
            </w:r>
          </w:p>
        </w:tc>
        <w:tc>
          <w:tcPr>
            <w:tcW w:w="0" w:type="dxa"/>
            <w:vAlign w:val="bottom"/>
          </w:tcPr>
          <w:p>
            <w:pPr>
              <w:spacing w:after="0"/>
              <w:rPr>
                <w:sz w:val="1"/>
                <w:szCs w:val="1"/>
                <w:color w:val="auto"/>
              </w:rPr>
            </w:pPr>
          </w:p>
        </w:tc>
      </w:tr>
      <w:tr>
        <w:trPr>
          <w:trHeight w:val="109"/>
        </w:trPr>
        <w:tc>
          <w:tcPr>
            <w:tcW w:w="620" w:type="dxa"/>
            <w:vAlign w:val="bottom"/>
            <w:tcBorders>
              <w:left w:val="single" w:sz="8" w:color="DAD8D3"/>
            </w:tcBorders>
            <w:vMerge w:val="restart"/>
          </w:tcPr>
          <w:p>
            <w:pPr>
              <w:jc w:val="right"/>
              <w:ind w:right="83"/>
              <w:spacing w:after="0"/>
              <w:rPr>
                <w:sz w:val="20"/>
                <w:szCs w:val="20"/>
                <w:color w:val="auto"/>
              </w:rPr>
            </w:pPr>
            <w:r>
              <w:rPr>
                <w:rFonts w:ascii="Calibri" w:cs="Calibri" w:eastAsia="Calibri" w:hAnsi="Calibri"/>
                <w:sz w:val="11"/>
                <w:szCs w:val="11"/>
                <w:color w:val="262626"/>
              </w:rPr>
              <w:t>$7,000</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Borders>
              <w:right w:val="single" w:sz="8" w:color="DAD8D3"/>
            </w:tcBorders>
          </w:tcPr>
          <w:p>
            <w:pPr>
              <w:spacing w:after="0"/>
              <w:rPr>
                <w:sz w:val="9"/>
                <w:szCs w:val="9"/>
                <w:color w:val="auto"/>
              </w:rPr>
            </w:pPr>
          </w:p>
        </w:tc>
        <w:tc>
          <w:tcPr>
            <w:tcW w:w="80" w:type="dxa"/>
            <w:vAlign w:val="bottom"/>
            <w:tcBorders>
              <w:right w:val="single" w:sz="8" w:color="E2E2E2"/>
            </w:tcBorders>
            <w:vMerge w:val="restart"/>
          </w:tcPr>
          <w:p>
            <w:pPr>
              <w:spacing w:after="0"/>
              <w:rPr>
                <w:sz w:val="9"/>
                <w:szCs w:val="9"/>
                <w:color w:val="auto"/>
              </w:rPr>
            </w:pPr>
          </w:p>
        </w:tc>
        <w:tc>
          <w:tcPr>
            <w:tcW w:w="520" w:type="dxa"/>
            <w:vAlign w:val="bottom"/>
            <w:vMerge w:val="continue"/>
          </w:tcPr>
          <w:p>
            <w:pPr>
              <w:spacing w:after="0"/>
              <w:rPr>
                <w:sz w:val="9"/>
                <w:szCs w:val="9"/>
                <w:color w:val="auto"/>
              </w:rPr>
            </w:pPr>
          </w:p>
        </w:tc>
        <w:tc>
          <w:tcPr>
            <w:tcW w:w="34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82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56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1120" w:type="dxa"/>
            <w:vAlign w:val="bottom"/>
            <w:tcBorders>
              <w:bottom w:val="single" w:sz="8" w:color="E2E2E2"/>
            </w:tcBorders>
          </w:tcPr>
          <w:p>
            <w:pPr>
              <w:spacing w:after="0"/>
              <w:rPr>
                <w:sz w:val="9"/>
                <w:szCs w:val="9"/>
                <w:color w:val="auto"/>
              </w:rPr>
            </w:pPr>
          </w:p>
        </w:tc>
        <w:tc>
          <w:tcPr>
            <w:tcW w:w="440" w:type="dxa"/>
            <w:vAlign w:val="bottom"/>
            <w:tcBorders>
              <w:right w:val="single" w:sz="8" w:color="E2E2E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620" w:type="dxa"/>
            <w:vAlign w:val="bottom"/>
            <w:tcBorders>
              <w:left w:val="single" w:sz="8" w:color="DAD8D3"/>
            </w:tcBorders>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right w:val="single" w:sz="8" w:color="DAD8D3"/>
            </w:tcBorders>
          </w:tcPr>
          <w:p>
            <w:pPr>
              <w:spacing w:after="0"/>
              <w:rPr>
                <w:sz w:val="4"/>
                <w:szCs w:val="4"/>
                <w:color w:val="auto"/>
              </w:rPr>
            </w:pPr>
          </w:p>
        </w:tc>
        <w:tc>
          <w:tcPr>
            <w:tcW w:w="80" w:type="dxa"/>
            <w:vAlign w:val="bottom"/>
            <w:tcBorders>
              <w:right w:val="single" w:sz="8" w:color="E2E2E2"/>
            </w:tcBorders>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DAD8D3"/>
            </w:tcBorders>
            <w:vMerge w:val="continue"/>
          </w:tcPr>
          <w:p>
            <w:pPr>
              <w:spacing w:after="0"/>
              <w:rPr>
                <w:sz w:val="4"/>
                <w:szCs w:val="4"/>
                <w:color w:val="auto"/>
              </w:rPr>
            </w:pPr>
          </w:p>
        </w:tc>
        <w:tc>
          <w:tcPr>
            <w:tcW w:w="400" w:type="dxa"/>
            <w:vAlign w:val="bottom"/>
            <w:tcBorders>
              <w:bottom w:val="single" w:sz="8" w:color="E2E2E2"/>
            </w:tcBorders>
          </w:tcPr>
          <w:p>
            <w:pPr>
              <w:spacing w:after="0"/>
              <w:rPr>
                <w:sz w:val="4"/>
                <w:szCs w:val="4"/>
                <w:color w:val="auto"/>
              </w:rPr>
            </w:pPr>
          </w:p>
        </w:tc>
        <w:tc>
          <w:tcPr>
            <w:tcW w:w="240" w:type="dxa"/>
            <w:vAlign w:val="bottom"/>
            <w:tcBorders>
              <w:bottom w:val="single" w:sz="8" w:color="E2E2E2"/>
            </w:tcBorders>
          </w:tcPr>
          <w:p>
            <w:pPr>
              <w:spacing w:after="0"/>
              <w:rPr>
                <w:sz w:val="4"/>
                <w:szCs w:val="4"/>
                <w:color w:val="auto"/>
              </w:rPr>
            </w:pPr>
          </w:p>
        </w:tc>
        <w:tc>
          <w:tcPr>
            <w:tcW w:w="580" w:type="dxa"/>
            <w:vAlign w:val="bottom"/>
            <w:tcBorders>
              <w:bottom w:val="single" w:sz="8" w:color="E2E2E2"/>
            </w:tcBorders>
          </w:tcPr>
          <w:p>
            <w:pPr>
              <w:spacing w:after="0"/>
              <w:rPr>
                <w:sz w:val="4"/>
                <w:szCs w:val="4"/>
                <w:color w:val="auto"/>
              </w:rPr>
            </w:pPr>
          </w:p>
        </w:tc>
        <w:tc>
          <w:tcPr>
            <w:tcW w:w="240" w:type="dxa"/>
            <w:vAlign w:val="bottom"/>
            <w:tcBorders>
              <w:bottom w:val="single" w:sz="8" w:color="E2E2E2"/>
            </w:tcBorders>
          </w:tcPr>
          <w:p>
            <w:pPr>
              <w:spacing w:after="0"/>
              <w:rPr>
                <w:sz w:val="4"/>
                <w:szCs w:val="4"/>
                <w:color w:val="auto"/>
              </w:rPr>
            </w:pPr>
          </w:p>
        </w:tc>
        <w:tc>
          <w:tcPr>
            <w:tcW w:w="540" w:type="dxa"/>
            <w:vAlign w:val="bottom"/>
            <w:tcBorders>
              <w:bottom w:val="single" w:sz="8" w:color="E2E2E2"/>
            </w:tcBorders>
          </w:tcPr>
          <w:p>
            <w:pPr>
              <w:spacing w:after="0"/>
              <w:rPr>
                <w:sz w:val="4"/>
                <w:szCs w:val="4"/>
                <w:color w:val="auto"/>
              </w:rPr>
            </w:pPr>
          </w:p>
        </w:tc>
        <w:tc>
          <w:tcPr>
            <w:tcW w:w="240" w:type="dxa"/>
            <w:vAlign w:val="bottom"/>
            <w:tcBorders>
              <w:bottom w:val="single" w:sz="8" w:color="E2E2E2"/>
            </w:tcBorders>
          </w:tcPr>
          <w:p>
            <w:pPr>
              <w:spacing w:after="0"/>
              <w:rPr>
                <w:sz w:val="4"/>
                <w:szCs w:val="4"/>
                <w:color w:val="auto"/>
              </w:rPr>
            </w:pPr>
          </w:p>
        </w:tc>
        <w:tc>
          <w:tcPr>
            <w:tcW w:w="1260" w:type="dxa"/>
            <w:vAlign w:val="bottom"/>
            <w:tcBorders>
              <w:bottom w:val="single" w:sz="8" w:color="E2E2E2"/>
            </w:tcBorders>
          </w:tcPr>
          <w:p>
            <w:pPr>
              <w:spacing w:after="0"/>
              <w:rPr>
                <w:sz w:val="4"/>
                <w:szCs w:val="4"/>
                <w:color w:val="auto"/>
              </w:rPr>
            </w:pPr>
          </w:p>
        </w:tc>
        <w:tc>
          <w:tcPr>
            <w:tcW w:w="420" w:type="dxa"/>
            <w:vAlign w:val="bottom"/>
            <w:tcBorders>
              <w:right w:val="single" w:sz="8" w:color="DAD8D3"/>
            </w:tcBorders>
          </w:tcPr>
          <w:p>
            <w:pPr>
              <w:spacing w:after="0"/>
              <w:rPr>
                <w:sz w:val="4"/>
                <w:szCs w:val="4"/>
                <w:color w:val="auto"/>
              </w:rPr>
            </w:pPr>
          </w:p>
        </w:tc>
        <w:tc>
          <w:tcPr>
            <w:tcW w:w="80" w:type="dxa"/>
            <w:vAlign w:val="bottom"/>
            <w:tcBorders>
              <w:right w:val="single" w:sz="8" w:color="E2E2E2"/>
            </w:tcBorders>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DAD8D3"/>
            </w:tcBorders>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20" w:type="dxa"/>
            <w:vAlign w:val="bottom"/>
            <w:tcBorders>
              <w:right w:val="single" w:sz="8" w:color="DAD8D3"/>
            </w:tcBorders>
            <w:gridSpan w:val="3"/>
            <w:vMerge w:val="restart"/>
          </w:tcPr>
          <w:p>
            <w:pPr>
              <w:ind w:left="1600"/>
              <w:spacing w:after="0" w:line="100" w:lineRule="exact"/>
              <w:rPr>
                <w:sz w:val="20"/>
                <w:szCs w:val="20"/>
                <w:color w:val="auto"/>
              </w:rPr>
            </w:pPr>
            <w:r>
              <w:rPr>
                <w:rFonts w:ascii="Calibri" w:cs="Calibri" w:eastAsia="Calibri" w:hAnsi="Calibri"/>
                <w:sz w:val="10"/>
                <w:szCs w:val="10"/>
                <w:color w:val="262626"/>
              </w:rPr>
              <w:t>-20%</w:t>
            </w:r>
          </w:p>
        </w:tc>
        <w:tc>
          <w:tcPr>
            <w:tcW w:w="80" w:type="dxa"/>
            <w:vAlign w:val="bottom"/>
            <w:tcBorders>
              <w:right w:val="single" w:sz="8" w:color="E2E2E2"/>
            </w:tcBorders>
          </w:tcPr>
          <w:p>
            <w:pPr>
              <w:spacing w:after="0"/>
              <w:rPr>
                <w:sz w:val="4"/>
                <w:szCs w:val="4"/>
                <w:color w:val="auto"/>
              </w:rPr>
            </w:pPr>
          </w:p>
        </w:tc>
        <w:tc>
          <w:tcPr>
            <w:tcW w:w="52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$1,500</w:t>
            </w: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vMerge w:val="restart"/>
          </w:tcPr>
          <w:p>
            <w:pPr>
              <w:ind w:left="120"/>
              <w:spacing w:after="0"/>
              <w:rPr>
                <w:sz w:val="20"/>
                <w:szCs w:val="20"/>
                <w:color w:val="auto"/>
              </w:rPr>
            </w:pPr>
            <w:r>
              <w:rPr>
                <w:rFonts w:ascii="Calibri" w:cs="Calibri" w:eastAsia="Calibri" w:hAnsi="Calibri"/>
                <w:sz w:val="11"/>
                <w:szCs w:val="11"/>
                <w:color w:val="262626"/>
              </w:rPr>
              <w:t>-20%</w:t>
            </w:r>
          </w:p>
        </w:tc>
        <w:tc>
          <w:tcPr>
            <w:tcW w:w="0" w:type="dxa"/>
            <w:vAlign w:val="bottom"/>
          </w:tcPr>
          <w:p>
            <w:pPr>
              <w:spacing w:after="0"/>
              <w:rPr>
                <w:sz w:val="1"/>
                <w:szCs w:val="1"/>
                <w:color w:val="auto"/>
              </w:rPr>
            </w:pPr>
          </w:p>
        </w:tc>
      </w:tr>
      <w:tr>
        <w:trPr>
          <w:trHeight w:val="49"/>
        </w:trPr>
        <w:tc>
          <w:tcPr>
            <w:tcW w:w="620" w:type="dxa"/>
            <w:vAlign w:val="bottom"/>
            <w:tcBorders>
              <w:left w:val="single" w:sz="8" w:color="DAD8D3"/>
            </w:tcBorders>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20" w:type="dxa"/>
            <w:vAlign w:val="bottom"/>
            <w:tcBorders>
              <w:right w:val="single" w:sz="8" w:color="DAD8D3"/>
            </w:tcBorders>
            <w:gridSpan w:val="3"/>
            <w:vMerge w:val="continue"/>
          </w:tcPr>
          <w:p>
            <w:pPr>
              <w:spacing w:after="0"/>
              <w:rPr>
                <w:sz w:val="4"/>
                <w:szCs w:val="4"/>
                <w:color w:val="auto"/>
              </w:rPr>
            </w:pPr>
          </w:p>
        </w:tc>
        <w:tc>
          <w:tcPr>
            <w:tcW w:w="80" w:type="dxa"/>
            <w:vAlign w:val="bottom"/>
            <w:tcBorders>
              <w:right w:val="single" w:sz="8" w:color="E2E2E2"/>
            </w:tcBorders>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Borders>
              <w:bottom w:val="single" w:sz="8" w:color="E2E2E2"/>
            </w:tcBorders>
          </w:tcPr>
          <w:p>
            <w:pPr>
              <w:spacing w:after="0"/>
              <w:rPr>
                <w:sz w:val="4"/>
                <w:szCs w:val="4"/>
                <w:color w:val="auto"/>
              </w:rPr>
            </w:pPr>
          </w:p>
        </w:tc>
        <w:tc>
          <w:tcPr>
            <w:tcW w:w="240" w:type="dxa"/>
            <w:vAlign w:val="bottom"/>
            <w:tcBorders>
              <w:bottom w:val="single" w:sz="8" w:color="E2E2E2"/>
            </w:tcBorders>
          </w:tcPr>
          <w:p>
            <w:pPr>
              <w:spacing w:after="0"/>
              <w:rPr>
                <w:sz w:val="4"/>
                <w:szCs w:val="4"/>
                <w:color w:val="auto"/>
              </w:rPr>
            </w:pPr>
          </w:p>
        </w:tc>
        <w:tc>
          <w:tcPr>
            <w:tcW w:w="820" w:type="dxa"/>
            <w:vAlign w:val="bottom"/>
            <w:tcBorders>
              <w:bottom w:val="single" w:sz="8" w:color="E2E2E2"/>
            </w:tcBorders>
          </w:tcPr>
          <w:p>
            <w:pPr>
              <w:spacing w:after="0"/>
              <w:rPr>
                <w:sz w:val="4"/>
                <w:szCs w:val="4"/>
                <w:color w:val="auto"/>
              </w:rPr>
            </w:pPr>
          </w:p>
        </w:tc>
        <w:tc>
          <w:tcPr>
            <w:tcW w:w="240" w:type="dxa"/>
            <w:vAlign w:val="bottom"/>
            <w:tcBorders>
              <w:bottom w:val="single" w:sz="8" w:color="E2E2E2"/>
            </w:tcBorders>
          </w:tcPr>
          <w:p>
            <w:pPr>
              <w:spacing w:after="0"/>
              <w:rPr>
                <w:sz w:val="4"/>
                <w:szCs w:val="4"/>
                <w:color w:val="auto"/>
              </w:rPr>
            </w:pPr>
          </w:p>
        </w:tc>
        <w:tc>
          <w:tcPr>
            <w:tcW w:w="560" w:type="dxa"/>
            <w:vAlign w:val="bottom"/>
            <w:tcBorders>
              <w:bottom w:val="single" w:sz="8" w:color="E2E2E2"/>
            </w:tcBorders>
          </w:tcPr>
          <w:p>
            <w:pPr>
              <w:spacing w:after="0"/>
              <w:rPr>
                <w:sz w:val="4"/>
                <w:szCs w:val="4"/>
                <w:color w:val="auto"/>
              </w:rPr>
            </w:pPr>
          </w:p>
        </w:tc>
        <w:tc>
          <w:tcPr>
            <w:tcW w:w="240" w:type="dxa"/>
            <w:vAlign w:val="bottom"/>
            <w:tcBorders>
              <w:bottom w:val="single" w:sz="8" w:color="E2E2E2"/>
            </w:tcBorders>
          </w:tcPr>
          <w:p>
            <w:pPr>
              <w:spacing w:after="0"/>
              <w:rPr>
                <w:sz w:val="4"/>
                <w:szCs w:val="4"/>
                <w:color w:val="auto"/>
              </w:rPr>
            </w:pPr>
          </w:p>
        </w:tc>
        <w:tc>
          <w:tcPr>
            <w:tcW w:w="1120" w:type="dxa"/>
            <w:vAlign w:val="bottom"/>
            <w:tcBorders>
              <w:bottom w:val="single" w:sz="8" w:color="E2E2E2"/>
            </w:tcBorders>
          </w:tcPr>
          <w:p>
            <w:pPr>
              <w:spacing w:after="0"/>
              <w:rPr>
                <w:sz w:val="4"/>
                <w:szCs w:val="4"/>
                <w:color w:val="auto"/>
              </w:rPr>
            </w:pPr>
          </w:p>
        </w:tc>
        <w:tc>
          <w:tcPr>
            <w:tcW w:w="440" w:type="dxa"/>
            <w:vAlign w:val="bottom"/>
            <w:tcBorders>
              <w:right w:val="single" w:sz="8" w:color="E2E2E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20" w:type="dxa"/>
            <w:vAlign w:val="bottom"/>
            <w:tcBorders>
              <w:left w:val="single" w:sz="8" w:color="DAD8D3"/>
            </w:tcBorders>
            <w:vMerge w:val="restart"/>
          </w:tcPr>
          <w:p>
            <w:pPr>
              <w:jc w:val="right"/>
              <w:ind w:right="83"/>
              <w:spacing w:after="0"/>
              <w:rPr>
                <w:sz w:val="20"/>
                <w:szCs w:val="20"/>
                <w:color w:val="auto"/>
              </w:rPr>
            </w:pPr>
            <w:r>
              <w:rPr>
                <w:rFonts w:ascii="Calibri" w:cs="Calibri" w:eastAsia="Calibri" w:hAnsi="Calibri"/>
                <w:sz w:val="11"/>
                <w:szCs w:val="11"/>
                <w:color w:val="262626"/>
              </w:rPr>
              <w:t>$4,500</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right w:val="single" w:sz="8" w:color="DAD8D3"/>
            </w:tcBorders>
          </w:tcPr>
          <w:p>
            <w:pPr>
              <w:spacing w:after="0"/>
              <w:rPr>
                <w:sz w:val="4"/>
                <w:szCs w:val="4"/>
                <w:color w:val="auto"/>
              </w:rPr>
            </w:pPr>
          </w:p>
        </w:tc>
        <w:tc>
          <w:tcPr>
            <w:tcW w:w="80" w:type="dxa"/>
            <w:vAlign w:val="bottom"/>
            <w:tcBorders>
              <w:right w:val="single" w:sz="8" w:color="E2E2E2"/>
            </w:tcBorders>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620" w:type="dxa"/>
            <w:vAlign w:val="bottom"/>
            <w:tcBorders>
              <w:left w:val="single" w:sz="8" w:color="DAD8D3"/>
            </w:tcBorders>
            <w:vMerge w:val="continue"/>
          </w:tcPr>
          <w:p>
            <w:pPr>
              <w:spacing w:after="0"/>
              <w:rPr>
                <w:sz w:val="9"/>
                <w:szCs w:val="9"/>
                <w:color w:val="auto"/>
              </w:rPr>
            </w:pPr>
          </w:p>
        </w:tc>
        <w:tc>
          <w:tcPr>
            <w:tcW w:w="40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58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54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1260" w:type="dxa"/>
            <w:vAlign w:val="bottom"/>
            <w:tcBorders>
              <w:bottom w:val="single" w:sz="8" w:color="E2E2E2"/>
            </w:tcBorders>
          </w:tcPr>
          <w:p>
            <w:pPr>
              <w:spacing w:after="0"/>
              <w:rPr>
                <w:sz w:val="9"/>
                <w:szCs w:val="9"/>
                <w:color w:val="auto"/>
              </w:rPr>
            </w:pPr>
          </w:p>
        </w:tc>
        <w:tc>
          <w:tcPr>
            <w:tcW w:w="420" w:type="dxa"/>
            <w:vAlign w:val="bottom"/>
            <w:tcBorders>
              <w:right w:val="single" w:sz="8" w:color="DAD8D3"/>
            </w:tcBorders>
          </w:tcPr>
          <w:p>
            <w:pPr>
              <w:spacing w:after="0"/>
              <w:rPr>
                <w:sz w:val="9"/>
                <w:szCs w:val="9"/>
                <w:color w:val="auto"/>
              </w:rPr>
            </w:pPr>
          </w:p>
        </w:tc>
        <w:tc>
          <w:tcPr>
            <w:tcW w:w="80" w:type="dxa"/>
            <w:vAlign w:val="bottom"/>
            <w:tcBorders>
              <w:right w:val="single" w:sz="8" w:color="E2E2E2"/>
            </w:tcBorders>
          </w:tcPr>
          <w:p>
            <w:pPr>
              <w:spacing w:after="0"/>
              <w:rPr>
                <w:sz w:val="9"/>
                <w:szCs w:val="9"/>
                <w:color w:val="auto"/>
              </w:rPr>
            </w:pPr>
          </w:p>
        </w:tc>
        <w:tc>
          <w:tcPr>
            <w:tcW w:w="52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$1,000</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Borders>
              <w:right w:val="single" w:sz="8" w:color="E2E2E2"/>
            </w:tcBorders>
            <w:vMerge w:val="restart"/>
          </w:tcPr>
          <w:p>
            <w:pPr>
              <w:ind w:left="120"/>
              <w:spacing w:after="0"/>
              <w:rPr>
                <w:sz w:val="20"/>
                <w:szCs w:val="20"/>
                <w:color w:val="auto"/>
              </w:rPr>
            </w:pPr>
            <w:r>
              <w:rPr>
                <w:rFonts w:ascii="Calibri" w:cs="Calibri" w:eastAsia="Calibri" w:hAnsi="Calibri"/>
                <w:sz w:val="11"/>
                <w:szCs w:val="11"/>
                <w:color w:val="262626"/>
              </w:rPr>
              <w:t>-30%</w:t>
            </w:r>
          </w:p>
        </w:tc>
        <w:tc>
          <w:tcPr>
            <w:tcW w:w="0" w:type="dxa"/>
            <w:vAlign w:val="bottom"/>
          </w:tcPr>
          <w:p>
            <w:pPr>
              <w:spacing w:after="0"/>
              <w:rPr>
                <w:sz w:val="1"/>
                <w:szCs w:val="1"/>
                <w:color w:val="auto"/>
              </w:rPr>
            </w:pPr>
          </w:p>
        </w:tc>
      </w:tr>
      <w:tr>
        <w:trPr>
          <w:trHeight w:val="40"/>
        </w:trPr>
        <w:tc>
          <w:tcPr>
            <w:tcW w:w="620" w:type="dxa"/>
            <w:vAlign w:val="bottom"/>
            <w:tcBorders>
              <w:left w:val="single" w:sz="8" w:color="DAD8D3"/>
            </w:tcBorders>
            <w:vMerge w:val="continue"/>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Borders>
              <w:right w:val="single" w:sz="8" w:color="DAD8D3"/>
            </w:tcBorders>
          </w:tcPr>
          <w:p>
            <w:pPr>
              <w:spacing w:after="0"/>
              <w:rPr>
                <w:sz w:val="3"/>
                <w:szCs w:val="3"/>
                <w:color w:val="auto"/>
              </w:rPr>
            </w:pPr>
          </w:p>
        </w:tc>
        <w:tc>
          <w:tcPr>
            <w:tcW w:w="80" w:type="dxa"/>
            <w:vAlign w:val="bottom"/>
            <w:tcBorders>
              <w:right w:val="single" w:sz="8" w:color="E2E2E2"/>
            </w:tcBorders>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82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560" w:type="dxa"/>
            <w:vAlign w:val="bottom"/>
            <w:tcBorders>
              <w:bottom w:val="single" w:sz="8" w:color="E2E2E2"/>
            </w:tcBorders>
          </w:tcPr>
          <w:p>
            <w:pPr>
              <w:spacing w:after="0"/>
              <w:rPr>
                <w:sz w:val="3"/>
                <w:szCs w:val="3"/>
                <w:color w:val="auto"/>
              </w:rPr>
            </w:pPr>
          </w:p>
        </w:tc>
        <w:tc>
          <w:tcPr>
            <w:tcW w:w="240" w:type="dxa"/>
            <w:vAlign w:val="bottom"/>
            <w:tcBorders>
              <w:bottom w:val="single" w:sz="8" w:color="E2E2E2"/>
            </w:tcBorders>
          </w:tcPr>
          <w:p>
            <w:pPr>
              <w:spacing w:after="0"/>
              <w:rPr>
                <w:sz w:val="3"/>
                <w:szCs w:val="3"/>
                <w:color w:val="auto"/>
              </w:rPr>
            </w:pPr>
          </w:p>
        </w:tc>
        <w:tc>
          <w:tcPr>
            <w:tcW w:w="1120" w:type="dxa"/>
            <w:vAlign w:val="bottom"/>
            <w:tcBorders>
              <w:bottom w:val="single" w:sz="8" w:color="E2E2E2"/>
            </w:tcBorders>
          </w:tcPr>
          <w:p>
            <w:pPr>
              <w:spacing w:after="0"/>
              <w:rPr>
                <w:sz w:val="3"/>
                <w:szCs w:val="3"/>
                <w:color w:val="auto"/>
              </w:rPr>
            </w:pPr>
          </w:p>
        </w:tc>
        <w:tc>
          <w:tcPr>
            <w:tcW w:w="440" w:type="dxa"/>
            <w:vAlign w:val="bottom"/>
            <w:tcBorders>
              <w:right w:val="single" w:sz="8" w:color="E2E2E2"/>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20" w:type="dxa"/>
            <w:vAlign w:val="bottom"/>
            <w:tcBorders>
              <w:left w:val="single" w:sz="8" w:color="DAD8D3"/>
            </w:tcBorders>
            <w:vMerge w:val="restart"/>
          </w:tcPr>
          <w:p>
            <w:pPr>
              <w:jc w:val="right"/>
              <w:ind w:right="83"/>
              <w:spacing w:after="0"/>
              <w:rPr>
                <w:sz w:val="20"/>
                <w:szCs w:val="20"/>
                <w:color w:val="auto"/>
              </w:rPr>
            </w:pPr>
            <w:r>
              <w:rPr>
                <w:rFonts w:ascii="Calibri" w:cs="Calibri" w:eastAsia="Calibri" w:hAnsi="Calibri"/>
                <w:sz w:val="11"/>
                <w:szCs w:val="11"/>
                <w:color w:val="262626"/>
              </w:rPr>
              <w:t>$2,000</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right w:val="single" w:sz="8" w:color="DAD8D3"/>
            </w:tcBorders>
            <w:vMerge w:val="restart"/>
          </w:tcPr>
          <w:p>
            <w:pPr>
              <w:ind w:left="100"/>
              <w:spacing w:after="0"/>
              <w:rPr>
                <w:sz w:val="20"/>
                <w:szCs w:val="20"/>
                <w:color w:val="auto"/>
              </w:rPr>
            </w:pPr>
            <w:r>
              <w:rPr>
                <w:rFonts w:ascii="Calibri" w:cs="Calibri" w:eastAsia="Calibri" w:hAnsi="Calibri"/>
                <w:sz w:val="11"/>
                <w:szCs w:val="11"/>
                <w:color w:val="262626"/>
              </w:rPr>
              <w:t>-50%</w:t>
            </w:r>
          </w:p>
        </w:tc>
        <w:tc>
          <w:tcPr>
            <w:tcW w:w="80" w:type="dxa"/>
            <w:vAlign w:val="bottom"/>
            <w:tcBorders>
              <w:right w:val="single" w:sz="8" w:color="E2E2E2"/>
            </w:tcBorders>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2E2E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20" w:type="dxa"/>
            <w:vAlign w:val="bottom"/>
            <w:tcBorders>
              <w:left w:val="single" w:sz="8" w:color="DAD8D3"/>
            </w:tcBorders>
            <w:vMerge w:val="continue"/>
          </w:tcPr>
          <w:p>
            <w:pPr>
              <w:spacing w:after="0"/>
              <w:rPr>
                <w:sz w:val="16"/>
                <w:szCs w:val="16"/>
                <w:color w:val="auto"/>
              </w:rPr>
            </w:pPr>
          </w:p>
        </w:tc>
        <w:tc>
          <w:tcPr>
            <w:tcW w:w="400" w:type="dxa"/>
            <w:vAlign w:val="bottom"/>
            <w:tcBorders>
              <w:bottom w:val="single" w:sz="8" w:color="DAD8D3"/>
            </w:tcBorders>
          </w:tcPr>
          <w:p>
            <w:pPr>
              <w:spacing w:after="0"/>
              <w:rPr>
                <w:sz w:val="16"/>
                <w:szCs w:val="16"/>
                <w:color w:val="auto"/>
              </w:rPr>
            </w:pPr>
          </w:p>
        </w:tc>
        <w:tc>
          <w:tcPr>
            <w:tcW w:w="240" w:type="dxa"/>
            <w:vAlign w:val="bottom"/>
            <w:tcBorders>
              <w:bottom w:val="single" w:sz="8" w:color="DAD8D3"/>
            </w:tcBorders>
          </w:tcPr>
          <w:p>
            <w:pPr>
              <w:spacing w:after="0"/>
              <w:rPr>
                <w:sz w:val="16"/>
                <w:szCs w:val="16"/>
                <w:color w:val="auto"/>
              </w:rPr>
            </w:pPr>
          </w:p>
        </w:tc>
        <w:tc>
          <w:tcPr>
            <w:tcW w:w="580" w:type="dxa"/>
            <w:vAlign w:val="bottom"/>
            <w:tcBorders>
              <w:bottom w:val="single" w:sz="8" w:color="DAD8D3"/>
            </w:tcBorders>
          </w:tcPr>
          <w:p>
            <w:pPr>
              <w:spacing w:after="0"/>
              <w:rPr>
                <w:sz w:val="16"/>
                <w:szCs w:val="16"/>
                <w:color w:val="auto"/>
              </w:rPr>
            </w:pPr>
          </w:p>
        </w:tc>
        <w:tc>
          <w:tcPr>
            <w:tcW w:w="240" w:type="dxa"/>
            <w:vAlign w:val="bottom"/>
            <w:tcBorders>
              <w:bottom w:val="single" w:sz="8" w:color="DAD8D3"/>
            </w:tcBorders>
          </w:tcPr>
          <w:p>
            <w:pPr>
              <w:spacing w:after="0"/>
              <w:rPr>
                <w:sz w:val="16"/>
                <w:szCs w:val="16"/>
                <w:color w:val="auto"/>
              </w:rPr>
            </w:pPr>
          </w:p>
        </w:tc>
        <w:tc>
          <w:tcPr>
            <w:tcW w:w="540" w:type="dxa"/>
            <w:vAlign w:val="bottom"/>
            <w:tcBorders>
              <w:bottom w:val="single" w:sz="8" w:color="DAD8D3"/>
            </w:tcBorders>
          </w:tcPr>
          <w:p>
            <w:pPr>
              <w:spacing w:after="0"/>
              <w:rPr>
                <w:sz w:val="16"/>
                <w:szCs w:val="16"/>
                <w:color w:val="auto"/>
              </w:rPr>
            </w:pPr>
          </w:p>
        </w:tc>
        <w:tc>
          <w:tcPr>
            <w:tcW w:w="240" w:type="dxa"/>
            <w:vAlign w:val="bottom"/>
            <w:tcBorders>
              <w:bottom w:val="single" w:sz="8" w:color="DAD8D3"/>
            </w:tcBorders>
          </w:tcPr>
          <w:p>
            <w:pPr>
              <w:spacing w:after="0"/>
              <w:rPr>
                <w:sz w:val="16"/>
                <w:szCs w:val="16"/>
                <w:color w:val="auto"/>
              </w:rPr>
            </w:pPr>
          </w:p>
        </w:tc>
        <w:tc>
          <w:tcPr>
            <w:tcW w:w="1260" w:type="dxa"/>
            <w:vAlign w:val="bottom"/>
            <w:tcBorders>
              <w:bottom w:val="single" w:sz="8" w:color="DAD8D3"/>
            </w:tcBorders>
          </w:tcPr>
          <w:p>
            <w:pPr>
              <w:spacing w:after="0"/>
              <w:rPr>
                <w:sz w:val="16"/>
                <w:szCs w:val="16"/>
                <w:color w:val="auto"/>
              </w:rPr>
            </w:pPr>
          </w:p>
        </w:tc>
        <w:tc>
          <w:tcPr>
            <w:tcW w:w="420" w:type="dxa"/>
            <w:vAlign w:val="bottom"/>
            <w:tcBorders>
              <w:right w:val="single" w:sz="8" w:color="DAD8D3"/>
            </w:tcBorders>
            <w:vMerge w:val="continue"/>
          </w:tcPr>
          <w:p>
            <w:pPr>
              <w:spacing w:after="0"/>
              <w:rPr>
                <w:sz w:val="16"/>
                <w:szCs w:val="16"/>
                <w:color w:val="auto"/>
              </w:rPr>
            </w:pPr>
          </w:p>
        </w:tc>
        <w:tc>
          <w:tcPr>
            <w:tcW w:w="80" w:type="dxa"/>
            <w:vAlign w:val="bottom"/>
            <w:tcBorders>
              <w:right w:val="single" w:sz="8" w:color="E2E2E2"/>
            </w:tcBorders>
            <w:vMerge w:val="restart"/>
          </w:tcPr>
          <w:p>
            <w:pPr>
              <w:spacing w:after="0"/>
              <w:rPr>
                <w:sz w:val="16"/>
                <w:szCs w:val="16"/>
                <w:color w:val="auto"/>
              </w:rPr>
            </w:pPr>
          </w:p>
        </w:tc>
        <w:tc>
          <w:tcPr>
            <w:tcW w:w="52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$500</w:t>
            </w:r>
          </w:p>
        </w:tc>
        <w:tc>
          <w:tcPr>
            <w:tcW w:w="340" w:type="dxa"/>
            <w:vAlign w:val="bottom"/>
            <w:tcBorders>
              <w:bottom w:val="single" w:sz="8" w:color="E2E2E2"/>
            </w:tcBorders>
          </w:tcPr>
          <w:p>
            <w:pPr>
              <w:spacing w:after="0"/>
              <w:rPr>
                <w:sz w:val="16"/>
                <w:szCs w:val="16"/>
                <w:color w:val="auto"/>
              </w:rPr>
            </w:pPr>
          </w:p>
        </w:tc>
        <w:tc>
          <w:tcPr>
            <w:tcW w:w="240" w:type="dxa"/>
            <w:vAlign w:val="bottom"/>
            <w:tcBorders>
              <w:bottom w:val="single" w:sz="8" w:color="E2E2E2"/>
            </w:tcBorders>
          </w:tcPr>
          <w:p>
            <w:pPr>
              <w:spacing w:after="0"/>
              <w:rPr>
                <w:sz w:val="16"/>
                <w:szCs w:val="16"/>
                <w:color w:val="auto"/>
              </w:rPr>
            </w:pPr>
          </w:p>
        </w:tc>
        <w:tc>
          <w:tcPr>
            <w:tcW w:w="820" w:type="dxa"/>
            <w:vAlign w:val="bottom"/>
            <w:tcBorders>
              <w:bottom w:val="single" w:sz="8" w:color="E2E2E2"/>
            </w:tcBorders>
          </w:tcPr>
          <w:p>
            <w:pPr>
              <w:spacing w:after="0"/>
              <w:rPr>
                <w:sz w:val="16"/>
                <w:szCs w:val="16"/>
                <w:color w:val="auto"/>
              </w:rPr>
            </w:pPr>
          </w:p>
        </w:tc>
        <w:tc>
          <w:tcPr>
            <w:tcW w:w="240" w:type="dxa"/>
            <w:vAlign w:val="bottom"/>
            <w:tcBorders>
              <w:bottom w:val="single" w:sz="8" w:color="E2E2E2"/>
            </w:tcBorders>
          </w:tcPr>
          <w:p>
            <w:pPr>
              <w:spacing w:after="0"/>
              <w:rPr>
                <w:sz w:val="16"/>
                <w:szCs w:val="16"/>
                <w:color w:val="auto"/>
              </w:rPr>
            </w:pPr>
          </w:p>
        </w:tc>
        <w:tc>
          <w:tcPr>
            <w:tcW w:w="560" w:type="dxa"/>
            <w:vAlign w:val="bottom"/>
            <w:tcBorders>
              <w:bottom w:val="single" w:sz="8" w:color="E2E2E2"/>
            </w:tcBorders>
          </w:tcPr>
          <w:p>
            <w:pPr>
              <w:spacing w:after="0"/>
              <w:rPr>
                <w:sz w:val="16"/>
                <w:szCs w:val="16"/>
                <w:color w:val="auto"/>
              </w:rPr>
            </w:pPr>
          </w:p>
        </w:tc>
        <w:tc>
          <w:tcPr>
            <w:tcW w:w="240" w:type="dxa"/>
            <w:vAlign w:val="bottom"/>
            <w:tcBorders>
              <w:bottom w:val="single" w:sz="8" w:color="E2E2E2"/>
            </w:tcBorders>
          </w:tcPr>
          <w:p>
            <w:pPr>
              <w:spacing w:after="0"/>
              <w:rPr>
                <w:sz w:val="16"/>
                <w:szCs w:val="16"/>
                <w:color w:val="auto"/>
              </w:rPr>
            </w:pPr>
          </w:p>
        </w:tc>
        <w:tc>
          <w:tcPr>
            <w:tcW w:w="1120" w:type="dxa"/>
            <w:vAlign w:val="bottom"/>
            <w:tcBorders>
              <w:bottom w:val="single" w:sz="8" w:color="E2E2E2"/>
            </w:tcBorders>
          </w:tcPr>
          <w:p>
            <w:pPr>
              <w:spacing w:after="0"/>
              <w:rPr>
                <w:sz w:val="16"/>
                <w:szCs w:val="16"/>
                <w:color w:val="auto"/>
              </w:rPr>
            </w:pPr>
          </w:p>
        </w:tc>
        <w:tc>
          <w:tcPr>
            <w:tcW w:w="440" w:type="dxa"/>
            <w:vAlign w:val="bottom"/>
            <w:tcBorders>
              <w:right w:val="single" w:sz="8" w:color="E2E2E2"/>
            </w:tcBorders>
            <w:vMerge w:val="restart"/>
          </w:tcPr>
          <w:p>
            <w:pPr>
              <w:ind w:left="120"/>
              <w:spacing w:after="0"/>
              <w:rPr>
                <w:sz w:val="20"/>
                <w:szCs w:val="20"/>
                <w:color w:val="auto"/>
              </w:rPr>
            </w:pPr>
            <w:r>
              <w:rPr>
                <w:rFonts w:ascii="Calibri" w:cs="Calibri" w:eastAsia="Calibri" w:hAnsi="Calibri"/>
                <w:sz w:val="11"/>
                <w:szCs w:val="11"/>
                <w:color w:val="262626"/>
              </w:rPr>
              <w:t>-40%</w:t>
            </w:r>
          </w:p>
        </w:tc>
        <w:tc>
          <w:tcPr>
            <w:tcW w:w="0" w:type="dxa"/>
            <w:vAlign w:val="bottom"/>
          </w:tcPr>
          <w:p>
            <w:pPr>
              <w:spacing w:after="0"/>
              <w:rPr>
                <w:sz w:val="1"/>
                <w:szCs w:val="1"/>
                <w:color w:val="auto"/>
              </w:rPr>
            </w:pPr>
          </w:p>
        </w:tc>
      </w:tr>
      <w:tr>
        <w:trPr>
          <w:trHeight w:val="29"/>
        </w:trPr>
        <w:tc>
          <w:tcPr>
            <w:tcW w:w="620" w:type="dxa"/>
            <w:vAlign w:val="bottom"/>
            <w:tcBorders>
              <w:left w:val="single" w:sz="8" w:color="DAD8D3"/>
            </w:tcBorders>
            <w:vMerge w:val="continue"/>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Borders>
              <w:right w:val="single" w:sz="8" w:color="DAD8D3"/>
            </w:tcBorders>
            <w:vMerge w:val="continue"/>
          </w:tcPr>
          <w:p>
            <w:pPr>
              <w:spacing w:after="0"/>
              <w:rPr>
                <w:sz w:val="2"/>
                <w:szCs w:val="2"/>
                <w:color w:val="auto"/>
              </w:rPr>
            </w:pPr>
          </w:p>
        </w:tc>
        <w:tc>
          <w:tcPr>
            <w:tcW w:w="80" w:type="dxa"/>
            <w:vAlign w:val="bottom"/>
            <w:tcBorders>
              <w:right w:val="single" w:sz="8" w:color="E2E2E2"/>
            </w:tcBorders>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Borders>
              <w:right w:val="single" w:sz="8" w:color="E2E2E2"/>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40" w:type="dxa"/>
            <w:vAlign w:val="bottom"/>
            <w:tcBorders>
              <w:left w:val="single" w:sz="8" w:color="DAD8D3"/>
            </w:tcBorders>
            <w:gridSpan w:val="4"/>
          </w:tcPr>
          <w:p>
            <w:pPr>
              <w:jc w:val="right"/>
              <w:ind w:right="463"/>
              <w:spacing w:after="0"/>
              <w:rPr>
                <w:sz w:val="20"/>
                <w:szCs w:val="20"/>
                <w:color w:val="auto"/>
              </w:rPr>
            </w:pPr>
            <w:r>
              <w:rPr>
                <w:rFonts w:ascii="Calibri" w:cs="Calibri" w:eastAsia="Calibri" w:hAnsi="Calibri"/>
                <w:sz w:val="11"/>
                <w:szCs w:val="11"/>
                <w:color w:val="262626"/>
              </w:rPr>
              <w:t>2020</w:t>
            </w:r>
          </w:p>
        </w:tc>
        <w:tc>
          <w:tcPr>
            <w:tcW w:w="780" w:type="dxa"/>
            <w:vAlign w:val="bottom"/>
            <w:gridSpan w:val="2"/>
          </w:tcPr>
          <w:p>
            <w:pPr>
              <w:jc w:val="right"/>
              <w:ind w:right="83"/>
              <w:spacing w:after="0"/>
              <w:rPr>
                <w:sz w:val="20"/>
                <w:szCs w:val="20"/>
                <w:color w:val="auto"/>
              </w:rPr>
            </w:pPr>
            <w:r>
              <w:rPr>
                <w:rFonts w:ascii="Calibri" w:cs="Calibri" w:eastAsia="Calibri" w:hAnsi="Calibri"/>
                <w:sz w:val="11"/>
                <w:szCs w:val="11"/>
                <w:color w:val="262626"/>
              </w:rPr>
              <w:t>2021</w:t>
            </w:r>
          </w:p>
        </w:tc>
        <w:tc>
          <w:tcPr>
            <w:tcW w:w="1500" w:type="dxa"/>
            <w:vAlign w:val="bottom"/>
            <w:gridSpan w:val="2"/>
          </w:tcPr>
          <w:p>
            <w:pPr>
              <w:jc w:val="right"/>
              <w:ind w:right="423"/>
              <w:spacing w:after="0"/>
              <w:rPr>
                <w:sz w:val="20"/>
                <w:szCs w:val="20"/>
                <w:color w:val="auto"/>
              </w:rPr>
            </w:pPr>
            <w:r>
              <w:rPr>
                <w:rFonts w:ascii="Calibri" w:cs="Calibri" w:eastAsia="Calibri" w:hAnsi="Calibri"/>
                <w:sz w:val="11"/>
                <w:szCs w:val="11"/>
                <w:color w:val="262626"/>
              </w:rPr>
              <w:t>2022</w:t>
            </w:r>
          </w:p>
        </w:tc>
        <w:tc>
          <w:tcPr>
            <w:tcW w:w="420" w:type="dxa"/>
            <w:vAlign w:val="bottom"/>
            <w:tcBorders>
              <w:right w:val="single" w:sz="8" w:color="DAD8D3"/>
            </w:tcBorders>
          </w:tcPr>
          <w:p>
            <w:pPr>
              <w:spacing w:after="0"/>
              <w:rPr>
                <w:sz w:val="12"/>
                <w:szCs w:val="12"/>
                <w:color w:val="auto"/>
              </w:rPr>
            </w:pPr>
          </w:p>
        </w:tc>
        <w:tc>
          <w:tcPr>
            <w:tcW w:w="80" w:type="dxa"/>
            <w:vAlign w:val="bottom"/>
            <w:tcBorders>
              <w:right w:val="single" w:sz="8" w:color="E2E2E2"/>
            </w:tcBorders>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3"/>
          </w:tcPr>
          <w:p>
            <w:pPr>
              <w:jc w:val="right"/>
              <w:ind w:right="623"/>
              <w:spacing w:after="0"/>
              <w:rPr>
                <w:sz w:val="20"/>
                <w:szCs w:val="20"/>
                <w:color w:val="auto"/>
              </w:rPr>
            </w:pPr>
            <w:r>
              <w:rPr>
                <w:rFonts w:ascii="Calibri" w:cs="Calibri" w:eastAsia="Calibri" w:hAnsi="Calibri"/>
                <w:sz w:val="11"/>
                <w:szCs w:val="11"/>
                <w:color w:val="262626"/>
              </w:rPr>
              <w:t>2020</w:t>
            </w:r>
          </w:p>
        </w:tc>
        <w:tc>
          <w:tcPr>
            <w:tcW w:w="800" w:type="dxa"/>
            <w:vAlign w:val="bottom"/>
            <w:gridSpan w:val="2"/>
          </w:tcPr>
          <w:p>
            <w:pPr>
              <w:ind w:left="280"/>
              <w:spacing w:after="0"/>
              <w:rPr>
                <w:sz w:val="20"/>
                <w:szCs w:val="20"/>
                <w:color w:val="auto"/>
              </w:rPr>
            </w:pPr>
            <w:r>
              <w:rPr>
                <w:rFonts w:ascii="Calibri" w:cs="Calibri" w:eastAsia="Calibri" w:hAnsi="Calibri"/>
                <w:sz w:val="11"/>
                <w:szCs w:val="11"/>
                <w:color w:val="262626"/>
              </w:rPr>
              <w:t>2021</w:t>
            </w:r>
          </w:p>
        </w:tc>
        <w:tc>
          <w:tcPr>
            <w:tcW w:w="1360" w:type="dxa"/>
            <w:vAlign w:val="bottom"/>
            <w:gridSpan w:val="2"/>
          </w:tcPr>
          <w:p>
            <w:pPr>
              <w:jc w:val="right"/>
              <w:ind w:right="403"/>
              <w:spacing w:after="0"/>
              <w:rPr>
                <w:sz w:val="20"/>
                <w:szCs w:val="20"/>
                <w:color w:val="auto"/>
              </w:rPr>
            </w:pPr>
            <w:r>
              <w:rPr>
                <w:rFonts w:ascii="Calibri" w:cs="Calibri" w:eastAsia="Calibri" w:hAnsi="Calibri"/>
                <w:sz w:val="11"/>
                <w:szCs w:val="11"/>
                <w:color w:val="262626"/>
              </w:rPr>
              <w:t>2022</w:t>
            </w:r>
          </w:p>
        </w:tc>
        <w:tc>
          <w:tcPr>
            <w:tcW w:w="440" w:type="dxa"/>
            <w:vAlign w:val="bottom"/>
            <w:tcBorders>
              <w:right w:val="single" w:sz="8" w:color="E2E2E2"/>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20" w:type="dxa"/>
            <w:vAlign w:val="bottom"/>
            <w:tcBorders>
              <w:left w:val="single" w:sz="8" w:color="DAD8D3"/>
            </w:tcBorders>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vMerge w:val="restart"/>
          </w:tcPr>
          <w:p>
            <w:pPr>
              <w:jc w:val="right"/>
              <w:ind w:right="103"/>
              <w:spacing w:after="0"/>
              <w:rPr>
                <w:sz w:val="20"/>
                <w:szCs w:val="20"/>
                <w:color w:val="auto"/>
              </w:rPr>
            </w:pPr>
            <w:r>
              <w:rPr>
                <w:rFonts w:ascii="Calibri" w:cs="Calibri" w:eastAsia="Calibri" w:hAnsi="Calibri"/>
                <w:sz w:val="11"/>
                <w:szCs w:val="11"/>
                <w:color w:val="262626"/>
              </w:rPr>
              <w:t>CEO CAP</w:t>
            </w:r>
          </w:p>
        </w:tc>
        <w:tc>
          <w:tcPr>
            <w:tcW w:w="240" w:type="dxa"/>
            <w:vAlign w:val="bottom"/>
            <w:tcBorders>
              <w:bottom w:val="single" w:sz="8" w:color="FB1717"/>
            </w:tcBorders>
          </w:tcPr>
          <w:p>
            <w:pPr>
              <w:spacing w:after="0"/>
              <w:rPr>
                <w:sz w:val="16"/>
                <w:szCs w:val="16"/>
                <w:color w:val="auto"/>
              </w:rPr>
            </w:pPr>
          </w:p>
        </w:tc>
        <w:tc>
          <w:tcPr>
            <w:tcW w:w="540" w:type="dxa"/>
            <w:vAlign w:val="bottom"/>
            <w:vMerge w:val="restart"/>
          </w:tcPr>
          <w:p>
            <w:pPr>
              <w:jc w:val="center"/>
              <w:ind w:right="83"/>
              <w:spacing w:after="0"/>
              <w:rPr>
                <w:sz w:val="20"/>
                <w:szCs w:val="20"/>
                <w:color w:val="auto"/>
              </w:rPr>
            </w:pPr>
            <w:r>
              <w:rPr>
                <w:rFonts w:ascii="Calibri" w:cs="Calibri" w:eastAsia="Calibri" w:hAnsi="Calibri"/>
                <w:sz w:val="11"/>
                <w:szCs w:val="11"/>
                <w:color w:val="262626"/>
              </w:rPr>
              <w:t>FRT TSR</w:t>
            </w:r>
          </w:p>
        </w:tc>
        <w:tc>
          <w:tcPr>
            <w:tcW w:w="240" w:type="dxa"/>
            <w:vAlign w:val="bottom"/>
            <w:tcBorders>
              <w:bottom w:val="single" w:sz="8" w:color="ABABAB"/>
            </w:tcBorders>
          </w:tcPr>
          <w:p>
            <w:pPr>
              <w:spacing w:after="0"/>
              <w:rPr>
                <w:sz w:val="16"/>
                <w:szCs w:val="16"/>
                <w:color w:val="auto"/>
              </w:rPr>
            </w:pPr>
          </w:p>
        </w:tc>
        <w:tc>
          <w:tcPr>
            <w:tcW w:w="1680" w:type="dxa"/>
            <w:vAlign w:val="bottom"/>
            <w:tcBorders>
              <w:right w:val="single" w:sz="8" w:color="DAD8D3"/>
            </w:tcBorders>
            <w:gridSpan w:val="2"/>
            <w:vMerge w:val="restart"/>
          </w:tcPr>
          <w:p>
            <w:pPr>
              <w:ind w:left="20"/>
              <w:spacing w:after="0"/>
              <w:rPr>
                <w:sz w:val="20"/>
                <w:szCs w:val="20"/>
                <w:color w:val="auto"/>
              </w:rPr>
            </w:pPr>
            <w:r>
              <w:rPr>
                <w:rFonts w:ascii="Calibri" w:cs="Calibri" w:eastAsia="Calibri" w:hAnsi="Calibri"/>
                <w:sz w:val="11"/>
                <w:szCs w:val="11"/>
                <w:color w:val="262626"/>
              </w:rPr>
              <w:t>BBRESHOP TSR</w:t>
            </w:r>
          </w:p>
        </w:tc>
        <w:tc>
          <w:tcPr>
            <w:tcW w:w="80" w:type="dxa"/>
            <w:vAlign w:val="bottom"/>
            <w:tcBorders>
              <w:right w:val="single" w:sz="8" w:color="E2E2E2"/>
            </w:tcBorders>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vMerge w:val="restart"/>
          </w:tcPr>
          <w:p>
            <w:pPr>
              <w:jc w:val="right"/>
              <w:ind w:right="103"/>
              <w:spacing w:after="0"/>
              <w:rPr>
                <w:sz w:val="20"/>
                <w:szCs w:val="20"/>
                <w:color w:val="auto"/>
              </w:rPr>
            </w:pPr>
            <w:r>
              <w:rPr>
                <w:rFonts w:ascii="Calibri" w:cs="Calibri" w:eastAsia="Calibri" w:hAnsi="Calibri"/>
                <w:sz w:val="11"/>
                <w:szCs w:val="11"/>
                <w:color w:val="262626"/>
              </w:rPr>
              <w:t>Avg. NEO CAP</w:t>
            </w:r>
          </w:p>
        </w:tc>
        <w:tc>
          <w:tcPr>
            <w:tcW w:w="240" w:type="dxa"/>
            <w:vAlign w:val="bottom"/>
            <w:tcBorders>
              <w:bottom w:val="single" w:sz="8" w:color="FB1717"/>
            </w:tcBorders>
          </w:tcPr>
          <w:p>
            <w:pPr>
              <w:spacing w:after="0"/>
              <w:rPr>
                <w:sz w:val="16"/>
                <w:szCs w:val="16"/>
                <w:color w:val="auto"/>
              </w:rPr>
            </w:pPr>
          </w:p>
        </w:tc>
        <w:tc>
          <w:tcPr>
            <w:tcW w:w="560" w:type="dxa"/>
            <w:vAlign w:val="bottom"/>
            <w:vMerge w:val="restart"/>
          </w:tcPr>
          <w:p>
            <w:pPr>
              <w:ind w:left="20"/>
              <w:spacing w:after="0"/>
              <w:rPr>
                <w:sz w:val="20"/>
                <w:szCs w:val="20"/>
                <w:color w:val="auto"/>
              </w:rPr>
            </w:pPr>
            <w:r>
              <w:rPr>
                <w:rFonts w:ascii="Calibri" w:cs="Calibri" w:eastAsia="Calibri" w:hAnsi="Calibri"/>
                <w:sz w:val="11"/>
                <w:szCs w:val="11"/>
                <w:color w:val="262626"/>
              </w:rPr>
              <w:t>FRT TSR</w:t>
            </w:r>
          </w:p>
        </w:tc>
        <w:tc>
          <w:tcPr>
            <w:tcW w:w="240" w:type="dxa"/>
            <w:vAlign w:val="bottom"/>
            <w:tcBorders>
              <w:bottom w:val="single" w:sz="8" w:color="ACACAC"/>
            </w:tcBorders>
          </w:tcPr>
          <w:p>
            <w:pPr>
              <w:spacing w:after="0"/>
              <w:rPr>
                <w:sz w:val="16"/>
                <w:szCs w:val="16"/>
                <w:color w:val="auto"/>
              </w:rPr>
            </w:pPr>
          </w:p>
        </w:tc>
        <w:tc>
          <w:tcPr>
            <w:tcW w:w="1560" w:type="dxa"/>
            <w:vAlign w:val="bottom"/>
            <w:tcBorders>
              <w:right w:val="single" w:sz="8" w:color="E2E2E2"/>
            </w:tcBorders>
            <w:gridSpan w:val="2"/>
            <w:vMerge w:val="restart"/>
          </w:tcPr>
          <w:p>
            <w:pPr>
              <w:ind w:left="20"/>
              <w:spacing w:after="0"/>
              <w:rPr>
                <w:sz w:val="20"/>
                <w:szCs w:val="20"/>
                <w:color w:val="auto"/>
              </w:rPr>
            </w:pPr>
            <w:r>
              <w:rPr>
                <w:rFonts w:ascii="Calibri" w:cs="Calibri" w:eastAsia="Calibri" w:hAnsi="Calibri"/>
                <w:sz w:val="11"/>
                <w:szCs w:val="11"/>
                <w:color w:val="262626"/>
              </w:rPr>
              <w:t>BBRESHOP TSR</w:t>
            </w:r>
          </w:p>
        </w:tc>
        <w:tc>
          <w:tcPr>
            <w:tcW w:w="0" w:type="dxa"/>
            <w:vAlign w:val="bottom"/>
          </w:tcPr>
          <w:p>
            <w:pPr>
              <w:spacing w:after="0"/>
              <w:rPr>
                <w:sz w:val="1"/>
                <w:szCs w:val="1"/>
                <w:color w:val="auto"/>
              </w:rPr>
            </w:pPr>
          </w:p>
        </w:tc>
      </w:tr>
      <w:tr>
        <w:trPr>
          <w:trHeight w:val="41"/>
        </w:trPr>
        <w:tc>
          <w:tcPr>
            <w:tcW w:w="620" w:type="dxa"/>
            <w:vAlign w:val="bottom"/>
            <w:tcBorders>
              <w:left w:val="single" w:sz="8" w:color="DAD8D3"/>
            </w:tcBorders>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Borders>
              <w:right w:val="single" w:sz="8" w:color="DAD8D3"/>
            </w:tcBorders>
            <w:gridSpan w:val="2"/>
            <w:vMerge w:val="continue"/>
          </w:tcPr>
          <w:p>
            <w:pPr>
              <w:spacing w:after="0"/>
              <w:rPr>
                <w:sz w:val="3"/>
                <w:szCs w:val="3"/>
                <w:color w:val="auto"/>
              </w:rPr>
            </w:pPr>
          </w:p>
        </w:tc>
        <w:tc>
          <w:tcPr>
            <w:tcW w:w="80" w:type="dxa"/>
            <w:vAlign w:val="bottom"/>
            <w:tcBorders>
              <w:right w:val="single" w:sz="8" w:color="E2E2E2"/>
            </w:tcBorders>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Borders>
              <w:right w:val="single" w:sz="8" w:color="E2E2E2"/>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620" w:type="dxa"/>
            <w:vAlign w:val="bottom"/>
            <w:tcBorders>
              <w:left w:val="single" w:sz="8" w:color="DAD8D3"/>
              <w:bottom w:val="single" w:sz="8" w:color="DAD8D3"/>
            </w:tcBorders>
          </w:tcPr>
          <w:p>
            <w:pPr>
              <w:spacing w:after="0"/>
              <w:rPr>
                <w:sz w:val="9"/>
                <w:szCs w:val="9"/>
                <w:color w:val="auto"/>
              </w:rPr>
            </w:pPr>
          </w:p>
        </w:tc>
        <w:tc>
          <w:tcPr>
            <w:tcW w:w="400" w:type="dxa"/>
            <w:vAlign w:val="bottom"/>
            <w:tcBorders>
              <w:bottom w:val="single" w:sz="8" w:color="DAD8D3"/>
            </w:tcBorders>
          </w:tcPr>
          <w:p>
            <w:pPr>
              <w:spacing w:after="0"/>
              <w:rPr>
                <w:sz w:val="9"/>
                <w:szCs w:val="9"/>
                <w:color w:val="auto"/>
              </w:rPr>
            </w:pPr>
          </w:p>
        </w:tc>
        <w:tc>
          <w:tcPr>
            <w:tcW w:w="240" w:type="dxa"/>
            <w:vAlign w:val="bottom"/>
            <w:tcBorders>
              <w:bottom w:val="single" w:sz="8" w:color="DAD8D3"/>
            </w:tcBorders>
          </w:tcPr>
          <w:p>
            <w:pPr>
              <w:spacing w:after="0"/>
              <w:rPr>
                <w:sz w:val="9"/>
                <w:szCs w:val="9"/>
                <w:color w:val="auto"/>
              </w:rPr>
            </w:pPr>
          </w:p>
        </w:tc>
        <w:tc>
          <w:tcPr>
            <w:tcW w:w="580" w:type="dxa"/>
            <w:vAlign w:val="bottom"/>
            <w:tcBorders>
              <w:bottom w:val="single" w:sz="8" w:color="DAD8D3"/>
            </w:tcBorders>
          </w:tcPr>
          <w:p>
            <w:pPr>
              <w:spacing w:after="0"/>
              <w:rPr>
                <w:sz w:val="9"/>
                <w:szCs w:val="9"/>
                <w:color w:val="auto"/>
              </w:rPr>
            </w:pPr>
          </w:p>
        </w:tc>
        <w:tc>
          <w:tcPr>
            <w:tcW w:w="240" w:type="dxa"/>
            <w:vAlign w:val="bottom"/>
            <w:tcBorders>
              <w:bottom w:val="single" w:sz="8" w:color="DAD8D3"/>
            </w:tcBorders>
          </w:tcPr>
          <w:p>
            <w:pPr>
              <w:spacing w:after="0"/>
              <w:rPr>
                <w:sz w:val="9"/>
                <w:szCs w:val="9"/>
                <w:color w:val="auto"/>
              </w:rPr>
            </w:pPr>
          </w:p>
        </w:tc>
        <w:tc>
          <w:tcPr>
            <w:tcW w:w="540" w:type="dxa"/>
            <w:vAlign w:val="bottom"/>
            <w:tcBorders>
              <w:bottom w:val="single" w:sz="8" w:color="DAD8D3"/>
            </w:tcBorders>
          </w:tcPr>
          <w:p>
            <w:pPr>
              <w:spacing w:after="0"/>
              <w:rPr>
                <w:sz w:val="9"/>
                <w:szCs w:val="9"/>
                <w:color w:val="auto"/>
              </w:rPr>
            </w:pPr>
          </w:p>
        </w:tc>
        <w:tc>
          <w:tcPr>
            <w:tcW w:w="240" w:type="dxa"/>
            <w:vAlign w:val="bottom"/>
            <w:tcBorders>
              <w:bottom w:val="single" w:sz="8" w:color="DAD8D3"/>
            </w:tcBorders>
          </w:tcPr>
          <w:p>
            <w:pPr>
              <w:spacing w:after="0"/>
              <w:rPr>
                <w:sz w:val="9"/>
                <w:szCs w:val="9"/>
                <w:color w:val="auto"/>
              </w:rPr>
            </w:pPr>
          </w:p>
        </w:tc>
        <w:tc>
          <w:tcPr>
            <w:tcW w:w="1260" w:type="dxa"/>
            <w:vAlign w:val="bottom"/>
            <w:tcBorders>
              <w:bottom w:val="single" w:sz="8" w:color="DAD8D3"/>
            </w:tcBorders>
          </w:tcPr>
          <w:p>
            <w:pPr>
              <w:spacing w:after="0"/>
              <w:rPr>
                <w:sz w:val="9"/>
                <w:szCs w:val="9"/>
                <w:color w:val="auto"/>
              </w:rPr>
            </w:pPr>
          </w:p>
        </w:tc>
        <w:tc>
          <w:tcPr>
            <w:tcW w:w="420" w:type="dxa"/>
            <w:vAlign w:val="bottom"/>
            <w:tcBorders>
              <w:bottom w:val="single" w:sz="8" w:color="DAD8D3"/>
              <w:right w:val="single" w:sz="8" w:color="DAD8D3"/>
            </w:tcBorders>
          </w:tcPr>
          <w:p>
            <w:pPr>
              <w:spacing w:after="0"/>
              <w:rPr>
                <w:sz w:val="9"/>
                <w:szCs w:val="9"/>
                <w:color w:val="auto"/>
              </w:rPr>
            </w:pPr>
          </w:p>
        </w:tc>
        <w:tc>
          <w:tcPr>
            <w:tcW w:w="80" w:type="dxa"/>
            <w:vAlign w:val="bottom"/>
            <w:tcBorders>
              <w:right w:val="single" w:sz="8" w:color="E2E2E2"/>
            </w:tcBorders>
          </w:tcPr>
          <w:p>
            <w:pPr>
              <w:spacing w:after="0"/>
              <w:rPr>
                <w:sz w:val="9"/>
                <w:szCs w:val="9"/>
                <w:color w:val="auto"/>
              </w:rPr>
            </w:pPr>
          </w:p>
        </w:tc>
        <w:tc>
          <w:tcPr>
            <w:tcW w:w="520" w:type="dxa"/>
            <w:vAlign w:val="bottom"/>
            <w:tcBorders>
              <w:bottom w:val="single" w:sz="8" w:color="E2E2E2"/>
            </w:tcBorders>
          </w:tcPr>
          <w:p>
            <w:pPr>
              <w:spacing w:after="0"/>
              <w:rPr>
                <w:sz w:val="9"/>
                <w:szCs w:val="9"/>
                <w:color w:val="auto"/>
              </w:rPr>
            </w:pPr>
          </w:p>
        </w:tc>
        <w:tc>
          <w:tcPr>
            <w:tcW w:w="34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82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560" w:type="dxa"/>
            <w:vAlign w:val="bottom"/>
            <w:tcBorders>
              <w:bottom w:val="single" w:sz="8" w:color="E2E2E2"/>
            </w:tcBorders>
          </w:tcPr>
          <w:p>
            <w:pPr>
              <w:spacing w:after="0"/>
              <w:rPr>
                <w:sz w:val="9"/>
                <w:szCs w:val="9"/>
                <w:color w:val="auto"/>
              </w:rPr>
            </w:pPr>
          </w:p>
        </w:tc>
        <w:tc>
          <w:tcPr>
            <w:tcW w:w="240" w:type="dxa"/>
            <w:vAlign w:val="bottom"/>
            <w:tcBorders>
              <w:bottom w:val="single" w:sz="8" w:color="E2E2E2"/>
            </w:tcBorders>
          </w:tcPr>
          <w:p>
            <w:pPr>
              <w:spacing w:after="0"/>
              <w:rPr>
                <w:sz w:val="9"/>
                <w:szCs w:val="9"/>
                <w:color w:val="auto"/>
              </w:rPr>
            </w:pPr>
          </w:p>
        </w:tc>
        <w:tc>
          <w:tcPr>
            <w:tcW w:w="1120" w:type="dxa"/>
            <w:vAlign w:val="bottom"/>
            <w:tcBorders>
              <w:bottom w:val="single" w:sz="8" w:color="E2E2E2"/>
            </w:tcBorders>
          </w:tcPr>
          <w:p>
            <w:pPr>
              <w:spacing w:after="0"/>
              <w:rPr>
                <w:sz w:val="9"/>
                <w:szCs w:val="9"/>
                <w:color w:val="auto"/>
              </w:rPr>
            </w:pPr>
          </w:p>
        </w:tc>
        <w:tc>
          <w:tcPr>
            <w:tcW w:w="440" w:type="dxa"/>
            <w:vAlign w:val="bottom"/>
            <w:tcBorders>
              <w:bottom w:val="single" w:sz="8" w:color="E2E2E2"/>
              <w:right w:val="single" w:sz="8" w:color="E2E2E2"/>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-1426210</wp:posOffset>
            </wp:positionV>
            <wp:extent cx="1555115" cy="11049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91">
                      <a:extLst>
                        <a:ext uri="{28A0092B-C50C-407E-A947-70E740481C1C}"/>
                      </a:extLst>
                    </a:blip>
                    <a:srcRect/>
                    <a:stretch>
                      <a:fillRect/>
                    </a:stretch>
                  </pic:blipFill>
                  <pic:spPr bwMode="auto">
                    <a:xfrm>
                      <a:off x="0" y="0"/>
                      <a:ext cx="1555115" cy="110490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-1349375</wp:posOffset>
            </wp:positionV>
            <wp:extent cx="1578610" cy="90678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92">
                      <a:extLst>
                        <a:ext uri="{28A0092B-C50C-407E-A947-70E740481C1C}"/>
                      </a:extLst>
                    </a:blip>
                    <a:srcRect/>
                    <a:stretch>
                      <a:fillRect/>
                    </a:stretch>
                  </pic:blipFill>
                  <pic:spPr bwMode="auto">
                    <a:xfrm>
                      <a:off x="0" y="0"/>
                      <a:ext cx="1578610" cy="906780"/>
                    </a:xfrm>
                    <a:prstGeom prst="rect">
                      <a:avLst/>
                    </a:prstGeom>
                    <a:noFill/>
                  </pic:spPr>
                </pic:pic>
              </a:graphicData>
            </a:graphic>
          </wp:anchor>
        </w:drawing>
      </w:r>
    </w:p>
    <w:p>
      <w:pPr>
        <w:spacing w:after="0" w:line="269" w:lineRule="exact"/>
        <w:rPr>
          <w:sz w:val="20"/>
          <w:szCs w:val="20"/>
          <w:color w:val="auto"/>
        </w:rPr>
      </w:pPr>
    </w:p>
    <w:p>
      <w:pPr>
        <w:ind w:left="480" w:hanging="358"/>
        <w:spacing w:after="0"/>
        <w:tabs>
          <w:tab w:leader="none" w:pos="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Compensation actually paid is shown in thousands.</w:t>
      </w: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following charts show the relationship of the compensation actually paid to our CEO and the average compensation actually paid to our other NEOs as compared to our GAAP reported net income and our FFO per diluted share.</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540" w:type="dxa"/>
            <w:vAlign w:val="bottom"/>
            <w:tcBorders>
              <w:top w:val="single" w:sz="8" w:color="D9D9D9"/>
              <w:left w:val="single" w:sz="8" w:color="D9D9D9"/>
              <w:right w:val="single" w:sz="8" w:color="D9D9D9"/>
            </w:tcBorders>
            <w:gridSpan w:val="10"/>
          </w:tcPr>
          <w:p>
            <w:pPr>
              <w:jc w:val="center"/>
              <w:ind w:left="40"/>
              <w:spacing w:after="0"/>
              <w:rPr>
                <w:sz w:val="20"/>
                <w:szCs w:val="20"/>
                <w:color w:val="auto"/>
              </w:rPr>
            </w:pPr>
            <w:r>
              <w:rPr>
                <w:rFonts w:ascii="Calibri" w:cs="Calibri" w:eastAsia="Calibri" w:hAnsi="Calibri"/>
                <w:sz w:val="17"/>
                <w:szCs w:val="17"/>
                <w:color w:val="auto"/>
              </w:rPr>
              <w:t>CEO Compensa on Actually Paid v. Company</w:t>
            </w:r>
          </w:p>
        </w:tc>
        <w:tc>
          <w:tcPr>
            <w:tcW w:w="60" w:type="dxa"/>
            <w:vAlign w:val="bottom"/>
            <w:tcBorders>
              <w:right w:val="single" w:sz="8" w:color="D9D9D9"/>
            </w:tcBorders>
          </w:tcPr>
          <w:p>
            <w:pPr>
              <w:spacing w:after="0"/>
              <w:rPr>
                <w:sz w:val="24"/>
                <w:szCs w:val="24"/>
                <w:color w:val="auto"/>
              </w:rPr>
            </w:pPr>
          </w:p>
        </w:tc>
        <w:tc>
          <w:tcPr>
            <w:tcW w:w="4540" w:type="dxa"/>
            <w:vAlign w:val="bottom"/>
            <w:tcBorders>
              <w:top w:val="single" w:sz="8" w:color="D9D9D9"/>
              <w:right w:val="single" w:sz="8" w:color="D9D9D9"/>
            </w:tcBorders>
            <w:gridSpan w:val="9"/>
          </w:tcPr>
          <w:p>
            <w:pPr>
              <w:jc w:val="center"/>
              <w:spacing w:after="0"/>
              <w:rPr>
                <w:sz w:val="20"/>
                <w:szCs w:val="20"/>
                <w:color w:val="auto"/>
              </w:rPr>
            </w:pPr>
            <w:r>
              <w:rPr>
                <w:rFonts w:ascii="Calibri" w:cs="Calibri" w:eastAsia="Calibri" w:hAnsi="Calibri"/>
                <w:sz w:val="17"/>
                <w:szCs w:val="17"/>
                <w:color w:val="auto"/>
                <w:w w:val="99"/>
              </w:rPr>
              <w:t>Avg. NEO Compensa on Actually Paid v. Company</w:t>
            </w:r>
          </w:p>
        </w:tc>
        <w:tc>
          <w:tcPr>
            <w:tcW w:w="0" w:type="dxa"/>
            <w:vAlign w:val="bottom"/>
          </w:tcPr>
          <w:p>
            <w:pPr>
              <w:spacing w:after="0"/>
              <w:rPr>
                <w:sz w:val="1"/>
                <w:szCs w:val="1"/>
                <w:color w:val="auto"/>
              </w:rPr>
            </w:pPr>
          </w:p>
        </w:tc>
      </w:tr>
      <w:tr>
        <w:trPr>
          <w:trHeight w:val="224"/>
        </w:trPr>
        <w:tc>
          <w:tcPr>
            <w:tcW w:w="780" w:type="dxa"/>
            <w:vAlign w:val="bottom"/>
            <w:tcBorders>
              <w:left w:val="single" w:sz="8" w:color="D9D9D9"/>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Calibri" w:cs="Calibri" w:eastAsia="Calibri" w:hAnsi="Calibri"/>
                <w:sz w:val="17"/>
                <w:szCs w:val="17"/>
                <w:color w:val="auto"/>
              </w:rPr>
              <w:t>Performance</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Borders>
              <w:right w:val="single" w:sz="8" w:color="D9D9D9"/>
            </w:tcBorders>
          </w:tcPr>
          <w:p>
            <w:pPr>
              <w:spacing w:after="0"/>
              <w:rPr>
                <w:sz w:val="19"/>
                <w:szCs w:val="19"/>
                <w:color w:val="auto"/>
              </w:rPr>
            </w:pPr>
          </w:p>
        </w:tc>
        <w:tc>
          <w:tcPr>
            <w:tcW w:w="60" w:type="dxa"/>
            <w:vAlign w:val="bottom"/>
            <w:tcBorders>
              <w:right w:val="single" w:sz="8" w:color="D9D9D9"/>
            </w:tcBorders>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jc w:val="center"/>
              <w:ind w:left="390"/>
              <w:spacing w:after="0"/>
              <w:rPr>
                <w:sz w:val="20"/>
                <w:szCs w:val="20"/>
                <w:color w:val="auto"/>
              </w:rPr>
            </w:pPr>
            <w:r>
              <w:rPr>
                <w:rFonts w:ascii="Calibri" w:cs="Calibri" w:eastAsia="Calibri" w:hAnsi="Calibri"/>
                <w:sz w:val="17"/>
                <w:szCs w:val="17"/>
                <w:color w:val="auto"/>
                <w:w w:val="98"/>
              </w:rPr>
              <w:t>Performance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Borders>
              <w:right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780" w:type="dxa"/>
            <w:vAlign w:val="bottom"/>
            <w:tcBorders>
              <w:left w:val="single" w:sz="8" w:color="D9D9D9"/>
            </w:tcBorders>
            <w:vMerge w:val="restart"/>
          </w:tcPr>
          <w:p>
            <w:pPr>
              <w:jc w:val="right"/>
              <w:ind w:right="40"/>
              <w:spacing w:after="0"/>
              <w:rPr>
                <w:sz w:val="20"/>
                <w:szCs w:val="20"/>
                <w:color w:val="auto"/>
              </w:rPr>
            </w:pPr>
            <w:r>
              <w:rPr>
                <w:rFonts w:ascii="Calibri" w:cs="Calibri" w:eastAsia="Calibri" w:hAnsi="Calibri"/>
                <w:sz w:val="11"/>
                <w:szCs w:val="11"/>
                <w:color w:val="262626"/>
              </w:rPr>
              <w:t>$45,000,000</w:t>
            </w:r>
          </w:p>
        </w:tc>
        <w:tc>
          <w:tcPr>
            <w:tcW w:w="32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480" w:type="dxa"/>
            <w:vAlign w:val="bottom"/>
            <w:tcBorders>
              <w:bottom w:val="single" w:sz="8" w:color="D9D9D9"/>
            </w:tcBorders>
          </w:tcPr>
          <w:p>
            <w:pPr>
              <w:spacing w:after="0"/>
              <w:rPr>
                <w:sz w:val="12"/>
                <w:szCs w:val="12"/>
                <w:color w:val="auto"/>
              </w:rPr>
            </w:pPr>
          </w:p>
        </w:tc>
        <w:tc>
          <w:tcPr>
            <w:tcW w:w="8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68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1060" w:type="dxa"/>
            <w:vAlign w:val="bottom"/>
            <w:tcBorders>
              <w:bottom w:val="single" w:sz="8" w:color="D9D9D9"/>
            </w:tcBorders>
          </w:tcPr>
          <w:p>
            <w:pPr>
              <w:spacing w:after="0"/>
              <w:rPr>
                <w:sz w:val="12"/>
                <w:szCs w:val="12"/>
                <w:color w:val="auto"/>
              </w:rPr>
            </w:pPr>
          </w:p>
        </w:tc>
        <w:tc>
          <w:tcPr>
            <w:tcW w:w="480" w:type="dxa"/>
            <w:vAlign w:val="bottom"/>
            <w:tcBorders>
              <w:right w:val="single" w:sz="8" w:color="D9D9D9"/>
            </w:tcBorders>
            <w:vMerge w:val="restart"/>
          </w:tcPr>
          <w:p>
            <w:pPr>
              <w:jc w:val="right"/>
              <w:ind w:right="43"/>
              <w:spacing w:after="0"/>
              <w:rPr>
                <w:sz w:val="20"/>
                <w:szCs w:val="20"/>
                <w:color w:val="auto"/>
              </w:rPr>
            </w:pPr>
            <w:r>
              <w:rPr>
                <w:rFonts w:ascii="Calibri" w:cs="Calibri" w:eastAsia="Calibri" w:hAnsi="Calibri"/>
                <w:sz w:val="11"/>
                <w:szCs w:val="11"/>
                <w:color w:val="262626"/>
              </w:rPr>
              <w:t>$6.50</w:t>
            </w:r>
          </w:p>
        </w:tc>
        <w:tc>
          <w:tcPr>
            <w:tcW w:w="60" w:type="dxa"/>
            <w:vAlign w:val="bottom"/>
            <w:tcBorders>
              <w:right w:val="single" w:sz="8" w:color="D9D9D9"/>
            </w:tcBorders>
            <w:vMerge w:val="restart"/>
          </w:tcPr>
          <w:p>
            <w:pPr>
              <w:spacing w:after="0"/>
              <w:rPr>
                <w:sz w:val="12"/>
                <w:szCs w:val="12"/>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262626"/>
              </w:rPr>
              <w:t>$45,000,000</w:t>
            </w:r>
          </w:p>
        </w:tc>
        <w:tc>
          <w:tcPr>
            <w:tcW w:w="20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80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680" w:type="dxa"/>
            <w:vAlign w:val="bottom"/>
            <w:tcBorders>
              <w:bottom w:val="single" w:sz="8" w:color="D9D9D9"/>
            </w:tcBorders>
          </w:tcPr>
          <w:p>
            <w:pPr>
              <w:spacing w:after="0"/>
              <w:rPr>
                <w:sz w:val="12"/>
                <w:szCs w:val="12"/>
                <w:color w:val="auto"/>
              </w:rPr>
            </w:pPr>
          </w:p>
        </w:tc>
        <w:tc>
          <w:tcPr>
            <w:tcW w:w="240" w:type="dxa"/>
            <w:vAlign w:val="bottom"/>
            <w:tcBorders>
              <w:bottom w:val="single" w:sz="8" w:color="D9D9D9"/>
            </w:tcBorders>
          </w:tcPr>
          <w:p>
            <w:pPr>
              <w:spacing w:after="0"/>
              <w:rPr>
                <w:sz w:val="12"/>
                <w:szCs w:val="12"/>
                <w:color w:val="auto"/>
              </w:rPr>
            </w:pPr>
          </w:p>
        </w:tc>
        <w:tc>
          <w:tcPr>
            <w:tcW w:w="920" w:type="dxa"/>
            <w:vAlign w:val="bottom"/>
            <w:tcBorders>
              <w:bottom w:val="single" w:sz="8" w:color="D9D9D9"/>
            </w:tcBorders>
          </w:tcPr>
          <w:p>
            <w:pPr>
              <w:spacing w:after="0"/>
              <w:rPr>
                <w:sz w:val="12"/>
                <w:szCs w:val="12"/>
                <w:color w:val="auto"/>
              </w:rPr>
            </w:pPr>
          </w:p>
        </w:tc>
        <w:tc>
          <w:tcPr>
            <w:tcW w:w="500" w:type="dxa"/>
            <w:vAlign w:val="bottom"/>
            <w:tcBorders>
              <w:right w:val="single" w:sz="8" w:color="D9D9D9"/>
            </w:tcBorders>
            <w:vMerge w:val="restart"/>
          </w:tcPr>
          <w:p>
            <w:pPr>
              <w:jc w:val="right"/>
              <w:ind w:right="43"/>
              <w:spacing w:after="0"/>
              <w:rPr>
                <w:sz w:val="20"/>
                <w:szCs w:val="20"/>
                <w:color w:val="auto"/>
              </w:rPr>
            </w:pPr>
            <w:r>
              <w:rPr>
                <w:rFonts w:ascii="Calibri" w:cs="Calibri" w:eastAsia="Calibri" w:hAnsi="Calibri"/>
                <w:sz w:val="11"/>
                <w:szCs w:val="11"/>
                <w:color w:val="262626"/>
              </w:rPr>
              <w:t>$6.50</w:t>
            </w:r>
          </w:p>
        </w:tc>
        <w:tc>
          <w:tcPr>
            <w:tcW w:w="0" w:type="dxa"/>
            <w:vAlign w:val="bottom"/>
          </w:tcPr>
          <w:p>
            <w:pPr>
              <w:spacing w:after="0"/>
              <w:rPr>
                <w:sz w:val="1"/>
                <w:szCs w:val="1"/>
                <w:color w:val="auto"/>
              </w:rPr>
            </w:pPr>
          </w:p>
        </w:tc>
      </w:tr>
      <w:tr>
        <w:trPr>
          <w:trHeight w:val="49"/>
        </w:trPr>
        <w:tc>
          <w:tcPr>
            <w:tcW w:w="780" w:type="dxa"/>
            <w:vAlign w:val="bottom"/>
            <w:tcBorders>
              <w:left w:val="single" w:sz="8" w:color="D9D9D9"/>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80" w:type="dxa"/>
            <w:vAlign w:val="bottom"/>
            <w:tcBorders>
              <w:right w:val="single" w:sz="8" w:color="D9D9D9"/>
            </w:tcBorders>
            <w:vMerge w:val="continue"/>
          </w:tcPr>
          <w:p>
            <w:pPr>
              <w:spacing w:after="0"/>
              <w:rPr>
                <w:sz w:val="4"/>
                <w:szCs w:val="4"/>
                <w:color w:val="auto"/>
              </w:rPr>
            </w:pPr>
          </w:p>
        </w:tc>
        <w:tc>
          <w:tcPr>
            <w:tcW w:w="60" w:type="dxa"/>
            <w:vAlign w:val="bottom"/>
            <w:tcBorders>
              <w:right w:val="single" w:sz="8" w:color="D9D9D9"/>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D9D9D9"/>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80" w:type="dxa"/>
            <w:vAlign w:val="bottom"/>
            <w:tcBorders>
              <w:left w:val="single" w:sz="8" w:color="D9D9D9"/>
            </w:tcBorders>
            <w:vMerge w:val="restart"/>
          </w:tcPr>
          <w:p>
            <w:pPr>
              <w:jc w:val="right"/>
              <w:ind w:right="40"/>
              <w:spacing w:after="0"/>
              <w:rPr>
                <w:sz w:val="20"/>
                <w:szCs w:val="20"/>
                <w:color w:val="auto"/>
              </w:rPr>
            </w:pPr>
            <w:r>
              <w:rPr>
                <w:rFonts w:ascii="Calibri" w:cs="Calibri" w:eastAsia="Calibri" w:hAnsi="Calibri"/>
                <w:sz w:val="11"/>
                <w:szCs w:val="11"/>
                <w:color w:val="262626"/>
              </w:rPr>
              <w:t>$37,500,000</w:t>
            </w:r>
          </w:p>
        </w:tc>
        <w:tc>
          <w:tcPr>
            <w:tcW w:w="32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480" w:type="dxa"/>
            <w:vAlign w:val="bottom"/>
            <w:tcBorders>
              <w:bottom w:val="single" w:sz="8" w:color="D9D9D9"/>
            </w:tcBorders>
          </w:tcPr>
          <w:p>
            <w:pPr>
              <w:spacing w:after="0"/>
              <w:rPr>
                <w:sz w:val="12"/>
                <w:szCs w:val="12"/>
                <w:color w:val="auto"/>
              </w:rPr>
            </w:pPr>
          </w:p>
        </w:tc>
        <w:tc>
          <w:tcPr>
            <w:tcW w:w="8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68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1060" w:type="dxa"/>
            <w:vAlign w:val="bottom"/>
            <w:tcBorders>
              <w:bottom w:val="single" w:sz="8" w:color="D9D9D9"/>
            </w:tcBorders>
          </w:tcPr>
          <w:p>
            <w:pPr>
              <w:spacing w:after="0"/>
              <w:rPr>
                <w:sz w:val="12"/>
                <w:szCs w:val="12"/>
                <w:color w:val="auto"/>
              </w:rPr>
            </w:pPr>
          </w:p>
        </w:tc>
        <w:tc>
          <w:tcPr>
            <w:tcW w:w="480" w:type="dxa"/>
            <w:vAlign w:val="bottom"/>
            <w:tcBorders>
              <w:right w:val="single" w:sz="8" w:color="D9D9D9"/>
            </w:tcBorders>
          </w:tcPr>
          <w:p>
            <w:pPr>
              <w:spacing w:after="0"/>
              <w:rPr>
                <w:sz w:val="12"/>
                <w:szCs w:val="12"/>
                <w:color w:val="auto"/>
              </w:rPr>
            </w:pPr>
          </w:p>
        </w:tc>
        <w:tc>
          <w:tcPr>
            <w:tcW w:w="60" w:type="dxa"/>
            <w:vAlign w:val="bottom"/>
            <w:tcBorders>
              <w:right w:val="single" w:sz="8" w:color="D9D9D9"/>
            </w:tcBorders>
            <w:vMerge w:val="restart"/>
          </w:tcPr>
          <w:p>
            <w:pPr>
              <w:spacing w:after="0"/>
              <w:rPr>
                <w:sz w:val="12"/>
                <w:szCs w:val="12"/>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262626"/>
              </w:rPr>
              <w:t>$37,500,000</w:t>
            </w:r>
          </w:p>
        </w:tc>
        <w:tc>
          <w:tcPr>
            <w:tcW w:w="20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80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680" w:type="dxa"/>
            <w:vAlign w:val="bottom"/>
            <w:tcBorders>
              <w:bottom w:val="single" w:sz="8" w:color="D9D9D9"/>
            </w:tcBorders>
          </w:tcPr>
          <w:p>
            <w:pPr>
              <w:spacing w:after="0"/>
              <w:rPr>
                <w:sz w:val="12"/>
                <w:szCs w:val="12"/>
                <w:color w:val="auto"/>
              </w:rPr>
            </w:pPr>
          </w:p>
        </w:tc>
        <w:tc>
          <w:tcPr>
            <w:tcW w:w="240" w:type="dxa"/>
            <w:vAlign w:val="bottom"/>
            <w:tcBorders>
              <w:bottom w:val="single" w:sz="8" w:color="D9D9D9"/>
            </w:tcBorders>
          </w:tcPr>
          <w:p>
            <w:pPr>
              <w:spacing w:after="0"/>
              <w:rPr>
                <w:sz w:val="12"/>
                <w:szCs w:val="12"/>
                <w:color w:val="auto"/>
              </w:rPr>
            </w:pPr>
          </w:p>
        </w:tc>
        <w:tc>
          <w:tcPr>
            <w:tcW w:w="920" w:type="dxa"/>
            <w:vAlign w:val="bottom"/>
            <w:tcBorders>
              <w:bottom w:val="single" w:sz="8" w:color="D9D9D9"/>
            </w:tcBorders>
          </w:tcPr>
          <w:p>
            <w:pPr>
              <w:spacing w:after="0"/>
              <w:rPr>
                <w:sz w:val="12"/>
                <w:szCs w:val="12"/>
                <w:color w:val="auto"/>
              </w:rPr>
            </w:pPr>
          </w:p>
        </w:tc>
        <w:tc>
          <w:tcPr>
            <w:tcW w:w="500" w:type="dxa"/>
            <w:vAlign w:val="bottom"/>
            <w:tcBorders>
              <w:right w:val="single" w:sz="8" w:color="D9D9D9"/>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80" w:type="dxa"/>
            <w:vAlign w:val="bottom"/>
            <w:tcBorders>
              <w:left w:val="single" w:sz="8" w:color="D9D9D9"/>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Borders>
              <w:right w:val="single" w:sz="8" w:color="D9D9D9"/>
            </w:tcBorders>
            <w:gridSpan w:val="3"/>
            <w:vMerge w:val="restart"/>
          </w:tcPr>
          <w:p>
            <w:pPr>
              <w:jc w:val="right"/>
              <w:ind w:right="43"/>
              <w:spacing w:after="0" w:line="119" w:lineRule="exact"/>
              <w:rPr>
                <w:sz w:val="20"/>
                <w:szCs w:val="20"/>
                <w:color w:val="auto"/>
              </w:rPr>
            </w:pPr>
            <w:r>
              <w:rPr>
                <w:rFonts w:ascii="Calibri" w:cs="Calibri" w:eastAsia="Calibri" w:hAnsi="Calibri"/>
                <w:sz w:val="11"/>
                <w:szCs w:val="11"/>
                <w:color w:val="262626"/>
              </w:rPr>
              <w:t>$6.00</w:t>
            </w:r>
          </w:p>
        </w:tc>
        <w:tc>
          <w:tcPr>
            <w:tcW w:w="60" w:type="dxa"/>
            <w:vAlign w:val="bottom"/>
            <w:tcBorders>
              <w:right w:val="single" w:sz="8" w:color="D9D9D9"/>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60" w:type="dxa"/>
            <w:vAlign w:val="bottom"/>
            <w:tcBorders>
              <w:right w:val="single" w:sz="8" w:color="D9D9D9"/>
            </w:tcBorders>
            <w:gridSpan w:val="3"/>
            <w:vMerge w:val="restart"/>
          </w:tcPr>
          <w:p>
            <w:pPr>
              <w:jc w:val="right"/>
              <w:ind w:right="43"/>
              <w:spacing w:after="0" w:line="119" w:lineRule="exact"/>
              <w:rPr>
                <w:sz w:val="20"/>
                <w:szCs w:val="20"/>
                <w:color w:val="auto"/>
              </w:rPr>
            </w:pPr>
            <w:r>
              <w:rPr>
                <w:rFonts w:ascii="Calibri" w:cs="Calibri" w:eastAsia="Calibri" w:hAnsi="Calibri"/>
                <w:sz w:val="11"/>
                <w:szCs w:val="11"/>
                <w:color w:val="262626"/>
              </w:rPr>
              <w:t>$6.00</w:t>
            </w:r>
          </w:p>
        </w:tc>
        <w:tc>
          <w:tcPr>
            <w:tcW w:w="0" w:type="dxa"/>
            <w:vAlign w:val="bottom"/>
          </w:tcPr>
          <w:p>
            <w:pPr>
              <w:spacing w:after="0"/>
              <w:rPr>
                <w:sz w:val="1"/>
                <w:szCs w:val="1"/>
                <w:color w:val="auto"/>
              </w:rPr>
            </w:pPr>
          </w:p>
        </w:tc>
      </w:tr>
      <w:tr>
        <w:trPr>
          <w:trHeight w:val="69"/>
        </w:trPr>
        <w:tc>
          <w:tcPr>
            <w:tcW w:w="780" w:type="dxa"/>
            <w:vAlign w:val="bottom"/>
            <w:tcBorders>
              <w:left w:val="single" w:sz="8" w:color="D9D9D9"/>
            </w:tcBorders>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60" w:type="dxa"/>
            <w:vAlign w:val="bottom"/>
            <w:tcBorders>
              <w:right w:val="single" w:sz="8" w:color="D9D9D9"/>
            </w:tcBorders>
            <w:gridSpan w:val="3"/>
            <w:vMerge w:val="continue"/>
          </w:tcPr>
          <w:p>
            <w:pPr>
              <w:spacing w:after="0"/>
              <w:rPr>
                <w:sz w:val="5"/>
                <w:szCs w:val="5"/>
                <w:color w:val="auto"/>
              </w:rPr>
            </w:pPr>
          </w:p>
        </w:tc>
        <w:tc>
          <w:tcPr>
            <w:tcW w:w="60" w:type="dxa"/>
            <w:vAlign w:val="bottom"/>
            <w:tcBorders>
              <w:right w:val="single" w:sz="8" w:color="D9D9D9"/>
            </w:tcBorders>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60" w:type="dxa"/>
            <w:vAlign w:val="bottom"/>
            <w:tcBorders>
              <w:right w:val="single" w:sz="8" w:color="D9D9D9"/>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80" w:type="dxa"/>
            <w:vAlign w:val="bottom"/>
            <w:tcBorders>
              <w:left w:val="single" w:sz="8" w:color="D9D9D9"/>
            </w:tcBorders>
            <w:vMerge w:val="restart"/>
          </w:tcPr>
          <w:p>
            <w:pPr>
              <w:jc w:val="right"/>
              <w:ind w:right="40"/>
              <w:spacing w:after="0"/>
              <w:rPr>
                <w:sz w:val="20"/>
                <w:szCs w:val="20"/>
                <w:color w:val="auto"/>
              </w:rPr>
            </w:pPr>
            <w:r>
              <w:rPr>
                <w:rFonts w:ascii="Calibri" w:cs="Calibri" w:eastAsia="Calibri" w:hAnsi="Calibri"/>
                <w:sz w:val="11"/>
                <w:szCs w:val="11"/>
                <w:color w:val="262626"/>
              </w:rPr>
              <w:t>$30,000,000</w:t>
            </w:r>
          </w:p>
        </w:tc>
        <w:tc>
          <w:tcPr>
            <w:tcW w:w="320" w:type="dxa"/>
            <w:vAlign w:val="bottom"/>
            <w:tcBorders>
              <w:bottom w:val="single" w:sz="8" w:color="D9D9D9"/>
            </w:tcBorders>
          </w:tcPr>
          <w:p>
            <w:pPr>
              <w:spacing w:after="0"/>
              <w:rPr>
                <w:sz w:val="6"/>
                <w:szCs w:val="6"/>
                <w:color w:val="auto"/>
              </w:rPr>
            </w:pPr>
          </w:p>
        </w:tc>
        <w:tc>
          <w:tcPr>
            <w:tcW w:w="220" w:type="dxa"/>
            <w:vAlign w:val="bottom"/>
            <w:tcBorders>
              <w:bottom w:val="single" w:sz="8" w:color="D9D9D9"/>
            </w:tcBorders>
          </w:tcPr>
          <w:p>
            <w:pPr>
              <w:spacing w:after="0"/>
              <w:rPr>
                <w:sz w:val="6"/>
                <w:szCs w:val="6"/>
                <w:color w:val="auto"/>
              </w:rPr>
            </w:pPr>
          </w:p>
        </w:tc>
        <w:tc>
          <w:tcPr>
            <w:tcW w:w="480" w:type="dxa"/>
            <w:vAlign w:val="bottom"/>
            <w:tcBorders>
              <w:bottom w:val="single" w:sz="8" w:color="D9D9D9"/>
            </w:tcBorders>
          </w:tcPr>
          <w:p>
            <w:pPr>
              <w:spacing w:after="0"/>
              <w:rPr>
                <w:sz w:val="6"/>
                <w:szCs w:val="6"/>
                <w:color w:val="auto"/>
              </w:rPr>
            </w:pPr>
          </w:p>
        </w:tc>
        <w:tc>
          <w:tcPr>
            <w:tcW w:w="80" w:type="dxa"/>
            <w:vAlign w:val="bottom"/>
            <w:tcBorders>
              <w:bottom w:val="single" w:sz="8" w:color="D9D9D9"/>
            </w:tcBorders>
          </w:tcPr>
          <w:p>
            <w:pPr>
              <w:spacing w:after="0"/>
              <w:rPr>
                <w:sz w:val="6"/>
                <w:szCs w:val="6"/>
                <w:color w:val="auto"/>
              </w:rPr>
            </w:pPr>
          </w:p>
        </w:tc>
        <w:tc>
          <w:tcPr>
            <w:tcW w:w="220" w:type="dxa"/>
            <w:vAlign w:val="bottom"/>
            <w:tcBorders>
              <w:bottom w:val="single" w:sz="8" w:color="D9D9D9"/>
            </w:tcBorders>
          </w:tcPr>
          <w:p>
            <w:pPr>
              <w:spacing w:after="0"/>
              <w:rPr>
                <w:sz w:val="6"/>
                <w:szCs w:val="6"/>
                <w:color w:val="auto"/>
              </w:rPr>
            </w:pPr>
          </w:p>
        </w:tc>
        <w:tc>
          <w:tcPr>
            <w:tcW w:w="680" w:type="dxa"/>
            <w:vAlign w:val="bottom"/>
            <w:tcBorders>
              <w:bottom w:val="single" w:sz="8" w:color="D9D9D9"/>
            </w:tcBorders>
          </w:tcPr>
          <w:p>
            <w:pPr>
              <w:spacing w:after="0"/>
              <w:rPr>
                <w:sz w:val="6"/>
                <w:szCs w:val="6"/>
                <w:color w:val="auto"/>
              </w:rPr>
            </w:pPr>
          </w:p>
        </w:tc>
        <w:tc>
          <w:tcPr>
            <w:tcW w:w="220" w:type="dxa"/>
            <w:vAlign w:val="bottom"/>
            <w:tcBorders>
              <w:bottom w:val="single" w:sz="8" w:color="D9D9D9"/>
            </w:tcBorders>
          </w:tcPr>
          <w:p>
            <w:pPr>
              <w:spacing w:after="0"/>
              <w:rPr>
                <w:sz w:val="6"/>
                <w:szCs w:val="6"/>
                <w:color w:val="auto"/>
              </w:rPr>
            </w:pPr>
          </w:p>
        </w:tc>
        <w:tc>
          <w:tcPr>
            <w:tcW w:w="1060" w:type="dxa"/>
            <w:vAlign w:val="bottom"/>
            <w:tcBorders>
              <w:bottom w:val="single" w:sz="8" w:color="D9D9D9"/>
            </w:tcBorders>
          </w:tcPr>
          <w:p>
            <w:pPr>
              <w:spacing w:after="0"/>
              <w:rPr>
                <w:sz w:val="6"/>
                <w:szCs w:val="6"/>
                <w:color w:val="auto"/>
              </w:rPr>
            </w:pPr>
          </w:p>
        </w:tc>
        <w:tc>
          <w:tcPr>
            <w:tcW w:w="480" w:type="dxa"/>
            <w:vAlign w:val="bottom"/>
            <w:tcBorders>
              <w:right w:val="single" w:sz="8" w:color="D9D9D9"/>
            </w:tcBorders>
          </w:tcPr>
          <w:p>
            <w:pPr>
              <w:spacing w:after="0"/>
              <w:rPr>
                <w:sz w:val="6"/>
                <w:szCs w:val="6"/>
                <w:color w:val="auto"/>
              </w:rPr>
            </w:pPr>
          </w:p>
        </w:tc>
        <w:tc>
          <w:tcPr>
            <w:tcW w:w="60" w:type="dxa"/>
            <w:vAlign w:val="bottom"/>
            <w:tcBorders>
              <w:right w:val="single" w:sz="8" w:color="D9D9D9"/>
            </w:tcBorders>
            <w:vMerge w:val="restart"/>
          </w:tcPr>
          <w:p>
            <w:pPr>
              <w:spacing w:after="0"/>
              <w:rPr>
                <w:sz w:val="6"/>
                <w:szCs w:val="6"/>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262626"/>
              </w:rPr>
              <w:t>$30,000,000</w:t>
            </w:r>
          </w:p>
        </w:tc>
        <w:tc>
          <w:tcPr>
            <w:tcW w:w="200" w:type="dxa"/>
            <w:vAlign w:val="bottom"/>
            <w:tcBorders>
              <w:bottom w:val="single" w:sz="8" w:color="D9D9D9"/>
            </w:tcBorders>
          </w:tcPr>
          <w:p>
            <w:pPr>
              <w:spacing w:after="0"/>
              <w:rPr>
                <w:sz w:val="6"/>
                <w:szCs w:val="6"/>
                <w:color w:val="auto"/>
              </w:rPr>
            </w:pPr>
          </w:p>
        </w:tc>
        <w:tc>
          <w:tcPr>
            <w:tcW w:w="220" w:type="dxa"/>
            <w:vAlign w:val="bottom"/>
            <w:tcBorders>
              <w:bottom w:val="single" w:sz="8" w:color="D9D9D9"/>
            </w:tcBorders>
          </w:tcPr>
          <w:p>
            <w:pPr>
              <w:spacing w:after="0"/>
              <w:rPr>
                <w:sz w:val="6"/>
                <w:szCs w:val="6"/>
                <w:color w:val="auto"/>
              </w:rPr>
            </w:pPr>
          </w:p>
        </w:tc>
        <w:tc>
          <w:tcPr>
            <w:tcW w:w="800" w:type="dxa"/>
            <w:vAlign w:val="bottom"/>
            <w:tcBorders>
              <w:bottom w:val="single" w:sz="8" w:color="D9D9D9"/>
            </w:tcBorders>
          </w:tcPr>
          <w:p>
            <w:pPr>
              <w:spacing w:after="0"/>
              <w:rPr>
                <w:sz w:val="6"/>
                <w:szCs w:val="6"/>
                <w:color w:val="auto"/>
              </w:rPr>
            </w:pPr>
          </w:p>
        </w:tc>
        <w:tc>
          <w:tcPr>
            <w:tcW w:w="220" w:type="dxa"/>
            <w:vAlign w:val="bottom"/>
            <w:tcBorders>
              <w:bottom w:val="single" w:sz="8" w:color="D9D9D9"/>
            </w:tcBorders>
          </w:tcPr>
          <w:p>
            <w:pPr>
              <w:spacing w:after="0"/>
              <w:rPr>
                <w:sz w:val="6"/>
                <w:szCs w:val="6"/>
                <w:color w:val="auto"/>
              </w:rPr>
            </w:pPr>
          </w:p>
        </w:tc>
        <w:tc>
          <w:tcPr>
            <w:tcW w:w="680" w:type="dxa"/>
            <w:vAlign w:val="bottom"/>
            <w:tcBorders>
              <w:bottom w:val="single" w:sz="8" w:color="D9D9D9"/>
            </w:tcBorders>
          </w:tcPr>
          <w:p>
            <w:pPr>
              <w:spacing w:after="0"/>
              <w:rPr>
                <w:sz w:val="6"/>
                <w:szCs w:val="6"/>
                <w:color w:val="auto"/>
              </w:rPr>
            </w:pPr>
          </w:p>
        </w:tc>
        <w:tc>
          <w:tcPr>
            <w:tcW w:w="240" w:type="dxa"/>
            <w:vAlign w:val="bottom"/>
            <w:tcBorders>
              <w:bottom w:val="single" w:sz="8" w:color="D9D9D9"/>
            </w:tcBorders>
          </w:tcPr>
          <w:p>
            <w:pPr>
              <w:spacing w:after="0"/>
              <w:rPr>
                <w:sz w:val="6"/>
                <w:szCs w:val="6"/>
                <w:color w:val="auto"/>
              </w:rPr>
            </w:pPr>
          </w:p>
        </w:tc>
        <w:tc>
          <w:tcPr>
            <w:tcW w:w="920" w:type="dxa"/>
            <w:vAlign w:val="bottom"/>
            <w:tcBorders>
              <w:bottom w:val="single" w:sz="8" w:color="D9D9D9"/>
            </w:tcBorders>
          </w:tcPr>
          <w:p>
            <w:pPr>
              <w:spacing w:after="0"/>
              <w:rPr>
                <w:sz w:val="6"/>
                <w:szCs w:val="6"/>
                <w:color w:val="auto"/>
              </w:rPr>
            </w:pPr>
          </w:p>
        </w:tc>
        <w:tc>
          <w:tcPr>
            <w:tcW w:w="500" w:type="dxa"/>
            <w:vAlign w:val="bottom"/>
            <w:tcBorders>
              <w:right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780" w:type="dxa"/>
            <w:vAlign w:val="bottom"/>
            <w:tcBorders>
              <w:left w:val="single" w:sz="8" w:color="D9D9D9"/>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Borders>
              <w:right w:val="single" w:sz="8" w:color="D9D9D9"/>
            </w:tcBorders>
            <w:gridSpan w:val="3"/>
            <w:vMerge w:val="restart"/>
          </w:tcPr>
          <w:p>
            <w:pPr>
              <w:jc w:val="right"/>
              <w:ind w:right="43"/>
              <w:spacing w:after="0"/>
              <w:rPr>
                <w:sz w:val="20"/>
                <w:szCs w:val="20"/>
                <w:color w:val="auto"/>
              </w:rPr>
            </w:pPr>
            <w:r>
              <w:rPr>
                <w:rFonts w:ascii="Calibri" w:cs="Calibri" w:eastAsia="Calibri" w:hAnsi="Calibri"/>
                <w:sz w:val="11"/>
                <w:szCs w:val="11"/>
                <w:color w:val="262626"/>
              </w:rPr>
              <w:t>$5.50</w:t>
            </w:r>
          </w:p>
        </w:tc>
        <w:tc>
          <w:tcPr>
            <w:tcW w:w="60" w:type="dxa"/>
            <w:vAlign w:val="bottom"/>
            <w:tcBorders>
              <w:right w:val="single" w:sz="8" w:color="D9D9D9"/>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60" w:type="dxa"/>
            <w:vAlign w:val="bottom"/>
            <w:tcBorders>
              <w:right w:val="single" w:sz="8" w:color="D9D9D9"/>
            </w:tcBorders>
            <w:gridSpan w:val="3"/>
            <w:vMerge w:val="restart"/>
          </w:tcPr>
          <w:p>
            <w:pPr>
              <w:jc w:val="right"/>
              <w:ind w:right="43"/>
              <w:spacing w:after="0"/>
              <w:rPr>
                <w:sz w:val="20"/>
                <w:szCs w:val="20"/>
                <w:color w:val="auto"/>
              </w:rPr>
            </w:pPr>
            <w:r>
              <w:rPr>
                <w:rFonts w:ascii="Calibri" w:cs="Calibri" w:eastAsia="Calibri" w:hAnsi="Calibri"/>
                <w:sz w:val="11"/>
                <w:szCs w:val="11"/>
                <w:color w:val="262626"/>
              </w:rPr>
              <w:t>$5.50</w:t>
            </w:r>
          </w:p>
        </w:tc>
        <w:tc>
          <w:tcPr>
            <w:tcW w:w="0" w:type="dxa"/>
            <w:vAlign w:val="bottom"/>
          </w:tcPr>
          <w:p>
            <w:pPr>
              <w:spacing w:after="0"/>
              <w:rPr>
                <w:sz w:val="1"/>
                <w:szCs w:val="1"/>
                <w:color w:val="auto"/>
              </w:rPr>
            </w:pPr>
          </w:p>
        </w:tc>
      </w:tr>
      <w:tr>
        <w:trPr>
          <w:trHeight w:val="89"/>
        </w:trPr>
        <w:tc>
          <w:tcPr>
            <w:tcW w:w="780" w:type="dxa"/>
            <w:vAlign w:val="bottom"/>
            <w:tcBorders>
              <w:left w:val="single" w:sz="8" w:color="D9D9D9"/>
            </w:tcBorders>
            <w:vMerge w:val="restart"/>
          </w:tcPr>
          <w:p>
            <w:pPr>
              <w:jc w:val="right"/>
              <w:ind w:right="40"/>
              <w:spacing w:after="0"/>
              <w:rPr>
                <w:sz w:val="20"/>
                <w:szCs w:val="20"/>
                <w:color w:val="auto"/>
              </w:rPr>
            </w:pPr>
            <w:r>
              <w:rPr>
                <w:rFonts w:ascii="Calibri" w:cs="Calibri" w:eastAsia="Calibri" w:hAnsi="Calibri"/>
                <w:sz w:val="11"/>
                <w:szCs w:val="11"/>
                <w:color w:val="262626"/>
              </w:rPr>
              <w:t>$22,500,000</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760" w:type="dxa"/>
            <w:vAlign w:val="bottom"/>
            <w:tcBorders>
              <w:right w:val="single" w:sz="8" w:color="D9D9D9"/>
            </w:tcBorders>
            <w:gridSpan w:val="3"/>
            <w:vMerge w:val="continue"/>
          </w:tcPr>
          <w:p>
            <w:pPr>
              <w:spacing w:after="0"/>
              <w:rPr>
                <w:sz w:val="7"/>
                <w:szCs w:val="7"/>
                <w:color w:val="auto"/>
              </w:rPr>
            </w:pPr>
          </w:p>
        </w:tc>
        <w:tc>
          <w:tcPr>
            <w:tcW w:w="60" w:type="dxa"/>
            <w:vAlign w:val="bottom"/>
            <w:tcBorders>
              <w:right w:val="single" w:sz="8" w:color="D9D9D9"/>
            </w:tcBorders>
          </w:tcPr>
          <w:p>
            <w:pPr>
              <w:spacing w:after="0"/>
              <w:rPr>
                <w:sz w:val="7"/>
                <w:szCs w:val="7"/>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262626"/>
              </w:rPr>
              <w:t>$22,500,000</w:t>
            </w: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60" w:type="dxa"/>
            <w:vAlign w:val="bottom"/>
            <w:tcBorders>
              <w:right w:val="single" w:sz="8" w:color="D9D9D9"/>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80" w:type="dxa"/>
            <w:vAlign w:val="bottom"/>
            <w:tcBorders>
              <w:left w:val="single" w:sz="8" w:color="D9D9D9"/>
            </w:tcBorders>
            <w:vMerge w:val="continue"/>
          </w:tcPr>
          <w:p>
            <w:pPr>
              <w:spacing w:after="0"/>
              <w:rPr>
                <w:sz w:val="5"/>
                <w:szCs w:val="5"/>
                <w:color w:val="auto"/>
              </w:rPr>
            </w:pPr>
          </w:p>
        </w:tc>
        <w:tc>
          <w:tcPr>
            <w:tcW w:w="320" w:type="dxa"/>
            <w:vAlign w:val="bottom"/>
            <w:tcBorders>
              <w:bottom w:val="single" w:sz="8" w:color="D9D9D9"/>
            </w:tcBorders>
          </w:tcPr>
          <w:p>
            <w:pPr>
              <w:spacing w:after="0"/>
              <w:rPr>
                <w:sz w:val="5"/>
                <w:szCs w:val="5"/>
                <w:color w:val="auto"/>
              </w:rPr>
            </w:pPr>
          </w:p>
        </w:tc>
        <w:tc>
          <w:tcPr>
            <w:tcW w:w="220" w:type="dxa"/>
            <w:vAlign w:val="bottom"/>
            <w:tcBorders>
              <w:bottom w:val="single" w:sz="8" w:color="D9D9D9"/>
            </w:tcBorders>
          </w:tcPr>
          <w:p>
            <w:pPr>
              <w:spacing w:after="0"/>
              <w:rPr>
                <w:sz w:val="5"/>
                <w:szCs w:val="5"/>
                <w:color w:val="auto"/>
              </w:rPr>
            </w:pPr>
          </w:p>
        </w:tc>
        <w:tc>
          <w:tcPr>
            <w:tcW w:w="480" w:type="dxa"/>
            <w:vAlign w:val="bottom"/>
            <w:tcBorders>
              <w:bottom w:val="single" w:sz="8" w:color="D9D9D9"/>
            </w:tcBorders>
          </w:tcPr>
          <w:p>
            <w:pPr>
              <w:spacing w:after="0"/>
              <w:rPr>
                <w:sz w:val="5"/>
                <w:szCs w:val="5"/>
                <w:color w:val="auto"/>
              </w:rPr>
            </w:pPr>
          </w:p>
        </w:tc>
        <w:tc>
          <w:tcPr>
            <w:tcW w:w="80" w:type="dxa"/>
            <w:vAlign w:val="bottom"/>
            <w:tcBorders>
              <w:bottom w:val="single" w:sz="8" w:color="D9D9D9"/>
            </w:tcBorders>
          </w:tcPr>
          <w:p>
            <w:pPr>
              <w:spacing w:after="0"/>
              <w:rPr>
                <w:sz w:val="5"/>
                <w:szCs w:val="5"/>
                <w:color w:val="auto"/>
              </w:rPr>
            </w:pPr>
          </w:p>
        </w:tc>
        <w:tc>
          <w:tcPr>
            <w:tcW w:w="220" w:type="dxa"/>
            <w:vAlign w:val="bottom"/>
            <w:tcBorders>
              <w:bottom w:val="single" w:sz="8" w:color="D9D9D9"/>
            </w:tcBorders>
          </w:tcPr>
          <w:p>
            <w:pPr>
              <w:spacing w:after="0"/>
              <w:rPr>
                <w:sz w:val="5"/>
                <w:szCs w:val="5"/>
                <w:color w:val="auto"/>
              </w:rPr>
            </w:pPr>
          </w:p>
        </w:tc>
        <w:tc>
          <w:tcPr>
            <w:tcW w:w="680" w:type="dxa"/>
            <w:vAlign w:val="bottom"/>
            <w:tcBorders>
              <w:bottom w:val="single" w:sz="8" w:color="D9D9D9"/>
            </w:tcBorders>
          </w:tcPr>
          <w:p>
            <w:pPr>
              <w:spacing w:after="0"/>
              <w:rPr>
                <w:sz w:val="5"/>
                <w:szCs w:val="5"/>
                <w:color w:val="auto"/>
              </w:rPr>
            </w:pPr>
          </w:p>
        </w:tc>
        <w:tc>
          <w:tcPr>
            <w:tcW w:w="220" w:type="dxa"/>
            <w:vAlign w:val="bottom"/>
            <w:tcBorders>
              <w:bottom w:val="single" w:sz="8" w:color="D9D9D9"/>
            </w:tcBorders>
          </w:tcPr>
          <w:p>
            <w:pPr>
              <w:spacing w:after="0"/>
              <w:rPr>
                <w:sz w:val="5"/>
                <w:szCs w:val="5"/>
                <w:color w:val="auto"/>
              </w:rPr>
            </w:pPr>
          </w:p>
        </w:tc>
        <w:tc>
          <w:tcPr>
            <w:tcW w:w="1060" w:type="dxa"/>
            <w:vAlign w:val="bottom"/>
            <w:tcBorders>
              <w:bottom w:val="single" w:sz="8" w:color="D9D9D9"/>
            </w:tcBorders>
          </w:tcPr>
          <w:p>
            <w:pPr>
              <w:spacing w:after="0"/>
              <w:rPr>
                <w:sz w:val="5"/>
                <w:szCs w:val="5"/>
                <w:color w:val="auto"/>
              </w:rPr>
            </w:pPr>
          </w:p>
        </w:tc>
        <w:tc>
          <w:tcPr>
            <w:tcW w:w="480" w:type="dxa"/>
            <w:vAlign w:val="bottom"/>
            <w:tcBorders>
              <w:right w:val="single" w:sz="8" w:color="D9D9D9"/>
            </w:tcBorders>
          </w:tcPr>
          <w:p>
            <w:pPr>
              <w:spacing w:after="0"/>
              <w:rPr>
                <w:sz w:val="5"/>
                <w:szCs w:val="5"/>
                <w:color w:val="auto"/>
              </w:rPr>
            </w:pPr>
          </w:p>
        </w:tc>
        <w:tc>
          <w:tcPr>
            <w:tcW w:w="60" w:type="dxa"/>
            <w:vAlign w:val="bottom"/>
            <w:tcBorders>
              <w:right w:val="single" w:sz="8" w:color="D9D9D9"/>
            </w:tcBorders>
            <w:vMerge w:val="restart"/>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220" w:type="dxa"/>
            <w:vAlign w:val="bottom"/>
            <w:tcBorders>
              <w:bottom w:val="single" w:sz="8" w:color="D9D9D9"/>
            </w:tcBorders>
          </w:tcPr>
          <w:p>
            <w:pPr>
              <w:spacing w:after="0"/>
              <w:rPr>
                <w:sz w:val="5"/>
                <w:szCs w:val="5"/>
                <w:color w:val="auto"/>
              </w:rPr>
            </w:pPr>
          </w:p>
        </w:tc>
        <w:tc>
          <w:tcPr>
            <w:tcW w:w="800" w:type="dxa"/>
            <w:vAlign w:val="bottom"/>
            <w:tcBorders>
              <w:bottom w:val="single" w:sz="8" w:color="D9D9D9"/>
            </w:tcBorders>
          </w:tcPr>
          <w:p>
            <w:pPr>
              <w:spacing w:after="0"/>
              <w:rPr>
                <w:sz w:val="5"/>
                <w:szCs w:val="5"/>
                <w:color w:val="auto"/>
              </w:rPr>
            </w:pPr>
          </w:p>
        </w:tc>
        <w:tc>
          <w:tcPr>
            <w:tcW w:w="220" w:type="dxa"/>
            <w:vAlign w:val="bottom"/>
            <w:tcBorders>
              <w:bottom w:val="single" w:sz="8" w:color="D9D9D9"/>
            </w:tcBorders>
          </w:tcPr>
          <w:p>
            <w:pPr>
              <w:spacing w:after="0"/>
              <w:rPr>
                <w:sz w:val="5"/>
                <w:szCs w:val="5"/>
                <w:color w:val="auto"/>
              </w:rPr>
            </w:pPr>
          </w:p>
        </w:tc>
        <w:tc>
          <w:tcPr>
            <w:tcW w:w="680" w:type="dxa"/>
            <w:vAlign w:val="bottom"/>
            <w:tcBorders>
              <w:bottom w:val="single" w:sz="8" w:color="D9D9D9"/>
            </w:tcBorders>
          </w:tcPr>
          <w:p>
            <w:pPr>
              <w:spacing w:after="0"/>
              <w:rPr>
                <w:sz w:val="5"/>
                <w:szCs w:val="5"/>
                <w:color w:val="auto"/>
              </w:rPr>
            </w:pPr>
          </w:p>
        </w:tc>
        <w:tc>
          <w:tcPr>
            <w:tcW w:w="240" w:type="dxa"/>
            <w:vAlign w:val="bottom"/>
            <w:tcBorders>
              <w:bottom w:val="single" w:sz="8" w:color="D9D9D9"/>
            </w:tcBorders>
          </w:tcPr>
          <w:p>
            <w:pPr>
              <w:spacing w:after="0"/>
              <w:rPr>
                <w:sz w:val="5"/>
                <w:szCs w:val="5"/>
                <w:color w:val="auto"/>
              </w:rPr>
            </w:pPr>
          </w:p>
        </w:tc>
        <w:tc>
          <w:tcPr>
            <w:tcW w:w="920" w:type="dxa"/>
            <w:vAlign w:val="bottom"/>
            <w:tcBorders>
              <w:bottom w:val="single" w:sz="8" w:color="D9D9D9"/>
            </w:tcBorders>
          </w:tcPr>
          <w:p>
            <w:pPr>
              <w:spacing w:after="0"/>
              <w:rPr>
                <w:sz w:val="5"/>
                <w:szCs w:val="5"/>
                <w:color w:val="auto"/>
              </w:rPr>
            </w:pPr>
          </w:p>
        </w:tc>
        <w:tc>
          <w:tcPr>
            <w:tcW w:w="500" w:type="dxa"/>
            <w:vAlign w:val="bottom"/>
            <w:tcBorders>
              <w:right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780" w:type="dxa"/>
            <w:vAlign w:val="bottom"/>
            <w:tcBorders>
              <w:left w:val="single" w:sz="8" w:color="D9D9D9"/>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80" w:type="dxa"/>
            <w:vAlign w:val="bottom"/>
            <w:gridSpan w:val="2"/>
            <w:vMerge w:val="restart"/>
          </w:tcPr>
          <w:p>
            <w:pPr>
              <w:spacing w:after="0"/>
              <w:rPr>
                <w:sz w:val="4"/>
                <w:szCs w:val="4"/>
                <w:color w:val="auto"/>
              </w:rPr>
            </w:pPr>
          </w:p>
        </w:tc>
        <w:tc>
          <w:tcPr>
            <w:tcW w:w="480" w:type="dxa"/>
            <w:vAlign w:val="bottom"/>
            <w:tcBorders>
              <w:right w:val="single" w:sz="8" w:color="D9D9D9"/>
            </w:tcBorders>
            <w:vMerge w:val="restart"/>
          </w:tcPr>
          <w:p>
            <w:pPr>
              <w:jc w:val="right"/>
              <w:ind w:right="43"/>
              <w:spacing w:after="0"/>
              <w:rPr>
                <w:sz w:val="20"/>
                <w:szCs w:val="20"/>
                <w:color w:val="auto"/>
              </w:rPr>
            </w:pPr>
            <w:r>
              <w:rPr>
                <w:rFonts w:ascii="Calibri" w:cs="Calibri" w:eastAsia="Calibri" w:hAnsi="Calibri"/>
                <w:sz w:val="11"/>
                <w:szCs w:val="11"/>
                <w:color w:val="262626"/>
              </w:rPr>
              <w:t>$5.00</w:t>
            </w:r>
          </w:p>
        </w:tc>
        <w:tc>
          <w:tcPr>
            <w:tcW w:w="60" w:type="dxa"/>
            <w:vAlign w:val="bottom"/>
            <w:tcBorders>
              <w:right w:val="single" w:sz="8" w:color="D9D9D9"/>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gridSpan w:val="2"/>
            <w:vMerge w:val="restart"/>
          </w:tcPr>
          <w:p>
            <w:pPr>
              <w:spacing w:after="0"/>
              <w:rPr>
                <w:sz w:val="4"/>
                <w:szCs w:val="4"/>
                <w:color w:val="auto"/>
              </w:rPr>
            </w:pPr>
          </w:p>
        </w:tc>
        <w:tc>
          <w:tcPr>
            <w:tcW w:w="500" w:type="dxa"/>
            <w:vAlign w:val="bottom"/>
            <w:tcBorders>
              <w:right w:val="single" w:sz="8" w:color="D9D9D9"/>
            </w:tcBorders>
            <w:vMerge w:val="restart"/>
          </w:tcPr>
          <w:p>
            <w:pPr>
              <w:jc w:val="right"/>
              <w:ind w:right="43"/>
              <w:spacing w:after="0"/>
              <w:rPr>
                <w:sz w:val="20"/>
                <w:szCs w:val="20"/>
                <w:color w:val="auto"/>
              </w:rPr>
            </w:pPr>
            <w:r>
              <w:rPr>
                <w:rFonts w:ascii="Calibri" w:cs="Calibri" w:eastAsia="Calibri" w:hAnsi="Calibri"/>
                <w:sz w:val="11"/>
                <w:szCs w:val="11"/>
                <w:color w:val="262626"/>
              </w:rPr>
              <w:t>$5.00</w:t>
            </w:r>
          </w:p>
        </w:tc>
        <w:tc>
          <w:tcPr>
            <w:tcW w:w="0" w:type="dxa"/>
            <w:vAlign w:val="bottom"/>
          </w:tcPr>
          <w:p>
            <w:pPr>
              <w:spacing w:after="0"/>
              <w:rPr>
                <w:sz w:val="1"/>
                <w:szCs w:val="1"/>
                <w:color w:val="auto"/>
              </w:rPr>
            </w:pPr>
          </w:p>
        </w:tc>
      </w:tr>
      <w:tr>
        <w:trPr>
          <w:trHeight w:val="137"/>
        </w:trPr>
        <w:tc>
          <w:tcPr>
            <w:tcW w:w="780" w:type="dxa"/>
            <w:vAlign w:val="bottom"/>
            <w:tcBorders>
              <w:left w:val="single" w:sz="8" w:color="D9D9D9"/>
            </w:tcBorders>
            <w:vMerge w:val="restart"/>
          </w:tcPr>
          <w:p>
            <w:pPr>
              <w:jc w:val="right"/>
              <w:ind w:right="40"/>
              <w:spacing w:after="0"/>
              <w:rPr>
                <w:sz w:val="20"/>
                <w:szCs w:val="20"/>
                <w:color w:val="auto"/>
              </w:rPr>
            </w:pPr>
            <w:r>
              <w:rPr>
                <w:rFonts w:ascii="Calibri" w:cs="Calibri" w:eastAsia="Calibri" w:hAnsi="Calibri"/>
                <w:sz w:val="11"/>
                <w:szCs w:val="11"/>
                <w:color w:val="262626"/>
              </w:rPr>
              <w:t>$15,000,000</w:t>
            </w:r>
          </w:p>
        </w:tc>
        <w:tc>
          <w:tcPr>
            <w:tcW w:w="320" w:type="dxa"/>
            <w:vAlign w:val="bottom"/>
            <w:tcBorders>
              <w:bottom w:val="single" w:sz="8" w:color="D9D9D9"/>
            </w:tcBorders>
          </w:tcPr>
          <w:p>
            <w:pPr>
              <w:spacing w:after="0"/>
              <w:rPr>
                <w:sz w:val="11"/>
                <w:szCs w:val="11"/>
                <w:color w:val="auto"/>
              </w:rPr>
            </w:pPr>
          </w:p>
        </w:tc>
        <w:tc>
          <w:tcPr>
            <w:tcW w:w="220" w:type="dxa"/>
            <w:vAlign w:val="bottom"/>
            <w:tcBorders>
              <w:bottom w:val="single" w:sz="8" w:color="D9D9D9"/>
            </w:tcBorders>
          </w:tcPr>
          <w:p>
            <w:pPr>
              <w:spacing w:after="0"/>
              <w:rPr>
                <w:sz w:val="11"/>
                <w:szCs w:val="11"/>
                <w:color w:val="auto"/>
              </w:rPr>
            </w:pPr>
          </w:p>
        </w:tc>
        <w:tc>
          <w:tcPr>
            <w:tcW w:w="480" w:type="dxa"/>
            <w:vAlign w:val="bottom"/>
            <w:tcBorders>
              <w:bottom w:val="single" w:sz="8" w:color="D9D9D9"/>
            </w:tcBorders>
          </w:tcPr>
          <w:p>
            <w:pPr>
              <w:spacing w:after="0"/>
              <w:rPr>
                <w:sz w:val="11"/>
                <w:szCs w:val="11"/>
                <w:color w:val="auto"/>
              </w:rPr>
            </w:pPr>
          </w:p>
        </w:tc>
        <w:tc>
          <w:tcPr>
            <w:tcW w:w="80" w:type="dxa"/>
            <w:vAlign w:val="bottom"/>
            <w:tcBorders>
              <w:bottom w:val="single" w:sz="8" w:color="D9D9D9"/>
            </w:tcBorders>
          </w:tcPr>
          <w:p>
            <w:pPr>
              <w:spacing w:after="0"/>
              <w:rPr>
                <w:sz w:val="11"/>
                <w:szCs w:val="11"/>
                <w:color w:val="auto"/>
              </w:rPr>
            </w:pPr>
          </w:p>
        </w:tc>
        <w:tc>
          <w:tcPr>
            <w:tcW w:w="220" w:type="dxa"/>
            <w:vAlign w:val="bottom"/>
            <w:tcBorders>
              <w:bottom w:val="single" w:sz="8" w:color="D9D9D9"/>
            </w:tcBorders>
          </w:tcPr>
          <w:p>
            <w:pPr>
              <w:spacing w:after="0"/>
              <w:rPr>
                <w:sz w:val="11"/>
                <w:szCs w:val="11"/>
                <w:color w:val="auto"/>
              </w:rPr>
            </w:pPr>
          </w:p>
        </w:tc>
        <w:tc>
          <w:tcPr>
            <w:tcW w:w="680" w:type="dxa"/>
            <w:vAlign w:val="bottom"/>
            <w:tcBorders>
              <w:bottom w:val="single" w:sz="8" w:color="D9D9D9"/>
            </w:tcBorders>
          </w:tcPr>
          <w:p>
            <w:pPr>
              <w:spacing w:after="0"/>
              <w:rPr>
                <w:sz w:val="11"/>
                <w:szCs w:val="11"/>
                <w:color w:val="auto"/>
              </w:rPr>
            </w:pPr>
          </w:p>
        </w:tc>
        <w:tc>
          <w:tcPr>
            <w:tcW w:w="1280" w:type="dxa"/>
            <w:vAlign w:val="bottom"/>
            <w:tcBorders>
              <w:bottom w:val="single" w:sz="8" w:color="D9D9D9"/>
            </w:tcBorders>
            <w:gridSpan w:val="2"/>
            <w:vMerge w:val="continue"/>
          </w:tcPr>
          <w:p>
            <w:pPr>
              <w:spacing w:after="0"/>
              <w:rPr>
                <w:sz w:val="11"/>
                <w:szCs w:val="11"/>
                <w:color w:val="auto"/>
              </w:rPr>
            </w:pPr>
          </w:p>
        </w:tc>
        <w:tc>
          <w:tcPr>
            <w:tcW w:w="480" w:type="dxa"/>
            <w:vAlign w:val="bottom"/>
            <w:tcBorders>
              <w:right w:val="single" w:sz="8" w:color="D9D9D9"/>
            </w:tcBorders>
            <w:vMerge w:val="continue"/>
          </w:tcPr>
          <w:p>
            <w:pPr>
              <w:spacing w:after="0"/>
              <w:rPr>
                <w:sz w:val="11"/>
                <w:szCs w:val="11"/>
                <w:color w:val="auto"/>
              </w:rPr>
            </w:pPr>
          </w:p>
        </w:tc>
        <w:tc>
          <w:tcPr>
            <w:tcW w:w="60" w:type="dxa"/>
            <w:vAlign w:val="bottom"/>
            <w:tcBorders>
              <w:right w:val="single" w:sz="8" w:color="D9D9D9"/>
            </w:tcBorders>
          </w:tcPr>
          <w:p>
            <w:pPr>
              <w:spacing w:after="0"/>
              <w:rPr>
                <w:sz w:val="11"/>
                <w:szCs w:val="11"/>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262626"/>
              </w:rPr>
              <w:t>$15,000,000</w:t>
            </w:r>
          </w:p>
        </w:tc>
        <w:tc>
          <w:tcPr>
            <w:tcW w:w="200" w:type="dxa"/>
            <w:vAlign w:val="bottom"/>
            <w:tcBorders>
              <w:bottom w:val="single" w:sz="8" w:color="D9D9D9"/>
            </w:tcBorders>
          </w:tcPr>
          <w:p>
            <w:pPr>
              <w:spacing w:after="0"/>
              <w:rPr>
                <w:sz w:val="11"/>
                <w:szCs w:val="11"/>
                <w:color w:val="auto"/>
              </w:rPr>
            </w:pPr>
          </w:p>
        </w:tc>
        <w:tc>
          <w:tcPr>
            <w:tcW w:w="220" w:type="dxa"/>
            <w:vAlign w:val="bottom"/>
            <w:tcBorders>
              <w:bottom w:val="single" w:sz="8" w:color="D9D9D9"/>
            </w:tcBorders>
          </w:tcPr>
          <w:p>
            <w:pPr>
              <w:spacing w:after="0"/>
              <w:rPr>
                <w:sz w:val="11"/>
                <w:szCs w:val="11"/>
                <w:color w:val="auto"/>
              </w:rPr>
            </w:pPr>
          </w:p>
        </w:tc>
        <w:tc>
          <w:tcPr>
            <w:tcW w:w="800" w:type="dxa"/>
            <w:vAlign w:val="bottom"/>
            <w:tcBorders>
              <w:bottom w:val="single" w:sz="8" w:color="D9D9D9"/>
            </w:tcBorders>
          </w:tcPr>
          <w:p>
            <w:pPr>
              <w:spacing w:after="0"/>
              <w:rPr>
                <w:sz w:val="11"/>
                <w:szCs w:val="11"/>
                <w:color w:val="auto"/>
              </w:rPr>
            </w:pPr>
          </w:p>
        </w:tc>
        <w:tc>
          <w:tcPr>
            <w:tcW w:w="220" w:type="dxa"/>
            <w:vAlign w:val="bottom"/>
            <w:tcBorders>
              <w:bottom w:val="single" w:sz="8" w:color="D9D9D9"/>
            </w:tcBorders>
          </w:tcPr>
          <w:p>
            <w:pPr>
              <w:spacing w:after="0"/>
              <w:rPr>
                <w:sz w:val="11"/>
                <w:szCs w:val="11"/>
                <w:color w:val="auto"/>
              </w:rPr>
            </w:pPr>
          </w:p>
        </w:tc>
        <w:tc>
          <w:tcPr>
            <w:tcW w:w="680" w:type="dxa"/>
            <w:vAlign w:val="bottom"/>
            <w:tcBorders>
              <w:bottom w:val="single" w:sz="8" w:color="D9D9D9"/>
            </w:tcBorders>
          </w:tcPr>
          <w:p>
            <w:pPr>
              <w:spacing w:after="0"/>
              <w:rPr>
                <w:sz w:val="11"/>
                <w:szCs w:val="11"/>
                <w:color w:val="auto"/>
              </w:rPr>
            </w:pPr>
          </w:p>
        </w:tc>
        <w:tc>
          <w:tcPr>
            <w:tcW w:w="1160" w:type="dxa"/>
            <w:vAlign w:val="bottom"/>
            <w:tcBorders>
              <w:bottom w:val="single" w:sz="8" w:color="D9D9D9"/>
            </w:tcBorders>
            <w:gridSpan w:val="2"/>
            <w:vMerge w:val="continue"/>
          </w:tcPr>
          <w:p>
            <w:pPr>
              <w:spacing w:after="0"/>
              <w:rPr>
                <w:sz w:val="11"/>
                <w:szCs w:val="11"/>
                <w:color w:val="auto"/>
              </w:rPr>
            </w:pPr>
          </w:p>
        </w:tc>
        <w:tc>
          <w:tcPr>
            <w:tcW w:w="500" w:type="dxa"/>
            <w:vAlign w:val="bottom"/>
            <w:tcBorders>
              <w:right w:val="single" w:sz="8" w:color="D9D9D9"/>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780" w:type="dxa"/>
            <w:vAlign w:val="bottom"/>
            <w:tcBorders>
              <w:left w:val="single" w:sz="8" w:color="D9D9D9"/>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60" w:type="dxa"/>
            <w:vAlign w:val="bottom"/>
            <w:tcBorders>
              <w:right w:val="single" w:sz="8" w:color="D9D9D9"/>
            </w:tcBorders>
            <w:gridSpan w:val="3"/>
            <w:vMerge w:val="restart"/>
          </w:tcPr>
          <w:p>
            <w:pPr>
              <w:jc w:val="right"/>
              <w:ind w:right="43"/>
              <w:spacing w:after="0"/>
              <w:rPr>
                <w:sz w:val="20"/>
                <w:szCs w:val="20"/>
                <w:color w:val="auto"/>
              </w:rPr>
            </w:pPr>
            <w:r>
              <w:rPr>
                <w:rFonts w:ascii="Calibri" w:cs="Calibri" w:eastAsia="Calibri" w:hAnsi="Calibri"/>
                <w:sz w:val="11"/>
                <w:szCs w:val="11"/>
                <w:color w:val="262626"/>
              </w:rPr>
              <w:t>$4.50</w:t>
            </w:r>
          </w:p>
        </w:tc>
        <w:tc>
          <w:tcPr>
            <w:tcW w:w="60" w:type="dxa"/>
            <w:vAlign w:val="bottom"/>
            <w:tcBorders>
              <w:right w:val="single" w:sz="8" w:color="D9D9D9"/>
            </w:tcBorders>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60" w:type="dxa"/>
            <w:vAlign w:val="bottom"/>
            <w:tcBorders>
              <w:right w:val="single" w:sz="8" w:color="D9D9D9"/>
            </w:tcBorders>
            <w:gridSpan w:val="3"/>
            <w:vMerge w:val="restart"/>
          </w:tcPr>
          <w:p>
            <w:pPr>
              <w:jc w:val="right"/>
              <w:ind w:right="43"/>
              <w:spacing w:after="0"/>
              <w:rPr>
                <w:sz w:val="20"/>
                <w:szCs w:val="20"/>
                <w:color w:val="auto"/>
              </w:rPr>
            </w:pPr>
            <w:r>
              <w:rPr>
                <w:rFonts w:ascii="Calibri" w:cs="Calibri" w:eastAsia="Calibri" w:hAnsi="Calibri"/>
                <w:sz w:val="11"/>
                <w:szCs w:val="11"/>
                <w:color w:val="262626"/>
              </w:rPr>
              <w:t>$4.50</w:t>
            </w:r>
          </w:p>
        </w:tc>
        <w:tc>
          <w:tcPr>
            <w:tcW w:w="0" w:type="dxa"/>
            <w:vAlign w:val="bottom"/>
          </w:tcPr>
          <w:p>
            <w:pPr>
              <w:spacing w:after="0"/>
              <w:rPr>
                <w:sz w:val="1"/>
                <w:szCs w:val="1"/>
                <w:color w:val="auto"/>
              </w:rPr>
            </w:pPr>
          </w:p>
        </w:tc>
      </w:tr>
      <w:tr>
        <w:trPr>
          <w:trHeight w:val="147"/>
        </w:trPr>
        <w:tc>
          <w:tcPr>
            <w:tcW w:w="780" w:type="dxa"/>
            <w:vAlign w:val="bottom"/>
            <w:tcBorders>
              <w:left w:val="single" w:sz="8" w:color="D9D9D9"/>
            </w:tcBorders>
            <w:vMerge w:val="restart"/>
          </w:tcPr>
          <w:p>
            <w:pPr>
              <w:jc w:val="right"/>
              <w:ind w:right="40"/>
              <w:spacing w:after="0"/>
              <w:rPr>
                <w:sz w:val="20"/>
                <w:szCs w:val="20"/>
                <w:color w:val="auto"/>
              </w:rPr>
            </w:pPr>
            <w:r>
              <w:rPr>
                <w:rFonts w:ascii="Calibri" w:cs="Calibri" w:eastAsia="Calibri" w:hAnsi="Calibri"/>
                <w:sz w:val="11"/>
                <w:szCs w:val="11"/>
                <w:color w:val="262626"/>
              </w:rPr>
              <w:t>$7,500,000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Borders>
              <w:right w:val="single" w:sz="8" w:color="D9D9D9"/>
            </w:tcBorders>
            <w:gridSpan w:val="3"/>
            <w:vMerge w:val="continue"/>
          </w:tcPr>
          <w:p>
            <w:pPr>
              <w:spacing w:after="0"/>
              <w:rPr>
                <w:sz w:val="12"/>
                <w:szCs w:val="12"/>
                <w:color w:val="auto"/>
              </w:rPr>
            </w:pPr>
          </w:p>
        </w:tc>
        <w:tc>
          <w:tcPr>
            <w:tcW w:w="60" w:type="dxa"/>
            <w:vAlign w:val="bottom"/>
            <w:tcBorders>
              <w:right w:val="single" w:sz="8" w:color="D9D9D9"/>
            </w:tcBorders>
          </w:tcPr>
          <w:p>
            <w:pPr>
              <w:spacing w:after="0"/>
              <w:rPr>
                <w:sz w:val="12"/>
                <w:szCs w:val="12"/>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262626"/>
              </w:rPr>
              <w:t>$7,500,000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60" w:type="dxa"/>
            <w:vAlign w:val="bottom"/>
            <w:tcBorders>
              <w:right w:val="single" w:sz="8" w:color="D9D9D9"/>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780" w:type="dxa"/>
            <w:vAlign w:val="bottom"/>
            <w:tcBorders>
              <w:left w:val="single" w:sz="8" w:color="D9D9D9"/>
            </w:tcBorders>
            <w:vMerge w:val="continue"/>
          </w:tcPr>
          <w:p>
            <w:pPr>
              <w:spacing w:after="0"/>
              <w:rPr>
                <w:sz w:val="4"/>
                <w:szCs w:val="4"/>
                <w:color w:val="auto"/>
              </w:rPr>
            </w:pPr>
          </w:p>
        </w:tc>
        <w:tc>
          <w:tcPr>
            <w:tcW w:w="320" w:type="dxa"/>
            <w:vAlign w:val="bottom"/>
            <w:tcBorders>
              <w:top w:val="single" w:sz="8" w:color="D9D9D9"/>
            </w:tcBorders>
          </w:tcPr>
          <w:p>
            <w:pPr>
              <w:spacing w:after="0"/>
              <w:rPr>
                <w:sz w:val="4"/>
                <w:szCs w:val="4"/>
                <w:color w:val="auto"/>
              </w:rPr>
            </w:pPr>
          </w:p>
        </w:tc>
        <w:tc>
          <w:tcPr>
            <w:tcW w:w="220" w:type="dxa"/>
            <w:vAlign w:val="bottom"/>
            <w:tcBorders>
              <w:top w:val="single" w:sz="8" w:color="D9D9D9"/>
            </w:tcBorders>
          </w:tcPr>
          <w:p>
            <w:pPr>
              <w:spacing w:after="0"/>
              <w:rPr>
                <w:sz w:val="4"/>
                <w:szCs w:val="4"/>
                <w:color w:val="auto"/>
              </w:rPr>
            </w:pPr>
          </w:p>
        </w:tc>
        <w:tc>
          <w:tcPr>
            <w:tcW w:w="480" w:type="dxa"/>
            <w:vAlign w:val="bottom"/>
            <w:tcBorders>
              <w:top w:val="single" w:sz="8" w:color="D9D9D9"/>
            </w:tcBorders>
          </w:tcPr>
          <w:p>
            <w:pPr>
              <w:spacing w:after="0"/>
              <w:rPr>
                <w:sz w:val="4"/>
                <w:szCs w:val="4"/>
                <w:color w:val="auto"/>
              </w:rPr>
            </w:pPr>
          </w:p>
        </w:tc>
        <w:tc>
          <w:tcPr>
            <w:tcW w:w="80" w:type="dxa"/>
            <w:vAlign w:val="bottom"/>
            <w:tcBorders>
              <w:top w:val="single" w:sz="8" w:color="D9D9D9"/>
            </w:tcBorders>
          </w:tcPr>
          <w:p>
            <w:pPr>
              <w:spacing w:after="0"/>
              <w:rPr>
                <w:sz w:val="4"/>
                <w:szCs w:val="4"/>
                <w:color w:val="auto"/>
              </w:rPr>
            </w:pPr>
          </w:p>
        </w:tc>
        <w:tc>
          <w:tcPr>
            <w:tcW w:w="220" w:type="dxa"/>
            <w:vAlign w:val="bottom"/>
            <w:tcBorders>
              <w:top w:val="single" w:sz="8" w:color="D9D9D9"/>
            </w:tcBorders>
          </w:tcPr>
          <w:p>
            <w:pPr>
              <w:spacing w:after="0"/>
              <w:rPr>
                <w:sz w:val="4"/>
                <w:szCs w:val="4"/>
                <w:color w:val="auto"/>
              </w:rPr>
            </w:pPr>
          </w:p>
        </w:tc>
        <w:tc>
          <w:tcPr>
            <w:tcW w:w="680" w:type="dxa"/>
            <w:vAlign w:val="bottom"/>
            <w:tcBorders>
              <w:top w:val="single" w:sz="8" w:color="D9D9D9"/>
            </w:tcBorders>
          </w:tcPr>
          <w:p>
            <w:pPr>
              <w:spacing w:after="0"/>
              <w:rPr>
                <w:sz w:val="4"/>
                <w:szCs w:val="4"/>
                <w:color w:val="auto"/>
              </w:rPr>
            </w:pPr>
          </w:p>
        </w:tc>
        <w:tc>
          <w:tcPr>
            <w:tcW w:w="220" w:type="dxa"/>
            <w:vAlign w:val="bottom"/>
            <w:tcBorders>
              <w:top w:val="single" w:sz="8" w:color="D9D9D9"/>
            </w:tcBorders>
          </w:tcPr>
          <w:p>
            <w:pPr>
              <w:spacing w:after="0"/>
              <w:rPr>
                <w:sz w:val="4"/>
                <w:szCs w:val="4"/>
                <w:color w:val="auto"/>
              </w:rPr>
            </w:pPr>
          </w:p>
        </w:tc>
        <w:tc>
          <w:tcPr>
            <w:tcW w:w="1060" w:type="dxa"/>
            <w:vAlign w:val="bottom"/>
            <w:tcBorders>
              <w:top w:val="single" w:sz="8" w:color="D9D9D9"/>
            </w:tcBorders>
          </w:tcPr>
          <w:p>
            <w:pPr>
              <w:spacing w:after="0"/>
              <w:rPr>
                <w:sz w:val="4"/>
                <w:szCs w:val="4"/>
                <w:color w:val="auto"/>
              </w:rPr>
            </w:pPr>
          </w:p>
        </w:tc>
        <w:tc>
          <w:tcPr>
            <w:tcW w:w="480" w:type="dxa"/>
            <w:vAlign w:val="bottom"/>
            <w:tcBorders>
              <w:right w:val="single" w:sz="8" w:color="D9D9D9"/>
            </w:tcBorders>
          </w:tcPr>
          <w:p>
            <w:pPr>
              <w:spacing w:after="0"/>
              <w:rPr>
                <w:sz w:val="4"/>
                <w:szCs w:val="4"/>
                <w:color w:val="auto"/>
              </w:rPr>
            </w:pPr>
          </w:p>
        </w:tc>
        <w:tc>
          <w:tcPr>
            <w:tcW w:w="60" w:type="dxa"/>
            <w:vAlign w:val="bottom"/>
            <w:tcBorders>
              <w:right w:val="single" w:sz="8" w:color="D9D9D9"/>
            </w:tcBorders>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Borders>
              <w:top w:val="single" w:sz="8" w:color="D9D9D9"/>
            </w:tcBorders>
          </w:tcPr>
          <w:p>
            <w:pPr>
              <w:spacing w:after="0"/>
              <w:rPr>
                <w:sz w:val="4"/>
                <w:szCs w:val="4"/>
                <w:color w:val="auto"/>
              </w:rPr>
            </w:pPr>
          </w:p>
        </w:tc>
        <w:tc>
          <w:tcPr>
            <w:tcW w:w="220" w:type="dxa"/>
            <w:vAlign w:val="bottom"/>
            <w:tcBorders>
              <w:top w:val="single" w:sz="8" w:color="D9D9D9"/>
            </w:tcBorders>
          </w:tcPr>
          <w:p>
            <w:pPr>
              <w:spacing w:after="0"/>
              <w:rPr>
                <w:sz w:val="4"/>
                <w:szCs w:val="4"/>
                <w:color w:val="auto"/>
              </w:rPr>
            </w:pPr>
          </w:p>
        </w:tc>
        <w:tc>
          <w:tcPr>
            <w:tcW w:w="800" w:type="dxa"/>
            <w:vAlign w:val="bottom"/>
            <w:tcBorders>
              <w:top w:val="single" w:sz="8" w:color="D9D9D9"/>
            </w:tcBorders>
          </w:tcPr>
          <w:p>
            <w:pPr>
              <w:spacing w:after="0"/>
              <w:rPr>
                <w:sz w:val="4"/>
                <w:szCs w:val="4"/>
                <w:color w:val="auto"/>
              </w:rPr>
            </w:pPr>
          </w:p>
        </w:tc>
        <w:tc>
          <w:tcPr>
            <w:tcW w:w="220" w:type="dxa"/>
            <w:vAlign w:val="bottom"/>
            <w:tcBorders>
              <w:top w:val="single" w:sz="8" w:color="D9D9D9"/>
            </w:tcBorders>
          </w:tcPr>
          <w:p>
            <w:pPr>
              <w:spacing w:after="0"/>
              <w:rPr>
                <w:sz w:val="4"/>
                <w:szCs w:val="4"/>
                <w:color w:val="auto"/>
              </w:rPr>
            </w:pPr>
          </w:p>
        </w:tc>
        <w:tc>
          <w:tcPr>
            <w:tcW w:w="680" w:type="dxa"/>
            <w:vAlign w:val="bottom"/>
            <w:tcBorders>
              <w:top w:val="single" w:sz="8" w:color="D9D9D9"/>
            </w:tcBorders>
          </w:tcPr>
          <w:p>
            <w:pPr>
              <w:spacing w:after="0"/>
              <w:rPr>
                <w:sz w:val="4"/>
                <w:szCs w:val="4"/>
                <w:color w:val="auto"/>
              </w:rPr>
            </w:pPr>
          </w:p>
        </w:tc>
        <w:tc>
          <w:tcPr>
            <w:tcW w:w="240" w:type="dxa"/>
            <w:vAlign w:val="bottom"/>
            <w:tcBorders>
              <w:top w:val="single" w:sz="8" w:color="D9D9D9"/>
            </w:tcBorders>
          </w:tcPr>
          <w:p>
            <w:pPr>
              <w:spacing w:after="0"/>
              <w:rPr>
                <w:sz w:val="4"/>
                <w:szCs w:val="4"/>
                <w:color w:val="auto"/>
              </w:rPr>
            </w:pPr>
          </w:p>
        </w:tc>
        <w:tc>
          <w:tcPr>
            <w:tcW w:w="920" w:type="dxa"/>
            <w:vAlign w:val="bottom"/>
            <w:tcBorders>
              <w:top w:val="single" w:sz="8" w:color="D9D9D9"/>
            </w:tcBorders>
          </w:tcPr>
          <w:p>
            <w:pPr>
              <w:spacing w:after="0"/>
              <w:rPr>
                <w:sz w:val="4"/>
                <w:szCs w:val="4"/>
                <w:color w:val="auto"/>
              </w:rPr>
            </w:pPr>
          </w:p>
        </w:tc>
        <w:tc>
          <w:tcPr>
            <w:tcW w:w="500" w:type="dxa"/>
            <w:vAlign w:val="bottom"/>
            <w:tcBorders>
              <w:right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80" w:type="dxa"/>
            <w:vAlign w:val="bottom"/>
            <w:tcBorders>
              <w:left w:val="single" w:sz="8" w:color="D9D9D9"/>
            </w:tcBorders>
            <w:vMerge w:val="restart"/>
          </w:tcPr>
          <w:p>
            <w:pPr>
              <w:jc w:val="right"/>
              <w:ind w:right="120"/>
              <w:spacing w:after="0"/>
              <w:rPr>
                <w:sz w:val="20"/>
                <w:szCs w:val="20"/>
                <w:color w:val="auto"/>
              </w:rPr>
            </w:pPr>
            <w:r>
              <w:rPr>
                <w:rFonts w:ascii="Calibri" w:cs="Calibri" w:eastAsia="Calibri" w:hAnsi="Calibri"/>
                <w:sz w:val="11"/>
                <w:szCs w:val="11"/>
                <w:color w:val="262626"/>
              </w:rPr>
              <w:t>$-</w:t>
            </w:r>
          </w:p>
        </w:tc>
        <w:tc>
          <w:tcPr>
            <w:tcW w:w="32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480" w:type="dxa"/>
            <w:vAlign w:val="bottom"/>
            <w:tcBorders>
              <w:bottom w:val="single" w:sz="8" w:color="D9D9D9"/>
            </w:tcBorders>
          </w:tcPr>
          <w:p>
            <w:pPr>
              <w:spacing w:after="0"/>
              <w:rPr>
                <w:sz w:val="12"/>
                <w:szCs w:val="12"/>
                <w:color w:val="auto"/>
              </w:rPr>
            </w:pPr>
          </w:p>
        </w:tc>
        <w:tc>
          <w:tcPr>
            <w:tcW w:w="8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68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1060" w:type="dxa"/>
            <w:vAlign w:val="bottom"/>
            <w:tcBorders>
              <w:bottom w:val="single" w:sz="8" w:color="D9D9D9"/>
            </w:tcBorders>
          </w:tcPr>
          <w:p>
            <w:pPr>
              <w:spacing w:after="0"/>
              <w:rPr>
                <w:sz w:val="12"/>
                <w:szCs w:val="12"/>
                <w:color w:val="auto"/>
              </w:rPr>
            </w:pPr>
          </w:p>
        </w:tc>
        <w:tc>
          <w:tcPr>
            <w:tcW w:w="480" w:type="dxa"/>
            <w:vAlign w:val="bottom"/>
            <w:tcBorders>
              <w:right w:val="single" w:sz="8" w:color="D9D9D9"/>
            </w:tcBorders>
            <w:vMerge w:val="restart"/>
          </w:tcPr>
          <w:p>
            <w:pPr>
              <w:jc w:val="right"/>
              <w:ind w:right="43"/>
              <w:spacing w:after="0"/>
              <w:rPr>
                <w:sz w:val="20"/>
                <w:szCs w:val="20"/>
                <w:color w:val="auto"/>
              </w:rPr>
            </w:pPr>
            <w:r>
              <w:rPr>
                <w:rFonts w:ascii="Calibri" w:cs="Calibri" w:eastAsia="Calibri" w:hAnsi="Calibri"/>
                <w:sz w:val="11"/>
                <w:szCs w:val="11"/>
                <w:color w:val="262626"/>
              </w:rPr>
              <w:t>$4.00</w:t>
            </w:r>
          </w:p>
        </w:tc>
        <w:tc>
          <w:tcPr>
            <w:tcW w:w="60" w:type="dxa"/>
            <w:vAlign w:val="bottom"/>
            <w:tcBorders>
              <w:right w:val="single" w:sz="8" w:color="D9D9D9"/>
            </w:tcBorders>
            <w:vMerge w:val="restart"/>
          </w:tcPr>
          <w:p>
            <w:pPr>
              <w:spacing w:after="0"/>
              <w:rPr>
                <w:sz w:val="12"/>
                <w:szCs w:val="12"/>
                <w:color w:val="auto"/>
              </w:rPr>
            </w:pPr>
          </w:p>
        </w:tc>
        <w:tc>
          <w:tcPr>
            <w:tcW w:w="760" w:type="dxa"/>
            <w:vAlign w:val="bottom"/>
            <w:vMerge w:val="restart"/>
          </w:tcPr>
          <w:p>
            <w:pPr>
              <w:jc w:val="right"/>
              <w:ind w:right="100"/>
              <w:spacing w:after="0"/>
              <w:rPr>
                <w:sz w:val="20"/>
                <w:szCs w:val="20"/>
                <w:color w:val="auto"/>
              </w:rPr>
            </w:pPr>
            <w:r>
              <w:rPr>
                <w:rFonts w:ascii="Calibri" w:cs="Calibri" w:eastAsia="Calibri" w:hAnsi="Calibri"/>
                <w:sz w:val="11"/>
                <w:szCs w:val="11"/>
                <w:color w:val="262626"/>
              </w:rPr>
              <w:t>$-</w:t>
            </w:r>
          </w:p>
        </w:tc>
        <w:tc>
          <w:tcPr>
            <w:tcW w:w="20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800" w:type="dxa"/>
            <w:vAlign w:val="bottom"/>
            <w:tcBorders>
              <w:bottom w:val="single" w:sz="8" w:color="D9D9D9"/>
            </w:tcBorders>
          </w:tcPr>
          <w:p>
            <w:pPr>
              <w:spacing w:after="0"/>
              <w:rPr>
                <w:sz w:val="12"/>
                <w:szCs w:val="12"/>
                <w:color w:val="auto"/>
              </w:rPr>
            </w:pPr>
          </w:p>
        </w:tc>
        <w:tc>
          <w:tcPr>
            <w:tcW w:w="220" w:type="dxa"/>
            <w:vAlign w:val="bottom"/>
            <w:tcBorders>
              <w:bottom w:val="single" w:sz="8" w:color="D9D9D9"/>
            </w:tcBorders>
          </w:tcPr>
          <w:p>
            <w:pPr>
              <w:spacing w:after="0"/>
              <w:rPr>
                <w:sz w:val="12"/>
                <w:szCs w:val="12"/>
                <w:color w:val="auto"/>
              </w:rPr>
            </w:pPr>
          </w:p>
        </w:tc>
        <w:tc>
          <w:tcPr>
            <w:tcW w:w="680" w:type="dxa"/>
            <w:vAlign w:val="bottom"/>
            <w:tcBorders>
              <w:bottom w:val="single" w:sz="8" w:color="D9D9D9"/>
            </w:tcBorders>
          </w:tcPr>
          <w:p>
            <w:pPr>
              <w:spacing w:after="0"/>
              <w:rPr>
                <w:sz w:val="12"/>
                <w:szCs w:val="12"/>
                <w:color w:val="auto"/>
              </w:rPr>
            </w:pPr>
          </w:p>
        </w:tc>
        <w:tc>
          <w:tcPr>
            <w:tcW w:w="240" w:type="dxa"/>
            <w:vAlign w:val="bottom"/>
            <w:tcBorders>
              <w:bottom w:val="single" w:sz="8" w:color="D9D9D9"/>
            </w:tcBorders>
          </w:tcPr>
          <w:p>
            <w:pPr>
              <w:spacing w:after="0"/>
              <w:rPr>
                <w:sz w:val="12"/>
                <w:szCs w:val="12"/>
                <w:color w:val="auto"/>
              </w:rPr>
            </w:pPr>
          </w:p>
        </w:tc>
        <w:tc>
          <w:tcPr>
            <w:tcW w:w="920" w:type="dxa"/>
            <w:vAlign w:val="bottom"/>
            <w:tcBorders>
              <w:bottom w:val="single" w:sz="8" w:color="D9D9D9"/>
            </w:tcBorders>
          </w:tcPr>
          <w:p>
            <w:pPr>
              <w:spacing w:after="0"/>
              <w:rPr>
                <w:sz w:val="12"/>
                <w:szCs w:val="12"/>
                <w:color w:val="auto"/>
              </w:rPr>
            </w:pPr>
          </w:p>
        </w:tc>
        <w:tc>
          <w:tcPr>
            <w:tcW w:w="500" w:type="dxa"/>
            <w:vAlign w:val="bottom"/>
            <w:tcBorders>
              <w:right w:val="single" w:sz="8" w:color="D9D9D9"/>
            </w:tcBorders>
            <w:vMerge w:val="restart"/>
          </w:tcPr>
          <w:p>
            <w:pPr>
              <w:jc w:val="right"/>
              <w:ind w:right="43"/>
              <w:spacing w:after="0"/>
              <w:rPr>
                <w:sz w:val="20"/>
                <w:szCs w:val="20"/>
                <w:color w:val="auto"/>
              </w:rPr>
            </w:pPr>
            <w:r>
              <w:rPr>
                <w:rFonts w:ascii="Calibri" w:cs="Calibri" w:eastAsia="Calibri" w:hAnsi="Calibri"/>
                <w:sz w:val="11"/>
                <w:szCs w:val="11"/>
                <w:color w:val="262626"/>
              </w:rPr>
              <w:t>$4.00</w:t>
            </w:r>
          </w:p>
        </w:tc>
        <w:tc>
          <w:tcPr>
            <w:tcW w:w="0" w:type="dxa"/>
            <w:vAlign w:val="bottom"/>
          </w:tcPr>
          <w:p>
            <w:pPr>
              <w:spacing w:after="0"/>
              <w:rPr>
                <w:sz w:val="1"/>
                <w:szCs w:val="1"/>
                <w:color w:val="auto"/>
              </w:rPr>
            </w:pPr>
          </w:p>
        </w:tc>
      </w:tr>
      <w:tr>
        <w:trPr>
          <w:trHeight w:val="41"/>
        </w:trPr>
        <w:tc>
          <w:tcPr>
            <w:tcW w:w="780" w:type="dxa"/>
            <w:vAlign w:val="bottom"/>
            <w:tcBorders>
              <w:left w:val="single" w:sz="8" w:color="D9D9D9"/>
            </w:tcBorders>
            <w:vMerge w:val="continue"/>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Borders>
              <w:right w:val="single" w:sz="8" w:color="D9D9D9"/>
            </w:tcBorders>
            <w:vMerge w:val="continue"/>
          </w:tcPr>
          <w:p>
            <w:pPr>
              <w:spacing w:after="0"/>
              <w:rPr>
                <w:sz w:val="3"/>
                <w:szCs w:val="3"/>
                <w:color w:val="auto"/>
              </w:rPr>
            </w:pPr>
          </w:p>
        </w:tc>
        <w:tc>
          <w:tcPr>
            <w:tcW w:w="60" w:type="dxa"/>
            <w:vAlign w:val="bottom"/>
            <w:tcBorders>
              <w:right w:val="single" w:sz="8" w:color="D9D9D9"/>
            </w:tcBorders>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Borders>
              <w:right w:val="single" w:sz="8" w:color="D9D9D9"/>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D9D9D9"/>
            </w:tcBorders>
            <w:gridSpan w:val="4"/>
          </w:tcPr>
          <w:p>
            <w:pPr>
              <w:jc w:val="right"/>
              <w:ind w:right="303"/>
              <w:spacing w:after="0"/>
              <w:rPr>
                <w:sz w:val="20"/>
                <w:szCs w:val="20"/>
                <w:color w:val="auto"/>
              </w:rPr>
            </w:pPr>
            <w:r>
              <w:rPr>
                <w:rFonts w:ascii="Calibri" w:cs="Calibri" w:eastAsia="Calibri" w:hAnsi="Calibri"/>
                <w:sz w:val="11"/>
                <w:szCs w:val="11"/>
                <w:color w:val="262626"/>
              </w:rPr>
              <w:t>2020</w:t>
            </w:r>
          </w:p>
        </w:tc>
        <w:tc>
          <w:tcPr>
            <w:tcW w:w="980" w:type="dxa"/>
            <w:vAlign w:val="bottom"/>
            <w:gridSpan w:val="3"/>
          </w:tcPr>
          <w:p>
            <w:pPr>
              <w:jc w:val="right"/>
              <w:ind w:right="183"/>
              <w:spacing w:after="0"/>
              <w:rPr>
                <w:sz w:val="20"/>
                <w:szCs w:val="20"/>
                <w:color w:val="auto"/>
              </w:rPr>
            </w:pPr>
            <w:r>
              <w:rPr>
                <w:rFonts w:ascii="Calibri" w:cs="Calibri" w:eastAsia="Calibri" w:hAnsi="Calibri"/>
                <w:sz w:val="11"/>
                <w:szCs w:val="11"/>
                <w:color w:val="262626"/>
              </w:rPr>
              <w:t>2021</w:t>
            </w:r>
          </w:p>
        </w:tc>
        <w:tc>
          <w:tcPr>
            <w:tcW w:w="1280" w:type="dxa"/>
            <w:vAlign w:val="bottom"/>
            <w:gridSpan w:val="2"/>
          </w:tcPr>
          <w:p>
            <w:pPr>
              <w:jc w:val="right"/>
              <w:ind w:right="363"/>
              <w:spacing w:after="0"/>
              <w:rPr>
                <w:sz w:val="20"/>
                <w:szCs w:val="20"/>
                <w:color w:val="auto"/>
              </w:rPr>
            </w:pPr>
            <w:r>
              <w:rPr>
                <w:rFonts w:ascii="Calibri" w:cs="Calibri" w:eastAsia="Calibri" w:hAnsi="Calibri"/>
                <w:sz w:val="11"/>
                <w:szCs w:val="11"/>
                <w:color w:val="262626"/>
              </w:rPr>
              <w:t>2022</w:t>
            </w:r>
          </w:p>
        </w:tc>
        <w:tc>
          <w:tcPr>
            <w:tcW w:w="480" w:type="dxa"/>
            <w:vAlign w:val="bottom"/>
            <w:tcBorders>
              <w:right w:val="single" w:sz="8" w:color="D9D9D9"/>
            </w:tcBorders>
          </w:tcPr>
          <w:p>
            <w:pPr>
              <w:spacing w:after="0"/>
              <w:rPr>
                <w:sz w:val="12"/>
                <w:szCs w:val="12"/>
                <w:color w:val="auto"/>
              </w:rPr>
            </w:pPr>
          </w:p>
        </w:tc>
        <w:tc>
          <w:tcPr>
            <w:tcW w:w="60" w:type="dxa"/>
            <w:vAlign w:val="bottom"/>
            <w:tcBorders>
              <w:right w:val="single" w:sz="8" w:color="D9D9D9"/>
            </w:tcBorders>
          </w:tcPr>
          <w:p>
            <w:pPr>
              <w:spacing w:after="0"/>
              <w:rPr>
                <w:sz w:val="12"/>
                <w:szCs w:val="12"/>
                <w:color w:val="auto"/>
              </w:rPr>
            </w:pPr>
          </w:p>
        </w:tc>
        <w:tc>
          <w:tcPr>
            <w:tcW w:w="1980" w:type="dxa"/>
            <w:vAlign w:val="bottom"/>
            <w:gridSpan w:val="4"/>
          </w:tcPr>
          <w:p>
            <w:pPr>
              <w:ind w:left="1200"/>
              <w:spacing w:after="0"/>
              <w:rPr>
                <w:sz w:val="20"/>
                <w:szCs w:val="20"/>
                <w:color w:val="auto"/>
              </w:rPr>
            </w:pPr>
            <w:r>
              <w:rPr>
                <w:rFonts w:ascii="Calibri" w:cs="Calibri" w:eastAsia="Calibri" w:hAnsi="Calibri"/>
                <w:sz w:val="11"/>
                <w:szCs w:val="11"/>
                <w:color w:val="262626"/>
              </w:rPr>
              <w:t>2020</w:t>
            </w:r>
          </w:p>
        </w:tc>
        <w:tc>
          <w:tcPr>
            <w:tcW w:w="900" w:type="dxa"/>
            <w:vAlign w:val="bottom"/>
            <w:gridSpan w:val="2"/>
          </w:tcPr>
          <w:p>
            <w:pPr>
              <w:jc w:val="right"/>
              <w:ind w:right="303"/>
              <w:spacing w:after="0"/>
              <w:rPr>
                <w:sz w:val="20"/>
                <w:szCs w:val="20"/>
                <w:color w:val="auto"/>
              </w:rPr>
            </w:pPr>
            <w:r>
              <w:rPr>
                <w:rFonts w:ascii="Calibri" w:cs="Calibri" w:eastAsia="Calibri" w:hAnsi="Calibri"/>
                <w:sz w:val="11"/>
                <w:szCs w:val="11"/>
                <w:color w:val="262626"/>
              </w:rPr>
              <w:t>2021</w:t>
            </w:r>
          </w:p>
        </w:tc>
        <w:tc>
          <w:tcPr>
            <w:tcW w:w="1160" w:type="dxa"/>
            <w:vAlign w:val="bottom"/>
            <w:gridSpan w:val="2"/>
          </w:tcPr>
          <w:p>
            <w:pPr>
              <w:jc w:val="right"/>
              <w:ind w:right="363"/>
              <w:spacing w:after="0"/>
              <w:rPr>
                <w:sz w:val="20"/>
                <w:szCs w:val="20"/>
                <w:color w:val="auto"/>
              </w:rPr>
            </w:pPr>
            <w:r>
              <w:rPr>
                <w:rFonts w:ascii="Calibri" w:cs="Calibri" w:eastAsia="Calibri" w:hAnsi="Calibri"/>
                <w:sz w:val="11"/>
                <w:szCs w:val="11"/>
                <w:color w:val="262626"/>
              </w:rPr>
              <w:t>2022</w:t>
            </w:r>
          </w:p>
        </w:tc>
        <w:tc>
          <w:tcPr>
            <w:tcW w:w="500" w:type="dxa"/>
            <w:vAlign w:val="bottom"/>
            <w:tcBorders>
              <w:right w:val="single" w:sz="8" w:color="D9D9D9"/>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80" w:type="dxa"/>
            <w:vAlign w:val="bottom"/>
            <w:tcBorders>
              <w:left w:val="single" w:sz="8" w:color="D9D9D9"/>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vMerge w:val="restart"/>
          </w:tcPr>
          <w:p>
            <w:pPr>
              <w:jc w:val="right"/>
              <w:ind w:right="3"/>
              <w:spacing w:after="0"/>
              <w:rPr>
                <w:sz w:val="20"/>
                <w:szCs w:val="20"/>
                <w:color w:val="auto"/>
              </w:rPr>
            </w:pPr>
            <w:r>
              <w:rPr>
                <w:rFonts w:ascii="Calibri" w:cs="Calibri" w:eastAsia="Calibri" w:hAnsi="Calibri"/>
                <w:sz w:val="11"/>
                <w:szCs w:val="11"/>
                <w:color w:val="262626"/>
              </w:rPr>
              <w:t>CEO CAP</w:t>
            </w:r>
          </w:p>
        </w:tc>
        <w:tc>
          <w:tcPr>
            <w:tcW w:w="80" w:type="dxa"/>
            <w:vAlign w:val="bottom"/>
            <w:vMerge w:val="restart"/>
          </w:tcPr>
          <w:p>
            <w:pPr>
              <w:spacing w:after="0"/>
              <w:rPr>
                <w:sz w:val="14"/>
                <w:szCs w:val="14"/>
                <w:color w:val="auto"/>
              </w:rPr>
            </w:pPr>
          </w:p>
        </w:tc>
        <w:tc>
          <w:tcPr>
            <w:tcW w:w="220" w:type="dxa"/>
            <w:vAlign w:val="bottom"/>
            <w:tcBorders>
              <w:bottom w:val="single" w:sz="8" w:color="FB1717"/>
            </w:tcBorders>
          </w:tcPr>
          <w:p>
            <w:pPr>
              <w:spacing w:after="0"/>
              <w:rPr>
                <w:sz w:val="14"/>
                <w:szCs w:val="14"/>
                <w:color w:val="auto"/>
              </w:rPr>
            </w:pPr>
          </w:p>
        </w:tc>
        <w:tc>
          <w:tcPr>
            <w:tcW w:w="68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Net Income</w:t>
            </w:r>
          </w:p>
        </w:tc>
        <w:tc>
          <w:tcPr>
            <w:tcW w:w="220" w:type="dxa"/>
            <w:vAlign w:val="bottom"/>
            <w:tcBorders>
              <w:bottom w:val="single" w:sz="8" w:color="ABABAB"/>
            </w:tcBorders>
          </w:tcPr>
          <w:p>
            <w:pPr>
              <w:spacing w:after="0"/>
              <w:rPr>
                <w:sz w:val="14"/>
                <w:szCs w:val="14"/>
                <w:color w:val="auto"/>
              </w:rPr>
            </w:pPr>
          </w:p>
        </w:tc>
        <w:tc>
          <w:tcPr>
            <w:tcW w:w="1540" w:type="dxa"/>
            <w:vAlign w:val="bottom"/>
            <w:tcBorders>
              <w:right w:val="single" w:sz="8" w:color="D9D9D9"/>
            </w:tcBorders>
            <w:gridSpan w:val="2"/>
            <w:vMerge w:val="restart"/>
          </w:tcPr>
          <w:p>
            <w:pPr>
              <w:jc w:val="right"/>
              <w:ind w:right="983"/>
              <w:spacing w:after="0"/>
              <w:rPr>
                <w:sz w:val="20"/>
                <w:szCs w:val="20"/>
                <w:color w:val="auto"/>
              </w:rPr>
            </w:pPr>
            <w:r>
              <w:rPr>
                <w:rFonts w:ascii="Calibri" w:cs="Calibri" w:eastAsia="Calibri" w:hAnsi="Calibri"/>
                <w:sz w:val="11"/>
                <w:szCs w:val="11"/>
                <w:color w:val="262626"/>
              </w:rPr>
              <w:t>FFO/share</w:t>
            </w:r>
          </w:p>
        </w:tc>
        <w:tc>
          <w:tcPr>
            <w:tcW w:w="60" w:type="dxa"/>
            <w:vAlign w:val="bottom"/>
            <w:tcBorders>
              <w:right w:val="single" w:sz="8" w:color="D9D9D9"/>
            </w:tcBorders>
            <w:vMerge w:val="restart"/>
          </w:tcPr>
          <w:p>
            <w:pPr>
              <w:spacing w:after="0"/>
              <w:rPr>
                <w:sz w:val="14"/>
                <w:szCs w:val="14"/>
                <w:color w:val="auto"/>
              </w:rPr>
            </w:pPr>
          </w:p>
        </w:tc>
        <w:tc>
          <w:tcPr>
            <w:tcW w:w="7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vMerge w:val="restart"/>
          </w:tcPr>
          <w:p>
            <w:pPr>
              <w:ind w:left="40"/>
              <w:spacing w:after="0"/>
              <w:rPr>
                <w:sz w:val="20"/>
                <w:szCs w:val="20"/>
                <w:color w:val="auto"/>
              </w:rPr>
            </w:pPr>
            <w:r>
              <w:rPr>
                <w:rFonts w:ascii="Calibri" w:cs="Calibri" w:eastAsia="Calibri" w:hAnsi="Calibri"/>
                <w:sz w:val="11"/>
                <w:szCs w:val="11"/>
                <w:color w:val="262626"/>
              </w:rPr>
              <w:t>Avg. NEO CAP</w:t>
            </w:r>
          </w:p>
        </w:tc>
        <w:tc>
          <w:tcPr>
            <w:tcW w:w="220" w:type="dxa"/>
            <w:vAlign w:val="bottom"/>
            <w:tcBorders>
              <w:bottom w:val="single" w:sz="8" w:color="FB1717"/>
            </w:tcBorders>
          </w:tcPr>
          <w:p>
            <w:pPr>
              <w:spacing w:after="0"/>
              <w:rPr>
                <w:sz w:val="14"/>
                <w:szCs w:val="14"/>
                <w:color w:val="auto"/>
              </w:rPr>
            </w:pPr>
          </w:p>
        </w:tc>
        <w:tc>
          <w:tcPr>
            <w:tcW w:w="680" w:type="dxa"/>
            <w:vAlign w:val="bottom"/>
            <w:vMerge w:val="restart"/>
          </w:tcPr>
          <w:p>
            <w:pPr>
              <w:jc w:val="right"/>
              <w:ind w:right="63"/>
              <w:spacing w:after="0"/>
              <w:rPr>
                <w:sz w:val="20"/>
                <w:szCs w:val="20"/>
                <w:color w:val="auto"/>
              </w:rPr>
            </w:pPr>
            <w:r>
              <w:rPr>
                <w:rFonts w:ascii="Calibri" w:cs="Calibri" w:eastAsia="Calibri" w:hAnsi="Calibri"/>
                <w:sz w:val="11"/>
                <w:szCs w:val="11"/>
                <w:color w:val="262626"/>
              </w:rPr>
              <w:t>Net Income</w:t>
            </w:r>
          </w:p>
        </w:tc>
        <w:tc>
          <w:tcPr>
            <w:tcW w:w="240" w:type="dxa"/>
            <w:vAlign w:val="bottom"/>
            <w:tcBorders>
              <w:bottom w:val="single" w:sz="8" w:color="ABABAB"/>
            </w:tcBorders>
          </w:tcPr>
          <w:p>
            <w:pPr>
              <w:spacing w:after="0"/>
              <w:rPr>
                <w:sz w:val="14"/>
                <w:szCs w:val="14"/>
                <w:color w:val="auto"/>
              </w:rPr>
            </w:pPr>
          </w:p>
        </w:tc>
        <w:tc>
          <w:tcPr>
            <w:tcW w:w="1420" w:type="dxa"/>
            <w:vAlign w:val="bottom"/>
            <w:tcBorders>
              <w:right w:val="single" w:sz="8" w:color="D9D9D9"/>
            </w:tcBorders>
            <w:gridSpan w:val="2"/>
            <w:vMerge w:val="restart"/>
          </w:tcPr>
          <w:p>
            <w:pPr>
              <w:jc w:val="right"/>
              <w:ind w:right="863"/>
              <w:spacing w:after="0"/>
              <w:rPr>
                <w:sz w:val="20"/>
                <w:szCs w:val="20"/>
                <w:color w:val="auto"/>
              </w:rPr>
            </w:pPr>
            <w:r>
              <w:rPr>
                <w:rFonts w:ascii="Calibri" w:cs="Calibri" w:eastAsia="Calibri" w:hAnsi="Calibri"/>
                <w:sz w:val="11"/>
                <w:szCs w:val="11"/>
                <w:color w:val="262626"/>
              </w:rPr>
              <w:t>FFO/share</w:t>
            </w:r>
          </w:p>
        </w:tc>
        <w:tc>
          <w:tcPr>
            <w:tcW w:w="0" w:type="dxa"/>
            <w:vAlign w:val="bottom"/>
          </w:tcPr>
          <w:p>
            <w:pPr>
              <w:spacing w:after="0"/>
              <w:rPr>
                <w:sz w:val="1"/>
                <w:szCs w:val="1"/>
                <w:color w:val="auto"/>
              </w:rPr>
            </w:pPr>
          </w:p>
        </w:tc>
      </w:tr>
      <w:tr>
        <w:trPr>
          <w:trHeight w:val="51"/>
        </w:trPr>
        <w:tc>
          <w:tcPr>
            <w:tcW w:w="780" w:type="dxa"/>
            <w:vAlign w:val="bottom"/>
            <w:tcBorders>
              <w:left w:val="single" w:sz="8" w:color="D9D9D9"/>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right w:val="single" w:sz="8" w:color="D9D9D9"/>
            </w:tcBorders>
            <w:gridSpan w:val="2"/>
            <w:vMerge w:val="continue"/>
          </w:tcPr>
          <w:p>
            <w:pPr>
              <w:spacing w:after="0"/>
              <w:rPr>
                <w:sz w:val="4"/>
                <w:szCs w:val="4"/>
                <w:color w:val="auto"/>
              </w:rPr>
            </w:pPr>
          </w:p>
        </w:tc>
        <w:tc>
          <w:tcPr>
            <w:tcW w:w="60" w:type="dxa"/>
            <w:vAlign w:val="bottom"/>
            <w:tcBorders>
              <w:right w:val="single" w:sz="8" w:color="D9D9D9"/>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Borders>
              <w:right w:val="single" w:sz="8" w:color="D9D9D9"/>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780" w:type="dxa"/>
            <w:vAlign w:val="bottom"/>
            <w:tcBorders>
              <w:left w:val="single" w:sz="8" w:color="D9D9D9"/>
              <w:bottom w:val="single" w:sz="8" w:color="D9D9D9"/>
            </w:tcBorders>
          </w:tcPr>
          <w:p>
            <w:pPr>
              <w:spacing w:after="0"/>
              <w:rPr>
                <w:sz w:val="8"/>
                <w:szCs w:val="8"/>
                <w:color w:val="auto"/>
              </w:rPr>
            </w:pPr>
          </w:p>
        </w:tc>
        <w:tc>
          <w:tcPr>
            <w:tcW w:w="320" w:type="dxa"/>
            <w:vAlign w:val="bottom"/>
            <w:tcBorders>
              <w:bottom w:val="single" w:sz="8" w:color="D9D9D9"/>
            </w:tcBorders>
          </w:tcPr>
          <w:p>
            <w:pPr>
              <w:spacing w:after="0"/>
              <w:rPr>
                <w:sz w:val="8"/>
                <w:szCs w:val="8"/>
                <w:color w:val="auto"/>
              </w:rPr>
            </w:pPr>
          </w:p>
        </w:tc>
        <w:tc>
          <w:tcPr>
            <w:tcW w:w="220" w:type="dxa"/>
            <w:vAlign w:val="bottom"/>
            <w:tcBorders>
              <w:bottom w:val="single" w:sz="8" w:color="D9D9D9"/>
            </w:tcBorders>
          </w:tcPr>
          <w:p>
            <w:pPr>
              <w:spacing w:after="0"/>
              <w:rPr>
                <w:sz w:val="8"/>
                <w:szCs w:val="8"/>
                <w:color w:val="auto"/>
              </w:rPr>
            </w:pPr>
          </w:p>
        </w:tc>
        <w:tc>
          <w:tcPr>
            <w:tcW w:w="480" w:type="dxa"/>
            <w:vAlign w:val="bottom"/>
            <w:tcBorders>
              <w:bottom w:val="single" w:sz="8" w:color="D9D9D9"/>
            </w:tcBorders>
          </w:tcPr>
          <w:p>
            <w:pPr>
              <w:spacing w:after="0"/>
              <w:rPr>
                <w:sz w:val="8"/>
                <w:szCs w:val="8"/>
                <w:color w:val="auto"/>
              </w:rPr>
            </w:pPr>
          </w:p>
        </w:tc>
        <w:tc>
          <w:tcPr>
            <w:tcW w:w="80" w:type="dxa"/>
            <w:vAlign w:val="bottom"/>
            <w:tcBorders>
              <w:bottom w:val="single" w:sz="8" w:color="D9D9D9"/>
            </w:tcBorders>
          </w:tcPr>
          <w:p>
            <w:pPr>
              <w:spacing w:after="0"/>
              <w:rPr>
                <w:sz w:val="8"/>
                <w:szCs w:val="8"/>
                <w:color w:val="auto"/>
              </w:rPr>
            </w:pPr>
          </w:p>
        </w:tc>
        <w:tc>
          <w:tcPr>
            <w:tcW w:w="220" w:type="dxa"/>
            <w:vAlign w:val="bottom"/>
            <w:tcBorders>
              <w:bottom w:val="single" w:sz="8" w:color="D9D9D9"/>
            </w:tcBorders>
          </w:tcPr>
          <w:p>
            <w:pPr>
              <w:spacing w:after="0"/>
              <w:rPr>
                <w:sz w:val="8"/>
                <w:szCs w:val="8"/>
                <w:color w:val="auto"/>
              </w:rPr>
            </w:pPr>
          </w:p>
        </w:tc>
        <w:tc>
          <w:tcPr>
            <w:tcW w:w="680" w:type="dxa"/>
            <w:vAlign w:val="bottom"/>
            <w:tcBorders>
              <w:bottom w:val="single" w:sz="8" w:color="D9D9D9"/>
            </w:tcBorders>
          </w:tcPr>
          <w:p>
            <w:pPr>
              <w:spacing w:after="0"/>
              <w:rPr>
                <w:sz w:val="8"/>
                <w:szCs w:val="8"/>
                <w:color w:val="auto"/>
              </w:rPr>
            </w:pPr>
          </w:p>
        </w:tc>
        <w:tc>
          <w:tcPr>
            <w:tcW w:w="220" w:type="dxa"/>
            <w:vAlign w:val="bottom"/>
            <w:tcBorders>
              <w:bottom w:val="single" w:sz="8" w:color="D9D9D9"/>
            </w:tcBorders>
          </w:tcPr>
          <w:p>
            <w:pPr>
              <w:spacing w:after="0"/>
              <w:rPr>
                <w:sz w:val="8"/>
                <w:szCs w:val="8"/>
                <w:color w:val="auto"/>
              </w:rPr>
            </w:pPr>
          </w:p>
        </w:tc>
        <w:tc>
          <w:tcPr>
            <w:tcW w:w="1060" w:type="dxa"/>
            <w:vAlign w:val="bottom"/>
            <w:tcBorders>
              <w:bottom w:val="single" w:sz="8" w:color="D9D9D9"/>
            </w:tcBorders>
          </w:tcPr>
          <w:p>
            <w:pPr>
              <w:spacing w:after="0"/>
              <w:rPr>
                <w:sz w:val="8"/>
                <w:szCs w:val="8"/>
                <w:color w:val="auto"/>
              </w:rPr>
            </w:pPr>
          </w:p>
        </w:tc>
        <w:tc>
          <w:tcPr>
            <w:tcW w:w="480" w:type="dxa"/>
            <w:vAlign w:val="bottom"/>
            <w:tcBorders>
              <w:bottom w:val="single" w:sz="8" w:color="D9D9D9"/>
              <w:right w:val="single" w:sz="8" w:color="D9D9D9"/>
            </w:tcBorders>
          </w:tcPr>
          <w:p>
            <w:pPr>
              <w:spacing w:after="0"/>
              <w:rPr>
                <w:sz w:val="8"/>
                <w:szCs w:val="8"/>
                <w:color w:val="auto"/>
              </w:rPr>
            </w:pPr>
          </w:p>
        </w:tc>
        <w:tc>
          <w:tcPr>
            <w:tcW w:w="60" w:type="dxa"/>
            <w:vAlign w:val="bottom"/>
            <w:tcBorders>
              <w:right w:val="single" w:sz="8" w:color="D9D9D9"/>
            </w:tcBorders>
          </w:tcPr>
          <w:p>
            <w:pPr>
              <w:spacing w:after="0"/>
              <w:rPr>
                <w:sz w:val="8"/>
                <w:szCs w:val="8"/>
                <w:color w:val="auto"/>
              </w:rPr>
            </w:pPr>
          </w:p>
        </w:tc>
        <w:tc>
          <w:tcPr>
            <w:tcW w:w="760" w:type="dxa"/>
            <w:vAlign w:val="bottom"/>
            <w:tcBorders>
              <w:bottom w:val="single" w:sz="8" w:color="D9D9D9"/>
            </w:tcBorders>
          </w:tcPr>
          <w:p>
            <w:pPr>
              <w:spacing w:after="0"/>
              <w:rPr>
                <w:sz w:val="8"/>
                <w:szCs w:val="8"/>
                <w:color w:val="auto"/>
              </w:rPr>
            </w:pPr>
          </w:p>
        </w:tc>
        <w:tc>
          <w:tcPr>
            <w:tcW w:w="200" w:type="dxa"/>
            <w:vAlign w:val="bottom"/>
            <w:tcBorders>
              <w:bottom w:val="single" w:sz="8" w:color="D9D9D9"/>
            </w:tcBorders>
          </w:tcPr>
          <w:p>
            <w:pPr>
              <w:spacing w:after="0"/>
              <w:rPr>
                <w:sz w:val="8"/>
                <w:szCs w:val="8"/>
                <w:color w:val="auto"/>
              </w:rPr>
            </w:pPr>
          </w:p>
        </w:tc>
        <w:tc>
          <w:tcPr>
            <w:tcW w:w="220" w:type="dxa"/>
            <w:vAlign w:val="bottom"/>
            <w:tcBorders>
              <w:bottom w:val="single" w:sz="8" w:color="D9D9D9"/>
            </w:tcBorders>
          </w:tcPr>
          <w:p>
            <w:pPr>
              <w:spacing w:after="0"/>
              <w:rPr>
                <w:sz w:val="8"/>
                <w:szCs w:val="8"/>
                <w:color w:val="auto"/>
              </w:rPr>
            </w:pPr>
          </w:p>
        </w:tc>
        <w:tc>
          <w:tcPr>
            <w:tcW w:w="800" w:type="dxa"/>
            <w:vAlign w:val="bottom"/>
            <w:tcBorders>
              <w:bottom w:val="single" w:sz="8" w:color="D9D9D9"/>
            </w:tcBorders>
          </w:tcPr>
          <w:p>
            <w:pPr>
              <w:spacing w:after="0"/>
              <w:rPr>
                <w:sz w:val="8"/>
                <w:szCs w:val="8"/>
                <w:color w:val="auto"/>
              </w:rPr>
            </w:pPr>
          </w:p>
        </w:tc>
        <w:tc>
          <w:tcPr>
            <w:tcW w:w="220" w:type="dxa"/>
            <w:vAlign w:val="bottom"/>
            <w:tcBorders>
              <w:bottom w:val="single" w:sz="8" w:color="D9D9D9"/>
            </w:tcBorders>
          </w:tcPr>
          <w:p>
            <w:pPr>
              <w:spacing w:after="0"/>
              <w:rPr>
                <w:sz w:val="8"/>
                <w:szCs w:val="8"/>
                <w:color w:val="auto"/>
              </w:rPr>
            </w:pPr>
          </w:p>
        </w:tc>
        <w:tc>
          <w:tcPr>
            <w:tcW w:w="680" w:type="dxa"/>
            <w:vAlign w:val="bottom"/>
            <w:tcBorders>
              <w:bottom w:val="single" w:sz="8" w:color="D9D9D9"/>
            </w:tcBorders>
          </w:tcPr>
          <w:p>
            <w:pPr>
              <w:spacing w:after="0"/>
              <w:rPr>
                <w:sz w:val="8"/>
                <w:szCs w:val="8"/>
                <w:color w:val="auto"/>
              </w:rPr>
            </w:pPr>
          </w:p>
        </w:tc>
        <w:tc>
          <w:tcPr>
            <w:tcW w:w="240" w:type="dxa"/>
            <w:vAlign w:val="bottom"/>
            <w:tcBorders>
              <w:bottom w:val="single" w:sz="8" w:color="D9D9D9"/>
            </w:tcBorders>
          </w:tcPr>
          <w:p>
            <w:pPr>
              <w:spacing w:after="0"/>
              <w:rPr>
                <w:sz w:val="8"/>
                <w:szCs w:val="8"/>
                <w:color w:val="auto"/>
              </w:rPr>
            </w:pPr>
          </w:p>
        </w:tc>
        <w:tc>
          <w:tcPr>
            <w:tcW w:w="920" w:type="dxa"/>
            <w:vAlign w:val="bottom"/>
            <w:tcBorders>
              <w:bottom w:val="single" w:sz="8" w:color="D9D9D9"/>
            </w:tcBorders>
          </w:tcPr>
          <w:p>
            <w:pPr>
              <w:spacing w:after="0"/>
              <w:rPr>
                <w:sz w:val="8"/>
                <w:szCs w:val="8"/>
                <w:color w:val="auto"/>
              </w:rPr>
            </w:pPr>
          </w:p>
        </w:tc>
        <w:tc>
          <w:tcPr>
            <w:tcW w:w="500" w:type="dxa"/>
            <w:vAlign w:val="bottom"/>
            <w:tcBorders>
              <w:bottom w:val="single" w:sz="8" w:color="D9D9D9"/>
              <w:right w:val="single" w:sz="8" w:color="D9D9D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-1157605</wp:posOffset>
            </wp:positionV>
            <wp:extent cx="1463675" cy="8083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93">
                      <a:extLst>
                        <a:ext uri="{28A0092B-C50C-407E-A947-70E740481C1C}"/>
                      </a:extLst>
                    </a:blip>
                    <a:srcRect/>
                    <a:stretch>
                      <a:fillRect/>
                    </a:stretch>
                  </pic:blipFill>
                  <pic:spPr bwMode="auto">
                    <a:xfrm>
                      <a:off x="0" y="0"/>
                      <a:ext cx="1463675" cy="8083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-1157605</wp:posOffset>
            </wp:positionV>
            <wp:extent cx="1463675" cy="8261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94">
                      <a:extLst>
                        <a:ext uri="{28A0092B-C50C-407E-A947-70E740481C1C}"/>
                      </a:extLst>
                    </a:blip>
                    <a:srcRect/>
                    <a:stretch>
                      <a:fillRect/>
                    </a:stretch>
                  </pic:blipFill>
                  <pic:spPr bwMode="auto">
                    <a:xfrm>
                      <a:off x="0" y="0"/>
                      <a:ext cx="1463675" cy="826135"/>
                    </a:xfrm>
                    <a:prstGeom prst="rect">
                      <a:avLst/>
                    </a:prstGeom>
                    <a:noFill/>
                  </pic:spPr>
                </pic:pic>
              </a:graphicData>
            </a:graphic>
          </wp:anchor>
        </w:drawing>
      </w:r>
    </w:p>
    <w:p>
      <w:pPr>
        <w:spacing w:after="0" w:line="269" w:lineRule="exact"/>
        <w:rPr>
          <w:sz w:val="20"/>
          <w:szCs w:val="20"/>
          <w:color w:val="auto"/>
        </w:rPr>
      </w:pPr>
    </w:p>
    <w:p>
      <w:pPr>
        <w:ind w:left="480" w:hanging="358"/>
        <w:spacing w:after="0"/>
        <w:tabs>
          <w:tab w:leader="none" w:pos="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Net income is shown in ten thousands.</w:t>
      </w:r>
    </w:p>
    <w:p>
      <w:pPr>
        <w:spacing w:after="0" w:line="26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 our success in achieving that objective. This is a direct result of the high percentage of our NEO’s compensation that is paid in the form of Company shares and 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FFO per diluted share because FFO per diluted share metric is directly used only for our annual bonus plan which is a relatively modest portion of our NEO’s total compensation package and is a component of the calculation that determines only a third of our NEO’s awards under our long-term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826135</wp:posOffset>
                </wp:positionV>
                <wp:extent cx="6400800" cy="17780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60" o:spid="_x0000_s1585" style="position:absolute;margin-left:0pt;margin-top:65.0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825500</wp:posOffset>
                </wp:positionV>
                <wp:extent cx="0" cy="17780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65pt" to="0.75pt,7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835025</wp:posOffset>
                </wp:positionV>
                <wp:extent cx="6400800" cy="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2" o:spid="_x0000_s1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75pt" to="504pt,65.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825500</wp:posOffset>
                </wp:positionV>
                <wp:extent cx="0" cy="177800"/>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65pt" to="503.25pt,7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993775</wp:posOffset>
                </wp:positionV>
                <wp:extent cx="6400800" cy="0"/>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4" o:spid="_x0000_s15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25pt" to="504pt,78.25pt" o:allowincell="f" strokecolor="#000000" strokeweight="1.5pt"/>
            </w:pict>
          </mc:Fallback>
        </mc:AlternateContent>
      </w:r>
    </w:p>
    <w:p>
      <w:pPr>
        <w:sectPr>
          <w:pgSz w:w="11880" w:h="15480" w:orient="portrait"/>
          <w:cols w:equalWidth="0" w:num="1">
            <w:col w:w="10080"/>
          </w:cols>
          <w:pgMar w:left="900" w:top="1310"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38</w:t>
      </w:r>
    </w:p>
    <w:p>
      <w:pPr>
        <w:sectPr>
          <w:pgSz w:w="11880" w:h="15480" w:orient="portrait"/>
          <w:cols w:equalWidth="0" w:num="1">
            <w:col w:w="10080"/>
          </w:cols>
          <w:pgMar w:left="900" w:top="1310" w:right="900" w:bottom="764"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b w:val="1"/>
          <w:bCs w:val="1"/>
          <w:color w:val="auto"/>
        </w:rPr>
        <w:t>Other Important Financial Performance Measures for Executive Compensation</w:t>
      </w:r>
    </w:p>
    <w:p>
      <w:pPr>
        <w:spacing w:after="0" w:line="13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Following is a list of the most important financial and non-financial measures used to link executive compensation and company performance.</w:t>
      </w:r>
    </w:p>
    <w:p>
      <w:pPr>
        <w:spacing w:after="0" w:line="248" w:lineRule="exact"/>
        <w:rPr>
          <w:sz w:val="20"/>
          <w:szCs w:val="20"/>
          <w:color w:val="auto"/>
        </w:rPr>
      </w:pPr>
    </w:p>
    <w:p>
      <w:pPr>
        <w:ind w:left="800" w:hanging="300"/>
        <w:spacing w:after="0"/>
        <w:tabs>
          <w:tab w:leader="none" w:pos="8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Return on invested capital</w:t>
      </w:r>
    </w:p>
    <w:p>
      <w:pPr>
        <w:spacing w:after="0" w:line="10" w:lineRule="exact"/>
        <w:rPr>
          <w:rFonts w:ascii="Arial" w:cs="Arial" w:eastAsia="Arial" w:hAnsi="Arial"/>
          <w:sz w:val="20"/>
          <w:szCs w:val="20"/>
          <w:color w:val="auto"/>
        </w:rPr>
      </w:pPr>
    </w:p>
    <w:p>
      <w:pPr>
        <w:ind w:left="800" w:hanging="300"/>
        <w:spacing w:after="0"/>
        <w:tabs>
          <w:tab w:leader="none" w:pos="8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Relative TSR compared to BBRESHOP</w:t>
      </w:r>
    </w:p>
    <w:p>
      <w:pPr>
        <w:spacing w:after="0" w:line="10" w:lineRule="exact"/>
        <w:rPr>
          <w:rFonts w:ascii="Arial" w:cs="Arial" w:eastAsia="Arial" w:hAnsi="Arial"/>
          <w:sz w:val="20"/>
          <w:szCs w:val="20"/>
          <w:color w:val="auto"/>
        </w:rPr>
      </w:pPr>
    </w:p>
    <w:p>
      <w:pPr>
        <w:ind w:left="800" w:hanging="300"/>
        <w:spacing w:after="0"/>
        <w:tabs>
          <w:tab w:leader="none" w:pos="8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Relative FFO multiple premium</w:t>
      </w:r>
    </w:p>
    <w:p>
      <w:pPr>
        <w:spacing w:after="0" w:line="16" w:lineRule="exact"/>
        <w:rPr>
          <w:rFonts w:ascii="Arial" w:cs="Arial" w:eastAsia="Arial" w:hAnsi="Arial"/>
          <w:sz w:val="20"/>
          <w:szCs w:val="20"/>
          <w:color w:val="auto"/>
        </w:rPr>
      </w:pPr>
    </w:p>
    <w:p>
      <w:pPr>
        <w:ind w:left="800" w:hanging="300"/>
        <w:spacing w:after="0" w:line="243" w:lineRule="auto"/>
        <w:tabs>
          <w:tab w:leader="none" w:pos="8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Individual performance including consideration of things such as leasing and occupancy activity, investment activity and advancement of ESG objectives</w:t>
      </w:r>
    </w:p>
    <w:p>
      <w:pPr>
        <w:spacing w:after="0" w:line="25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Please see the Compensation Discussion and Analysis on pages 19 to 29 for more information on these measures and how they are taken into account in determining compensation for each of our NEOs.</w:t>
      </w:r>
    </w:p>
    <w:p>
      <w:pPr>
        <w:spacing w:after="0" w:line="21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EQUITY COMPENSATION PLAN INFORMATION</w:t>
      </w:r>
    </w:p>
    <w:p>
      <w:pPr>
        <w:spacing w:after="0" w:line="256"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following table sets forth certain information on our only active equity compensation plan as of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shd w:val="clear" w:color="auto" w:fill="FB1717"/>
          </w:tcPr>
          <w:p>
            <w:pPr>
              <w:spacing w:after="0"/>
              <w:rPr>
                <w:sz w:val="19"/>
                <w:szCs w:val="19"/>
                <w:color w:val="auto"/>
              </w:rPr>
            </w:pPr>
          </w:p>
        </w:tc>
        <w:tc>
          <w:tcPr>
            <w:tcW w:w="1680" w:type="dxa"/>
            <w:vAlign w:val="bottom"/>
            <w:shd w:val="clear" w:color="auto" w:fill="FB1717"/>
          </w:tcPr>
          <w:p>
            <w:pPr>
              <w:jc w:val="center"/>
              <w:ind w:left="17"/>
              <w:spacing w:after="0"/>
              <w:rPr>
                <w:sz w:val="20"/>
                <w:szCs w:val="20"/>
                <w:color w:val="auto"/>
              </w:rPr>
            </w:pPr>
            <w:r>
              <w:rPr>
                <w:rFonts w:ascii="Calibri" w:cs="Calibri" w:eastAsia="Calibri" w:hAnsi="Calibri"/>
                <w:sz w:val="16"/>
                <w:szCs w:val="16"/>
                <w:b w:val="1"/>
                <w:bCs w:val="1"/>
                <w:color w:val="FFFFFF"/>
                <w:w w:val="99"/>
              </w:rPr>
              <w:t>Number of securities</w:t>
            </w:r>
          </w:p>
        </w:tc>
        <w:tc>
          <w:tcPr>
            <w:tcW w:w="1420" w:type="dxa"/>
            <w:vAlign w:val="bottom"/>
            <w:shd w:val="clear" w:color="auto" w:fill="FB1717"/>
          </w:tcPr>
          <w:p>
            <w:pPr>
              <w:spacing w:after="0"/>
              <w:rPr>
                <w:sz w:val="19"/>
                <w:szCs w:val="19"/>
                <w:color w:val="auto"/>
              </w:rPr>
            </w:pPr>
          </w:p>
        </w:tc>
        <w:tc>
          <w:tcPr>
            <w:tcW w:w="1580" w:type="dxa"/>
            <w:vAlign w:val="bottom"/>
            <w:shd w:val="clear" w:color="auto" w:fill="FB1717"/>
          </w:tcPr>
          <w:p>
            <w:pPr>
              <w:spacing w:after="0"/>
              <w:rPr>
                <w:sz w:val="19"/>
                <w:szCs w:val="19"/>
                <w:color w:val="auto"/>
              </w:rPr>
            </w:pPr>
          </w:p>
        </w:tc>
      </w:tr>
      <w:tr>
        <w:trPr>
          <w:trHeight w:val="200"/>
        </w:trPr>
        <w:tc>
          <w:tcPr>
            <w:tcW w:w="5400" w:type="dxa"/>
            <w:vAlign w:val="bottom"/>
            <w:shd w:val="clear" w:color="auto" w:fill="FB1717"/>
          </w:tcPr>
          <w:p>
            <w:pPr>
              <w:spacing w:after="0"/>
              <w:rPr>
                <w:sz w:val="17"/>
                <w:szCs w:val="17"/>
                <w:color w:val="auto"/>
              </w:rPr>
            </w:pPr>
          </w:p>
        </w:tc>
        <w:tc>
          <w:tcPr>
            <w:tcW w:w="1680" w:type="dxa"/>
            <w:vAlign w:val="bottom"/>
            <w:shd w:val="clear" w:color="auto" w:fill="FB1717"/>
          </w:tcPr>
          <w:p>
            <w:pPr>
              <w:jc w:val="center"/>
              <w:ind w:left="17"/>
              <w:spacing w:after="0"/>
              <w:rPr>
                <w:sz w:val="20"/>
                <w:szCs w:val="20"/>
                <w:color w:val="auto"/>
              </w:rPr>
            </w:pPr>
            <w:r>
              <w:rPr>
                <w:rFonts w:ascii="Calibri" w:cs="Calibri" w:eastAsia="Calibri" w:hAnsi="Calibri"/>
                <w:sz w:val="16"/>
                <w:szCs w:val="16"/>
                <w:b w:val="1"/>
                <w:bCs w:val="1"/>
                <w:color w:val="FFFFFF"/>
                <w:w w:val="99"/>
              </w:rPr>
              <w:t>to be issued upon</w:t>
            </w:r>
          </w:p>
        </w:tc>
        <w:tc>
          <w:tcPr>
            <w:tcW w:w="142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Weighted average</w:t>
            </w:r>
          </w:p>
        </w:tc>
        <w:tc>
          <w:tcPr>
            <w:tcW w:w="158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Number of securities</w:t>
            </w:r>
          </w:p>
        </w:tc>
      </w:tr>
      <w:tr>
        <w:trPr>
          <w:trHeight w:val="200"/>
        </w:trPr>
        <w:tc>
          <w:tcPr>
            <w:tcW w:w="5400" w:type="dxa"/>
            <w:vAlign w:val="bottom"/>
            <w:shd w:val="clear" w:color="auto" w:fill="FB1717"/>
          </w:tcPr>
          <w:p>
            <w:pPr>
              <w:spacing w:after="0"/>
              <w:rPr>
                <w:sz w:val="17"/>
                <w:szCs w:val="17"/>
                <w:color w:val="auto"/>
              </w:rPr>
            </w:pPr>
          </w:p>
        </w:tc>
        <w:tc>
          <w:tcPr>
            <w:tcW w:w="1680" w:type="dxa"/>
            <w:vAlign w:val="bottom"/>
            <w:shd w:val="clear" w:color="auto" w:fill="FB1717"/>
          </w:tcPr>
          <w:p>
            <w:pPr>
              <w:jc w:val="center"/>
              <w:ind w:left="17"/>
              <w:spacing w:after="0"/>
              <w:rPr>
                <w:sz w:val="20"/>
                <w:szCs w:val="20"/>
                <w:color w:val="auto"/>
              </w:rPr>
            </w:pPr>
            <w:r>
              <w:rPr>
                <w:rFonts w:ascii="Calibri" w:cs="Calibri" w:eastAsia="Calibri" w:hAnsi="Calibri"/>
                <w:sz w:val="16"/>
                <w:szCs w:val="16"/>
                <w:b w:val="1"/>
                <w:bCs w:val="1"/>
                <w:color w:val="FFFFFF"/>
                <w:w w:val="97"/>
              </w:rPr>
              <w:t>exercise of</w:t>
            </w:r>
          </w:p>
        </w:tc>
        <w:tc>
          <w:tcPr>
            <w:tcW w:w="142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exercise price of</w:t>
            </w:r>
          </w:p>
        </w:tc>
        <w:tc>
          <w:tcPr>
            <w:tcW w:w="158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remaining available</w:t>
            </w:r>
          </w:p>
        </w:tc>
      </w:tr>
      <w:tr>
        <w:trPr>
          <w:trHeight w:val="200"/>
        </w:trPr>
        <w:tc>
          <w:tcPr>
            <w:tcW w:w="5400" w:type="dxa"/>
            <w:vAlign w:val="bottom"/>
            <w:shd w:val="clear" w:color="auto" w:fill="FB1717"/>
          </w:tcPr>
          <w:p>
            <w:pPr>
              <w:spacing w:after="0"/>
              <w:rPr>
                <w:sz w:val="17"/>
                <w:szCs w:val="17"/>
                <w:color w:val="auto"/>
              </w:rPr>
            </w:pPr>
          </w:p>
        </w:tc>
        <w:tc>
          <w:tcPr>
            <w:tcW w:w="1680" w:type="dxa"/>
            <w:vAlign w:val="bottom"/>
            <w:shd w:val="clear" w:color="auto" w:fill="FB1717"/>
          </w:tcPr>
          <w:p>
            <w:pPr>
              <w:jc w:val="center"/>
              <w:ind w:left="17"/>
              <w:spacing w:after="0"/>
              <w:rPr>
                <w:sz w:val="20"/>
                <w:szCs w:val="20"/>
                <w:color w:val="auto"/>
              </w:rPr>
            </w:pPr>
            <w:r>
              <w:rPr>
                <w:rFonts w:ascii="Calibri" w:cs="Calibri" w:eastAsia="Calibri" w:hAnsi="Calibri"/>
                <w:sz w:val="16"/>
                <w:szCs w:val="16"/>
                <w:b w:val="1"/>
                <w:bCs w:val="1"/>
                <w:color w:val="FFFFFF"/>
              </w:rPr>
              <w:t>outstanding options,</w:t>
            </w:r>
          </w:p>
        </w:tc>
        <w:tc>
          <w:tcPr>
            <w:tcW w:w="142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outstanding</w:t>
            </w:r>
          </w:p>
        </w:tc>
        <w:tc>
          <w:tcPr>
            <w:tcW w:w="1580" w:type="dxa"/>
            <w:vAlign w:val="bottom"/>
            <w:shd w:val="clear" w:color="auto" w:fill="FB1717"/>
          </w:tcPr>
          <w:p>
            <w:pPr>
              <w:jc w:val="center"/>
              <w:ind w:left="16"/>
              <w:spacing w:after="0"/>
              <w:rPr>
                <w:sz w:val="20"/>
                <w:szCs w:val="20"/>
                <w:color w:val="auto"/>
              </w:rPr>
            </w:pPr>
            <w:r>
              <w:rPr>
                <w:rFonts w:ascii="Calibri" w:cs="Calibri" w:eastAsia="Calibri" w:hAnsi="Calibri"/>
                <w:sz w:val="16"/>
                <w:szCs w:val="16"/>
                <w:b w:val="1"/>
                <w:bCs w:val="1"/>
                <w:color w:val="FFFFFF"/>
                <w:w w:val="99"/>
              </w:rPr>
              <w:t>for future issuance</w:t>
            </w:r>
          </w:p>
        </w:tc>
      </w:tr>
      <w:tr>
        <w:trPr>
          <w:trHeight w:val="200"/>
        </w:trPr>
        <w:tc>
          <w:tcPr>
            <w:tcW w:w="5400" w:type="dxa"/>
            <w:vAlign w:val="bottom"/>
            <w:shd w:val="clear" w:color="auto" w:fill="FB1717"/>
          </w:tcPr>
          <w:p>
            <w:pPr>
              <w:spacing w:after="0"/>
              <w:rPr>
                <w:sz w:val="17"/>
                <w:szCs w:val="17"/>
                <w:color w:val="auto"/>
              </w:rPr>
            </w:pPr>
          </w:p>
        </w:tc>
        <w:tc>
          <w:tcPr>
            <w:tcW w:w="1680" w:type="dxa"/>
            <w:vAlign w:val="bottom"/>
            <w:shd w:val="clear" w:color="auto" w:fill="FB1717"/>
          </w:tcPr>
          <w:p>
            <w:pPr>
              <w:jc w:val="center"/>
              <w:ind w:left="17"/>
              <w:spacing w:after="0"/>
              <w:rPr>
                <w:sz w:val="20"/>
                <w:szCs w:val="20"/>
                <w:color w:val="auto"/>
              </w:rPr>
            </w:pPr>
            <w:r>
              <w:rPr>
                <w:rFonts w:ascii="Calibri" w:cs="Calibri" w:eastAsia="Calibri" w:hAnsi="Calibri"/>
                <w:sz w:val="16"/>
                <w:szCs w:val="16"/>
                <w:b w:val="1"/>
                <w:bCs w:val="1"/>
                <w:color w:val="FFFFFF"/>
              </w:rPr>
              <w:t>warrants and rights</w:t>
            </w:r>
          </w:p>
        </w:tc>
        <w:tc>
          <w:tcPr>
            <w:tcW w:w="1420" w:type="dxa"/>
            <w:vAlign w:val="bottom"/>
            <w:shd w:val="clear" w:color="auto" w:fill="FB1717"/>
          </w:tcPr>
          <w:p>
            <w:pPr>
              <w:jc w:val="center"/>
              <w:spacing w:after="0"/>
              <w:rPr>
                <w:sz w:val="20"/>
                <w:szCs w:val="20"/>
                <w:color w:val="auto"/>
              </w:rPr>
            </w:pPr>
            <w:r>
              <w:rPr>
                <w:rFonts w:ascii="Calibri" w:cs="Calibri" w:eastAsia="Calibri" w:hAnsi="Calibri"/>
                <w:sz w:val="16"/>
                <w:szCs w:val="16"/>
                <w:b w:val="1"/>
                <w:bCs w:val="1"/>
                <w:color w:val="FFFFFF"/>
              </w:rPr>
              <w:t>options, warrants</w:t>
            </w:r>
          </w:p>
        </w:tc>
        <w:tc>
          <w:tcPr>
            <w:tcW w:w="1580" w:type="dxa"/>
            <w:vAlign w:val="bottom"/>
            <w:shd w:val="clear" w:color="auto" w:fill="FB1717"/>
          </w:tcPr>
          <w:p>
            <w:pPr>
              <w:jc w:val="center"/>
              <w:ind w:left="16"/>
              <w:spacing w:after="0"/>
              <w:rPr>
                <w:sz w:val="20"/>
                <w:szCs w:val="20"/>
                <w:color w:val="auto"/>
              </w:rPr>
            </w:pPr>
            <w:r>
              <w:rPr>
                <w:rFonts w:ascii="Calibri" w:cs="Calibri" w:eastAsia="Calibri" w:hAnsi="Calibri"/>
                <w:sz w:val="16"/>
                <w:szCs w:val="16"/>
                <w:b w:val="1"/>
                <w:bCs w:val="1"/>
                <w:color w:val="FFFFFF"/>
              </w:rPr>
              <w:t>(excluding securities</w:t>
            </w:r>
          </w:p>
        </w:tc>
      </w:tr>
      <w:tr>
        <w:trPr>
          <w:trHeight w:val="212"/>
        </w:trPr>
        <w:tc>
          <w:tcPr>
            <w:tcW w:w="5400" w:type="dxa"/>
            <w:vAlign w:val="bottom"/>
            <w:tcBorders>
              <w:bottom w:val="single" w:sz="8" w:color="FB1717"/>
            </w:tcBorders>
            <w:shd w:val="clear" w:color="auto" w:fill="FB1717"/>
          </w:tcPr>
          <w:p>
            <w:pPr>
              <w:spacing w:after="0"/>
              <w:rPr>
                <w:sz w:val="20"/>
                <w:szCs w:val="20"/>
                <w:color w:val="auto"/>
              </w:rPr>
            </w:pPr>
            <w:r>
              <w:rPr>
                <w:rFonts w:ascii="Calibri" w:cs="Calibri" w:eastAsia="Calibri" w:hAnsi="Calibri"/>
                <w:sz w:val="16"/>
                <w:szCs w:val="16"/>
                <w:b w:val="1"/>
                <w:bCs w:val="1"/>
                <w:color w:val="FFFFFF"/>
              </w:rPr>
              <w:t>Plan Category</w:t>
            </w:r>
          </w:p>
        </w:tc>
        <w:tc>
          <w:tcPr>
            <w:tcW w:w="1680" w:type="dxa"/>
            <w:vAlign w:val="bottom"/>
            <w:tcBorders>
              <w:bottom w:val="single" w:sz="8" w:color="FB1717"/>
            </w:tcBorders>
            <w:shd w:val="clear" w:color="auto" w:fill="FB1717"/>
          </w:tcPr>
          <w:p>
            <w:pPr>
              <w:jc w:val="center"/>
              <w:ind w:left="17"/>
              <w:spacing w:after="0"/>
              <w:rPr>
                <w:sz w:val="20"/>
                <w:szCs w:val="20"/>
                <w:color w:val="auto"/>
              </w:rPr>
            </w:pPr>
            <w:r>
              <w:rPr>
                <w:rFonts w:ascii="Calibri" w:cs="Calibri" w:eastAsia="Calibri" w:hAnsi="Calibri"/>
                <w:sz w:val="16"/>
                <w:szCs w:val="16"/>
                <w:b w:val="1"/>
                <w:bCs w:val="1"/>
                <w:color w:val="FFFFFF"/>
                <w:w w:val="99"/>
              </w:rPr>
              <w:t>(Column A)</w:t>
            </w:r>
          </w:p>
        </w:tc>
        <w:tc>
          <w:tcPr>
            <w:tcW w:w="1420" w:type="dxa"/>
            <w:vAlign w:val="bottom"/>
            <w:tcBorders>
              <w:bottom w:val="single" w:sz="8" w:color="FB1717"/>
            </w:tcBorders>
            <w:shd w:val="clear" w:color="auto" w:fill="FB1717"/>
          </w:tcPr>
          <w:p>
            <w:pPr>
              <w:jc w:val="center"/>
              <w:spacing w:after="0"/>
              <w:rPr>
                <w:sz w:val="20"/>
                <w:szCs w:val="20"/>
                <w:color w:val="auto"/>
              </w:rPr>
            </w:pPr>
            <w:r>
              <w:rPr>
                <w:rFonts w:ascii="Calibri" w:cs="Calibri" w:eastAsia="Calibri" w:hAnsi="Calibri"/>
                <w:sz w:val="16"/>
                <w:szCs w:val="16"/>
                <w:b w:val="1"/>
                <w:bCs w:val="1"/>
                <w:color w:val="FFFFFF"/>
                <w:w w:val="99"/>
              </w:rPr>
              <w:t>and rights</w:t>
            </w:r>
          </w:p>
        </w:tc>
        <w:tc>
          <w:tcPr>
            <w:tcW w:w="1580" w:type="dxa"/>
            <w:vAlign w:val="bottom"/>
            <w:tcBorders>
              <w:bottom w:val="single" w:sz="8" w:color="FB1717"/>
            </w:tcBorders>
            <w:shd w:val="clear" w:color="auto" w:fill="FB1717"/>
          </w:tcPr>
          <w:p>
            <w:pPr>
              <w:jc w:val="center"/>
              <w:ind w:left="16"/>
              <w:spacing w:after="0"/>
              <w:rPr>
                <w:sz w:val="20"/>
                <w:szCs w:val="20"/>
                <w:color w:val="auto"/>
              </w:rPr>
            </w:pPr>
            <w:r>
              <w:rPr>
                <w:rFonts w:ascii="Calibri" w:cs="Calibri" w:eastAsia="Calibri" w:hAnsi="Calibri"/>
                <w:sz w:val="16"/>
                <w:szCs w:val="16"/>
                <w:b w:val="1"/>
                <w:bCs w:val="1"/>
                <w:color w:val="FFFFFF"/>
                <w:w w:val="99"/>
              </w:rPr>
              <w:t>reflected in Column A)</w:t>
            </w:r>
          </w:p>
        </w:tc>
      </w:tr>
      <w:tr>
        <w:trPr>
          <w:trHeight w:val="254"/>
        </w:trPr>
        <w:tc>
          <w:tcPr>
            <w:tcW w:w="5400" w:type="dxa"/>
            <w:vAlign w:val="bottom"/>
            <w:shd w:val="clear" w:color="auto" w:fill="D9D9D9"/>
          </w:tcPr>
          <w:p>
            <w:pPr>
              <w:spacing w:after="0"/>
              <w:rPr>
                <w:sz w:val="20"/>
                <w:szCs w:val="20"/>
                <w:color w:val="auto"/>
              </w:rPr>
            </w:pPr>
            <w:r>
              <w:rPr>
                <w:rFonts w:ascii="Calibri" w:cs="Calibri" w:eastAsia="Calibri" w:hAnsi="Calibri"/>
                <w:sz w:val="18"/>
                <w:szCs w:val="18"/>
                <w:color w:val="auto"/>
              </w:rPr>
              <w:t>Equity compensation plans approved by security holders</w:t>
            </w:r>
          </w:p>
        </w:tc>
        <w:tc>
          <w:tcPr>
            <w:tcW w:w="1680" w:type="dxa"/>
            <w:vAlign w:val="bottom"/>
          </w:tcPr>
          <w:p>
            <w:pPr>
              <w:jc w:val="right"/>
              <w:ind w:right="497"/>
              <w:spacing w:after="0"/>
              <w:rPr>
                <w:sz w:val="20"/>
                <w:szCs w:val="20"/>
                <w:color w:val="auto"/>
              </w:rPr>
            </w:pPr>
            <w:r>
              <w:rPr>
                <w:rFonts w:ascii="Calibri" w:cs="Calibri" w:eastAsia="Calibri" w:hAnsi="Calibri"/>
                <w:sz w:val="18"/>
                <w:szCs w:val="18"/>
                <w:color w:val="auto"/>
              </w:rPr>
              <w:t>1,829</w:t>
            </w:r>
          </w:p>
        </w:tc>
        <w:tc>
          <w:tcPr>
            <w:tcW w:w="1420" w:type="dxa"/>
            <w:vAlign w:val="bottom"/>
          </w:tcPr>
          <w:p>
            <w:pPr>
              <w:jc w:val="right"/>
              <w:ind w:right="376"/>
              <w:spacing w:after="0"/>
              <w:rPr>
                <w:sz w:val="20"/>
                <w:szCs w:val="20"/>
                <w:color w:val="auto"/>
              </w:rPr>
            </w:pPr>
            <w:r>
              <w:rPr>
                <w:rFonts w:ascii="Calibri" w:cs="Calibri" w:eastAsia="Calibri" w:hAnsi="Calibri"/>
                <w:sz w:val="18"/>
                <w:szCs w:val="18"/>
                <w:color w:val="auto"/>
              </w:rPr>
              <w:t>$95.77</w:t>
            </w:r>
          </w:p>
        </w:tc>
        <w:tc>
          <w:tcPr>
            <w:tcW w:w="1580" w:type="dxa"/>
            <w:vAlign w:val="bottom"/>
          </w:tcPr>
          <w:p>
            <w:pPr>
              <w:jc w:val="right"/>
              <w:ind w:right="296"/>
              <w:spacing w:after="0"/>
              <w:rPr>
                <w:sz w:val="20"/>
                <w:szCs w:val="20"/>
                <w:color w:val="auto"/>
              </w:rPr>
            </w:pPr>
            <w:r>
              <w:rPr>
                <w:rFonts w:ascii="Calibri" w:cs="Calibri" w:eastAsia="Calibri" w:hAnsi="Calibri"/>
                <w:sz w:val="18"/>
                <w:szCs w:val="18"/>
                <w:color w:val="auto"/>
              </w:rPr>
              <w:t>1,455,029</w:t>
            </w:r>
          </w:p>
        </w:tc>
      </w:tr>
      <w:tr>
        <w:trPr>
          <w:trHeight w:val="246"/>
        </w:trPr>
        <w:tc>
          <w:tcPr>
            <w:tcW w:w="5400" w:type="dxa"/>
            <w:vAlign w:val="bottom"/>
            <w:tcBorders>
              <w:bottom w:val="single" w:sz="8" w:color="D9D9D9"/>
            </w:tcBorders>
            <w:shd w:val="clear" w:color="auto" w:fill="D9D9D9"/>
          </w:tcPr>
          <w:p>
            <w:pPr>
              <w:spacing w:after="0"/>
              <w:rPr>
                <w:sz w:val="20"/>
                <w:szCs w:val="20"/>
                <w:color w:val="auto"/>
              </w:rPr>
            </w:pPr>
            <w:r>
              <w:rPr>
                <w:rFonts w:ascii="Calibri" w:cs="Calibri" w:eastAsia="Calibri" w:hAnsi="Calibri"/>
                <w:sz w:val="18"/>
                <w:szCs w:val="18"/>
                <w:color w:val="auto"/>
              </w:rPr>
              <w:t>Equity compensation plans not approved by security holders</w:t>
            </w:r>
          </w:p>
        </w:tc>
        <w:tc>
          <w:tcPr>
            <w:tcW w:w="1680" w:type="dxa"/>
            <w:vAlign w:val="bottom"/>
          </w:tcPr>
          <w:p>
            <w:pPr>
              <w:jc w:val="right"/>
              <w:ind w:right="497"/>
              <w:spacing w:after="0"/>
              <w:rPr>
                <w:sz w:val="20"/>
                <w:szCs w:val="20"/>
                <w:color w:val="auto"/>
              </w:rPr>
            </w:pPr>
            <w:r>
              <w:rPr>
                <w:rFonts w:ascii="Calibri" w:cs="Calibri" w:eastAsia="Calibri" w:hAnsi="Calibri"/>
                <w:sz w:val="18"/>
                <w:szCs w:val="18"/>
                <w:color w:val="auto"/>
              </w:rPr>
              <w:t>-</w:t>
            </w:r>
          </w:p>
        </w:tc>
        <w:tc>
          <w:tcPr>
            <w:tcW w:w="1420" w:type="dxa"/>
            <w:vAlign w:val="bottom"/>
          </w:tcPr>
          <w:p>
            <w:pPr>
              <w:jc w:val="right"/>
              <w:ind w:right="376"/>
              <w:spacing w:after="0"/>
              <w:rPr>
                <w:sz w:val="20"/>
                <w:szCs w:val="20"/>
                <w:color w:val="auto"/>
              </w:rPr>
            </w:pPr>
            <w:r>
              <w:rPr>
                <w:rFonts w:ascii="Calibri" w:cs="Calibri" w:eastAsia="Calibri" w:hAnsi="Calibri"/>
                <w:sz w:val="18"/>
                <w:szCs w:val="18"/>
                <w:color w:val="auto"/>
              </w:rPr>
              <w:t>-</w:t>
            </w:r>
          </w:p>
        </w:tc>
        <w:tc>
          <w:tcPr>
            <w:tcW w:w="1580" w:type="dxa"/>
            <w:vAlign w:val="bottom"/>
          </w:tcPr>
          <w:p>
            <w:pPr>
              <w:jc w:val="right"/>
              <w:ind w:right="296"/>
              <w:spacing w:after="0"/>
              <w:rPr>
                <w:sz w:val="20"/>
                <w:szCs w:val="20"/>
                <w:color w:val="auto"/>
              </w:rPr>
            </w:pPr>
            <w:r>
              <w:rPr>
                <w:rFonts w:ascii="Calibri" w:cs="Calibri" w:eastAsia="Calibri" w:hAnsi="Calibri"/>
                <w:sz w:val="18"/>
                <w:szCs w:val="18"/>
                <w:color w:val="auto"/>
              </w:rPr>
              <w:t>-</w:t>
            </w:r>
          </w:p>
        </w:tc>
      </w:tr>
      <w:tr>
        <w:trPr>
          <w:trHeight w:val="252"/>
        </w:trPr>
        <w:tc>
          <w:tcPr>
            <w:tcW w:w="5400" w:type="dxa"/>
            <w:vAlign w:val="bottom"/>
            <w:tcBorders>
              <w:top w:val="single" w:sz="8" w:color="auto"/>
            </w:tcBorders>
            <w:shd w:val="clear" w:color="auto" w:fill="D9D9D9"/>
          </w:tcPr>
          <w:p>
            <w:pPr>
              <w:spacing w:after="0"/>
              <w:rPr>
                <w:sz w:val="20"/>
                <w:szCs w:val="20"/>
                <w:color w:val="auto"/>
              </w:rPr>
            </w:pPr>
            <w:r>
              <w:rPr>
                <w:rFonts w:ascii="Calibri" w:cs="Calibri" w:eastAsia="Calibri" w:hAnsi="Calibri"/>
                <w:sz w:val="18"/>
                <w:szCs w:val="18"/>
                <w:b w:val="1"/>
                <w:bCs w:val="1"/>
                <w:color w:val="auto"/>
              </w:rPr>
              <w:t>Total</w:t>
            </w:r>
          </w:p>
        </w:tc>
        <w:tc>
          <w:tcPr>
            <w:tcW w:w="1680" w:type="dxa"/>
            <w:vAlign w:val="bottom"/>
            <w:tcBorders>
              <w:top w:val="single" w:sz="8" w:color="auto"/>
            </w:tcBorders>
          </w:tcPr>
          <w:p>
            <w:pPr>
              <w:jc w:val="right"/>
              <w:ind w:right="497"/>
              <w:spacing w:after="0"/>
              <w:rPr>
                <w:sz w:val="20"/>
                <w:szCs w:val="20"/>
                <w:color w:val="auto"/>
              </w:rPr>
            </w:pPr>
            <w:r>
              <w:rPr>
                <w:rFonts w:ascii="Calibri" w:cs="Calibri" w:eastAsia="Calibri" w:hAnsi="Calibri"/>
                <w:sz w:val="18"/>
                <w:szCs w:val="18"/>
                <w:b w:val="1"/>
                <w:bCs w:val="1"/>
                <w:color w:val="auto"/>
              </w:rPr>
              <w:t>1,829</w:t>
            </w:r>
          </w:p>
        </w:tc>
        <w:tc>
          <w:tcPr>
            <w:tcW w:w="1420" w:type="dxa"/>
            <w:vAlign w:val="bottom"/>
            <w:tcBorders>
              <w:top w:val="single" w:sz="8" w:color="auto"/>
            </w:tcBorders>
          </w:tcPr>
          <w:p>
            <w:pPr>
              <w:jc w:val="right"/>
              <w:ind w:right="376"/>
              <w:spacing w:after="0"/>
              <w:rPr>
                <w:sz w:val="20"/>
                <w:szCs w:val="20"/>
                <w:color w:val="auto"/>
              </w:rPr>
            </w:pPr>
            <w:r>
              <w:rPr>
                <w:rFonts w:ascii="Calibri" w:cs="Calibri" w:eastAsia="Calibri" w:hAnsi="Calibri"/>
                <w:sz w:val="18"/>
                <w:szCs w:val="18"/>
                <w:b w:val="1"/>
                <w:bCs w:val="1"/>
                <w:color w:val="auto"/>
              </w:rPr>
              <w:t>$95.77</w:t>
            </w:r>
          </w:p>
        </w:tc>
        <w:tc>
          <w:tcPr>
            <w:tcW w:w="1580" w:type="dxa"/>
            <w:vAlign w:val="bottom"/>
            <w:tcBorders>
              <w:top w:val="single" w:sz="8" w:color="auto"/>
            </w:tcBorders>
          </w:tcPr>
          <w:p>
            <w:pPr>
              <w:jc w:val="right"/>
              <w:ind w:right="296"/>
              <w:spacing w:after="0"/>
              <w:rPr>
                <w:sz w:val="20"/>
                <w:szCs w:val="20"/>
                <w:color w:val="auto"/>
              </w:rPr>
            </w:pPr>
            <w:r>
              <w:rPr>
                <w:rFonts w:ascii="Calibri" w:cs="Calibri" w:eastAsia="Calibri" w:hAnsi="Calibri"/>
                <w:sz w:val="18"/>
                <w:szCs w:val="18"/>
                <w:b w:val="1"/>
                <w:bCs w:val="1"/>
                <w:color w:val="auto"/>
              </w:rPr>
              <w:t>1,455,029</w:t>
            </w:r>
          </w:p>
        </w:tc>
      </w:tr>
      <w:tr>
        <w:trPr>
          <w:trHeight w:val="48"/>
        </w:trPr>
        <w:tc>
          <w:tcPr>
            <w:tcW w:w="5400" w:type="dxa"/>
            <w:vAlign w:val="bottom"/>
            <w:shd w:val="clear" w:color="auto" w:fill="D9D9D9"/>
          </w:tcPr>
          <w:p>
            <w:pPr>
              <w:spacing w:after="0"/>
              <w:rPr>
                <w:sz w:val="4"/>
                <w:szCs w:val="4"/>
                <w:color w:val="auto"/>
              </w:rPr>
            </w:pPr>
          </w:p>
        </w:tc>
        <w:tc>
          <w:tcPr>
            <w:tcW w:w="1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3898900</wp:posOffset>
                </wp:positionV>
                <wp:extent cx="6400800" cy="17780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65" o:spid="_x0000_s1590" style="position:absolute;margin-left:0pt;margin-top:30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3898900</wp:posOffset>
                </wp:positionV>
                <wp:extent cx="0" cy="17780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307pt" to="0.75pt,32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3908425</wp:posOffset>
                </wp:positionV>
                <wp:extent cx="6400800" cy="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7.75pt" to="504pt,307.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3898900</wp:posOffset>
                </wp:positionV>
                <wp:extent cx="0" cy="17780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8" o:spid="_x0000_s15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307pt" to="503.25pt,32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4067175</wp:posOffset>
                </wp:positionV>
                <wp:extent cx="6400800" cy="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0.25pt" to="504pt,320.25pt" o:allowincell="f" strokecolor="#000000" strokeweight="1.5pt"/>
            </w:pict>
          </mc:Fallback>
        </mc:AlternateContent>
      </w:r>
    </w:p>
    <w:p>
      <w:pPr>
        <w:sectPr>
          <w:pgSz w:w="11880" w:h="15480" w:orient="portrait"/>
          <w:cols w:equalWidth="0" w:num="1">
            <w:col w:w="10080"/>
          </w:cols>
          <w:pgMar w:left="900" w:top="1310"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39</w:t>
      </w:r>
    </w:p>
    <w:p>
      <w:pPr>
        <w:sectPr>
          <w:pgSz w:w="11880" w:h="15480" w:orient="portrait"/>
          <w:cols w:equalWidth="0" w:num="1">
            <w:col w:w="10080"/>
          </w:cols>
          <w:pgMar w:left="900" w:top="1310" w:right="900" w:bottom="764" w:gutter="0" w:footer="0" w:header="0"/>
          <w:type w:val="continuous"/>
        </w:sectPr>
      </w:pPr>
    </w:p>
    <w:bookmarkStart w:id="159" w:name="page160"/>
    <w:bookmarkEnd w:id="159"/>
    <w:p>
      <w:pPr>
        <w:ind w:left="120"/>
        <w:spacing w:after="0"/>
        <w:rPr>
          <w:sz w:val="20"/>
          <w:szCs w:val="20"/>
          <w:color w:val="auto"/>
        </w:rPr>
      </w:pPr>
      <w:r>
        <w:rPr>
          <w:rFonts w:ascii="Arial" w:cs="Arial" w:eastAsia="Arial" w:hAnsi="Arial"/>
          <w:sz w:val="36"/>
          <w:szCs w:val="36"/>
          <w:b w:val="1"/>
          <w:bCs w:val="1"/>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838200</wp:posOffset>
                </wp:positionV>
                <wp:extent cx="6400800" cy="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6pt" to="549pt,66pt" o:allowincell="f" strokecolor="#FB1717" strokeweight="3pt">
                <w10:wrap anchorx="page" anchory="page"/>
              </v:line>
            </w:pict>
          </mc:Fallback>
        </mc:AlternateContent>
        <w:t>Proposal 3: Approving Frequency of Say on Pay Vote</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You are being asked to vote, on an advisory, non-binding basis, how frequently we should conduct a non-binding shareholder advisory vote on the compensation of our NEOs. You can choose to hold that vote every one, two or three years or you can abstain from voting on this proposal. At our 2017 annual meeting, approximately 85% of the votes cast voted in favor of holding the say on pay vote annually. The Board recommends that shareholders again vote in favor of holding the say on pay vote annually. An “abstention” or broker “non-vote” will have no effect on the outcome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400800" cy="4826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95">
                      <a:extLst>
                        <a:ext uri="{28A0092B-C50C-407E-A947-70E740481C1C}"/>
                      </a:extLst>
                    </a:blip>
                    <a:srcRect/>
                    <a:stretch>
                      <a:fillRect/>
                    </a:stretch>
                  </pic:blipFill>
                  <pic:spPr bwMode="auto">
                    <a:xfrm>
                      <a:off x="0" y="0"/>
                      <a:ext cx="6400800" cy="482600"/>
                    </a:xfrm>
                    <a:prstGeom prst="rect">
                      <a:avLst/>
                    </a:prstGeom>
                    <a:noFill/>
                  </pic:spPr>
                </pic:pic>
              </a:graphicData>
            </a:graphic>
          </wp:anchor>
        </w:drawing>
      </w:r>
    </w:p>
    <w:p>
      <w:pPr>
        <w:spacing w:after="0" w:line="382" w:lineRule="exact"/>
        <w:rPr>
          <w:sz w:val="20"/>
          <w:szCs w:val="20"/>
          <w:color w:val="auto"/>
        </w:rPr>
      </w:pPr>
    </w:p>
    <w:p>
      <w:pPr>
        <w:ind w:left="1000"/>
        <w:spacing w:after="0"/>
        <w:rPr>
          <w:sz w:val="20"/>
          <w:szCs w:val="20"/>
          <w:color w:val="auto"/>
        </w:rPr>
      </w:pPr>
      <w:r>
        <w:rPr>
          <w:rFonts w:ascii="Arial" w:cs="Arial" w:eastAsia="Arial" w:hAnsi="Arial"/>
          <w:sz w:val="28"/>
          <w:szCs w:val="28"/>
          <w:color w:val="auto"/>
        </w:rPr>
        <w:t xml:space="preserve">Our Board recommends a vote </w:t>
      </w:r>
      <w:r>
        <w:rPr>
          <w:rFonts w:ascii="Arial" w:cs="Arial" w:eastAsia="Arial" w:hAnsi="Arial"/>
          <w:sz w:val="28"/>
          <w:szCs w:val="28"/>
          <w:b w:val="1"/>
          <w:bCs w:val="1"/>
          <w:color w:val="auto"/>
        </w:rPr>
        <w:t>FOR</w:t>
      </w:r>
      <w:r>
        <w:rPr>
          <w:rFonts w:ascii="Arial" w:cs="Arial" w:eastAsia="Arial" w:hAnsi="Arial"/>
          <w:sz w:val="28"/>
          <w:szCs w:val="28"/>
          <w:color w:val="auto"/>
        </w:rPr>
        <w:t xml:space="preserve"> an annual say on pay vote</w:t>
      </w:r>
    </w:p>
    <w:p>
      <w:pPr>
        <w:spacing w:after="0" w:line="200" w:lineRule="exact"/>
        <w:rPr>
          <w:sz w:val="20"/>
          <w:szCs w:val="20"/>
          <w:color w:val="auto"/>
        </w:rPr>
      </w:pPr>
    </w:p>
    <w:p>
      <w:pPr>
        <w:spacing w:after="0" w:line="31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frequency for holding an advisory vote on the compensation of our NEOs requires the affirmative vote of a majority of votes cast at the Annual Meeting, in person or by proxy. If no frequency option receives the foregoing vote, then we will consider the option that receives the highest number of votes cast to be the frequency recommended by shareholders. Please note that when casting a vote on this proposal, you will not be voting to approve or disapprove the Board of Trustees’ recommendation and even though this vote is not binding on the Compensation Committee, the Board and the Compensation Committee value the opinions of our shareholders and will review the results of this vote and take them into consideration in determining how often to conduct the shareholder vote on the compensation of our named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157480</wp:posOffset>
                </wp:positionV>
                <wp:extent cx="6400800"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pt" to="504pt,12.4pt" o:allowincell="f" strokecolor="#FB1717" strokeweight="3pt"/>
            </w:pict>
          </mc:Fallback>
        </mc:AlternateContent>
      </w:r>
    </w:p>
    <w:p>
      <w:pPr>
        <w:spacing w:after="0" w:line="322" w:lineRule="exact"/>
        <w:rPr>
          <w:sz w:val="20"/>
          <w:szCs w:val="20"/>
          <w:color w:val="auto"/>
        </w:rPr>
      </w:pPr>
    </w:p>
    <w:p>
      <w:pPr>
        <w:ind w:left="100"/>
        <w:spacing w:after="0" w:line="235" w:lineRule="auto"/>
        <w:rPr>
          <w:sz w:val="20"/>
          <w:szCs w:val="20"/>
          <w:color w:val="auto"/>
        </w:rPr>
      </w:pPr>
      <w:r>
        <w:rPr>
          <w:rFonts w:ascii="Arial" w:cs="Arial" w:eastAsia="Arial" w:hAnsi="Arial"/>
          <w:sz w:val="36"/>
          <w:szCs w:val="36"/>
          <w:b w:val="1"/>
          <w:bCs w:val="1"/>
          <w:color w:val="auto"/>
        </w:rPr>
        <w:t>Proposal 4: Declaration of Trust Amendment to Increase Authorized Common Shares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You are being asked to vote, on an advisory, non-binding basis, on amending our Declaration of Trust to increase the Company’s number of authorized Common Shares from 100 million to 200 million. As permitted under Maryland law, Section 6.1 of our Declaration of Trust allows our Board, without any action by our shareholders, to amend the Declaration of Trust to increase the aggregate number of Common Shares the Company has the authority to issue. Given the importance of the Company’s capital structure to the value of our shareholders’ investment, the Board believes it is appropriate to solicit feedback from our shareholders in connection with such an amendment.</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of March 13, 2023, 81,511,030 of our Common Shares were issued and outstanding. In addition, an aggregate of approximately 2.85 million Common Shares are: (a) subject to outstanding equity awards, which include restricted shares, restricted share units, performance shares and options; and (b) reserved for future issuance in connection with the 2020 Performance Incentive Plan, the 2007 Employee Share Purchase Plan, the Dividend Reinvestment and Share Purchase Plan, conversion of our 5.417% Series 1 Cumulative Convertible Preferred Shares of Beneficial Interest, redemptions of downREIT units and our current at-the-market offering program.</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Board has determined that it is advisable and in the best interests of the Company and our shareholders to amend our Declaration of Trust in order to have available on a timely basis additional authorized but unissued Common Shares in an amount adequate to provide for our future needs, which may include possible equity financings, opportunities for expanding our business through acquisitions, development or other investments, management incentives and employee benefit plans, stock dividends or stock splits, and for other general corporate purposes. The increase in our authorized Common Shares will become effective upon the filing of the Articles of Amendment to our Declaration of Trust with, and acceptance for record by, the Maryland State Department of Assessments and Taxation. To maintain our status as a real estate investment trust, we are required to distribute annually at least 90% of our taxable income as dividends to our shareholders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6400800" cy="17780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73" o:spid="_x0000_s1598" style="position:absolute;margin-left:0pt;margin-top:9.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125730</wp:posOffset>
                </wp:positionV>
                <wp:extent cx="0" cy="177800"/>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9pt" to="0.75pt,23.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6400800" cy="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5pt" to="504pt,10.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125730</wp:posOffset>
                </wp:positionV>
                <wp:extent cx="0" cy="17780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9pt" to="503.25pt,23.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294005</wp:posOffset>
                </wp:positionV>
                <wp:extent cx="6400800" cy="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5pt" to="504pt,23.15pt" o:allowincell="f" strokecolor="#000000" strokeweight="1.5pt"/>
            </w:pict>
          </mc:Fallback>
        </mc:AlternateContent>
      </w:r>
    </w:p>
    <w:p>
      <w:pPr>
        <w:sectPr>
          <w:pgSz w:w="11880" w:h="15480" w:orient="portrait"/>
          <w:cols w:equalWidth="0" w:num="1">
            <w:col w:w="10080"/>
          </w:cols>
          <w:pgMar w:left="900" w:top="1410" w:right="900" w:bottom="764" w:gutter="0" w:footer="0" w:header="0"/>
        </w:sectPr>
      </w:pPr>
    </w:p>
    <w:p>
      <w:pPr>
        <w:spacing w:after="0" w:line="24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40</w:t>
      </w:r>
    </w:p>
    <w:p>
      <w:pPr>
        <w:sectPr>
          <w:pgSz w:w="11880" w:h="15480" w:orient="portrait"/>
          <w:cols w:equalWidth="0" w:num="1">
            <w:col w:w="10080"/>
          </w:cols>
          <w:pgMar w:left="900" w:top="1410" w:right="900" w:bottom="764" w:gutter="0" w:footer="0" w:header="0"/>
          <w:type w:val="continuous"/>
        </w:sectPr>
      </w:pPr>
    </w:p>
    <w:bookmarkStart w:id="160" w:name="page161"/>
    <w:bookmarkEnd w:id="160"/>
    <w:p>
      <w:pPr>
        <w:jc w:val="both"/>
        <w:spacing w:after="0" w:line="249" w:lineRule="auto"/>
        <w:rPr>
          <w:sz w:val="20"/>
          <w:szCs w:val="20"/>
          <w:color w:val="auto"/>
        </w:rPr>
      </w:pPr>
      <w:r>
        <w:rPr>
          <w:rFonts w:ascii="Arial" w:cs="Arial" w:eastAsia="Arial" w:hAnsi="Arial"/>
          <w:sz w:val="20"/>
          <w:szCs w:val="20"/>
          <w:color w:val="auto"/>
        </w:rPr>
        <w:t>historically, our policy has been to distribute 100% of our taxable income. Without the ability to retain a significant amount of working capital generated by our operations, we have to access both the debt and equity capital markets on a regular basis to fund the investment activities that are critical to increasing the value of the Company over time. If we do not increase the number of authorized common shares, we may limit our ability to make the investments needed to create long-term value. The authorized number of Common Shares under our Declaration of Trust has not been changed since 1999.</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Company’s issuance of Common Shares may dilute the equity ownership position of current holders of Common Shares and may be made without shareholder approval, unless otherwise required by applicable law or the NYSE.</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issuance of additional Common Shares could have a takeover defense effect, although this is not the intent of our Board in proposing the amendment. For instance, shares of our authorized but unissued Common Shares could be issued in one or more transactions that could have the effect of delaying, deferring or preventing a change in control of our Company. As of the date of this Proxy Statement, we are not aware of any attempt or plan to obtain control of us.</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holders of Common Shares of beneficial interest have no preemptive rights, and our Board has no plans to grant such rights with respect to any such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111125</wp:posOffset>
                </wp:positionV>
                <wp:extent cx="0" cy="58420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78" o:spid="_x0000_s16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75pt" to="0.25pt,54.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114300</wp:posOffset>
                </wp:positionV>
                <wp:extent cx="6400800" cy="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79" o:spid="_x0000_s16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pt" to="504pt,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6397625</wp:posOffset>
                </wp:positionH>
                <wp:positionV relativeFrom="paragraph">
                  <wp:posOffset>111125</wp:posOffset>
                </wp:positionV>
                <wp:extent cx="0" cy="58420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75pt,8.75pt" to="503.75pt,54.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692150</wp:posOffset>
                </wp:positionV>
                <wp:extent cx="6400800" cy="0"/>
                <wp:wrapNone/>
                <wp:docPr id="581" name="Shape 5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81" o:spid="_x0000_s16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504pt,54.5pt" o:allowincell="f" strokecolor="#000000" strokeweight="0.5pt"/>
            </w:pict>
          </mc:Fallback>
        </mc:AlternateContent>
      </w:r>
    </w:p>
    <w:p>
      <w:pPr>
        <w:spacing w:after="0" w:line="175" w:lineRule="exact"/>
        <w:rPr>
          <w:sz w:val="20"/>
          <w:szCs w:val="20"/>
          <w:color w:val="auto"/>
        </w:rPr>
      </w:pPr>
    </w:p>
    <w:p>
      <w:pPr>
        <w:jc w:val="both"/>
        <w:ind w:left="1000" w:right="160"/>
        <w:spacing w:after="0" w:line="218" w:lineRule="auto"/>
        <w:rPr>
          <w:sz w:val="20"/>
          <w:szCs w:val="20"/>
          <w:color w:val="auto"/>
        </w:rPr>
      </w:pPr>
      <w:r>
        <w:rPr>
          <w:rFonts w:ascii="Arial" w:cs="Arial" w:eastAsia="Arial" w:hAnsi="Arial"/>
          <w:sz w:val="28"/>
          <w:szCs w:val="28"/>
          <w:color w:val="auto"/>
        </w:rPr>
        <w:t xml:space="preserve">Our Board unanimously recommends a vote </w:t>
      </w:r>
      <w:r>
        <w:rPr>
          <w:rFonts w:ascii="Arial" w:cs="Arial" w:eastAsia="Arial" w:hAnsi="Arial"/>
          <w:sz w:val="28"/>
          <w:szCs w:val="28"/>
          <w:b w:val="1"/>
          <w:bCs w:val="1"/>
          <w:color w:val="auto"/>
        </w:rPr>
        <w:t>FOR</w:t>
      </w:r>
      <w:r>
        <w:rPr>
          <w:rFonts w:ascii="Arial" w:cs="Arial" w:eastAsia="Arial" w:hAnsi="Arial"/>
          <w:sz w:val="28"/>
          <w:szCs w:val="28"/>
          <w:color w:val="auto"/>
        </w:rPr>
        <w:t xml:space="preserve"> the non-binding, advisory approval of an amendment to increase the number of authorized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-500380</wp:posOffset>
            </wp:positionV>
            <wp:extent cx="439420" cy="415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96">
                      <a:clrChange>
                        <a:clrFrom>
                          <a:srgbClr val="000000"/>
                        </a:clrFrom>
                        <a:clrTo>
                          <a:srgbClr val="000000">
                            <a:alpha val="0"/>
                          </a:srgbClr>
                        </a:clrTo>
                      </a:clrChange>
                      <a:extLst>
                        <a:ext uri="{28A0092B-C50C-407E-A947-70E740481C1C}"/>
                      </a:extLst>
                    </a:blip>
                    <a:srcRect/>
                    <a:stretch>
                      <a:fillRect/>
                    </a:stretch>
                  </pic:blipFill>
                  <pic:spPr bwMode="auto">
                    <a:xfrm>
                      <a:off x="0" y="0"/>
                      <a:ext cx="439420" cy="415290"/>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-500380</wp:posOffset>
            </wp:positionV>
            <wp:extent cx="439420" cy="415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439420" cy="415290"/>
                    </a:xfrm>
                    <a:prstGeom prst="rect">
                      <a:avLst/>
                    </a:prstGeom>
                    <a:noFill/>
                  </pic:spPr>
                </pic:pic>
              </a:graphicData>
            </a:graphic>
          </wp:anchor>
        </w:drawing>
      </w:r>
    </w:p>
    <w:p>
      <w:pPr>
        <w:spacing w:after="0" w:line="27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Although this vote is not binding on the Board, the Board values the opinions of our shareholders and will consider the results of this vote. In the event our shareholders do not approve this amendment to increase our authorized Common Shares, the Board may delay effecting the amendment, effect a different amendment, or, in its discretion, proceed with the amendment as proposed if it determines that it is necessary or appropriate to do so.</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6400800" cy="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504pt,11.4pt" o:allowincell="f" strokecolor="#FB1717" strokeweight="3pt"/>
            </w:pict>
          </mc:Fallback>
        </mc:AlternateContent>
      </w:r>
    </w:p>
    <w:p>
      <w:pPr>
        <w:spacing w:after="0" w:line="302" w:lineRule="exact"/>
        <w:rPr>
          <w:sz w:val="20"/>
          <w:szCs w:val="20"/>
          <w:color w:val="auto"/>
        </w:rPr>
      </w:pPr>
    </w:p>
    <w:p>
      <w:pPr>
        <w:ind w:left="100"/>
        <w:spacing w:after="0" w:line="235" w:lineRule="auto"/>
        <w:rPr>
          <w:sz w:val="20"/>
          <w:szCs w:val="20"/>
          <w:color w:val="auto"/>
        </w:rPr>
      </w:pPr>
      <w:r>
        <w:rPr>
          <w:rFonts w:ascii="Arial" w:cs="Arial" w:eastAsia="Arial" w:hAnsi="Arial"/>
          <w:sz w:val="36"/>
          <w:szCs w:val="36"/>
          <w:b w:val="1"/>
          <w:bCs w:val="1"/>
          <w:color w:val="auto"/>
        </w:rPr>
        <w:t>Proposal 5: Ratification of Independent Registered Public Accounting Firm</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Shareholders are being asked to ratify in a non-binding vote the selection of Grant Thornton, LLP (“GT”) as our independent registered public accounting firm for the fiscal year ending December 31, 2023.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126365</wp:posOffset>
                </wp:positionV>
                <wp:extent cx="6400800" cy="17780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85" o:spid="_x0000_s1610" style="position:absolute;margin-left:0pt;margin-top:9.9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125730</wp:posOffset>
                </wp:positionV>
                <wp:extent cx="0" cy="17780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9pt" to="0.75pt,23.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6400800" cy="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5pt" to="504pt,10.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125730</wp:posOffset>
                </wp:positionV>
                <wp:extent cx="0" cy="17780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9pt" to="503.25pt,23.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294005</wp:posOffset>
                </wp:positionV>
                <wp:extent cx="6400800"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5pt" to="504pt,23.1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47"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41</w:t>
      </w:r>
    </w:p>
    <w:p>
      <w:pPr>
        <w:sectPr>
          <w:pgSz w:w="11880" w:h="15480" w:orient="portrait"/>
          <w:cols w:equalWidth="0" w:num="1">
            <w:col w:w="10080"/>
          </w:cols>
          <w:pgMar w:left="900" w:top="1316" w:right="900" w:bottom="764" w:gutter="0" w:footer="0" w:header="0"/>
          <w:type w:val="continuous"/>
        </w:sectPr>
      </w:pPr>
    </w:p>
    <w:bookmarkStart w:id="161" w:name="page162"/>
    <w:bookmarkEnd w:id="161"/>
    <w:p>
      <w:pPr>
        <w:ind w:right="240"/>
        <w:spacing w:after="0" w:line="243" w:lineRule="auto"/>
        <w:rPr>
          <w:sz w:val="20"/>
          <w:szCs w:val="20"/>
          <w:color w:val="auto"/>
        </w:rPr>
      </w:pPr>
      <w:r>
        <w:rPr>
          <w:rFonts w:ascii="Arial" w:cs="Arial" w:eastAsia="Arial" w:hAnsi="Arial"/>
          <w:sz w:val="20"/>
          <w:szCs w:val="20"/>
          <w:color w:val="auto"/>
        </w:rPr>
        <w:t>The following table sets forth the fees for services rendered by GT for the years ended December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shd w:val="clear" w:color="auto" w:fill="FB1717"/>
          </w:tcPr>
          <w:p>
            <w:pPr>
              <w:spacing w:after="0"/>
              <w:rPr>
                <w:sz w:val="22"/>
                <w:szCs w:val="22"/>
                <w:color w:val="auto"/>
              </w:rPr>
            </w:pPr>
          </w:p>
        </w:tc>
        <w:tc>
          <w:tcPr>
            <w:tcW w:w="400" w:type="dxa"/>
            <w:vAlign w:val="bottom"/>
            <w:shd w:val="clear" w:color="auto" w:fill="FB1717"/>
          </w:tcPr>
          <w:p>
            <w:pPr>
              <w:spacing w:after="0"/>
              <w:rPr>
                <w:sz w:val="22"/>
                <w:szCs w:val="22"/>
                <w:color w:val="auto"/>
              </w:rPr>
            </w:pPr>
          </w:p>
        </w:tc>
        <w:tc>
          <w:tcPr>
            <w:tcW w:w="1000" w:type="dxa"/>
            <w:vAlign w:val="bottom"/>
            <w:shd w:val="clear" w:color="auto" w:fill="FB1717"/>
          </w:tcPr>
          <w:p>
            <w:pPr>
              <w:jc w:val="right"/>
              <w:spacing w:after="0"/>
              <w:rPr>
                <w:sz w:val="20"/>
                <w:szCs w:val="20"/>
                <w:color w:val="auto"/>
              </w:rPr>
            </w:pPr>
            <w:r>
              <w:rPr>
                <w:rFonts w:ascii="Arial" w:cs="Arial" w:eastAsia="Arial" w:hAnsi="Arial"/>
                <w:sz w:val="20"/>
                <w:szCs w:val="20"/>
                <w:b w:val="1"/>
                <w:bCs w:val="1"/>
                <w:color w:val="FFFFFF"/>
              </w:rPr>
              <w:t>2022</w:t>
            </w:r>
          </w:p>
        </w:tc>
        <w:tc>
          <w:tcPr>
            <w:tcW w:w="300" w:type="dxa"/>
            <w:vAlign w:val="bottom"/>
            <w:shd w:val="clear" w:color="auto" w:fill="FB1717"/>
          </w:tcPr>
          <w:p>
            <w:pPr>
              <w:spacing w:after="0"/>
              <w:rPr>
                <w:sz w:val="22"/>
                <w:szCs w:val="22"/>
                <w:color w:val="auto"/>
              </w:rPr>
            </w:pPr>
          </w:p>
        </w:tc>
        <w:tc>
          <w:tcPr>
            <w:tcW w:w="980" w:type="dxa"/>
            <w:vAlign w:val="bottom"/>
            <w:shd w:val="clear" w:color="auto" w:fill="FB1717"/>
          </w:tcPr>
          <w:p>
            <w:pPr>
              <w:jc w:val="right"/>
              <w:spacing w:after="0"/>
              <w:rPr>
                <w:sz w:val="20"/>
                <w:szCs w:val="20"/>
                <w:color w:val="auto"/>
              </w:rPr>
            </w:pPr>
            <w:r>
              <w:rPr>
                <w:rFonts w:ascii="Arial" w:cs="Arial" w:eastAsia="Arial" w:hAnsi="Arial"/>
                <w:sz w:val="20"/>
                <w:szCs w:val="20"/>
                <w:b w:val="1"/>
                <w:bCs w:val="1"/>
                <w:color w:val="FFFFFF"/>
              </w:rPr>
              <w:t>2021</w:t>
            </w:r>
          </w:p>
        </w:tc>
      </w:tr>
      <w:tr>
        <w:trPr>
          <w:trHeight w:val="348"/>
        </w:trPr>
        <w:tc>
          <w:tcPr>
            <w:tcW w:w="6600" w:type="dxa"/>
            <w:vAlign w:val="bottom"/>
            <w:shd w:val="clear" w:color="auto" w:fill="D9D9D9"/>
          </w:tcPr>
          <w:p>
            <w:pPr>
              <w:ind w:left="60"/>
              <w:spacing w:after="0"/>
              <w:rPr>
                <w:sz w:val="20"/>
                <w:szCs w:val="20"/>
                <w:color w:val="auto"/>
              </w:rPr>
            </w:pPr>
            <w:r>
              <w:rPr>
                <w:rFonts w:ascii="Calibri" w:cs="Calibri" w:eastAsia="Calibri" w:hAnsi="Calibri"/>
                <w:sz w:val="20"/>
                <w:szCs w:val="20"/>
                <w:color w:val="auto"/>
              </w:rPr>
              <w:t>Audit Fees</w:t>
            </w:r>
            <w:r>
              <w:rPr>
                <w:rFonts w:ascii="Calibri" w:cs="Calibri" w:eastAsia="Calibri" w:hAnsi="Calibri"/>
                <w:sz w:val="26"/>
                <w:szCs w:val="26"/>
                <w:color w:val="auto"/>
                <w:vertAlign w:val="superscript"/>
              </w:rPr>
              <w:t>(1)</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930,131</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974,141</w:t>
            </w:r>
          </w:p>
        </w:tc>
      </w:tr>
      <w:tr>
        <w:trPr>
          <w:trHeight w:val="300"/>
        </w:trPr>
        <w:tc>
          <w:tcPr>
            <w:tcW w:w="6600" w:type="dxa"/>
            <w:vAlign w:val="bottom"/>
            <w:shd w:val="clear" w:color="auto" w:fill="D9D9D9"/>
          </w:tcPr>
          <w:p>
            <w:pPr>
              <w:ind w:left="60"/>
              <w:spacing w:after="0" w:line="299" w:lineRule="exact"/>
              <w:rPr>
                <w:sz w:val="20"/>
                <w:szCs w:val="20"/>
                <w:color w:val="auto"/>
              </w:rPr>
            </w:pPr>
            <w:r>
              <w:rPr>
                <w:rFonts w:ascii="Calibri" w:cs="Calibri" w:eastAsia="Calibri" w:hAnsi="Calibri"/>
                <w:sz w:val="20"/>
                <w:szCs w:val="20"/>
                <w:color w:val="auto"/>
              </w:rPr>
              <w:t>Audit-Related Fees</w:t>
            </w:r>
            <w:r>
              <w:rPr>
                <w:rFonts w:ascii="Calibri" w:cs="Calibri" w:eastAsia="Calibri" w:hAnsi="Calibri"/>
                <w:sz w:val="26"/>
                <w:szCs w:val="26"/>
                <w:color w:val="auto"/>
                <w:vertAlign w:val="superscript"/>
              </w:rPr>
              <w:t>(2)</w:t>
            </w: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line="229" w:lineRule="exact"/>
              <w:rPr>
                <w:sz w:val="20"/>
                <w:szCs w:val="20"/>
                <w:color w:val="auto"/>
              </w:rPr>
            </w:pPr>
            <w:r>
              <w:rPr>
                <w:rFonts w:ascii="Calibri" w:cs="Calibri" w:eastAsia="Calibri" w:hAnsi="Calibri"/>
                <w:sz w:val="20"/>
                <w:szCs w:val="20"/>
                <w:color w:val="auto"/>
              </w:rPr>
              <w:t>70,925</w:t>
            </w:r>
          </w:p>
        </w:tc>
        <w:tc>
          <w:tcPr>
            <w:tcW w:w="3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line="229" w:lineRule="exact"/>
              <w:rPr>
                <w:sz w:val="20"/>
                <w:szCs w:val="20"/>
                <w:color w:val="auto"/>
              </w:rPr>
            </w:pPr>
            <w:r>
              <w:rPr>
                <w:rFonts w:ascii="Calibri" w:cs="Calibri" w:eastAsia="Calibri" w:hAnsi="Calibri"/>
                <w:sz w:val="20"/>
                <w:szCs w:val="20"/>
                <w:color w:val="auto"/>
              </w:rPr>
              <w:t>64,050</w:t>
            </w:r>
          </w:p>
        </w:tc>
      </w:tr>
      <w:tr>
        <w:trPr>
          <w:trHeight w:val="300"/>
        </w:trPr>
        <w:tc>
          <w:tcPr>
            <w:tcW w:w="6600" w:type="dxa"/>
            <w:vAlign w:val="bottom"/>
            <w:shd w:val="clear" w:color="auto" w:fill="D9D9D9"/>
          </w:tcPr>
          <w:p>
            <w:pPr>
              <w:ind w:left="60"/>
              <w:spacing w:after="0" w:line="299" w:lineRule="exact"/>
              <w:rPr>
                <w:sz w:val="20"/>
                <w:szCs w:val="20"/>
                <w:color w:val="auto"/>
              </w:rPr>
            </w:pPr>
            <w:r>
              <w:rPr>
                <w:rFonts w:ascii="Calibri" w:cs="Calibri" w:eastAsia="Calibri" w:hAnsi="Calibri"/>
                <w:sz w:val="20"/>
                <w:szCs w:val="20"/>
                <w:color w:val="auto"/>
              </w:rPr>
              <w:t>Tax Fees</w:t>
            </w:r>
            <w:r>
              <w:rPr>
                <w:rFonts w:ascii="Calibri" w:cs="Calibri" w:eastAsia="Calibri" w:hAnsi="Calibri"/>
                <w:sz w:val="26"/>
                <w:szCs w:val="26"/>
                <w:color w:val="auto"/>
                <w:vertAlign w:val="superscript"/>
              </w:rPr>
              <w:t>(3)</w:t>
            </w: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3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line="229" w:lineRule="exact"/>
              <w:rPr>
                <w:sz w:val="20"/>
                <w:szCs w:val="20"/>
                <w:color w:val="auto"/>
              </w:rPr>
            </w:pPr>
            <w:r>
              <w:rPr>
                <w:rFonts w:ascii="Calibri" w:cs="Calibri" w:eastAsia="Calibri" w:hAnsi="Calibri"/>
                <w:sz w:val="20"/>
                <w:szCs w:val="20"/>
                <w:color w:val="auto"/>
              </w:rPr>
              <w:t>248,005</w:t>
            </w:r>
          </w:p>
        </w:tc>
      </w:tr>
      <w:tr>
        <w:trPr>
          <w:trHeight w:val="239"/>
        </w:trPr>
        <w:tc>
          <w:tcPr>
            <w:tcW w:w="6600" w:type="dxa"/>
            <w:vAlign w:val="bottom"/>
            <w:tcBorders>
              <w:bottom w:val="single" w:sz="8" w:color="auto"/>
            </w:tcBorders>
            <w:shd w:val="clear" w:color="auto" w:fill="D9D9D9"/>
          </w:tcPr>
          <w:p>
            <w:pPr>
              <w:ind w:left="60"/>
              <w:spacing w:after="0" w:line="229" w:lineRule="exact"/>
              <w:rPr>
                <w:sz w:val="20"/>
                <w:szCs w:val="20"/>
                <w:color w:val="auto"/>
              </w:rPr>
            </w:pPr>
            <w:r>
              <w:rPr>
                <w:rFonts w:ascii="Calibri" w:cs="Calibri" w:eastAsia="Calibri" w:hAnsi="Calibri"/>
                <w:sz w:val="20"/>
                <w:szCs w:val="20"/>
                <w:color w:val="auto"/>
              </w:rPr>
              <w:t>All Other Fees</w:t>
            </w:r>
          </w:p>
        </w:tc>
        <w:tc>
          <w:tcPr>
            <w:tcW w:w="4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w:t>
            </w:r>
          </w:p>
        </w:tc>
        <w:tc>
          <w:tcPr>
            <w:tcW w:w="980" w:type="dxa"/>
            <w:vAlign w:val="bottom"/>
            <w:tcBorders>
              <w:bottom w:val="single" w:sz="8" w:color="auto"/>
            </w:tcBorders>
          </w:tcPr>
          <w:p>
            <w:pPr>
              <w:jc w:val="right"/>
              <w:ind w:right="160"/>
              <w:spacing w:after="0" w:line="229" w:lineRule="exact"/>
              <w:rPr>
                <w:sz w:val="20"/>
                <w:szCs w:val="20"/>
                <w:color w:val="auto"/>
              </w:rPr>
            </w:pPr>
            <w:r>
              <w:rPr>
                <w:rFonts w:ascii="Calibri" w:cs="Calibri" w:eastAsia="Calibri" w:hAnsi="Calibri"/>
                <w:sz w:val="20"/>
                <w:szCs w:val="20"/>
                <w:color w:val="auto"/>
              </w:rPr>
              <w:t>-</w:t>
            </w:r>
          </w:p>
        </w:tc>
      </w:tr>
      <w:tr>
        <w:trPr>
          <w:trHeight w:val="269"/>
        </w:trPr>
        <w:tc>
          <w:tcPr>
            <w:tcW w:w="6600" w:type="dxa"/>
            <w:vAlign w:val="bottom"/>
            <w:shd w:val="clear" w:color="auto" w:fill="D9D9D9"/>
          </w:tcPr>
          <w:p>
            <w:pPr>
              <w:ind w:left="60"/>
              <w:spacing w:after="0"/>
              <w:rPr>
                <w:sz w:val="20"/>
                <w:szCs w:val="20"/>
                <w:color w:val="auto"/>
              </w:rPr>
            </w:pPr>
            <w:r>
              <w:rPr>
                <w:rFonts w:ascii="Calibri" w:cs="Calibri" w:eastAsia="Calibri" w:hAnsi="Calibri"/>
                <w:sz w:val="20"/>
                <w:szCs w:val="20"/>
                <w:b w:val="1"/>
                <w:bCs w:val="1"/>
                <w:color w:val="auto"/>
              </w:rPr>
              <w:t>Total Fees</w:t>
            </w:r>
          </w:p>
        </w:tc>
        <w:tc>
          <w:tcPr>
            <w:tcW w:w="4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1,001,056</w:t>
            </w:r>
          </w:p>
        </w:tc>
        <w:tc>
          <w:tcPr>
            <w:tcW w:w="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1,286,196</w:t>
            </w:r>
          </w:p>
        </w:tc>
      </w:tr>
      <w:tr>
        <w:trPr>
          <w:trHeight w:val="24"/>
        </w:trPr>
        <w:tc>
          <w:tcPr>
            <w:tcW w:w="6600" w:type="dxa"/>
            <w:vAlign w:val="bottom"/>
            <w:shd w:val="clear" w:color="auto" w:fill="D9D9D9"/>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123825</wp:posOffset>
                </wp:positionV>
                <wp:extent cx="952500"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5pt" to="75pt,9.75pt" o:allowincell="f" strokecolor="#000000" strokeweight="0.5pt"/>
            </w:pict>
          </mc:Fallback>
        </mc:AlternateContent>
      </w:r>
    </w:p>
    <w:p>
      <w:pPr>
        <w:spacing w:after="0" w:line="235" w:lineRule="exact"/>
        <w:rPr>
          <w:sz w:val="20"/>
          <w:szCs w:val="20"/>
          <w:color w:val="auto"/>
        </w:rPr>
      </w:pPr>
    </w:p>
    <w:p>
      <w:pPr>
        <w:jc w:val="both"/>
        <w:ind w:left="480" w:hanging="360"/>
        <w:spacing w:after="0" w:line="233" w:lineRule="auto"/>
        <w:tabs>
          <w:tab w:leader="none" w:pos="480" w:val="left"/>
        </w:tabs>
        <w:numPr>
          <w:ilvl w:val="0"/>
          <w:numId w:val="155"/>
        </w:numPr>
        <w:rPr>
          <w:rFonts w:ascii="Arial" w:cs="Arial" w:eastAsia="Arial" w:hAnsi="Arial"/>
          <w:sz w:val="23"/>
          <w:szCs w:val="23"/>
          <w:color w:val="auto"/>
          <w:vertAlign w:val="superscript"/>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spacing w:after="0" w:line="20" w:lineRule="exact"/>
        <w:rPr>
          <w:rFonts w:ascii="Arial" w:cs="Arial" w:eastAsia="Arial" w:hAnsi="Arial"/>
          <w:sz w:val="23"/>
          <w:szCs w:val="23"/>
          <w:color w:val="auto"/>
          <w:vertAlign w:val="superscript"/>
        </w:rPr>
      </w:pPr>
    </w:p>
    <w:p>
      <w:pPr>
        <w:ind w:left="480" w:hanging="360"/>
        <w:spacing w:after="0" w:line="214" w:lineRule="auto"/>
        <w:tabs>
          <w:tab w:leader="none" w:pos="480" w:val="left"/>
        </w:tabs>
        <w:numPr>
          <w:ilvl w:val="0"/>
          <w:numId w:val="155"/>
        </w:numPr>
        <w:rPr>
          <w:rFonts w:ascii="Arial" w:cs="Arial" w:eastAsia="Arial" w:hAnsi="Arial"/>
          <w:sz w:val="23"/>
          <w:szCs w:val="23"/>
          <w:color w:val="auto"/>
          <w:vertAlign w:val="superscript"/>
        </w:rPr>
      </w:pPr>
      <w:r>
        <w:rPr>
          <w:rFonts w:ascii="Arial" w:cs="Arial" w:eastAsia="Arial" w:hAnsi="Arial"/>
          <w:sz w:val="18"/>
          <w:szCs w:val="18"/>
          <w:color w:val="auto"/>
        </w:rPr>
        <w:t>Audit-related fees primarily include the audit of our employee benefit plan, which are paid by the plan and not the Company, and certain property level audits.</w:t>
      </w:r>
    </w:p>
    <w:p>
      <w:pPr>
        <w:spacing w:after="0" w:line="19" w:lineRule="exact"/>
        <w:rPr>
          <w:rFonts w:ascii="Arial" w:cs="Arial" w:eastAsia="Arial" w:hAnsi="Arial"/>
          <w:sz w:val="23"/>
          <w:szCs w:val="23"/>
          <w:color w:val="auto"/>
          <w:vertAlign w:val="superscript"/>
        </w:rPr>
      </w:pPr>
    </w:p>
    <w:p>
      <w:pPr>
        <w:ind w:left="480" w:hanging="360"/>
        <w:spacing w:after="0" w:line="214" w:lineRule="auto"/>
        <w:tabs>
          <w:tab w:leader="none" w:pos="480" w:val="left"/>
        </w:tabs>
        <w:numPr>
          <w:ilvl w:val="0"/>
          <w:numId w:val="155"/>
        </w:numPr>
        <w:rPr>
          <w:rFonts w:ascii="Arial" w:cs="Arial" w:eastAsia="Arial" w:hAnsi="Arial"/>
          <w:sz w:val="23"/>
          <w:szCs w:val="23"/>
          <w:color w:val="auto"/>
          <w:vertAlign w:val="superscript"/>
        </w:rPr>
      </w:pPr>
      <w:r>
        <w:rPr>
          <w:rFonts w:ascii="Arial" w:cs="Arial" w:eastAsia="Arial" w:hAnsi="Arial"/>
          <w:sz w:val="18"/>
          <w:szCs w:val="18"/>
          <w:color w:val="auto"/>
        </w:rPr>
        <w:t>The amount shown for 2021 relates solely to tax compliance and preparation, including the preparation of original and amended tax returns and refund claims and tax payment planning.</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94615</wp:posOffset>
                </wp:positionV>
                <wp:extent cx="0" cy="58420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45pt" to="0.25pt,53.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97790</wp:posOffset>
                </wp:positionV>
                <wp:extent cx="6400800" cy="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pt" to="504pt,7.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6397625</wp:posOffset>
                </wp:positionH>
                <wp:positionV relativeFrom="paragraph">
                  <wp:posOffset>94615</wp:posOffset>
                </wp:positionV>
                <wp:extent cx="0" cy="58420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75pt,7.45pt" to="503.75pt,53.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675640</wp:posOffset>
                </wp:positionV>
                <wp:extent cx="6400800" cy="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2pt" to="504pt,53.2pt" o:allowincell="f" strokecolor="#000000" strokeweight="0.5pt"/>
            </w:pict>
          </mc:Fallback>
        </mc:AlternateContent>
      </w:r>
    </w:p>
    <w:p>
      <w:pPr>
        <w:spacing w:after="0" w:line="148" w:lineRule="exact"/>
        <w:rPr>
          <w:sz w:val="20"/>
          <w:szCs w:val="20"/>
          <w:color w:val="auto"/>
        </w:rPr>
      </w:pPr>
    </w:p>
    <w:p>
      <w:pPr>
        <w:jc w:val="both"/>
        <w:ind w:left="1000" w:right="160"/>
        <w:spacing w:after="0" w:line="218" w:lineRule="auto"/>
        <w:rPr>
          <w:sz w:val="20"/>
          <w:szCs w:val="20"/>
          <w:color w:val="auto"/>
        </w:rPr>
      </w:pPr>
      <w:r>
        <w:rPr>
          <w:rFonts w:ascii="Arial" w:cs="Arial" w:eastAsia="Arial" w:hAnsi="Arial"/>
          <w:sz w:val="28"/>
          <w:szCs w:val="28"/>
          <w:color w:val="auto"/>
        </w:rPr>
        <w:t xml:space="preserve">Our Board recommends a vote </w:t>
      </w:r>
      <w:r>
        <w:rPr>
          <w:rFonts w:ascii="Arial" w:cs="Arial" w:eastAsia="Arial" w:hAnsi="Arial"/>
          <w:sz w:val="28"/>
          <w:szCs w:val="28"/>
          <w:b w:val="1"/>
          <w:bCs w:val="1"/>
          <w:color w:val="auto"/>
        </w:rPr>
        <w:t>FOR</w:t>
      </w:r>
      <w:r>
        <w:rPr>
          <w:rFonts w:ascii="Arial" w:cs="Arial" w:eastAsia="Arial" w:hAnsi="Arial"/>
          <w:sz w:val="28"/>
          <w:szCs w:val="28"/>
          <w:color w:val="auto"/>
        </w:rPr>
        <w:t xml:space="preserve"> the ratification of the appointment of GT as our independent registered public accounting firm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-500380</wp:posOffset>
            </wp:positionV>
            <wp:extent cx="439420" cy="415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98">
                      <a:clrChange>
                        <a:clrFrom>
                          <a:srgbClr val="000000"/>
                        </a:clrFrom>
                        <a:clrTo>
                          <a:srgbClr val="000000">
                            <a:alpha val="0"/>
                          </a:srgbClr>
                        </a:clrTo>
                      </a:clrChange>
                      <a:extLst>
                        <a:ext uri="{28A0092B-C50C-407E-A947-70E740481C1C}"/>
                      </a:extLst>
                    </a:blip>
                    <a:srcRect/>
                    <a:stretch>
                      <a:fillRect/>
                    </a:stretch>
                  </pic:blipFill>
                  <pic:spPr bwMode="auto">
                    <a:xfrm>
                      <a:off x="0" y="0"/>
                      <a:ext cx="439420" cy="415290"/>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-500380</wp:posOffset>
            </wp:positionV>
            <wp:extent cx="439420" cy="415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439420" cy="415290"/>
                    </a:xfrm>
                    <a:prstGeom prst="rect">
                      <a:avLst/>
                    </a:prstGeom>
                    <a:noFill/>
                  </pic:spPr>
                </pic:pic>
              </a:graphicData>
            </a:graphic>
          </wp:anchor>
        </w:drawing>
      </w:r>
    </w:p>
    <w:p>
      <w:pPr>
        <w:spacing w:after="0" w:line="21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AUDIT COMMITTEE REPORT</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color w:val="auto"/>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20"/>
          <w:szCs w:val="20"/>
          <w:i w:val="1"/>
          <w:iCs w:val="1"/>
          <w:u w:val="single" w:color="auto"/>
          <w:color w:val="auto"/>
        </w:rPr>
        <w:t>www.federalrealty.com</w:t>
      </w:r>
      <w:r>
        <w:rPr>
          <w:rFonts w:ascii="Arial" w:cs="Arial" w:eastAsia="Arial" w:hAnsi="Arial"/>
          <w:sz w:val="20"/>
          <w:szCs w:val="20"/>
          <w:color w:val="auto"/>
        </w:rPr>
        <w:t>. In 2022, the Audit Committee met four times and each meeting included an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session with our independent registered public accounting firm and no members of management present.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2022 and one meeting included an executive session with PwC with no members of GT or management present. GT is responsible for auditing the consolidated financial statements of the Company and expressing an opinion on the financial statements and the effectiveness of internal control over financial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130810</wp:posOffset>
                </wp:positionV>
                <wp:extent cx="6400800" cy="17780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597" o:spid="_x0000_s1622" style="position:absolute;margin-left:0pt;margin-top:10.3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130175</wp:posOffset>
                </wp:positionV>
                <wp:extent cx="0" cy="17780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25pt" to="0.75pt,24.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6400800" cy="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504pt,1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130175</wp:posOffset>
                </wp:positionV>
                <wp:extent cx="0" cy="17780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25pt" to="503.25pt,24.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298450</wp:posOffset>
                </wp:positionV>
                <wp:extent cx="6400800"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504pt,23.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5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42</w:t>
      </w:r>
    </w:p>
    <w:p>
      <w:pPr>
        <w:sectPr>
          <w:pgSz w:w="11880" w:h="15480" w:orient="portrait"/>
          <w:cols w:equalWidth="0" w:num="1">
            <w:col w:w="10080"/>
          </w:cols>
          <w:pgMar w:left="900" w:top="1316" w:right="900" w:bottom="764" w:gutter="0" w:footer="0" w:header="0"/>
          <w:type w:val="continuous"/>
        </w:sectPr>
      </w:pPr>
    </w:p>
    <w:bookmarkStart w:id="162" w:name="page163"/>
    <w:bookmarkEnd w:id="162"/>
    <w:p>
      <w:pPr>
        <w:spacing w:after="0"/>
        <w:rPr>
          <w:sz w:val="20"/>
          <w:szCs w:val="20"/>
          <w:color w:val="auto"/>
        </w:rPr>
      </w:pPr>
      <w:r>
        <w:rPr>
          <w:rFonts w:ascii="Arial" w:cs="Arial" w:eastAsia="Arial" w:hAnsi="Arial"/>
          <w:sz w:val="20"/>
          <w:szCs w:val="20"/>
          <w:color w:val="auto"/>
        </w:rPr>
        <w:t>During 2022, as part of its oversight function, the Audit Committee:</w:t>
      </w:r>
    </w:p>
    <w:p>
      <w:pPr>
        <w:spacing w:after="0" w:line="240" w:lineRule="exact"/>
        <w:rPr>
          <w:sz w:val="20"/>
          <w:szCs w:val="20"/>
          <w:color w:val="auto"/>
        </w:rPr>
      </w:pPr>
    </w:p>
    <w:p>
      <w:pPr>
        <w:ind w:left="1100" w:hanging="366"/>
        <w:spacing w:after="0" w:line="233"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Met with management and GT and discussed the Company’s December 31, 2022 audited financial statements;</w:t>
      </w:r>
    </w:p>
    <w:p>
      <w:pPr>
        <w:spacing w:after="0" w:line="241" w:lineRule="exact"/>
        <w:rPr>
          <w:rFonts w:ascii="Arial" w:cs="Arial" w:eastAsia="Arial" w:hAnsi="Arial"/>
          <w:sz w:val="20"/>
          <w:szCs w:val="20"/>
          <w:color w:val="auto"/>
        </w:rPr>
      </w:pPr>
    </w:p>
    <w:p>
      <w:pPr>
        <w:jc w:val="both"/>
        <w:ind w:left="1100" w:hanging="366"/>
        <w:spacing w:after="0" w:line="233"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Selected a new partner at GT to oversee the audit of the Company’s financial statements beginning with fiscal year 2023, consistent with the legal requirement to change audit partners at least every 5 years. The new GT audit partner has extensive experience auditing real estate investment trusts and has never been part of the GT team auditing the Company;</w:t>
      </w:r>
    </w:p>
    <w:p>
      <w:pPr>
        <w:spacing w:after="0" w:line="242" w:lineRule="exact"/>
        <w:rPr>
          <w:rFonts w:ascii="Arial" w:cs="Arial" w:eastAsia="Arial" w:hAnsi="Arial"/>
          <w:sz w:val="20"/>
          <w:szCs w:val="20"/>
          <w:color w:val="auto"/>
        </w:rPr>
      </w:pPr>
    </w:p>
    <w:p>
      <w:pPr>
        <w:ind w:left="1100" w:hanging="366"/>
        <w:spacing w:after="0" w:line="234"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Discussed with GT the matters required to be discussed by the applicable requirements of the Public Company Accounting Oversight Board (“PCAOB”) and the SEC;</w:t>
      </w:r>
    </w:p>
    <w:p>
      <w:pPr>
        <w:spacing w:after="0" w:line="239" w:lineRule="exact"/>
        <w:rPr>
          <w:rFonts w:ascii="Arial" w:cs="Arial" w:eastAsia="Arial" w:hAnsi="Arial"/>
          <w:sz w:val="20"/>
          <w:szCs w:val="20"/>
          <w:color w:val="auto"/>
        </w:rPr>
      </w:pPr>
    </w:p>
    <w:p>
      <w:pPr>
        <w:ind w:left="1100" w:hanging="366"/>
        <w:spacing w:after="0" w:line="233"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Reviewed and discussed with management and GT, individually and collectively, all annual and quarterly financial statements and operating results prior to their issuance;</w:t>
      </w:r>
    </w:p>
    <w:p>
      <w:pPr>
        <w:spacing w:after="0" w:line="241" w:lineRule="exact"/>
        <w:rPr>
          <w:rFonts w:ascii="Arial" w:cs="Arial" w:eastAsia="Arial" w:hAnsi="Arial"/>
          <w:sz w:val="20"/>
          <w:szCs w:val="20"/>
          <w:color w:val="auto"/>
        </w:rPr>
      </w:pPr>
    </w:p>
    <w:p>
      <w:pPr>
        <w:jc w:val="both"/>
        <w:ind w:left="1100" w:hanging="366"/>
        <w:spacing w:after="0" w:line="234"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Received the written disclosures and the letter from GT required by applicable requirements of the PCAOB regarding GT’s communications with the audit committee concerning independence, and has discussed with GT regarding its independence;</w:t>
      </w:r>
    </w:p>
    <w:p>
      <w:pPr>
        <w:spacing w:after="0" w:line="239" w:lineRule="exact"/>
        <w:rPr>
          <w:rFonts w:ascii="Arial" w:cs="Arial" w:eastAsia="Arial" w:hAnsi="Arial"/>
          <w:sz w:val="20"/>
          <w:szCs w:val="20"/>
          <w:color w:val="auto"/>
        </w:rPr>
      </w:pPr>
    </w:p>
    <w:p>
      <w:pPr>
        <w:ind w:left="1100" w:hanging="366"/>
        <w:spacing w:after="0" w:line="234"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Discussed with GT matters required to be discussed pursuant to applicable audit standards, including the reasonableness of judgments and the clarity and completeness of financial disclosures;</w:t>
      </w:r>
    </w:p>
    <w:p>
      <w:pPr>
        <w:spacing w:after="0" w:line="239" w:lineRule="exact"/>
        <w:rPr>
          <w:rFonts w:ascii="Arial" w:cs="Arial" w:eastAsia="Arial" w:hAnsi="Arial"/>
          <w:sz w:val="20"/>
          <w:szCs w:val="20"/>
          <w:color w:val="auto"/>
        </w:rPr>
      </w:pPr>
    </w:p>
    <w:p>
      <w:pPr>
        <w:ind w:left="1100" w:hanging="366"/>
        <w:spacing w:after="0" w:line="234"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Monitored the non-audit services provided by GT to ensure that performance of such services did not adversely impact GT’s independence;</w:t>
      </w:r>
    </w:p>
    <w:p>
      <w:pPr>
        <w:spacing w:after="0" w:line="239" w:lineRule="exact"/>
        <w:rPr>
          <w:rFonts w:ascii="Arial" w:cs="Arial" w:eastAsia="Arial" w:hAnsi="Arial"/>
          <w:sz w:val="20"/>
          <w:szCs w:val="20"/>
          <w:color w:val="auto"/>
        </w:rPr>
      </w:pPr>
    </w:p>
    <w:p>
      <w:pPr>
        <w:ind w:left="1100" w:hanging="366"/>
        <w:spacing w:after="0" w:line="234"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Approved management’s request to remove tax compliance and preparation from the scope of services provided by GT; and</w:t>
      </w:r>
    </w:p>
    <w:p>
      <w:pPr>
        <w:spacing w:after="0" w:line="239" w:lineRule="exact"/>
        <w:rPr>
          <w:rFonts w:ascii="Arial" w:cs="Arial" w:eastAsia="Arial" w:hAnsi="Arial"/>
          <w:sz w:val="20"/>
          <w:szCs w:val="20"/>
          <w:color w:val="auto"/>
        </w:rPr>
      </w:pPr>
    </w:p>
    <w:p>
      <w:pPr>
        <w:jc w:val="both"/>
        <w:ind w:left="1100" w:hanging="366"/>
        <w:spacing w:after="0" w:line="234" w:lineRule="auto"/>
        <w:tabs>
          <w:tab w:leader="none" w:pos="11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As part of the Committee’s quarterly review of internal controls, the Committee discussed with management cybersecurity threats, cybersecurity training and ongoing areas of focus of management in protecting against cyber breaches. During those quarterly reviews in 2022, the Committee was advised that there were no breaches and that cybersecurity insurance had been procured.</w:t>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2022 for filing with the SEC.</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Submitted by the Audit Committee: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Gail P. Steinel, Chairperson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David W. Faeder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Elizabeth I. Holland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Anthony P. Nader,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1399540</wp:posOffset>
                </wp:positionV>
                <wp:extent cx="6400800" cy="17780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602" o:spid="_x0000_s1627" style="position:absolute;margin-left:0pt;margin-top:110.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1399540</wp:posOffset>
                </wp:positionV>
                <wp:extent cx="0" cy="17780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10.2pt" to="0.75pt,124.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1409065</wp:posOffset>
                </wp:positionV>
                <wp:extent cx="6400800" cy="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95pt" to="504pt,110.9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1399540</wp:posOffset>
                </wp:positionV>
                <wp:extent cx="0" cy="17780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10.2pt" to="503.25pt,124.2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1567815</wp:posOffset>
                </wp:positionV>
                <wp:extent cx="6400800"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45pt" to="504pt,123.45pt" o:allowincell="f" strokecolor="#000000" strokeweight="1.5pt"/>
            </w:pict>
          </mc:Fallback>
        </mc:AlternateContent>
      </w:r>
    </w:p>
    <w:p>
      <w:pPr>
        <w:sectPr>
          <w:pgSz w:w="11880" w:h="15480" w:orient="portrait"/>
          <w:cols w:equalWidth="0" w:num="1">
            <w:col w:w="10080"/>
          </w:cols>
          <w:pgMar w:left="900" w:top="1310"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43</w:t>
      </w:r>
    </w:p>
    <w:p>
      <w:pPr>
        <w:sectPr>
          <w:pgSz w:w="11880" w:h="15480" w:orient="portrait"/>
          <w:cols w:equalWidth="0" w:num="1">
            <w:col w:w="10080"/>
          </w:cols>
          <w:pgMar w:left="900" w:top="1310" w:right="900" w:bottom="764" w:gutter="0" w:footer="0" w:header="0"/>
          <w:type w:val="continuous"/>
        </w:sectPr>
      </w:pPr>
    </w:p>
    <w:bookmarkStart w:id="163" w:name="page164"/>
    <w:bookmarkEnd w:id="163"/>
    <w:p>
      <w:pPr>
        <w:ind w:left="120"/>
        <w:spacing w:after="0"/>
        <w:rPr>
          <w:sz w:val="20"/>
          <w:szCs w:val="20"/>
          <w:color w:val="auto"/>
        </w:rPr>
      </w:pPr>
      <w:r>
        <w:rPr>
          <w:rFonts w:ascii="Arial" w:cs="Arial" w:eastAsia="Arial" w:hAnsi="Arial"/>
          <w:sz w:val="36"/>
          <w:szCs w:val="36"/>
          <w:b w:val="1"/>
          <w:bCs w:val="1"/>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838200</wp:posOffset>
                </wp:positionV>
                <wp:extent cx="6400800" cy="0"/>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607" o:spid="_x0000_s16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6pt" to="549pt,66pt" o:allowincell="f" strokecolor="#FB1717" strokeweight="3pt">
                <w10:wrap anchorx="page" anchory="page"/>
              </v:line>
            </w:pict>
          </mc:Fallback>
        </mc:AlternateContent>
        <w:t>Beneficial Ownership</w:t>
      </w:r>
    </w:p>
    <w:p>
      <w:pPr>
        <w:spacing w:after="0" w:line="17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OWNERSHIP OF PRINCIPAL SHAREHOLDERS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60" w:type="dxa"/>
            <w:vAlign w:val="bottom"/>
            <w:shd w:val="clear" w:color="auto" w:fill="FB1717"/>
          </w:tcPr>
          <w:p>
            <w:pPr>
              <w:spacing w:after="0"/>
              <w:rPr>
                <w:sz w:val="21"/>
                <w:szCs w:val="21"/>
                <w:color w:val="auto"/>
              </w:rPr>
            </w:pPr>
          </w:p>
        </w:tc>
        <w:tc>
          <w:tcPr>
            <w:tcW w:w="4360" w:type="dxa"/>
            <w:vAlign w:val="bottom"/>
            <w:shd w:val="clear" w:color="auto" w:fill="FB1717"/>
          </w:tcPr>
          <w:p>
            <w:pPr>
              <w:spacing w:after="0"/>
              <w:rPr>
                <w:sz w:val="21"/>
                <w:szCs w:val="21"/>
                <w:color w:val="auto"/>
              </w:rPr>
            </w:pPr>
          </w:p>
        </w:tc>
        <w:tc>
          <w:tcPr>
            <w:tcW w:w="2400" w:type="dxa"/>
            <w:vAlign w:val="bottom"/>
            <w:shd w:val="clear" w:color="auto" w:fill="FB1717"/>
          </w:tcPr>
          <w:p>
            <w:pPr>
              <w:jc w:val="right"/>
              <w:spacing w:after="0"/>
              <w:rPr>
                <w:sz w:val="20"/>
                <w:szCs w:val="20"/>
                <w:color w:val="auto"/>
              </w:rPr>
            </w:pPr>
            <w:r>
              <w:rPr>
                <w:rFonts w:ascii="Arial" w:cs="Arial" w:eastAsia="Arial" w:hAnsi="Arial"/>
                <w:sz w:val="20"/>
                <w:szCs w:val="20"/>
                <w:b w:val="1"/>
                <w:bCs w:val="1"/>
                <w:color w:val="FFFFFF"/>
              </w:rPr>
              <w:t>Amount and Nature of</w:t>
            </w:r>
          </w:p>
        </w:tc>
        <w:tc>
          <w:tcPr>
            <w:tcW w:w="2360" w:type="dxa"/>
            <w:vAlign w:val="bottom"/>
            <w:shd w:val="clear" w:color="auto" w:fill="FB1717"/>
          </w:tcPr>
          <w:p>
            <w:pPr>
              <w:jc w:val="right"/>
              <w:ind w:right="260"/>
              <w:spacing w:after="0"/>
              <w:rPr>
                <w:sz w:val="20"/>
                <w:szCs w:val="20"/>
                <w:color w:val="auto"/>
              </w:rPr>
            </w:pPr>
            <w:r>
              <w:rPr>
                <w:rFonts w:ascii="Arial" w:cs="Arial" w:eastAsia="Arial" w:hAnsi="Arial"/>
                <w:sz w:val="20"/>
                <w:szCs w:val="20"/>
                <w:b w:val="1"/>
                <w:bCs w:val="1"/>
                <w:color w:val="FFFFFF"/>
              </w:rPr>
              <w:t>Percentage of Our</w:t>
            </w:r>
          </w:p>
        </w:tc>
      </w:tr>
      <w:tr>
        <w:trPr>
          <w:trHeight w:val="248"/>
        </w:trPr>
        <w:tc>
          <w:tcPr>
            <w:tcW w:w="5320" w:type="dxa"/>
            <w:vAlign w:val="bottom"/>
            <w:gridSpan w:val="2"/>
            <w:shd w:val="clear" w:color="auto" w:fill="FB1717"/>
          </w:tcPr>
          <w:p>
            <w:pPr>
              <w:ind w:left="60"/>
              <w:spacing w:after="0" w:line="228" w:lineRule="exact"/>
              <w:rPr>
                <w:sz w:val="20"/>
                <w:szCs w:val="20"/>
                <w:color w:val="auto"/>
              </w:rPr>
            </w:pPr>
            <w:r>
              <w:rPr>
                <w:rFonts w:ascii="Arial" w:cs="Arial" w:eastAsia="Arial" w:hAnsi="Arial"/>
                <w:sz w:val="20"/>
                <w:szCs w:val="20"/>
                <w:b w:val="1"/>
                <w:bCs w:val="1"/>
                <w:color w:val="FFFFFF"/>
              </w:rPr>
              <w:t>Name and Address of Beneficial Owner</w:t>
            </w:r>
          </w:p>
        </w:tc>
        <w:tc>
          <w:tcPr>
            <w:tcW w:w="2400" w:type="dxa"/>
            <w:vAlign w:val="bottom"/>
            <w:shd w:val="clear" w:color="auto" w:fill="FB1717"/>
          </w:tcPr>
          <w:p>
            <w:pPr>
              <w:jc w:val="right"/>
              <w:ind w:right="40"/>
              <w:spacing w:after="0" w:line="228" w:lineRule="exact"/>
              <w:rPr>
                <w:sz w:val="20"/>
                <w:szCs w:val="20"/>
                <w:color w:val="auto"/>
              </w:rPr>
            </w:pPr>
            <w:r>
              <w:rPr>
                <w:rFonts w:ascii="Arial" w:cs="Arial" w:eastAsia="Arial" w:hAnsi="Arial"/>
                <w:sz w:val="20"/>
                <w:szCs w:val="20"/>
                <w:b w:val="1"/>
                <w:bCs w:val="1"/>
                <w:color w:val="FFFFFF"/>
              </w:rPr>
              <w:t>Beneficial Ownership</w:t>
            </w:r>
          </w:p>
        </w:tc>
        <w:tc>
          <w:tcPr>
            <w:tcW w:w="2360" w:type="dxa"/>
            <w:vAlign w:val="bottom"/>
            <w:shd w:val="clear" w:color="auto" w:fill="FB1717"/>
          </w:tcPr>
          <w:p>
            <w:pPr>
              <w:jc w:val="right"/>
              <w:ind w:right="100"/>
              <w:spacing w:after="0" w:line="247" w:lineRule="exact"/>
              <w:rPr>
                <w:sz w:val="20"/>
                <w:szCs w:val="20"/>
                <w:color w:val="auto"/>
              </w:rPr>
            </w:pPr>
            <w:r>
              <w:rPr>
                <w:rFonts w:ascii="Arial" w:cs="Arial" w:eastAsia="Arial" w:hAnsi="Arial"/>
                <w:sz w:val="20"/>
                <w:szCs w:val="20"/>
                <w:b w:val="1"/>
                <w:bCs w:val="1"/>
                <w:color w:val="FFFFFF"/>
              </w:rPr>
              <w:t>Outstanding Shares</w:t>
            </w:r>
            <w:r>
              <w:rPr>
                <w:rFonts w:ascii="Arial" w:cs="Arial" w:eastAsia="Arial" w:hAnsi="Arial"/>
                <w:sz w:val="26"/>
                <w:szCs w:val="26"/>
                <w:b w:val="1"/>
                <w:bCs w:val="1"/>
                <w:color w:val="FFFFFF"/>
                <w:vertAlign w:val="superscript"/>
              </w:rPr>
              <w:t>(1)</w:t>
            </w:r>
          </w:p>
        </w:tc>
      </w:tr>
      <w:tr>
        <w:trPr>
          <w:trHeight w:val="348"/>
        </w:trPr>
        <w:tc>
          <w:tcPr>
            <w:tcW w:w="532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The Vanguard Group, Inc</w:t>
            </w:r>
            <w:r>
              <w:rPr>
                <w:rFonts w:ascii="Calibri" w:cs="Calibri" w:eastAsia="Calibri" w:hAnsi="Calibri"/>
                <w:sz w:val="26"/>
                <w:szCs w:val="26"/>
                <w:color w:val="auto"/>
                <w:vertAlign w:val="superscript"/>
              </w:rPr>
              <w:t>.(2)</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auto"/>
              </w:rPr>
              <w:t>12,802,837</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auto"/>
              </w:rPr>
              <w:t>15.7%</w:t>
            </w:r>
          </w:p>
        </w:tc>
      </w:tr>
      <w:tr>
        <w:trPr>
          <w:trHeight w:val="230"/>
        </w:trPr>
        <w:tc>
          <w:tcPr>
            <w:tcW w:w="5320" w:type="dxa"/>
            <w:vAlign w:val="bottom"/>
            <w:gridSpan w:val="2"/>
            <w:shd w:val="clear" w:color="auto" w:fill="D9D9D9"/>
          </w:tcPr>
          <w:p>
            <w:pPr>
              <w:ind w:left="60"/>
              <w:spacing w:after="0" w:line="229" w:lineRule="exact"/>
              <w:rPr>
                <w:sz w:val="20"/>
                <w:szCs w:val="20"/>
                <w:color w:val="auto"/>
              </w:rPr>
            </w:pPr>
            <w:r>
              <w:rPr>
                <w:rFonts w:ascii="Calibri" w:cs="Calibri" w:eastAsia="Calibri" w:hAnsi="Calibri"/>
                <w:sz w:val="20"/>
                <w:szCs w:val="20"/>
                <w:color w:val="auto"/>
              </w:rPr>
              <w:t>100 Vanguard Blvd.</w:t>
            </w:r>
          </w:p>
        </w:tc>
        <w:tc>
          <w:tcPr>
            <w:tcW w:w="24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09"/>
        </w:trPr>
        <w:tc>
          <w:tcPr>
            <w:tcW w:w="5320" w:type="dxa"/>
            <w:vAlign w:val="bottom"/>
            <w:tcBorders>
              <w:bottom w:val="single" w:sz="8" w:color="auto"/>
            </w:tcBorders>
            <w:gridSpan w:val="2"/>
            <w:shd w:val="clear" w:color="auto" w:fill="D9D9D9"/>
          </w:tcPr>
          <w:p>
            <w:pPr>
              <w:ind w:left="60"/>
              <w:spacing w:after="0"/>
              <w:rPr>
                <w:sz w:val="20"/>
                <w:szCs w:val="20"/>
                <w:color w:val="auto"/>
              </w:rPr>
            </w:pPr>
            <w:r>
              <w:rPr>
                <w:rFonts w:ascii="Calibri" w:cs="Calibri" w:eastAsia="Calibri" w:hAnsi="Calibri"/>
                <w:sz w:val="20"/>
                <w:szCs w:val="20"/>
                <w:color w:val="auto"/>
              </w:rPr>
              <w:t>Malvern, PA 19355</w:t>
            </w:r>
          </w:p>
        </w:tc>
        <w:tc>
          <w:tcPr>
            <w:tcW w:w="2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341"/>
        </w:trPr>
        <w:tc>
          <w:tcPr>
            <w:tcW w:w="532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State Street Corporation</w:t>
            </w:r>
            <w:r>
              <w:rPr>
                <w:rFonts w:ascii="Calibri" w:cs="Calibri" w:eastAsia="Calibri" w:hAnsi="Calibri"/>
                <w:sz w:val="26"/>
                <w:szCs w:val="26"/>
                <w:color w:val="auto"/>
                <w:vertAlign w:val="superscript"/>
              </w:rPr>
              <w:t>(3)</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auto"/>
              </w:rPr>
              <w:t>10,198,880</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auto"/>
              </w:rPr>
              <w:t>12.5%</w:t>
            </w:r>
          </w:p>
        </w:tc>
      </w:tr>
      <w:tr>
        <w:trPr>
          <w:trHeight w:val="230"/>
        </w:trPr>
        <w:tc>
          <w:tcPr>
            <w:tcW w:w="5320" w:type="dxa"/>
            <w:vAlign w:val="bottom"/>
            <w:gridSpan w:val="2"/>
            <w:shd w:val="clear" w:color="auto" w:fill="D9D9D9"/>
          </w:tcPr>
          <w:p>
            <w:pPr>
              <w:ind w:left="60"/>
              <w:spacing w:after="0" w:line="229" w:lineRule="exact"/>
              <w:rPr>
                <w:sz w:val="20"/>
                <w:szCs w:val="20"/>
                <w:color w:val="auto"/>
              </w:rPr>
            </w:pPr>
            <w:r>
              <w:rPr>
                <w:rFonts w:ascii="Calibri" w:cs="Calibri" w:eastAsia="Calibri" w:hAnsi="Calibri"/>
                <w:sz w:val="20"/>
                <w:szCs w:val="20"/>
                <w:color w:val="auto"/>
              </w:rPr>
              <w:t>State Street Financial Center, One Lincoln Street</w:t>
            </w:r>
          </w:p>
        </w:tc>
        <w:tc>
          <w:tcPr>
            <w:tcW w:w="24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09"/>
        </w:trPr>
        <w:tc>
          <w:tcPr>
            <w:tcW w:w="5320" w:type="dxa"/>
            <w:vAlign w:val="bottom"/>
            <w:tcBorders>
              <w:bottom w:val="single" w:sz="8" w:color="auto"/>
            </w:tcBorders>
            <w:gridSpan w:val="2"/>
            <w:shd w:val="clear" w:color="auto" w:fill="D9D9D9"/>
          </w:tcPr>
          <w:p>
            <w:pPr>
              <w:ind w:left="60"/>
              <w:spacing w:after="0"/>
              <w:rPr>
                <w:sz w:val="20"/>
                <w:szCs w:val="20"/>
                <w:color w:val="auto"/>
              </w:rPr>
            </w:pPr>
            <w:r>
              <w:rPr>
                <w:rFonts w:ascii="Calibri" w:cs="Calibri" w:eastAsia="Calibri" w:hAnsi="Calibri"/>
                <w:sz w:val="20"/>
                <w:szCs w:val="20"/>
                <w:color w:val="auto"/>
              </w:rPr>
              <w:t>Boston, MA 02111</w:t>
            </w:r>
          </w:p>
        </w:tc>
        <w:tc>
          <w:tcPr>
            <w:tcW w:w="2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341"/>
        </w:trPr>
        <w:tc>
          <w:tcPr>
            <w:tcW w:w="532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BlackRock, Inc.</w:t>
            </w:r>
            <w:r>
              <w:rPr>
                <w:rFonts w:ascii="Calibri" w:cs="Calibri" w:eastAsia="Calibri" w:hAnsi="Calibri"/>
                <w:sz w:val="26"/>
                <w:szCs w:val="26"/>
                <w:color w:val="auto"/>
                <w:vertAlign w:val="superscript"/>
              </w:rPr>
              <w:t>(4)</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auto"/>
              </w:rPr>
              <w:t>7,606,970</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auto"/>
              </w:rPr>
              <w:t>9.3%</w:t>
            </w:r>
          </w:p>
        </w:tc>
      </w:tr>
      <w:tr>
        <w:trPr>
          <w:trHeight w:val="300"/>
        </w:trPr>
        <w:tc>
          <w:tcPr>
            <w:tcW w:w="5320" w:type="dxa"/>
            <w:vAlign w:val="bottom"/>
            <w:gridSpan w:val="2"/>
            <w:shd w:val="clear" w:color="auto" w:fill="D9D9D9"/>
          </w:tcPr>
          <w:p>
            <w:pPr>
              <w:ind w:left="60"/>
              <w:spacing w:after="0" w:line="299" w:lineRule="exact"/>
              <w:rPr>
                <w:sz w:val="20"/>
                <w:szCs w:val="20"/>
                <w:color w:val="auto"/>
              </w:rPr>
            </w:pPr>
            <w:r>
              <w:rPr>
                <w:rFonts w:ascii="Calibri" w:cs="Calibri" w:eastAsia="Calibri" w:hAnsi="Calibri"/>
                <w:sz w:val="20"/>
                <w:szCs w:val="20"/>
                <w:color w:val="auto"/>
              </w:rPr>
              <w:t>55 East 52</w:t>
            </w:r>
            <w:r>
              <w:rPr>
                <w:rFonts w:ascii="Calibri" w:cs="Calibri" w:eastAsia="Calibri" w:hAnsi="Calibri"/>
                <w:sz w:val="26"/>
                <w:szCs w:val="26"/>
                <w:color w:val="auto"/>
                <w:vertAlign w:val="superscript"/>
              </w:rPr>
              <w:t>nd</w:t>
            </w:r>
            <w:r>
              <w:rPr>
                <w:rFonts w:ascii="Calibri" w:cs="Calibri" w:eastAsia="Calibri" w:hAnsi="Calibri"/>
                <w:sz w:val="20"/>
                <w:szCs w:val="20"/>
                <w:color w:val="auto"/>
              </w:rPr>
              <w:t xml:space="preserve"> Street</w:t>
            </w:r>
          </w:p>
        </w:tc>
        <w:tc>
          <w:tcPr>
            <w:tcW w:w="24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9"/>
        </w:trPr>
        <w:tc>
          <w:tcPr>
            <w:tcW w:w="5320" w:type="dxa"/>
            <w:vAlign w:val="bottom"/>
            <w:tcBorders>
              <w:bottom w:val="single" w:sz="8" w:color="auto"/>
            </w:tcBorders>
            <w:gridSpan w:val="2"/>
            <w:shd w:val="clear" w:color="auto" w:fill="D9D9D9"/>
          </w:tcPr>
          <w:p>
            <w:pPr>
              <w:ind w:left="60"/>
              <w:spacing w:after="0" w:line="229" w:lineRule="exact"/>
              <w:rPr>
                <w:sz w:val="20"/>
                <w:szCs w:val="20"/>
                <w:color w:val="auto"/>
              </w:rPr>
            </w:pPr>
            <w:r>
              <w:rPr>
                <w:rFonts w:ascii="Calibri" w:cs="Calibri" w:eastAsia="Calibri" w:hAnsi="Calibri"/>
                <w:sz w:val="20"/>
                <w:szCs w:val="20"/>
                <w:color w:val="auto"/>
              </w:rPr>
              <w:t>New York, NY 10055</w:t>
            </w:r>
          </w:p>
        </w:tc>
        <w:tc>
          <w:tcPr>
            <w:tcW w:w="24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r>
      <w:tr>
        <w:trPr>
          <w:trHeight w:val="341"/>
        </w:trPr>
        <w:tc>
          <w:tcPr>
            <w:tcW w:w="532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Norges Bank (The Central Bank of Norway)</w:t>
            </w:r>
            <w:r>
              <w:rPr>
                <w:rFonts w:ascii="Calibri" w:cs="Calibri" w:eastAsia="Calibri" w:hAnsi="Calibri"/>
                <w:sz w:val="26"/>
                <w:szCs w:val="26"/>
                <w:color w:val="auto"/>
                <w:vertAlign w:val="superscript"/>
              </w:rPr>
              <w:t>(5)</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auto"/>
              </w:rPr>
              <w:t>7,212,626</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auto"/>
              </w:rPr>
              <w:t>8.9%</w:t>
            </w:r>
          </w:p>
        </w:tc>
      </w:tr>
      <w:tr>
        <w:trPr>
          <w:trHeight w:val="230"/>
        </w:trPr>
        <w:tc>
          <w:tcPr>
            <w:tcW w:w="5320" w:type="dxa"/>
            <w:vAlign w:val="bottom"/>
            <w:gridSpan w:val="2"/>
            <w:shd w:val="clear" w:color="auto" w:fill="D9D9D9"/>
          </w:tcPr>
          <w:p>
            <w:pPr>
              <w:ind w:left="60"/>
              <w:spacing w:after="0" w:line="229" w:lineRule="exact"/>
              <w:rPr>
                <w:sz w:val="20"/>
                <w:szCs w:val="20"/>
                <w:color w:val="auto"/>
              </w:rPr>
            </w:pPr>
            <w:r>
              <w:rPr>
                <w:rFonts w:ascii="Calibri" w:cs="Calibri" w:eastAsia="Calibri" w:hAnsi="Calibri"/>
                <w:sz w:val="20"/>
                <w:szCs w:val="20"/>
                <w:color w:val="auto"/>
              </w:rPr>
              <w:t>Bankplassen 2, PO Box 1179 Sentrum</w:t>
            </w:r>
          </w:p>
        </w:tc>
        <w:tc>
          <w:tcPr>
            <w:tcW w:w="24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09"/>
        </w:trPr>
        <w:tc>
          <w:tcPr>
            <w:tcW w:w="5320" w:type="dxa"/>
            <w:vAlign w:val="bottom"/>
            <w:tcBorders>
              <w:bottom w:val="single" w:sz="8" w:color="auto"/>
            </w:tcBorders>
            <w:gridSpan w:val="2"/>
            <w:shd w:val="clear" w:color="auto" w:fill="D9D9D9"/>
          </w:tcPr>
          <w:p>
            <w:pPr>
              <w:ind w:left="60"/>
              <w:spacing w:after="0"/>
              <w:rPr>
                <w:sz w:val="20"/>
                <w:szCs w:val="20"/>
                <w:color w:val="auto"/>
              </w:rPr>
            </w:pPr>
            <w:r>
              <w:rPr>
                <w:rFonts w:ascii="Calibri" w:cs="Calibri" w:eastAsia="Calibri" w:hAnsi="Calibri"/>
                <w:sz w:val="20"/>
                <w:szCs w:val="20"/>
                <w:color w:val="auto"/>
              </w:rPr>
              <w:t>NO 0107 Oslo Norway</w:t>
            </w:r>
          </w:p>
        </w:tc>
        <w:tc>
          <w:tcPr>
            <w:tcW w:w="2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341"/>
        </w:trPr>
        <w:tc>
          <w:tcPr>
            <w:tcW w:w="532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Capital Research Global Investors</w:t>
            </w:r>
            <w:r>
              <w:rPr>
                <w:rFonts w:ascii="Calibri" w:cs="Calibri" w:eastAsia="Calibri" w:hAnsi="Calibri"/>
                <w:sz w:val="26"/>
                <w:szCs w:val="26"/>
                <w:color w:val="auto"/>
                <w:vertAlign w:val="superscript"/>
              </w:rPr>
              <w:t>(6)</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auto"/>
              </w:rPr>
              <w:t>5,956,420</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auto"/>
              </w:rPr>
              <w:t>7.3%</w:t>
            </w:r>
          </w:p>
        </w:tc>
      </w:tr>
      <w:tr>
        <w:trPr>
          <w:trHeight w:val="230"/>
        </w:trPr>
        <w:tc>
          <w:tcPr>
            <w:tcW w:w="5320" w:type="dxa"/>
            <w:vAlign w:val="bottom"/>
            <w:gridSpan w:val="2"/>
            <w:shd w:val="clear" w:color="auto" w:fill="D9D9D9"/>
          </w:tcPr>
          <w:p>
            <w:pPr>
              <w:ind w:left="60"/>
              <w:spacing w:after="0" w:line="229" w:lineRule="exact"/>
              <w:rPr>
                <w:sz w:val="20"/>
                <w:szCs w:val="20"/>
                <w:color w:val="auto"/>
              </w:rPr>
            </w:pPr>
            <w:r>
              <w:rPr>
                <w:rFonts w:ascii="Calibri" w:cs="Calibri" w:eastAsia="Calibri" w:hAnsi="Calibri"/>
                <w:sz w:val="20"/>
                <w:szCs w:val="20"/>
                <w:color w:val="auto"/>
              </w:rPr>
              <w:t>333 South Hope Street, 55th Floor</w:t>
            </w:r>
          </w:p>
        </w:tc>
        <w:tc>
          <w:tcPr>
            <w:tcW w:w="24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09"/>
        </w:trPr>
        <w:tc>
          <w:tcPr>
            <w:tcW w:w="5320" w:type="dxa"/>
            <w:vAlign w:val="bottom"/>
            <w:tcBorders>
              <w:bottom w:val="single" w:sz="8" w:color="auto"/>
            </w:tcBorders>
            <w:gridSpan w:val="2"/>
            <w:shd w:val="clear" w:color="auto" w:fill="D9D9D9"/>
          </w:tcPr>
          <w:p>
            <w:pPr>
              <w:ind w:left="60"/>
              <w:spacing w:after="0"/>
              <w:rPr>
                <w:sz w:val="20"/>
                <w:szCs w:val="20"/>
                <w:color w:val="auto"/>
              </w:rPr>
            </w:pPr>
            <w:r>
              <w:rPr>
                <w:rFonts w:ascii="Calibri" w:cs="Calibri" w:eastAsia="Calibri" w:hAnsi="Calibri"/>
                <w:sz w:val="20"/>
                <w:szCs w:val="20"/>
                <w:color w:val="auto"/>
              </w:rPr>
              <w:t>Los Angeles, CA 90071</w:t>
            </w:r>
          </w:p>
        </w:tc>
        <w:tc>
          <w:tcPr>
            <w:tcW w:w="2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341"/>
        </w:trPr>
        <w:tc>
          <w:tcPr>
            <w:tcW w:w="5320" w:type="dxa"/>
            <w:vAlign w:val="bottom"/>
            <w:gridSpan w:val="2"/>
            <w:shd w:val="clear" w:color="auto" w:fill="D9D9D9"/>
          </w:tcPr>
          <w:p>
            <w:pPr>
              <w:ind w:left="60"/>
              <w:spacing w:after="0"/>
              <w:rPr>
                <w:sz w:val="20"/>
                <w:szCs w:val="20"/>
                <w:color w:val="auto"/>
              </w:rPr>
            </w:pPr>
            <w:r>
              <w:rPr>
                <w:rFonts w:ascii="Calibri" w:cs="Calibri" w:eastAsia="Calibri" w:hAnsi="Calibri"/>
                <w:sz w:val="20"/>
                <w:szCs w:val="20"/>
                <w:color w:val="auto"/>
              </w:rPr>
              <w:t>JPMorgan Chase &amp; Co.</w:t>
            </w:r>
            <w:r>
              <w:rPr>
                <w:rFonts w:ascii="Calibri" w:cs="Calibri" w:eastAsia="Calibri" w:hAnsi="Calibri"/>
                <w:sz w:val="26"/>
                <w:szCs w:val="26"/>
                <w:color w:val="auto"/>
                <w:vertAlign w:val="superscript"/>
              </w:rPr>
              <w:t>(7)</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auto"/>
              </w:rPr>
              <w:t>4,377,501</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auto"/>
              </w:rPr>
              <w:t>5.4%</w:t>
            </w:r>
          </w:p>
        </w:tc>
      </w:tr>
      <w:tr>
        <w:trPr>
          <w:trHeight w:val="230"/>
        </w:trPr>
        <w:tc>
          <w:tcPr>
            <w:tcW w:w="5320" w:type="dxa"/>
            <w:vAlign w:val="bottom"/>
            <w:gridSpan w:val="2"/>
            <w:shd w:val="clear" w:color="auto" w:fill="D9D9D9"/>
          </w:tcPr>
          <w:p>
            <w:pPr>
              <w:ind w:left="60"/>
              <w:spacing w:after="0" w:line="229" w:lineRule="exact"/>
              <w:rPr>
                <w:sz w:val="20"/>
                <w:szCs w:val="20"/>
                <w:color w:val="auto"/>
              </w:rPr>
            </w:pPr>
            <w:r>
              <w:rPr>
                <w:rFonts w:ascii="Calibri" w:cs="Calibri" w:eastAsia="Calibri" w:hAnsi="Calibri"/>
                <w:sz w:val="20"/>
                <w:szCs w:val="20"/>
                <w:color w:val="auto"/>
              </w:rPr>
              <w:t>383 Madison Avenue</w:t>
            </w:r>
          </w:p>
        </w:tc>
        <w:tc>
          <w:tcPr>
            <w:tcW w:w="24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09"/>
        </w:trPr>
        <w:tc>
          <w:tcPr>
            <w:tcW w:w="5320" w:type="dxa"/>
            <w:vAlign w:val="bottom"/>
            <w:tcBorders>
              <w:bottom w:val="single" w:sz="8" w:color="auto"/>
            </w:tcBorders>
            <w:gridSpan w:val="2"/>
            <w:shd w:val="clear" w:color="auto" w:fill="D9D9D9"/>
          </w:tcPr>
          <w:p>
            <w:pPr>
              <w:ind w:left="60"/>
              <w:spacing w:after="0"/>
              <w:rPr>
                <w:sz w:val="20"/>
                <w:szCs w:val="20"/>
                <w:color w:val="auto"/>
              </w:rPr>
            </w:pPr>
            <w:r>
              <w:rPr>
                <w:rFonts w:ascii="Calibri" w:cs="Calibri" w:eastAsia="Calibri" w:hAnsi="Calibri"/>
                <w:sz w:val="20"/>
                <w:szCs w:val="20"/>
                <w:color w:val="auto"/>
              </w:rPr>
              <w:t>New York, NY 10179</w:t>
            </w:r>
          </w:p>
        </w:tc>
        <w:tc>
          <w:tcPr>
            <w:tcW w:w="2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143"/>
        </w:trPr>
        <w:tc>
          <w:tcPr>
            <w:tcW w:w="960" w:type="dxa"/>
            <w:vAlign w:val="bottom"/>
            <w:tcBorders>
              <w:bottom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60" w:type="dxa"/>
            <w:vAlign w:val="bottom"/>
          </w:tcPr>
          <w:p>
            <w:pPr>
              <w:spacing w:after="0"/>
              <w:rPr>
                <w:sz w:val="12"/>
                <w:szCs w:val="12"/>
                <w:color w:val="auto"/>
              </w:rPr>
            </w:pPr>
          </w:p>
        </w:tc>
      </w:tr>
    </w:tbl>
    <w:p>
      <w:pPr>
        <w:spacing w:after="0" w:line="55" w:lineRule="exact"/>
        <w:rPr>
          <w:sz w:val="20"/>
          <w:szCs w:val="20"/>
          <w:color w:val="auto"/>
        </w:rPr>
      </w:pPr>
    </w:p>
    <w:p>
      <w:pPr>
        <w:jc w:val="both"/>
        <w:ind w:left="480" w:hanging="358"/>
        <w:spacing w:after="0" w:line="226" w:lineRule="auto"/>
        <w:tabs>
          <w:tab w:leader="none" w:pos="480"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81,511,030, the total number of shares outstanding on March 13, 2023.</w:t>
      </w:r>
    </w:p>
    <w:p>
      <w:pPr>
        <w:spacing w:after="0" w:line="21" w:lineRule="exact"/>
        <w:rPr>
          <w:rFonts w:ascii="Arial" w:cs="Arial" w:eastAsia="Arial" w:hAnsi="Arial"/>
          <w:sz w:val="23"/>
          <w:szCs w:val="23"/>
          <w:color w:val="auto"/>
          <w:vertAlign w:val="superscript"/>
        </w:rPr>
      </w:pPr>
    </w:p>
    <w:p>
      <w:pPr>
        <w:jc w:val="both"/>
        <w:ind w:left="480" w:hanging="358"/>
        <w:spacing w:after="0" w:line="226" w:lineRule="auto"/>
        <w:tabs>
          <w:tab w:leader="none" w:pos="480"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Information based on a Schedule 13G/A filed with the SEC on February 9, 2023 by The Vanguard Group which states that The Vanguard Group, an investment advisor, has shared voting power over 159,514 shares, sole dispositive power over 12,419,458 shares and shared dispositive power over 383,379 shares.</w:t>
      </w:r>
    </w:p>
    <w:p>
      <w:pPr>
        <w:spacing w:after="0" w:line="21" w:lineRule="exact"/>
        <w:rPr>
          <w:rFonts w:ascii="Arial" w:cs="Arial" w:eastAsia="Arial" w:hAnsi="Arial"/>
          <w:sz w:val="23"/>
          <w:szCs w:val="23"/>
          <w:color w:val="auto"/>
          <w:vertAlign w:val="superscript"/>
        </w:rPr>
      </w:pPr>
    </w:p>
    <w:p>
      <w:pPr>
        <w:jc w:val="both"/>
        <w:ind w:left="480" w:hanging="358"/>
        <w:spacing w:after="0" w:line="226" w:lineRule="auto"/>
        <w:tabs>
          <w:tab w:leader="none" w:pos="480"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Information based on a Schedule 13G/A filed with the SEC on February 9, 2023 by State Street Corporation which states that State Street Corporation, a parent holding company, has shared voting power over 8,985,419 shares and shared dispositive power over 10,198,486 shares.</w:t>
      </w:r>
    </w:p>
    <w:p>
      <w:pPr>
        <w:spacing w:after="0" w:line="21" w:lineRule="exact"/>
        <w:rPr>
          <w:rFonts w:ascii="Arial" w:cs="Arial" w:eastAsia="Arial" w:hAnsi="Arial"/>
          <w:sz w:val="23"/>
          <w:szCs w:val="23"/>
          <w:color w:val="auto"/>
          <w:vertAlign w:val="superscript"/>
        </w:rPr>
      </w:pPr>
    </w:p>
    <w:p>
      <w:pPr>
        <w:jc w:val="both"/>
        <w:ind w:left="480" w:hanging="358"/>
        <w:spacing w:after="0" w:line="226" w:lineRule="auto"/>
        <w:tabs>
          <w:tab w:leader="none" w:pos="480"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Information based on a Schedule 13G filed with the SEC on January 24, 2023 by BlackRock, Inc., which states that BlackRock, Inc., a parent holding company, has sole voting power over 7,004,857 shares and sole dispositive power over 7,606,970 shares.</w:t>
      </w:r>
    </w:p>
    <w:p>
      <w:pPr>
        <w:spacing w:after="0" w:line="21" w:lineRule="exact"/>
        <w:rPr>
          <w:rFonts w:ascii="Arial" w:cs="Arial" w:eastAsia="Arial" w:hAnsi="Arial"/>
          <w:sz w:val="23"/>
          <w:szCs w:val="23"/>
          <w:color w:val="auto"/>
          <w:vertAlign w:val="superscript"/>
        </w:rPr>
      </w:pPr>
    </w:p>
    <w:p>
      <w:pPr>
        <w:jc w:val="both"/>
        <w:ind w:left="480" w:hanging="358"/>
        <w:spacing w:after="0" w:line="226" w:lineRule="auto"/>
        <w:tabs>
          <w:tab w:leader="none" w:pos="480"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Information based on a Schedule 13G/A filed with the SEC on February 14, 2023 by Norges Bank (The Central Bank of Norway) which states that Norges Bank (The Central Bank of Norway) has sole voting power and sole dispositive power over 7,212,626 shares.</w:t>
      </w:r>
    </w:p>
    <w:p>
      <w:pPr>
        <w:spacing w:after="0" w:line="21" w:lineRule="exact"/>
        <w:rPr>
          <w:rFonts w:ascii="Arial" w:cs="Arial" w:eastAsia="Arial" w:hAnsi="Arial"/>
          <w:sz w:val="23"/>
          <w:szCs w:val="23"/>
          <w:color w:val="auto"/>
          <w:vertAlign w:val="superscript"/>
        </w:rPr>
      </w:pPr>
    </w:p>
    <w:p>
      <w:pPr>
        <w:jc w:val="both"/>
        <w:ind w:left="480" w:hanging="358"/>
        <w:spacing w:after="0" w:line="226" w:lineRule="auto"/>
        <w:tabs>
          <w:tab w:leader="none" w:pos="480"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Information based on a Schedule 13G/A filed with the SEC on February 13, 2023 by Capital Research Global Investors which states that Capital Research Global Investors, an investment advisor, has sole voting and sole dispositive power over 5,956,420 shares.</w:t>
      </w:r>
    </w:p>
    <w:p>
      <w:pPr>
        <w:spacing w:after="0" w:line="21" w:lineRule="exact"/>
        <w:rPr>
          <w:rFonts w:ascii="Arial" w:cs="Arial" w:eastAsia="Arial" w:hAnsi="Arial"/>
          <w:sz w:val="23"/>
          <w:szCs w:val="23"/>
          <w:color w:val="auto"/>
          <w:vertAlign w:val="superscript"/>
        </w:rPr>
      </w:pPr>
    </w:p>
    <w:p>
      <w:pPr>
        <w:jc w:val="both"/>
        <w:ind w:left="480" w:hanging="358"/>
        <w:spacing w:after="0" w:line="226" w:lineRule="auto"/>
        <w:tabs>
          <w:tab w:leader="none" w:pos="480" w:val="left"/>
        </w:tabs>
        <w:numPr>
          <w:ilvl w:val="0"/>
          <w:numId w:val="159"/>
        </w:numPr>
        <w:rPr>
          <w:rFonts w:ascii="Arial" w:cs="Arial" w:eastAsia="Arial" w:hAnsi="Arial"/>
          <w:sz w:val="23"/>
          <w:szCs w:val="23"/>
          <w:color w:val="auto"/>
          <w:vertAlign w:val="superscript"/>
        </w:rPr>
      </w:pPr>
      <w:r>
        <w:rPr>
          <w:rFonts w:ascii="Arial" w:cs="Arial" w:eastAsia="Arial" w:hAnsi="Arial"/>
          <w:sz w:val="18"/>
          <w:szCs w:val="18"/>
          <w:color w:val="auto"/>
        </w:rPr>
        <w:t>Information based on a Schedule 13G/A filed with the SEC on January 20, 2023 by JPMorgan Chase &amp; Co. which states that JPMorgan Chase &amp; Co., a parent holding company, has sole voting power over 3,009,114, sole dispositive power over 4,375,184 shares and shared dispositive power over 716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467360</wp:posOffset>
                </wp:positionV>
                <wp:extent cx="6400800" cy="17780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608" o:spid="_x0000_s1633" style="position:absolute;margin-left:0pt;margin-top:36.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467360</wp:posOffset>
                </wp:positionV>
                <wp:extent cx="0" cy="17780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36.8pt" to="0.75pt,50.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476885</wp:posOffset>
                </wp:positionV>
                <wp:extent cx="6400800" cy="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5pt" to="504pt,37.5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467360</wp:posOffset>
                </wp:positionV>
                <wp:extent cx="0" cy="177800"/>
                <wp:wrapNone/>
                <wp:docPr id="611" name="Shape 6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11" o:spid="_x0000_s16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36.8pt" to="503.25pt,50.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635635</wp:posOffset>
                </wp:positionV>
                <wp:extent cx="6400800"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05pt" to="504pt,50.05pt" o:allowincell="f" strokecolor="#000000" strokeweight="1.5pt"/>
            </w:pict>
          </mc:Fallback>
        </mc:AlternateContent>
      </w:r>
    </w:p>
    <w:p>
      <w:pPr>
        <w:sectPr>
          <w:pgSz w:w="11880" w:h="15480" w:orient="portrait"/>
          <w:cols w:equalWidth="0" w:num="1">
            <w:col w:w="10080"/>
          </w:cols>
          <w:pgMar w:left="900" w:top="1410" w:right="90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44</w:t>
      </w:r>
    </w:p>
    <w:p>
      <w:pPr>
        <w:sectPr>
          <w:pgSz w:w="11880" w:h="15480" w:orient="portrait"/>
          <w:cols w:equalWidth="0" w:num="1">
            <w:col w:w="10080"/>
          </w:cols>
          <w:pgMar w:left="900" w:top="1410" w:right="900" w:bottom="764" w:gutter="0" w:footer="0" w:header="0"/>
          <w:type w:val="continuous"/>
        </w:sectPr>
      </w:pPr>
    </w:p>
    <w:bookmarkStart w:id="164" w:name="page165"/>
    <w:bookmarkEnd w:id="164"/>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OWNERSHIP OF TRUSTEES AND EXECUTIVE OFFICERS</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table below reflects beneficial ownership of our Trustees and NEOs as of March 13, 2023 determined in accordance with Rule 13d-3 of the Securities Exchange Act of 1934, as amended. Unless noted in the footnotes following the table, each Trustee and NEO has sole voting and investment power as to all shares listed.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shd w:val="clear" w:color="auto" w:fill="FB1717"/>
          </w:tcPr>
          <w:p>
            <w:pPr>
              <w:spacing w:after="0"/>
              <w:rPr>
                <w:sz w:val="19"/>
                <w:szCs w:val="19"/>
                <w:color w:val="auto"/>
              </w:rPr>
            </w:pPr>
          </w:p>
        </w:tc>
        <w:tc>
          <w:tcPr>
            <w:tcW w:w="980" w:type="dxa"/>
            <w:vAlign w:val="bottom"/>
            <w:shd w:val="clear" w:color="auto" w:fill="FB1717"/>
          </w:tcPr>
          <w:p>
            <w:pPr>
              <w:spacing w:after="0"/>
              <w:rPr>
                <w:sz w:val="19"/>
                <w:szCs w:val="19"/>
                <w:color w:val="auto"/>
              </w:rPr>
            </w:pPr>
          </w:p>
        </w:tc>
        <w:tc>
          <w:tcPr>
            <w:tcW w:w="1080" w:type="dxa"/>
            <w:vAlign w:val="bottom"/>
            <w:shd w:val="clear" w:color="auto" w:fill="FB1717"/>
          </w:tcPr>
          <w:p>
            <w:pPr>
              <w:spacing w:after="0"/>
              <w:rPr>
                <w:sz w:val="19"/>
                <w:szCs w:val="19"/>
                <w:color w:val="auto"/>
              </w:rPr>
            </w:pPr>
          </w:p>
        </w:tc>
        <w:tc>
          <w:tcPr>
            <w:tcW w:w="1320" w:type="dxa"/>
            <w:vAlign w:val="bottom"/>
            <w:shd w:val="clear" w:color="auto" w:fill="FB1717"/>
          </w:tcPr>
          <w:p>
            <w:pPr>
              <w:spacing w:after="0"/>
              <w:rPr>
                <w:sz w:val="19"/>
                <w:szCs w:val="19"/>
                <w:color w:val="auto"/>
              </w:rPr>
            </w:pPr>
          </w:p>
        </w:tc>
        <w:tc>
          <w:tcPr>
            <w:tcW w:w="1420" w:type="dxa"/>
            <w:vAlign w:val="bottom"/>
            <w:shd w:val="clear" w:color="auto" w:fill="FB1717"/>
          </w:tcPr>
          <w:p>
            <w:pPr>
              <w:jc w:val="center"/>
              <w:spacing w:after="0"/>
              <w:rPr>
                <w:sz w:val="20"/>
                <w:szCs w:val="20"/>
                <w:color w:val="auto"/>
              </w:rPr>
            </w:pPr>
            <w:r>
              <w:rPr>
                <w:rFonts w:ascii="Arial" w:cs="Arial" w:eastAsia="Arial" w:hAnsi="Arial"/>
                <w:sz w:val="20"/>
                <w:szCs w:val="20"/>
                <w:b w:val="1"/>
                <w:bCs w:val="1"/>
                <w:color w:val="FFFFFF"/>
                <w:w w:val="96"/>
              </w:rPr>
              <w:t>Percentage of</w:t>
            </w:r>
          </w:p>
        </w:tc>
        <w:tc>
          <w:tcPr>
            <w:tcW w:w="0" w:type="dxa"/>
            <w:vAlign w:val="bottom"/>
          </w:tcPr>
          <w:p>
            <w:pPr>
              <w:spacing w:after="0"/>
              <w:rPr>
                <w:sz w:val="1"/>
                <w:szCs w:val="1"/>
                <w:color w:val="auto"/>
              </w:rPr>
            </w:pPr>
          </w:p>
        </w:tc>
      </w:tr>
      <w:tr>
        <w:trPr>
          <w:trHeight w:val="195"/>
        </w:trPr>
        <w:tc>
          <w:tcPr>
            <w:tcW w:w="5280" w:type="dxa"/>
            <w:vAlign w:val="bottom"/>
            <w:shd w:val="clear" w:color="auto" w:fill="FB1717"/>
          </w:tcPr>
          <w:p>
            <w:pPr>
              <w:spacing w:after="0"/>
              <w:rPr>
                <w:sz w:val="16"/>
                <w:szCs w:val="16"/>
                <w:color w:val="auto"/>
              </w:rPr>
            </w:pPr>
          </w:p>
        </w:tc>
        <w:tc>
          <w:tcPr>
            <w:tcW w:w="980" w:type="dxa"/>
            <w:vAlign w:val="bottom"/>
            <w:shd w:val="clear" w:color="auto" w:fill="FB1717"/>
          </w:tcPr>
          <w:p>
            <w:pPr>
              <w:spacing w:after="0"/>
              <w:rPr>
                <w:sz w:val="16"/>
                <w:szCs w:val="16"/>
                <w:color w:val="auto"/>
              </w:rPr>
            </w:pPr>
          </w:p>
        </w:tc>
        <w:tc>
          <w:tcPr>
            <w:tcW w:w="1080" w:type="dxa"/>
            <w:vAlign w:val="bottom"/>
            <w:shd w:val="clear" w:color="auto" w:fill="FB1717"/>
          </w:tcPr>
          <w:p>
            <w:pPr>
              <w:jc w:val="right"/>
              <w:spacing w:after="0" w:line="195" w:lineRule="exact"/>
              <w:rPr>
                <w:sz w:val="20"/>
                <w:szCs w:val="20"/>
                <w:color w:val="auto"/>
              </w:rPr>
            </w:pPr>
            <w:r>
              <w:rPr>
                <w:rFonts w:ascii="Arial" w:cs="Arial" w:eastAsia="Arial" w:hAnsi="Arial"/>
                <w:sz w:val="20"/>
                <w:szCs w:val="20"/>
                <w:b w:val="1"/>
                <w:bCs w:val="1"/>
                <w:color w:val="FFFFFF"/>
              </w:rPr>
              <w:t>Unvested</w:t>
            </w:r>
          </w:p>
        </w:tc>
        <w:tc>
          <w:tcPr>
            <w:tcW w:w="1320" w:type="dxa"/>
            <w:vAlign w:val="bottom"/>
            <w:shd w:val="clear" w:color="auto" w:fill="FB1717"/>
          </w:tcPr>
          <w:p>
            <w:pPr>
              <w:jc w:val="right"/>
              <w:spacing w:after="0" w:line="195" w:lineRule="exact"/>
              <w:rPr>
                <w:sz w:val="20"/>
                <w:szCs w:val="20"/>
                <w:color w:val="auto"/>
              </w:rPr>
            </w:pPr>
            <w:r>
              <w:rPr>
                <w:rFonts w:ascii="Arial" w:cs="Arial" w:eastAsia="Arial" w:hAnsi="Arial"/>
                <w:sz w:val="20"/>
                <w:szCs w:val="20"/>
                <w:b w:val="1"/>
                <w:bCs w:val="1"/>
                <w:color w:val="FFFFFF"/>
              </w:rPr>
              <w:t>Total Shares</w:t>
            </w:r>
          </w:p>
        </w:tc>
        <w:tc>
          <w:tcPr>
            <w:tcW w:w="1420" w:type="dxa"/>
            <w:vAlign w:val="bottom"/>
            <w:shd w:val="clear" w:color="auto" w:fill="FB1717"/>
          </w:tcPr>
          <w:p>
            <w:pPr>
              <w:jc w:val="center"/>
              <w:spacing w:after="0" w:line="195" w:lineRule="exact"/>
              <w:rPr>
                <w:sz w:val="20"/>
                <w:szCs w:val="20"/>
                <w:color w:val="auto"/>
              </w:rPr>
            </w:pPr>
            <w:r>
              <w:rPr>
                <w:rFonts w:ascii="Arial" w:cs="Arial" w:eastAsia="Arial" w:hAnsi="Arial"/>
                <w:sz w:val="20"/>
                <w:szCs w:val="20"/>
                <w:b w:val="1"/>
                <w:bCs w:val="1"/>
                <w:color w:val="FFFFFF"/>
                <w:w w:val="98"/>
              </w:rPr>
              <w:t>Outstanding</w:t>
            </w:r>
          </w:p>
        </w:tc>
        <w:tc>
          <w:tcPr>
            <w:tcW w:w="0" w:type="dxa"/>
            <w:vAlign w:val="bottom"/>
          </w:tcPr>
          <w:p>
            <w:pPr>
              <w:spacing w:after="0"/>
              <w:rPr>
                <w:sz w:val="1"/>
                <w:szCs w:val="1"/>
                <w:color w:val="auto"/>
              </w:rPr>
            </w:pPr>
          </w:p>
        </w:tc>
      </w:tr>
      <w:tr>
        <w:trPr>
          <w:trHeight w:val="195"/>
        </w:trPr>
        <w:tc>
          <w:tcPr>
            <w:tcW w:w="5280" w:type="dxa"/>
            <w:vAlign w:val="bottom"/>
            <w:shd w:val="clear" w:color="auto" w:fill="FB1717"/>
          </w:tcPr>
          <w:p>
            <w:pPr>
              <w:spacing w:after="0"/>
              <w:rPr>
                <w:sz w:val="16"/>
                <w:szCs w:val="16"/>
                <w:color w:val="auto"/>
              </w:rPr>
            </w:pPr>
          </w:p>
        </w:tc>
        <w:tc>
          <w:tcPr>
            <w:tcW w:w="980" w:type="dxa"/>
            <w:vAlign w:val="bottom"/>
            <w:shd w:val="clear" w:color="auto" w:fill="FB1717"/>
          </w:tcPr>
          <w:p>
            <w:pPr>
              <w:spacing w:after="0"/>
              <w:rPr>
                <w:sz w:val="16"/>
                <w:szCs w:val="16"/>
                <w:color w:val="auto"/>
              </w:rPr>
            </w:pPr>
          </w:p>
        </w:tc>
        <w:tc>
          <w:tcPr>
            <w:tcW w:w="1080" w:type="dxa"/>
            <w:vAlign w:val="bottom"/>
            <w:shd w:val="clear" w:color="auto" w:fill="FB1717"/>
          </w:tcPr>
          <w:p>
            <w:pPr>
              <w:jc w:val="right"/>
              <w:spacing w:after="0" w:line="195" w:lineRule="exact"/>
              <w:rPr>
                <w:sz w:val="20"/>
                <w:szCs w:val="20"/>
                <w:color w:val="auto"/>
              </w:rPr>
            </w:pPr>
            <w:r>
              <w:rPr>
                <w:rFonts w:ascii="Arial" w:cs="Arial" w:eastAsia="Arial" w:hAnsi="Arial"/>
                <w:sz w:val="20"/>
                <w:szCs w:val="20"/>
                <w:b w:val="1"/>
                <w:bCs w:val="1"/>
                <w:color w:val="FFFFFF"/>
              </w:rPr>
              <w:t>Restricted</w:t>
            </w:r>
          </w:p>
        </w:tc>
        <w:tc>
          <w:tcPr>
            <w:tcW w:w="1320" w:type="dxa"/>
            <w:vAlign w:val="bottom"/>
            <w:shd w:val="clear" w:color="auto" w:fill="FB1717"/>
          </w:tcPr>
          <w:p>
            <w:pPr>
              <w:jc w:val="right"/>
              <w:spacing w:after="0" w:line="195" w:lineRule="exact"/>
              <w:rPr>
                <w:sz w:val="20"/>
                <w:szCs w:val="20"/>
                <w:color w:val="auto"/>
              </w:rPr>
            </w:pPr>
            <w:r>
              <w:rPr>
                <w:rFonts w:ascii="Arial" w:cs="Arial" w:eastAsia="Arial" w:hAnsi="Arial"/>
                <w:sz w:val="20"/>
                <w:szCs w:val="20"/>
                <w:b w:val="1"/>
                <w:bCs w:val="1"/>
                <w:color w:val="FFFFFF"/>
              </w:rPr>
              <w:t>Beneficially</w:t>
            </w:r>
          </w:p>
        </w:tc>
        <w:tc>
          <w:tcPr>
            <w:tcW w:w="1420" w:type="dxa"/>
            <w:vAlign w:val="bottom"/>
            <w:shd w:val="clear" w:color="auto" w:fill="FB1717"/>
          </w:tcPr>
          <w:p>
            <w:pPr>
              <w:jc w:val="center"/>
              <w:spacing w:after="0" w:line="195" w:lineRule="exact"/>
              <w:rPr>
                <w:sz w:val="20"/>
                <w:szCs w:val="20"/>
                <w:color w:val="auto"/>
              </w:rPr>
            </w:pPr>
            <w:r>
              <w:rPr>
                <w:rFonts w:ascii="Arial" w:cs="Arial" w:eastAsia="Arial" w:hAnsi="Arial"/>
                <w:sz w:val="20"/>
                <w:szCs w:val="20"/>
                <w:b w:val="1"/>
                <w:bCs w:val="1"/>
                <w:color w:val="FFFFFF"/>
                <w:w w:val="95"/>
              </w:rPr>
              <w:t>Shares</w:t>
            </w:r>
          </w:p>
        </w:tc>
        <w:tc>
          <w:tcPr>
            <w:tcW w:w="0" w:type="dxa"/>
            <w:vAlign w:val="bottom"/>
          </w:tcPr>
          <w:p>
            <w:pPr>
              <w:spacing w:after="0"/>
              <w:rPr>
                <w:sz w:val="1"/>
                <w:szCs w:val="1"/>
                <w:color w:val="auto"/>
              </w:rPr>
            </w:pPr>
          </w:p>
        </w:tc>
      </w:tr>
      <w:tr>
        <w:trPr>
          <w:trHeight w:val="242"/>
        </w:trPr>
        <w:tc>
          <w:tcPr>
            <w:tcW w:w="5280" w:type="dxa"/>
            <w:vAlign w:val="bottom"/>
            <w:shd w:val="clear" w:color="auto" w:fill="FB1717"/>
          </w:tcPr>
          <w:p>
            <w:pPr>
              <w:ind w:left="60"/>
              <w:spacing w:after="0" w:line="242" w:lineRule="exact"/>
              <w:rPr>
                <w:sz w:val="20"/>
                <w:szCs w:val="20"/>
                <w:color w:val="auto"/>
              </w:rPr>
            </w:pPr>
            <w:r>
              <w:rPr>
                <w:rFonts w:ascii="Arial" w:cs="Arial" w:eastAsia="Arial" w:hAnsi="Arial"/>
                <w:sz w:val="20"/>
                <w:szCs w:val="20"/>
                <w:b w:val="1"/>
                <w:bCs w:val="1"/>
                <w:color w:val="FFFFFF"/>
              </w:rPr>
              <w:t>Name and Address of Beneficial Owner</w:t>
            </w:r>
            <w:r>
              <w:rPr>
                <w:rFonts w:ascii="Arial" w:cs="Arial" w:eastAsia="Arial" w:hAnsi="Arial"/>
                <w:sz w:val="25"/>
                <w:szCs w:val="25"/>
                <w:b w:val="1"/>
                <w:bCs w:val="1"/>
                <w:color w:val="FFFFFF"/>
                <w:vertAlign w:val="superscript"/>
              </w:rPr>
              <w:t>(1)</w:t>
            </w:r>
          </w:p>
        </w:tc>
        <w:tc>
          <w:tcPr>
            <w:tcW w:w="980" w:type="dxa"/>
            <w:vAlign w:val="bottom"/>
            <w:shd w:val="clear" w:color="auto" w:fill="FB1717"/>
          </w:tcPr>
          <w:p>
            <w:pPr>
              <w:jc w:val="right"/>
              <w:spacing w:after="0" w:line="222" w:lineRule="exact"/>
              <w:rPr>
                <w:sz w:val="20"/>
                <w:szCs w:val="20"/>
                <w:color w:val="auto"/>
              </w:rPr>
            </w:pPr>
            <w:r>
              <w:rPr>
                <w:rFonts w:ascii="Arial" w:cs="Arial" w:eastAsia="Arial" w:hAnsi="Arial"/>
                <w:sz w:val="20"/>
                <w:szCs w:val="20"/>
                <w:b w:val="1"/>
                <w:bCs w:val="1"/>
                <w:color w:val="FFFFFF"/>
              </w:rPr>
              <w:t>Common</w:t>
            </w:r>
          </w:p>
        </w:tc>
        <w:tc>
          <w:tcPr>
            <w:tcW w:w="1080" w:type="dxa"/>
            <w:vAlign w:val="bottom"/>
            <w:shd w:val="clear" w:color="auto" w:fill="FB1717"/>
          </w:tcPr>
          <w:p>
            <w:pPr>
              <w:jc w:val="right"/>
              <w:spacing w:after="0" w:line="222" w:lineRule="exact"/>
              <w:rPr>
                <w:sz w:val="20"/>
                <w:szCs w:val="20"/>
                <w:color w:val="auto"/>
              </w:rPr>
            </w:pPr>
            <w:r>
              <w:rPr>
                <w:rFonts w:ascii="Arial" w:cs="Arial" w:eastAsia="Arial" w:hAnsi="Arial"/>
                <w:sz w:val="20"/>
                <w:szCs w:val="20"/>
                <w:b w:val="1"/>
                <w:bCs w:val="1"/>
                <w:color w:val="FFFFFF"/>
              </w:rPr>
              <w:t>Shares</w:t>
            </w:r>
          </w:p>
        </w:tc>
        <w:tc>
          <w:tcPr>
            <w:tcW w:w="1320" w:type="dxa"/>
            <w:vAlign w:val="bottom"/>
            <w:shd w:val="clear" w:color="auto" w:fill="FB1717"/>
          </w:tcPr>
          <w:p>
            <w:pPr>
              <w:jc w:val="right"/>
              <w:spacing w:after="0" w:line="222" w:lineRule="exact"/>
              <w:rPr>
                <w:sz w:val="20"/>
                <w:szCs w:val="20"/>
                <w:color w:val="auto"/>
              </w:rPr>
            </w:pPr>
            <w:r>
              <w:rPr>
                <w:rFonts w:ascii="Arial" w:cs="Arial" w:eastAsia="Arial" w:hAnsi="Arial"/>
                <w:sz w:val="20"/>
                <w:szCs w:val="20"/>
                <w:b w:val="1"/>
                <w:bCs w:val="1"/>
                <w:color w:val="FFFFFF"/>
              </w:rPr>
              <w:t>Owned</w:t>
            </w:r>
          </w:p>
        </w:tc>
        <w:tc>
          <w:tcPr>
            <w:tcW w:w="1420" w:type="dxa"/>
            <w:vAlign w:val="bottom"/>
            <w:shd w:val="clear" w:color="auto" w:fill="FB1717"/>
          </w:tcPr>
          <w:p>
            <w:pPr>
              <w:jc w:val="center"/>
              <w:spacing w:after="0" w:line="242" w:lineRule="exact"/>
              <w:rPr>
                <w:sz w:val="20"/>
                <w:szCs w:val="20"/>
                <w:color w:val="auto"/>
              </w:rPr>
            </w:pPr>
            <w:r>
              <w:rPr>
                <w:rFonts w:ascii="Arial" w:cs="Arial" w:eastAsia="Arial" w:hAnsi="Arial"/>
                <w:sz w:val="20"/>
                <w:szCs w:val="20"/>
                <w:b w:val="1"/>
                <w:bCs w:val="1"/>
                <w:color w:val="FFFFFF"/>
                <w:w w:val="91"/>
              </w:rPr>
              <w:t>Owned</w:t>
            </w:r>
            <w:r>
              <w:rPr>
                <w:rFonts w:ascii="Arial" w:cs="Arial" w:eastAsia="Arial" w:hAnsi="Arial"/>
                <w:sz w:val="25"/>
                <w:szCs w:val="25"/>
                <w:b w:val="1"/>
                <w:bCs w:val="1"/>
                <w:color w:val="FFFFFF"/>
                <w:w w:val="91"/>
                <w:vertAlign w:val="superscript"/>
              </w:rPr>
              <w:t>(2)</w:t>
            </w:r>
          </w:p>
        </w:tc>
        <w:tc>
          <w:tcPr>
            <w:tcW w:w="0" w:type="dxa"/>
            <w:vAlign w:val="bottom"/>
          </w:tcPr>
          <w:p>
            <w:pPr>
              <w:spacing w:after="0"/>
              <w:rPr>
                <w:sz w:val="1"/>
                <w:szCs w:val="1"/>
                <w:color w:val="auto"/>
              </w:rPr>
            </w:pPr>
          </w:p>
        </w:tc>
      </w:tr>
      <w:tr>
        <w:trPr>
          <w:trHeight w:val="275"/>
        </w:trPr>
        <w:tc>
          <w:tcPr>
            <w:tcW w:w="5280" w:type="dxa"/>
            <w:vAlign w:val="bottom"/>
          </w:tcPr>
          <w:p>
            <w:pPr>
              <w:ind w:left="60"/>
              <w:spacing w:after="0"/>
              <w:rPr>
                <w:sz w:val="20"/>
                <w:szCs w:val="20"/>
                <w:color w:val="auto"/>
              </w:rPr>
            </w:pPr>
            <w:r>
              <w:rPr>
                <w:rFonts w:ascii="Arial" w:cs="Arial" w:eastAsia="Arial" w:hAnsi="Arial"/>
                <w:sz w:val="20"/>
                <w:szCs w:val="20"/>
                <w:color w:val="auto"/>
              </w:rPr>
              <w:t>Dawn M. Becker</w:t>
            </w:r>
          </w:p>
        </w:tc>
        <w:tc>
          <w:tcPr>
            <w:tcW w:w="980" w:type="dxa"/>
            <w:vAlign w:val="bottom"/>
          </w:tcPr>
          <w:p>
            <w:pPr>
              <w:jc w:val="right"/>
              <w:spacing w:after="0"/>
              <w:rPr>
                <w:sz w:val="20"/>
                <w:szCs w:val="20"/>
                <w:color w:val="auto"/>
              </w:rPr>
            </w:pPr>
            <w:r>
              <w:rPr>
                <w:rFonts w:ascii="Arial" w:cs="Arial" w:eastAsia="Arial" w:hAnsi="Arial"/>
                <w:sz w:val="20"/>
                <w:szCs w:val="20"/>
                <w:color w:val="auto"/>
              </w:rPr>
              <w:t>142,782</w:t>
            </w:r>
          </w:p>
        </w:tc>
        <w:tc>
          <w:tcPr>
            <w:tcW w:w="1080" w:type="dxa"/>
            <w:vAlign w:val="bottom"/>
          </w:tcPr>
          <w:p>
            <w:pPr>
              <w:jc w:val="right"/>
              <w:spacing w:after="0"/>
              <w:rPr>
                <w:sz w:val="20"/>
                <w:szCs w:val="20"/>
                <w:color w:val="auto"/>
              </w:rPr>
            </w:pPr>
            <w:r>
              <w:rPr>
                <w:rFonts w:ascii="Arial" w:cs="Arial" w:eastAsia="Arial" w:hAnsi="Arial"/>
                <w:sz w:val="20"/>
                <w:szCs w:val="20"/>
                <w:color w:val="auto"/>
              </w:rPr>
              <w:t>17,156</w:t>
            </w:r>
          </w:p>
        </w:tc>
        <w:tc>
          <w:tcPr>
            <w:tcW w:w="1320" w:type="dxa"/>
            <w:vAlign w:val="bottom"/>
          </w:tcPr>
          <w:p>
            <w:pPr>
              <w:jc w:val="right"/>
              <w:spacing w:after="0"/>
              <w:rPr>
                <w:sz w:val="20"/>
                <w:szCs w:val="20"/>
                <w:color w:val="auto"/>
              </w:rPr>
            </w:pPr>
            <w:r>
              <w:rPr>
                <w:rFonts w:ascii="Arial" w:cs="Arial" w:eastAsia="Arial" w:hAnsi="Arial"/>
                <w:sz w:val="20"/>
                <w:szCs w:val="20"/>
                <w:color w:val="auto"/>
              </w:rPr>
              <w:t>159,938</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Jeffrey S. Berkes</w:t>
            </w:r>
          </w:p>
        </w:tc>
        <w:tc>
          <w:tcPr>
            <w:tcW w:w="980" w:type="dxa"/>
            <w:vAlign w:val="bottom"/>
          </w:tcPr>
          <w:p>
            <w:pPr>
              <w:jc w:val="right"/>
              <w:spacing w:after="0"/>
              <w:rPr>
                <w:sz w:val="20"/>
                <w:szCs w:val="20"/>
                <w:color w:val="auto"/>
              </w:rPr>
            </w:pPr>
            <w:r>
              <w:rPr>
                <w:rFonts w:ascii="Arial" w:cs="Arial" w:eastAsia="Arial" w:hAnsi="Arial"/>
                <w:sz w:val="20"/>
                <w:szCs w:val="20"/>
                <w:color w:val="auto"/>
              </w:rPr>
              <w:t>38,893</w:t>
            </w:r>
          </w:p>
        </w:tc>
        <w:tc>
          <w:tcPr>
            <w:tcW w:w="1080" w:type="dxa"/>
            <w:vAlign w:val="bottom"/>
          </w:tcPr>
          <w:p>
            <w:pPr>
              <w:jc w:val="right"/>
              <w:spacing w:after="0"/>
              <w:rPr>
                <w:sz w:val="20"/>
                <w:szCs w:val="20"/>
                <w:color w:val="auto"/>
              </w:rPr>
            </w:pPr>
            <w:r>
              <w:rPr>
                <w:rFonts w:ascii="Arial" w:cs="Arial" w:eastAsia="Arial" w:hAnsi="Arial"/>
                <w:sz w:val="20"/>
                <w:szCs w:val="20"/>
                <w:color w:val="auto"/>
              </w:rPr>
              <w:t>31,447</w:t>
            </w:r>
          </w:p>
        </w:tc>
        <w:tc>
          <w:tcPr>
            <w:tcW w:w="1320" w:type="dxa"/>
            <w:vAlign w:val="bottom"/>
          </w:tcPr>
          <w:p>
            <w:pPr>
              <w:jc w:val="right"/>
              <w:spacing w:after="0"/>
              <w:rPr>
                <w:sz w:val="20"/>
                <w:szCs w:val="20"/>
                <w:color w:val="auto"/>
              </w:rPr>
            </w:pPr>
            <w:r>
              <w:rPr>
                <w:rFonts w:ascii="Arial" w:cs="Arial" w:eastAsia="Arial" w:hAnsi="Arial"/>
                <w:sz w:val="20"/>
                <w:szCs w:val="20"/>
                <w:color w:val="auto"/>
              </w:rPr>
              <w:t>70,340</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David W. Faeder</w:t>
            </w:r>
          </w:p>
        </w:tc>
        <w:tc>
          <w:tcPr>
            <w:tcW w:w="980" w:type="dxa"/>
            <w:vAlign w:val="bottom"/>
          </w:tcPr>
          <w:p>
            <w:pPr>
              <w:jc w:val="right"/>
              <w:spacing w:after="0"/>
              <w:rPr>
                <w:sz w:val="20"/>
                <w:szCs w:val="20"/>
                <w:color w:val="auto"/>
              </w:rPr>
            </w:pPr>
            <w:r>
              <w:rPr>
                <w:rFonts w:ascii="Arial" w:cs="Arial" w:eastAsia="Arial" w:hAnsi="Arial"/>
                <w:sz w:val="20"/>
                <w:szCs w:val="20"/>
                <w:color w:val="auto"/>
              </w:rPr>
              <w:t>24,769</w:t>
            </w:r>
          </w:p>
        </w:tc>
        <w:tc>
          <w:tcPr>
            <w:tcW w:w="1080" w:type="dxa"/>
            <w:vAlign w:val="bottom"/>
          </w:tcPr>
          <w:p>
            <w:pPr>
              <w:jc w:val="right"/>
              <w:spacing w:after="0"/>
              <w:rPr>
                <w:sz w:val="20"/>
                <w:szCs w:val="20"/>
                <w:color w:val="auto"/>
              </w:rPr>
            </w:pPr>
            <w:r>
              <w:rPr>
                <w:rFonts w:ascii="Arial" w:cs="Arial" w:eastAsia="Arial" w:hAnsi="Arial"/>
                <w:sz w:val="20"/>
                <w:szCs w:val="20"/>
                <w:color w:val="auto"/>
              </w:rPr>
              <w:t>0</w:t>
            </w:r>
          </w:p>
        </w:tc>
        <w:tc>
          <w:tcPr>
            <w:tcW w:w="1320" w:type="dxa"/>
            <w:vAlign w:val="bottom"/>
          </w:tcPr>
          <w:p>
            <w:pPr>
              <w:jc w:val="right"/>
              <w:spacing w:after="0"/>
              <w:rPr>
                <w:sz w:val="20"/>
                <w:szCs w:val="20"/>
                <w:color w:val="auto"/>
              </w:rPr>
            </w:pPr>
            <w:r>
              <w:rPr>
                <w:rFonts w:ascii="Arial" w:cs="Arial" w:eastAsia="Arial" w:hAnsi="Arial"/>
                <w:sz w:val="20"/>
                <w:szCs w:val="20"/>
                <w:color w:val="auto"/>
              </w:rPr>
              <w:t>24,769</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Daniel Guglielmone</w:t>
            </w:r>
          </w:p>
        </w:tc>
        <w:tc>
          <w:tcPr>
            <w:tcW w:w="980" w:type="dxa"/>
            <w:vAlign w:val="bottom"/>
          </w:tcPr>
          <w:p>
            <w:pPr>
              <w:jc w:val="right"/>
              <w:spacing w:after="0"/>
              <w:rPr>
                <w:sz w:val="20"/>
                <w:szCs w:val="20"/>
                <w:color w:val="auto"/>
              </w:rPr>
            </w:pPr>
            <w:r>
              <w:rPr>
                <w:rFonts w:ascii="Arial" w:cs="Arial" w:eastAsia="Arial" w:hAnsi="Arial"/>
                <w:sz w:val="20"/>
                <w:szCs w:val="20"/>
                <w:color w:val="auto"/>
              </w:rPr>
              <w:t>26,208</w:t>
            </w:r>
          </w:p>
        </w:tc>
        <w:tc>
          <w:tcPr>
            <w:tcW w:w="1080" w:type="dxa"/>
            <w:vAlign w:val="bottom"/>
          </w:tcPr>
          <w:p>
            <w:pPr>
              <w:jc w:val="right"/>
              <w:spacing w:after="0"/>
              <w:rPr>
                <w:sz w:val="20"/>
                <w:szCs w:val="20"/>
                <w:color w:val="auto"/>
              </w:rPr>
            </w:pPr>
            <w:r>
              <w:rPr>
                <w:rFonts w:ascii="Arial" w:cs="Arial" w:eastAsia="Arial" w:hAnsi="Arial"/>
                <w:sz w:val="20"/>
                <w:szCs w:val="20"/>
                <w:color w:val="auto"/>
              </w:rPr>
              <w:t>24,574</w:t>
            </w:r>
          </w:p>
        </w:tc>
        <w:tc>
          <w:tcPr>
            <w:tcW w:w="1320" w:type="dxa"/>
            <w:vAlign w:val="bottom"/>
          </w:tcPr>
          <w:p>
            <w:pPr>
              <w:jc w:val="right"/>
              <w:spacing w:after="0"/>
              <w:rPr>
                <w:sz w:val="20"/>
                <w:szCs w:val="20"/>
                <w:color w:val="auto"/>
              </w:rPr>
            </w:pPr>
            <w:r>
              <w:rPr>
                <w:rFonts w:ascii="Arial" w:cs="Arial" w:eastAsia="Arial" w:hAnsi="Arial"/>
                <w:sz w:val="20"/>
                <w:szCs w:val="20"/>
                <w:color w:val="auto"/>
              </w:rPr>
              <w:t>50,782</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Elizabeth I. Holland</w:t>
            </w:r>
          </w:p>
        </w:tc>
        <w:tc>
          <w:tcPr>
            <w:tcW w:w="980" w:type="dxa"/>
            <w:vAlign w:val="bottom"/>
          </w:tcPr>
          <w:p>
            <w:pPr>
              <w:jc w:val="right"/>
              <w:spacing w:after="0"/>
              <w:rPr>
                <w:sz w:val="20"/>
                <w:szCs w:val="20"/>
                <w:color w:val="auto"/>
              </w:rPr>
            </w:pPr>
            <w:r>
              <w:rPr>
                <w:rFonts w:ascii="Arial" w:cs="Arial" w:eastAsia="Arial" w:hAnsi="Arial"/>
                <w:sz w:val="20"/>
                <w:szCs w:val="20"/>
                <w:color w:val="auto"/>
              </w:rPr>
              <w:t>6,152</w:t>
            </w:r>
          </w:p>
        </w:tc>
        <w:tc>
          <w:tcPr>
            <w:tcW w:w="1080" w:type="dxa"/>
            <w:vAlign w:val="bottom"/>
          </w:tcPr>
          <w:p>
            <w:pPr>
              <w:jc w:val="right"/>
              <w:spacing w:after="0"/>
              <w:rPr>
                <w:sz w:val="20"/>
                <w:szCs w:val="20"/>
                <w:color w:val="auto"/>
              </w:rPr>
            </w:pPr>
            <w:r>
              <w:rPr>
                <w:rFonts w:ascii="Arial" w:cs="Arial" w:eastAsia="Arial" w:hAnsi="Arial"/>
                <w:sz w:val="20"/>
                <w:szCs w:val="20"/>
                <w:color w:val="auto"/>
              </w:rPr>
              <w:t>0</w:t>
            </w:r>
          </w:p>
        </w:tc>
        <w:tc>
          <w:tcPr>
            <w:tcW w:w="1320" w:type="dxa"/>
            <w:vAlign w:val="bottom"/>
          </w:tcPr>
          <w:p>
            <w:pPr>
              <w:jc w:val="right"/>
              <w:spacing w:after="0"/>
              <w:rPr>
                <w:sz w:val="20"/>
                <w:szCs w:val="20"/>
                <w:color w:val="auto"/>
              </w:rPr>
            </w:pPr>
            <w:r>
              <w:rPr>
                <w:rFonts w:ascii="Arial" w:cs="Arial" w:eastAsia="Arial" w:hAnsi="Arial"/>
                <w:sz w:val="20"/>
                <w:szCs w:val="20"/>
                <w:color w:val="auto"/>
              </w:rPr>
              <w:t>6,152</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Nicole Y. Lamb-Hale</w:t>
            </w:r>
          </w:p>
        </w:tc>
        <w:tc>
          <w:tcPr>
            <w:tcW w:w="980" w:type="dxa"/>
            <w:vAlign w:val="bottom"/>
          </w:tcPr>
          <w:p>
            <w:pPr>
              <w:jc w:val="right"/>
              <w:spacing w:after="0"/>
              <w:rPr>
                <w:sz w:val="20"/>
                <w:szCs w:val="20"/>
                <w:color w:val="auto"/>
              </w:rPr>
            </w:pPr>
            <w:r>
              <w:rPr>
                <w:rFonts w:ascii="Arial" w:cs="Arial" w:eastAsia="Arial" w:hAnsi="Arial"/>
                <w:sz w:val="20"/>
                <w:szCs w:val="20"/>
                <w:color w:val="auto"/>
              </w:rPr>
              <w:t>2,538</w:t>
            </w:r>
          </w:p>
        </w:tc>
        <w:tc>
          <w:tcPr>
            <w:tcW w:w="1080" w:type="dxa"/>
            <w:vAlign w:val="bottom"/>
          </w:tcPr>
          <w:p>
            <w:pPr>
              <w:jc w:val="right"/>
              <w:spacing w:after="0"/>
              <w:rPr>
                <w:sz w:val="20"/>
                <w:szCs w:val="20"/>
                <w:color w:val="auto"/>
              </w:rPr>
            </w:pPr>
            <w:r>
              <w:rPr>
                <w:rFonts w:ascii="Arial" w:cs="Arial" w:eastAsia="Arial" w:hAnsi="Arial"/>
                <w:sz w:val="20"/>
                <w:szCs w:val="20"/>
                <w:color w:val="auto"/>
              </w:rPr>
              <w:t>0</w:t>
            </w:r>
          </w:p>
        </w:tc>
        <w:tc>
          <w:tcPr>
            <w:tcW w:w="1320" w:type="dxa"/>
            <w:vAlign w:val="bottom"/>
          </w:tcPr>
          <w:p>
            <w:pPr>
              <w:jc w:val="right"/>
              <w:spacing w:after="0"/>
              <w:rPr>
                <w:sz w:val="20"/>
                <w:szCs w:val="20"/>
                <w:color w:val="auto"/>
              </w:rPr>
            </w:pPr>
            <w:r>
              <w:rPr>
                <w:rFonts w:ascii="Arial" w:cs="Arial" w:eastAsia="Arial" w:hAnsi="Arial"/>
                <w:sz w:val="20"/>
                <w:szCs w:val="20"/>
                <w:color w:val="auto"/>
              </w:rPr>
              <w:t>2,538</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Thomas A. McEachin</w:t>
            </w:r>
          </w:p>
        </w:tc>
        <w:tc>
          <w:tcPr>
            <w:tcW w:w="980" w:type="dxa"/>
            <w:vAlign w:val="bottom"/>
          </w:tcPr>
          <w:p>
            <w:pPr>
              <w:jc w:val="right"/>
              <w:spacing w:after="0"/>
              <w:rPr>
                <w:sz w:val="20"/>
                <w:szCs w:val="20"/>
                <w:color w:val="auto"/>
              </w:rPr>
            </w:pPr>
            <w:r>
              <w:rPr>
                <w:rFonts w:ascii="Arial" w:cs="Arial" w:eastAsia="Arial" w:hAnsi="Arial"/>
                <w:sz w:val="20"/>
                <w:szCs w:val="20"/>
                <w:color w:val="auto"/>
              </w:rPr>
              <w:t>299</w:t>
            </w:r>
          </w:p>
        </w:tc>
        <w:tc>
          <w:tcPr>
            <w:tcW w:w="1080" w:type="dxa"/>
            <w:vAlign w:val="bottom"/>
          </w:tcPr>
          <w:p>
            <w:pPr>
              <w:jc w:val="right"/>
              <w:spacing w:after="0"/>
              <w:rPr>
                <w:sz w:val="20"/>
                <w:szCs w:val="20"/>
                <w:color w:val="auto"/>
              </w:rPr>
            </w:pPr>
            <w:r>
              <w:rPr>
                <w:rFonts w:ascii="Arial" w:cs="Arial" w:eastAsia="Arial" w:hAnsi="Arial"/>
                <w:sz w:val="20"/>
                <w:szCs w:val="20"/>
                <w:color w:val="auto"/>
              </w:rPr>
              <w:t>0</w:t>
            </w:r>
          </w:p>
        </w:tc>
        <w:tc>
          <w:tcPr>
            <w:tcW w:w="1320" w:type="dxa"/>
            <w:vAlign w:val="bottom"/>
          </w:tcPr>
          <w:p>
            <w:pPr>
              <w:jc w:val="right"/>
              <w:spacing w:after="0"/>
              <w:rPr>
                <w:sz w:val="20"/>
                <w:szCs w:val="20"/>
                <w:color w:val="auto"/>
              </w:rPr>
            </w:pPr>
            <w:r>
              <w:rPr>
                <w:rFonts w:ascii="Arial" w:cs="Arial" w:eastAsia="Arial" w:hAnsi="Arial"/>
                <w:sz w:val="20"/>
                <w:szCs w:val="20"/>
                <w:color w:val="auto"/>
              </w:rPr>
              <w:t>299</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Anthony P. Nader, III</w:t>
            </w:r>
          </w:p>
        </w:tc>
        <w:tc>
          <w:tcPr>
            <w:tcW w:w="980" w:type="dxa"/>
            <w:vAlign w:val="bottom"/>
          </w:tcPr>
          <w:p>
            <w:pPr>
              <w:jc w:val="right"/>
              <w:spacing w:after="0"/>
              <w:rPr>
                <w:sz w:val="20"/>
                <w:szCs w:val="20"/>
                <w:color w:val="auto"/>
              </w:rPr>
            </w:pPr>
            <w:r>
              <w:rPr>
                <w:rFonts w:ascii="Arial" w:cs="Arial" w:eastAsia="Arial" w:hAnsi="Arial"/>
                <w:sz w:val="20"/>
                <w:szCs w:val="20"/>
                <w:color w:val="auto"/>
              </w:rPr>
              <w:t>2,538</w:t>
            </w:r>
          </w:p>
        </w:tc>
        <w:tc>
          <w:tcPr>
            <w:tcW w:w="1080" w:type="dxa"/>
            <w:vAlign w:val="bottom"/>
          </w:tcPr>
          <w:p>
            <w:pPr>
              <w:jc w:val="right"/>
              <w:spacing w:after="0"/>
              <w:rPr>
                <w:sz w:val="20"/>
                <w:szCs w:val="20"/>
                <w:color w:val="auto"/>
              </w:rPr>
            </w:pPr>
            <w:r>
              <w:rPr>
                <w:rFonts w:ascii="Arial" w:cs="Arial" w:eastAsia="Arial" w:hAnsi="Arial"/>
                <w:sz w:val="20"/>
                <w:szCs w:val="20"/>
                <w:color w:val="auto"/>
              </w:rPr>
              <w:t>0</w:t>
            </w:r>
          </w:p>
        </w:tc>
        <w:tc>
          <w:tcPr>
            <w:tcW w:w="1320" w:type="dxa"/>
            <w:vAlign w:val="bottom"/>
          </w:tcPr>
          <w:p>
            <w:pPr>
              <w:jc w:val="right"/>
              <w:spacing w:after="0"/>
              <w:rPr>
                <w:sz w:val="20"/>
                <w:szCs w:val="20"/>
                <w:color w:val="auto"/>
              </w:rPr>
            </w:pPr>
            <w:r>
              <w:rPr>
                <w:rFonts w:ascii="Arial" w:cs="Arial" w:eastAsia="Arial" w:hAnsi="Arial"/>
                <w:sz w:val="20"/>
                <w:szCs w:val="20"/>
                <w:color w:val="auto"/>
              </w:rPr>
              <w:t>2,538</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auto"/>
              </w:rPr>
              <w:t>Gail P. Steinel</w:t>
            </w:r>
          </w:p>
        </w:tc>
        <w:tc>
          <w:tcPr>
            <w:tcW w:w="980" w:type="dxa"/>
            <w:vAlign w:val="bottom"/>
          </w:tcPr>
          <w:p>
            <w:pPr>
              <w:jc w:val="right"/>
              <w:spacing w:after="0"/>
              <w:rPr>
                <w:sz w:val="20"/>
                <w:szCs w:val="20"/>
                <w:color w:val="auto"/>
              </w:rPr>
            </w:pPr>
            <w:r>
              <w:rPr>
                <w:rFonts w:ascii="Arial" w:cs="Arial" w:eastAsia="Arial" w:hAnsi="Arial"/>
                <w:sz w:val="20"/>
                <w:szCs w:val="20"/>
                <w:color w:val="auto"/>
              </w:rPr>
              <w:t>14,442</w:t>
            </w:r>
          </w:p>
        </w:tc>
        <w:tc>
          <w:tcPr>
            <w:tcW w:w="1080" w:type="dxa"/>
            <w:vAlign w:val="bottom"/>
          </w:tcPr>
          <w:p>
            <w:pPr>
              <w:jc w:val="right"/>
              <w:spacing w:after="0"/>
              <w:rPr>
                <w:sz w:val="20"/>
                <w:szCs w:val="20"/>
                <w:color w:val="auto"/>
              </w:rPr>
            </w:pPr>
            <w:r>
              <w:rPr>
                <w:rFonts w:ascii="Arial" w:cs="Arial" w:eastAsia="Arial" w:hAnsi="Arial"/>
                <w:sz w:val="20"/>
                <w:szCs w:val="20"/>
                <w:color w:val="auto"/>
              </w:rPr>
              <w:t>0</w:t>
            </w:r>
          </w:p>
        </w:tc>
        <w:tc>
          <w:tcPr>
            <w:tcW w:w="1320" w:type="dxa"/>
            <w:vAlign w:val="bottom"/>
          </w:tcPr>
          <w:p>
            <w:pPr>
              <w:jc w:val="right"/>
              <w:spacing w:after="0"/>
              <w:rPr>
                <w:sz w:val="20"/>
                <w:szCs w:val="20"/>
                <w:color w:val="auto"/>
              </w:rPr>
            </w:pPr>
            <w:r>
              <w:rPr>
                <w:rFonts w:ascii="Arial" w:cs="Arial" w:eastAsia="Arial" w:hAnsi="Arial"/>
                <w:sz w:val="20"/>
                <w:szCs w:val="20"/>
                <w:color w:val="auto"/>
              </w:rPr>
              <w:t>14,442</w:t>
            </w:r>
          </w:p>
        </w:tc>
        <w:tc>
          <w:tcPr>
            <w:tcW w:w="1420" w:type="dxa"/>
            <w:vAlign w:val="bottom"/>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3"/>
        </w:trPr>
        <w:tc>
          <w:tcPr>
            <w:tcW w:w="5280" w:type="dxa"/>
            <w:vAlign w:val="bottom"/>
          </w:tcPr>
          <w:p>
            <w:pPr>
              <w:ind w:left="60"/>
              <w:spacing w:after="0"/>
              <w:rPr>
                <w:sz w:val="20"/>
                <w:szCs w:val="20"/>
                <w:color w:val="auto"/>
              </w:rPr>
            </w:pPr>
            <w:r>
              <w:rPr>
                <w:rFonts w:ascii="Arial" w:cs="Arial" w:eastAsia="Arial" w:hAnsi="Arial"/>
                <w:sz w:val="20"/>
                <w:szCs w:val="20"/>
                <w:color w:val="auto"/>
              </w:rPr>
              <w:t>Donald C. Wood</w:t>
            </w:r>
            <w:r>
              <w:rPr>
                <w:rFonts w:ascii="Arial" w:cs="Arial" w:eastAsia="Arial" w:hAnsi="Arial"/>
                <w:sz w:val="25"/>
                <w:szCs w:val="25"/>
                <w:color w:val="auto"/>
                <w:vertAlign w:val="superscript"/>
              </w:rPr>
              <w:t>(3)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406,912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111,353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518,265</w:t>
            </w:r>
          </w:p>
        </w:tc>
        <w:tc>
          <w:tcPr>
            <w:tcW w:w="1420" w:type="dxa"/>
            <w:vAlign w:val="bottom"/>
            <w:tcBorders>
              <w:bottom w:val="single" w:sz="8" w:color="auto"/>
            </w:tcBorders>
          </w:tcPr>
          <w:p>
            <w:pPr>
              <w:jc w:val="right"/>
              <w:ind w:right="5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5280" w:type="dxa"/>
            <w:vAlign w:val="bottom"/>
          </w:tcPr>
          <w:p>
            <w:pPr>
              <w:ind w:left="60"/>
              <w:spacing w:after="0"/>
              <w:rPr>
                <w:sz w:val="20"/>
                <w:szCs w:val="20"/>
                <w:color w:val="auto"/>
              </w:rPr>
            </w:pPr>
            <w:r>
              <w:rPr>
                <w:rFonts w:ascii="Arial" w:cs="Arial" w:eastAsia="Arial" w:hAnsi="Arial"/>
                <w:sz w:val="20"/>
                <w:szCs w:val="20"/>
                <w:color w:val="auto"/>
              </w:rPr>
              <w:t>Trustees, trustee nominees and executive officers as a</w:t>
            </w: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665,533</w:t>
            </w: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184,530</w:t>
            </w:r>
          </w:p>
        </w:tc>
        <w:tc>
          <w:tcPr>
            <w:tcW w:w="13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850,063</w:t>
            </w:r>
          </w:p>
        </w:tc>
        <w:tc>
          <w:tcPr>
            <w:tcW w:w="1420" w:type="dxa"/>
            <w:vAlign w:val="bottom"/>
            <w:vMerge w:val="restart"/>
          </w:tcPr>
          <w:p>
            <w:pPr>
              <w:jc w:val="right"/>
              <w:ind w:right="383"/>
              <w:spacing w:after="0"/>
              <w:rPr>
                <w:sz w:val="20"/>
                <w:szCs w:val="20"/>
                <w:color w:val="auto"/>
              </w:rPr>
            </w:pPr>
            <w:r>
              <w:rPr>
                <w:rFonts w:ascii="Arial" w:cs="Arial" w:eastAsia="Arial" w:hAnsi="Arial"/>
                <w:sz w:val="20"/>
                <w:szCs w:val="20"/>
                <w:b w:val="1"/>
                <w:bCs w:val="1"/>
                <w:color w:val="auto"/>
              </w:rPr>
              <w:t>1%</w:t>
            </w:r>
          </w:p>
        </w:tc>
        <w:tc>
          <w:tcPr>
            <w:tcW w:w="0" w:type="dxa"/>
            <w:vAlign w:val="bottom"/>
          </w:tcPr>
          <w:p>
            <w:pPr>
              <w:spacing w:after="0"/>
              <w:rPr>
                <w:sz w:val="1"/>
                <w:szCs w:val="1"/>
                <w:color w:val="auto"/>
              </w:rPr>
            </w:pPr>
          </w:p>
        </w:tc>
      </w:tr>
      <w:tr>
        <w:trPr>
          <w:trHeight w:val="55"/>
        </w:trPr>
        <w:tc>
          <w:tcPr>
            <w:tcW w:w="5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-2082165</wp:posOffset>
                </wp:positionV>
                <wp:extent cx="3320415" cy="2209165"/>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0415" cy="2209165"/>
                        </a:xfrm>
                        <a:prstGeom prst="rect">
                          <a:avLst/>
                        </a:prstGeom>
                        <a:solidFill>
                          <a:srgbClr val="D9D9D9"/>
                        </a:solidFill>
                      </wps:spPr>
                      <wps:bodyPr/>
                    </wps:wsp>
                  </a:graphicData>
                </a:graphic>
              </wp:anchor>
            </w:drawing>
          </mc:Choice>
          <mc:Fallback>
            <w:pict>
              <v:rect id="Shape 613" o:spid="_x0000_s1638" style="position:absolute;margin-left:0pt;margin-top:-163.9499pt;width:261.45pt;height:17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60"/>
        <w:spacing w:after="0" w:line="187" w:lineRule="auto"/>
        <w:rPr>
          <w:sz w:val="20"/>
          <w:szCs w:val="20"/>
          <w:color w:val="auto"/>
        </w:rPr>
      </w:pPr>
      <w:r>
        <w:rPr>
          <w:rFonts w:ascii="Arial" w:cs="Arial" w:eastAsia="Arial" w:hAnsi="Arial"/>
          <w:sz w:val="20"/>
          <w:szCs w:val="20"/>
          <w:color w:val="auto"/>
        </w:rPr>
        <w:t>group (10 individuals)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3347085</wp:posOffset>
                </wp:positionH>
                <wp:positionV relativeFrom="paragraph">
                  <wp:posOffset>12700</wp:posOffset>
                </wp:positionV>
                <wp:extent cx="622300" cy="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55pt,1pt" to="312.55pt,1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3971925</wp:posOffset>
                </wp:positionH>
                <wp:positionV relativeFrom="paragraph">
                  <wp:posOffset>12700</wp:posOffset>
                </wp:positionV>
                <wp:extent cx="690880" cy="0"/>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75pt,1pt" to="367.15pt,1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12700</wp:posOffset>
                </wp:positionV>
                <wp:extent cx="828040" cy="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pt" to="432.55pt,1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5495925</wp:posOffset>
                </wp:positionH>
                <wp:positionV relativeFrom="paragraph">
                  <wp:posOffset>12700</wp:posOffset>
                </wp:positionV>
                <wp:extent cx="903605"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360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75pt,1pt" to="503.9pt,1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952500" cy="0"/>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18" o:spid="_x0000_s16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75pt,10.75pt" o:allowincell="f" strokecolor="#000000" strokeweight="0.5pt"/>
            </w:pict>
          </mc:Fallback>
        </mc:AlternateContent>
      </w:r>
    </w:p>
    <w:p>
      <w:pPr>
        <w:spacing w:after="0" w:line="250" w:lineRule="exact"/>
        <w:rPr>
          <w:sz w:val="20"/>
          <w:szCs w:val="20"/>
          <w:color w:val="auto"/>
        </w:rPr>
      </w:pPr>
    </w:p>
    <w:p>
      <w:pPr>
        <w:ind w:left="480" w:hanging="358"/>
        <w:spacing w:after="0"/>
        <w:tabs>
          <w:tab w:leader="none" w:pos="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Less than 1%</w:t>
      </w:r>
    </w:p>
    <w:p>
      <w:pPr>
        <w:ind w:left="480" w:hanging="358"/>
        <w:spacing w:after="0" w:line="199" w:lineRule="auto"/>
        <w:tabs>
          <w:tab w:leader="none" w:pos="480" w:val="left"/>
        </w:tabs>
        <w:numPr>
          <w:ilvl w:val="0"/>
          <w:numId w:val="162"/>
        </w:numPr>
        <w:rPr>
          <w:rFonts w:ascii="Arial" w:cs="Arial" w:eastAsia="Arial" w:hAnsi="Arial"/>
          <w:sz w:val="23"/>
          <w:szCs w:val="23"/>
          <w:color w:val="auto"/>
          <w:vertAlign w:val="superscript"/>
        </w:rPr>
      </w:pPr>
      <w:r>
        <w:rPr>
          <w:rFonts w:ascii="Arial" w:cs="Arial" w:eastAsia="Arial" w:hAnsi="Arial"/>
          <w:sz w:val="18"/>
          <w:szCs w:val="18"/>
          <w:color w:val="auto"/>
        </w:rPr>
        <w:t>The address for each of the named individuals is 909 Rose Avenue, Suite 200, North Bethesda, Maryland 20852.</w:t>
      </w:r>
    </w:p>
    <w:p>
      <w:pPr>
        <w:spacing w:after="0" w:line="55" w:lineRule="exact"/>
        <w:rPr>
          <w:rFonts w:ascii="Arial" w:cs="Arial" w:eastAsia="Arial" w:hAnsi="Arial"/>
          <w:sz w:val="23"/>
          <w:szCs w:val="23"/>
          <w:color w:val="auto"/>
          <w:vertAlign w:val="superscript"/>
        </w:rPr>
      </w:pPr>
    </w:p>
    <w:p>
      <w:pPr>
        <w:ind w:left="480" w:hanging="358"/>
        <w:spacing w:after="0" w:line="196" w:lineRule="auto"/>
        <w:tabs>
          <w:tab w:leader="none" w:pos="480" w:val="left"/>
        </w:tabs>
        <w:numPr>
          <w:ilvl w:val="0"/>
          <w:numId w:val="162"/>
        </w:numPr>
        <w:rPr>
          <w:rFonts w:ascii="Arial" w:cs="Arial" w:eastAsia="Arial" w:hAnsi="Arial"/>
          <w:sz w:val="23"/>
          <w:szCs w:val="23"/>
          <w:color w:val="auto"/>
          <w:vertAlign w:val="superscript"/>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81,511,030, the total number of shares outstanding on March 13, 2023.</w:t>
      </w:r>
    </w:p>
    <w:p>
      <w:pPr>
        <w:spacing w:after="0" w:line="18" w:lineRule="exact"/>
        <w:rPr>
          <w:rFonts w:ascii="Arial" w:cs="Arial" w:eastAsia="Arial" w:hAnsi="Arial"/>
          <w:sz w:val="23"/>
          <w:szCs w:val="23"/>
          <w:color w:val="auto"/>
          <w:vertAlign w:val="superscript"/>
        </w:rPr>
      </w:pPr>
    </w:p>
    <w:p>
      <w:pPr>
        <w:jc w:val="both"/>
        <w:ind w:left="480" w:hanging="358"/>
        <w:spacing w:after="0" w:line="226" w:lineRule="auto"/>
        <w:tabs>
          <w:tab w:leader="none" w:pos="480" w:val="left"/>
        </w:tabs>
        <w:numPr>
          <w:ilvl w:val="0"/>
          <w:numId w:val="162"/>
        </w:numPr>
        <w:rPr>
          <w:rFonts w:ascii="Arial" w:cs="Arial" w:eastAsia="Arial" w:hAnsi="Arial"/>
          <w:sz w:val="23"/>
          <w:szCs w:val="23"/>
          <w:color w:val="auto"/>
          <w:vertAlign w:val="superscript"/>
        </w:rPr>
      </w:pPr>
      <w:r>
        <w:rPr>
          <w:rFonts w:ascii="Arial" w:cs="Arial" w:eastAsia="Arial" w:hAnsi="Arial"/>
          <w:sz w:val="18"/>
          <w:szCs w:val="18"/>
          <w:color w:val="auto"/>
        </w:rPr>
        <w:t>Includes 53,879 shares owned by Stacey Wood Revocable Trust, 198,819 shares owned by Donald C. Wood Revocable Trust, 20,000 shares owned by Great Falls Trust, 46,500 shares owned by Wood Descendants Trust and 60,000 shares owned by IJKR II, LLC.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167640</wp:posOffset>
                </wp:positionV>
                <wp:extent cx="6400800" cy="0"/>
                <wp:wrapNone/>
                <wp:docPr id="619" name="Shape 6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FB1717"/>
                          </a:solidFill>
                          <a:miter lim="800000"/>
                          <a:headEnd/>
                          <a:tailEnd/>
                        </a:ln>
                      </wps:spPr>
                      <wps:bodyPr/>
                    </wps:wsp>
                  </a:graphicData>
                </a:graphic>
              </wp:anchor>
            </w:drawing>
          </mc:Choice>
          <mc:Fallback>
            <w:pict>
              <v:line id="Shape 619" o:spid="_x0000_s16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pt" to="504pt,13.2pt" o:allowincell="f" strokecolor="#FB1717" strokeweight="3pt"/>
            </w:pict>
          </mc:Fallback>
        </mc:AlternateConten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Information about the Annual Meeting</w:t>
      </w:r>
    </w:p>
    <w:p>
      <w:pPr>
        <w:spacing w:after="0" w:line="17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NOTICE OF ELECTRONIC AVAILABILITY OF PROXY MATERIALS</w:t>
      </w:r>
    </w:p>
    <w:p>
      <w:pPr>
        <w:spacing w:after="0" w:line="25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We are furnishing proxy materials including this proxy statement and our 2022 Annual Report to Shareholders, including our Annual Report on Form 10-K for the year ended December 31, 2022 (“Annual Report”), to each shareholder by providing access to such documents on the Internet. On or about March 24, 2023,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20"/>
          <w:szCs w:val="20"/>
          <w:i w:val="1"/>
          <w:iCs w:val="1"/>
          <w:u w:val="single" w:color="auto"/>
          <w:color w:val="auto"/>
        </w:rPr>
        <w:t>IR@federalrealty.com</w:t>
      </w:r>
      <w:r>
        <w:rPr>
          <w:rFonts w:ascii="Arial" w:cs="Arial" w:eastAsia="Arial" w:hAnsi="Arial"/>
          <w:sz w:val="20"/>
          <w:szCs w:val="20"/>
          <w:i w:val="1"/>
          <w:iCs w:val="1"/>
          <w:color w:val="auto"/>
        </w:rPr>
        <w:t>.</w:t>
      </w:r>
    </w:p>
    <w:p>
      <w:pPr>
        <w:spacing w:after="0" w:line="21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WHY YOU ARE RECEIVING THESE MATERIALS</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You are receiving these materials because you owned our shares as of March 13, 2023, the record date established by our Board of Trustees for our Annual Meeting. Everyone who owned our shares as of this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127635</wp:posOffset>
                </wp:positionV>
                <wp:extent cx="6400800" cy="17780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620" o:spid="_x0000_s1645" style="position:absolute;margin-left:0pt;margin-top:10.0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127000</wp:posOffset>
                </wp:positionV>
                <wp:extent cx="0" cy="17780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pt" to="0.75pt,2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127000</wp:posOffset>
                </wp:positionV>
                <wp:extent cx="0" cy="17780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pt" to="503.25pt,2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295275</wp:posOffset>
                </wp:positionV>
                <wp:extent cx="6400800"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25pt" to="504pt,23.25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49"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45</w:t>
      </w:r>
    </w:p>
    <w:p>
      <w:pPr>
        <w:sectPr>
          <w:pgSz w:w="11880" w:h="15480" w:orient="portrait"/>
          <w:cols w:equalWidth="0" w:num="1">
            <w:col w:w="10080"/>
          </w:cols>
          <w:pgMar w:left="900" w:top="1272" w:right="900" w:bottom="764" w:gutter="0" w:footer="0" w:header="0"/>
          <w:type w:val="continuous"/>
        </w:sectPr>
      </w:pPr>
    </w:p>
    <w:bookmarkStart w:id="165" w:name="page166"/>
    <w:bookmarkEnd w:id="165"/>
    <w:p>
      <w:pPr>
        <w:jc w:val="both"/>
        <w:spacing w:after="0" w:line="248" w:lineRule="auto"/>
        <w:rPr>
          <w:sz w:val="20"/>
          <w:szCs w:val="20"/>
          <w:color w:val="auto"/>
        </w:rPr>
      </w:pPr>
      <w:r>
        <w:rPr>
          <w:rFonts w:ascii="Arial" w:cs="Arial" w:eastAsia="Arial" w:hAnsi="Arial"/>
          <w:sz w:val="20"/>
          <w:szCs w:val="20"/>
          <w:color w:val="auto"/>
        </w:rPr>
        <w:t>whether directly as a registered shareholder or indirectly through a bank, broker or other nominee, is entitled to vote at the Annual Meeting. We had 81,511,030 shares outstanding on March 13, 2023. Each share outstanding on the record date is entitled to one vote. A majority of the shares entitled to vote at the Annual Meeting must be present in person or by proxy for us to proceed with the Annual Meeting.</w:t>
      </w:r>
    </w:p>
    <w:p>
      <w:pPr>
        <w:spacing w:after="0" w:line="159"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ACCESSING MATERIALS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Shareholders can access this Proxy Statement, our Annual Report and our other filings with the SEC on the Investors page of our website at </w:t>
      </w:r>
      <w:r>
        <w:rPr>
          <w:rFonts w:ascii="Arial" w:cs="Arial" w:eastAsia="Arial" w:hAnsi="Arial"/>
          <w:sz w:val="20"/>
          <w:szCs w:val="20"/>
          <w:i w:val="1"/>
          <w:iCs w:val="1"/>
          <w:u w:val="single" w:color="auto"/>
          <w:color w:val="auto"/>
        </w:rPr>
        <w:t>www.federalrealty.com</w:t>
      </w:r>
      <w:r>
        <w:rPr>
          <w:rFonts w:ascii="Arial" w:cs="Arial" w:eastAsia="Arial" w:hAnsi="Arial"/>
          <w:sz w:val="20"/>
          <w:szCs w:val="20"/>
          <w:i w:val="1"/>
          <w:iCs w:val="1"/>
          <w:color w:val="auto"/>
        </w:rPr>
        <w:t>.</w:t>
      </w:r>
      <w:r>
        <w:rPr>
          <w:rFonts w:ascii="Arial" w:cs="Arial" w:eastAsia="Arial" w:hAnsi="Arial"/>
          <w:sz w:val="20"/>
          <w:szCs w:val="20"/>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the future, if you wish to receive paper copies of our proxy materials, without charge, and are a registered shareholder, you may do so by written request addressed to American Stock Transfer &amp; Trust,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5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HOW TO VOTE</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you own your shares directly with our transfer agent, American Stock Transfer &amp; Trust, LLC,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149225</wp:posOffset>
            </wp:positionV>
            <wp:extent cx="440055" cy="43688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100">
                      <a:extLst>
                        <a:ext uri="{28A0092B-C50C-407E-A947-70E740481C1C}"/>
                      </a:extLst>
                    </a:blip>
                    <a:srcRect/>
                    <a:stretch>
                      <a:fillRect/>
                    </a:stretch>
                  </pic:blipFill>
                  <pic:spPr bwMode="auto">
                    <a:xfrm>
                      <a:off x="0" y="0"/>
                      <a:ext cx="440055" cy="436880"/>
                    </a:xfrm>
                    <a:prstGeom prst="rect">
                      <a:avLst/>
                    </a:prstGeom>
                    <a:noFill/>
                  </pic:spPr>
                </pic:pic>
              </a:graphicData>
            </a:graphic>
          </wp:anchor>
        </w:drawing>
        <w:drawing>
          <wp:anchor simplePos="0" relativeHeight="251657728" behindDoc="1" locked="0" layoutInCell="0" allowOverlap="1">
            <wp:simplePos x="0" y="0"/>
            <wp:positionH relativeFrom="column">
              <wp:posOffset>3058795</wp:posOffset>
            </wp:positionH>
            <wp:positionV relativeFrom="paragraph">
              <wp:posOffset>85090</wp:posOffset>
            </wp:positionV>
            <wp:extent cx="284480" cy="5010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101">
                      <a:extLst>
                        <a:ext uri="{28A0092B-C50C-407E-A947-70E740481C1C}"/>
                      </a:extLst>
                    </a:blip>
                    <a:srcRect/>
                    <a:stretch>
                      <a:fillRect/>
                    </a:stretch>
                  </pic:blipFill>
                  <pic:spPr bwMode="auto">
                    <a:xfrm>
                      <a:off x="0" y="0"/>
                      <a:ext cx="284480" cy="50101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149225</wp:posOffset>
            </wp:positionV>
            <wp:extent cx="440055" cy="43688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102">
                      <a:extLst>
                        <a:ext uri="{28A0092B-C50C-407E-A947-70E740481C1C}"/>
                      </a:extLst>
                    </a:blip>
                    <a:srcRect/>
                    <a:stretch>
                      <a:fillRect/>
                    </a:stretch>
                  </pic:blipFill>
                  <pic:spPr bwMode="auto">
                    <a:xfrm>
                      <a:off x="0" y="0"/>
                      <a:ext cx="4400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680" w:type="dxa"/>
        <w:tblCellMar>
          <w:top w:w="0" w:type="dxa"/>
          <w:left w:w="0" w:type="dxa"/>
          <w:bottom w:w="0" w:type="dxa"/>
          <w:right w:w="0" w:type="dxa"/>
        </w:tblCellMar>
      </w:tblPr>
      <w:tr>
        <w:trPr>
          <w:trHeight w:val="261"/>
        </w:trPr>
        <w:tc>
          <w:tcPr>
            <w:tcW w:w="2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By Internet</w:t>
            </w:r>
          </w:p>
        </w:tc>
        <w:tc>
          <w:tcPr>
            <w:tcW w:w="3100" w:type="dxa"/>
            <w:vAlign w:val="bottom"/>
          </w:tcPr>
          <w:p>
            <w:pPr>
              <w:jc w:val="center"/>
              <w:spacing w:after="0"/>
              <w:rPr>
                <w:sz w:val="20"/>
                <w:szCs w:val="20"/>
                <w:color w:val="auto"/>
              </w:rPr>
            </w:pPr>
            <w:r>
              <w:rPr>
                <w:rFonts w:ascii="Arial" w:cs="Arial" w:eastAsia="Arial" w:hAnsi="Arial"/>
                <w:sz w:val="17"/>
                <w:szCs w:val="17"/>
                <w:b w:val="1"/>
                <w:bCs w:val="1"/>
                <w:color w:val="auto"/>
              </w:rPr>
              <w:t>By Telephone</w:t>
            </w:r>
          </w:p>
        </w:tc>
        <w:tc>
          <w:tcPr>
            <w:tcW w:w="2820" w:type="dxa"/>
            <w:vAlign w:val="bottom"/>
          </w:tcPr>
          <w:p>
            <w:pPr>
              <w:jc w:val="center"/>
              <w:ind w:left="156"/>
              <w:spacing w:after="0"/>
              <w:rPr>
                <w:sz w:val="20"/>
                <w:szCs w:val="20"/>
                <w:color w:val="auto"/>
              </w:rPr>
            </w:pPr>
            <w:r>
              <w:rPr>
                <w:rFonts w:ascii="Arial" w:cs="Arial" w:eastAsia="Arial" w:hAnsi="Arial"/>
                <w:sz w:val="17"/>
                <w:szCs w:val="17"/>
                <w:b w:val="1"/>
                <w:bCs w:val="1"/>
                <w:color w:val="auto"/>
              </w:rPr>
              <w:t>By Mail</w:t>
            </w:r>
          </w:p>
        </w:tc>
      </w:tr>
      <w:tr>
        <w:trPr>
          <w:trHeight w:val="165"/>
        </w:trPr>
        <w:tc>
          <w:tcPr>
            <w:tcW w:w="2800" w:type="dxa"/>
            <w:vAlign w:val="bottom"/>
            <w:gridSpan w:val="2"/>
          </w:tcPr>
          <w:p>
            <w:pPr>
              <w:jc w:val="center"/>
              <w:ind w:right="260"/>
              <w:spacing w:after="0" w:line="165" w:lineRule="exact"/>
              <w:rPr>
                <w:sz w:val="20"/>
                <w:szCs w:val="20"/>
                <w:color w:val="auto"/>
              </w:rPr>
            </w:pPr>
            <w:r>
              <w:rPr>
                <w:rFonts w:ascii="Arial" w:cs="Arial" w:eastAsia="Arial" w:hAnsi="Arial"/>
                <w:sz w:val="16"/>
                <w:szCs w:val="16"/>
                <w:color w:val="auto"/>
              </w:rPr>
              <w:t>www.voteproxy.com, available 24/7</w:t>
            </w:r>
          </w:p>
        </w:tc>
        <w:tc>
          <w:tcPr>
            <w:tcW w:w="3100" w:type="dxa"/>
            <w:vAlign w:val="bottom"/>
          </w:tcPr>
          <w:p>
            <w:pPr>
              <w:jc w:val="center"/>
              <w:spacing w:after="0" w:line="165" w:lineRule="exact"/>
              <w:rPr>
                <w:sz w:val="20"/>
                <w:szCs w:val="20"/>
                <w:color w:val="auto"/>
              </w:rPr>
            </w:pPr>
            <w:r>
              <w:rPr>
                <w:rFonts w:ascii="Arial" w:cs="Arial" w:eastAsia="Arial" w:hAnsi="Arial"/>
                <w:sz w:val="16"/>
                <w:szCs w:val="16"/>
                <w:color w:val="auto"/>
              </w:rPr>
              <w:t>Call 1-800-776-9437, available 24/7</w:t>
            </w:r>
          </w:p>
        </w:tc>
        <w:tc>
          <w:tcPr>
            <w:tcW w:w="2820" w:type="dxa"/>
            <w:vAlign w:val="bottom"/>
          </w:tcPr>
          <w:p>
            <w:pPr>
              <w:jc w:val="center"/>
              <w:ind w:left="156"/>
              <w:spacing w:after="0" w:line="165" w:lineRule="exact"/>
              <w:rPr>
                <w:sz w:val="20"/>
                <w:szCs w:val="20"/>
                <w:color w:val="auto"/>
              </w:rPr>
            </w:pPr>
            <w:r>
              <w:rPr>
                <w:rFonts w:ascii="Arial" w:cs="Arial" w:eastAsia="Arial" w:hAnsi="Arial"/>
                <w:sz w:val="16"/>
                <w:szCs w:val="16"/>
                <w:color w:val="auto"/>
              </w:rPr>
              <w:t>Mark, sign and date your proxy card</w:t>
            </w:r>
          </w:p>
        </w:tc>
      </w:tr>
      <w:tr>
        <w:trPr>
          <w:trHeight w:val="20"/>
        </w:trPr>
        <w:tc>
          <w:tcPr>
            <w:tcW w:w="1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2, 3 or 4, that organization will inform the inspector 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5, your bank, brokerage firm, broker-dealer or nominee will generally be able to vote on Proposal 5 as he, she or it determines.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130810</wp:posOffset>
                </wp:positionV>
                <wp:extent cx="6400800" cy="17780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628" o:spid="_x0000_s1653" style="position:absolute;margin-left:0pt;margin-top:10.3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130175</wp:posOffset>
                </wp:positionV>
                <wp:extent cx="0" cy="17780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29" o:spid="_x0000_s16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25pt" to="0.75pt,24.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6400800" cy="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504pt,11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130175</wp:posOffset>
                </wp:positionV>
                <wp:extent cx="0" cy="17780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25pt" to="503.25pt,24.2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298450</wp:posOffset>
                </wp:positionV>
                <wp:extent cx="6400800" cy="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504pt,23.5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5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46</w:t>
      </w:r>
    </w:p>
    <w:p>
      <w:pPr>
        <w:sectPr>
          <w:pgSz w:w="11880" w:h="15480" w:orient="portrait"/>
          <w:cols w:equalWidth="0" w:num="1">
            <w:col w:w="10080"/>
          </w:cols>
          <w:pgMar w:left="900" w:top="1316" w:right="900" w:bottom="764" w:gutter="0" w:footer="0" w:header="0"/>
          <w:type w:val="continuous"/>
        </w:sectPr>
      </w:pPr>
    </w:p>
    <w:bookmarkStart w:id="166" w:name="page167"/>
    <w:bookmarkEnd w:id="166"/>
    <w:p>
      <w:pPr>
        <w:jc w:val="both"/>
        <w:spacing w:after="0" w:line="248" w:lineRule="auto"/>
        <w:rPr>
          <w:sz w:val="20"/>
          <w:szCs w:val="20"/>
          <w:color w:val="auto"/>
        </w:rPr>
      </w:pPr>
      <w:r>
        <w:rPr>
          <w:rFonts w:ascii="Arial" w:cs="Arial" w:eastAsia="Arial" w:hAnsi="Arial"/>
          <w:sz w:val="20"/>
          <w:szCs w:val="20"/>
          <w:color w:val="auto"/>
        </w:rPr>
        <w:t>You are urged to vote either by telephone (1-800-PROXIES or 1-800-776-9437) or on the Internet (</w:t>
      </w:r>
      <w:r>
        <w:rPr>
          <w:rFonts w:ascii="Arial" w:cs="Arial" w:eastAsia="Arial" w:hAnsi="Arial"/>
          <w:sz w:val="20"/>
          <w:szCs w:val="20"/>
          <w:u w:val="single" w:color="auto"/>
          <w:color w:val="auto"/>
        </w:rPr>
        <w:t>www.voteproxy.com</w:t>
      </w:r>
      <w:r>
        <w:rPr>
          <w:rFonts w:ascii="Arial" w:cs="Arial" w:eastAsia="Arial" w:hAnsi="Arial"/>
          <w:sz w:val="20"/>
          <w:szCs w:val="20"/>
          <w:color w:val="auto"/>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HOW TO PARTICIPATE IN THE ANNUAL MEETING</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You will be able to join our Annual Meeting as either a shareholder or a guest. All registered shareholders and shareholders that own in “street name” will be able to ask questions and vote their shares at the meeting by following the instructions below. Guests will be permitted to join the meeting but will not be permitted to ask questions.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You can access the Annual Meeting by joining through this link: </w:t>
      </w:r>
      <w:r>
        <w:rPr>
          <w:rFonts w:ascii="Arial" w:cs="Arial" w:eastAsia="Arial" w:hAnsi="Arial"/>
          <w:sz w:val="20"/>
          <w:szCs w:val="20"/>
          <w:i w:val="1"/>
          <w:iCs w:val="1"/>
          <w:u w:val="single" w:color="auto"/>
          <w:color w:val="auto"/>
        </w:rPr>
        <w:t>https://web.lumiagm.com/202329683</w:t>
      </w:r>
      <w:r>
        <w:rPr>
          <w:rFonts w:ascii="Arial" w:cs="Arial" w:eastAsia="Arial" w:hAnsi="Arial"/>
          <w:sz w:val="20"/>
          <w:szCs w:val="20"/>
          <w:i w:val="1"/>
          <w:iCs w:val="1"/>
          <w:color w:val="auto"/>
        </w:rPr>
        <w:t>.</w:t>
      </w:r>
      <w:r>
        <w:rPr>
          <w:rFonts w:ascii="Arial" w:cs="Arial" w:eastAsia="Arial" w:hAnsi="Arial"/>
          <w:sz w:val="20"/>
          <w:szCs w:val="20"/>
          <w:color w:val="auto"/>
        </w:rPr>
        <w:t xml:space="preserve"> If you are a registered shareholder owning shares directly in your name and you would like to be able to ask a question or vote at the Annual Meeting, you should click on “I have a control number”, enter the control number found on your proxy card or Notice you previously received, and enter the password “</w:t>
      </w:r>
      <w:r>
        <w:rPr>
          <w:rFonts w:ascii="Arial" w:cs="Arial" w:eastAsia="Arial" w:hAnsi="Arial"/>
          <w:sz w:val="20"/>
          <w:szCs w:val="20"/>
          <w:i w:val="1"/>
          <w:iCs w:val="1"/>
          <w:color w:val="auto"/>
        </w:rPr>
        <w:t>federal2023</w:t>
      </w:r>
      <w:r>
        <w:rPr>
          <w:rFonts w:ascii="Arial" w:cs="Arial" w:eastAsia="Arial" w:hAnsi="Arial"/>
          <w:sz w:val="20"/>
          <w:szCs w:val="20"/>
          <w:color w:val="auto"/>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American Stock Transfer &amp; Trust Company, LLC: (1) by email to proxy@astfinancial.com; (2) by facsimile to 718-765-8730; or (3) by mail to American Stock Transfer &amp; Trust Company, LLC, Attn: Proxy Tabulation Department, 6201 15th Avenue, Brooklyn, NY 11219. Requests for registration must be labeled as “Legal Proxy” and must be received by American Stock Transfer &amp; Trust Company, LLC no later than 5:00 p.m. local time on April 26, 2023. You will receive a confirmation of your registration by email from American Stock Transfer &amp; Trust Company, LLC after they receive your registration materials. The email will also include a control number so that you can ask a question or vote at the Annual Meeting by clicking on “I have a control number”. Shareholders who hold shares in “street name” will not be able to vote their shares or ask questions without first completing this registration process. Once you are in the meeting, you can vote your shares by clicking on the Proxy Voting Site link on the screen to submit your ballot. You may also continue to vote using the instructions provided in the Proxy Materials until the Annual Meeting concludes.</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3, 2023,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20"/>
          <w:szCs w:val="20"/>
          <w:i w:val="1"/>
          <w:iCs w:val="1"/>
          <w:u w:val="single" w:color="auto"/>
          <w:color w:val="auto"/>
        </w:rPr>
        <w:t>https://go.lumiglobal.com/faq</w:t>
      </w:r>
      <w:r>
        <w:rPr>
          <w:rFonts w:ascii="Arial" w:cs="Arial" w:eastAsia="Arial" w:hAnsi="Arial"/>
          <w:sz w:val="20"/>
          <w:szCs w:val="20"/>
          <w:color w:val="auto"/>
        </w:rPr>
        <w:t xml:space="preserve"> or call 718-931-8300, ext. 6449.</w:t>
      </w:r>
    </w:p>
    <w:p>
      <w:pPr>
        <w:spacing w:after="0" w:line="16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ELIMINATING DUPLICATIVE PROXY MATERIALS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20"/>
          <w:szCs w:val="20"/>
          <w:i w:val="1"/>
          <w:iCs w:val="1"/>
          <w:u w:val="single" w:color="auto"/>
          <w:color w:val="auto"/>
        </w:rPr>
        <w:t>IR@federalrealty.com</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262255</wp:posOffset>
                </wp:positionV>
                <wp:extent cx="6400800" cy="177800"/>
                <wp:wrapNone/>
                <wp:docPr id="633" name="Shape 6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633" o:spid="_x0000_s1658" style="position:absolute;margin-left:0pt;margin-top:20.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262255</wp:posOffset>
                </wp:positionV>
                <wp:extent cx="0" cy="17780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34" o:spid="_x0000_s16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0.65pt" to="0.75pt,34.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271780</wp:posOffset>
                </wp:positionV>
                <wp:extent cx="6400800" cy="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4pt" to="504pt,21.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262255</wp:posOffset>
                </wp:positionV>
                <wp:extent cx="0" cy="17780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20.65pt" to="503.25pt,34.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430530</wp:posOffset>
                </wp:positionV>
                <wp:extent cx="6400800"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9pt" to="504pt,33.9pt" o:allowincell="f" strokecolor="#000000" strokeweight="1.5pt"/>
            </w:pict>
          </mc:Fallback>
        </mc:AlternateContent>
      </w:r>
    </w:p>
    <w:p>
      <w:pPr>
        <w:sectPr>
          <w:pgSz w:w="11880" w:h="15480" w:orient="portrait"/>
          <w:cols w:equalWidth="0" w:num="1">
            <w:col w:w="10080"/>
          </w:cols>
          <w:pgMar w:left="900" w:top="1316" w:right="900" w:bottom="764" w:gutter="0" w:footer="0" w:header="0"/>
        </w:sectPr>
      </w:pPr>
    </w:p>
    <w:p>
      <w:pPr>
        <w:spacing w:after="0" w:line="200" w:lineRule="exact"/>
        <w:rPr>
          <w:sz w:val="20"/>
          <w:szCs w:val="20"/>
          <w:color w:val="auto"/>
        </w:rPr>
      </w:pPr>
    </w:p>
    <w:p>
      <w:pPr>
        <w:spacing w:after="0" w:line="26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47</w:t>
      </w:r>
    </w:p>
    <w:p>
      <w:pPr>
        <w:sectPr>
          <w:pgSz w:w="11880" w:h="15480" w:orient="portrait"/>
          <w:cols w:equalWidth="0" w:num="1">
            <w:col w:w="10080"/>
          </w:cols>
          <w:pgMar w:left="900" w:top="1316" w:right="900" w:bottom="764" w:gutter="0" w:footer="0" w:header="0"/>
          <w:type w:val="continuous"/>
        </w:sectPr>
      </w:pPr>
    </w:p>
    <w:bookmarkStart w:id="167" w:name="page168"/>
    <w:bookmarkEnd w:id="167"/>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SOLICITATION OF PROXIES</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4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FB1717"/>
        </w:rPr>
        <w:t>➢</w:t>
      </w:r>
      <w:r>
        <w:rPr>
          <w:rFonts w:ascii="Arial" w:cs="Arial" w:eastAsia="Arial" w:hAnsi="Arial"/>
          <w:sz w:val="20"/>
          <w:szCs w:val="20"/>
          <w:b w:val="1"/>
          <w:bCs w:val="1"/>
          <w:color w:val="auto"/>
        </w:rPr>
        <w:t xml:space="preserve"> SHAREHOLDER PROPOSALS FOR THE 2024 ANNUAL MEETING</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solicitation is made by the Company on behalf of the Board. Proposals of shareholders intended to be presented at the 2024 Annual Meeting of Shareholders or nominations for persons for election to the Board of Trustees, must be delivered to us at 909 Rose Avenue, Suite 200, North Bethesda, Maryland 20852, Attention: Corporate Secretary and received by us no later than November 25, 2023 and no earlier than October 26, 2023, unless the date of the 2024 Annual Meeting of Shareholders is changed by more than 30 days from the date of the 2023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2024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General Counsel &amp; Secretary, 909 Rose Avenue, Suite 200, North Bethesda, Maryland 20852.</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4, 2024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219"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13335</wp:posOffset>
            </wp:positionV>
            <wp:extent cx="1078865" cy="3168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103">
                      <a:extLst>
                        <a:ext uri="{28A0092B-C50C-407E-A947-70E740481C1C}"/>
                      </a:extLst>
                    </a:blip>
                    <a:srcRect/>
                    <a:stretch>
                      <a:fillRect/>
                    </a:stretch>
                  </pic:blipFill>
                  <pic:spPr bwMode="auto">
                    <a:xfrm>
                      <a:off x="0" y="0"/>
                      <a:ext cx="1078865" cy="31686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Dawn M. Becker</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auto"/>
        </w:rPr>
        <w:t>Executive Vice President—General</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auto"/>
        </w:rPr>
        <w:t>Counsel and Secretary</w:t>
      </w:r>
    </w:p>
    <w:p>
      <w:pPr>
        <w:spacing w:after="0" w:line="25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Federal Realty Investment Trust</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909 Rose Avenue, Suite 200</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North Bethesda, Maryland 20852</w:t>
      </w:r>
    </w:p>
    <w:p>
      <w:pPr>
        <w:spacing w:after="0" w:line="194"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b w:val="1"/>
          <w:bCs w:val="1"/>
          <w:color w:val="auto"/>
        </w:rPr>
        <w:t>YOUR PROXY IS IMPORTANT REGARDLESS OF THE NUMBER OF SHARES YOU OWN. PLEASE SUBMIT IT TODAY.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6400800" cy="17780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639" o:spid="_x0000_s1664" style="position:absolute;margin-left:0pt;margin-top:9.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125730</wp:posOffset>
                </wp:positionV>
                <wp:extent cx="0" cy="17780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9.9pt" to="0.75pt,23.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6400800" cy="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5pt" to="504pt,10.6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125730</wp:posOffset>
                </wp:positionV>
                <wp:extent cx="0" cy="177800"/>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2" o:spid="_x0000_s16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9.9pt" to="503.25pt,23.9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294005</wp:posOffset>
                </wp:positionV>
                <wp:extent cx="6400800"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5pt" to="504pt,23.15pt" o:allowincell="f" strokecolor="#000000" strokeweight="1.5pt"/>
            </w:pict>
          </mc:Fallback>
        </mc:AlternateContent>
      </w:r>
    </w:p>
    <w:p>
      <w:pPr>
        <w:sectPr>
          <w:pgSz w:w="11880" w:h="15480" w:orient="portrait"/>
          <w:cols w:equalWidth="0" w:num="1">
            <w:col w:w="10080"/>
          </w:cols>
          <w:pgMar w:left="900" w:top="1272" w:right="900" w:bottom="764" w:gutter="0" w:footer="0" w:header="0"/>
        </w:sectPr>
      </w:pPr>
    </w:p>
    <w:p>
      <w:pPr>
        <w:spacing w:after="0" w:line="24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tab/>
        <w:t>48</w:t>
      </w:r>
    </w:p>
    <w:p>
      <w:pPr>
        <w:sectPr>
          <w:pgSz w:w="11880" w:h="15480" w:orient="portrait"/>
          <w:cols w:equalWidth="0" w:num="1">
            <w:col w:w="10080"/>
          </w:cols>
          <w:pgMar w:left="900" w:top="1272" w:right="900" w:bottom="764"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Appendix 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Funds from Operations:</w:t>
      </w:r>
    </w:p>
    <w:p>
      <w:pPr>
        <w:spacing w:after="0" w:line="113"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fund cash needs, including the payment of dividends.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2"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1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reconciliation of net income to FFO available for common shareholders for the years ended December 31, 2022, 2021 and 2020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r>
      <w:tr>
        <w:trPr>
          <w:trHeight w:val="193"/>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9"/>
          </w:tcPr>
          <w:p>
            <w:pPr>
              <w:ind w:left="20"/>
              <w:spacing w:after="0" w:line="190" w:lineRule="exact"/>
              <w:rPr>
                <w:sz w:val="20"/>
                <w:szCs w:val="20"/>
                <w:color w:val="auto"/>
              </w:rPr>
            </w:pPr>
            <w:r>
              <w:rPr>
                <w:rFonts w:ascii="Arial" w:cs="Arial" w:eastAsia="Arial" w:hAnsi="Arial"/>
                <w:sz w:val="17"/>
                <w:szCs w:val="17"/>
                <w:color w:val="auto"/>
              </w:rPr>
              <w:t>(in thousands, except per share data)</w:t>
            </w:r>
          </w:p>
        </w:tc>
      </w:tr>
      <w:tr>
        <w:trPr>
          <w:trHeight w:val="231"/>
        </w:trPr>
        <w:tc>
          <w:tcPr>
            <w:tcW w:w="7000" w:type="dxa"/>
            <w:vAlign w:val="bottom"/>
            <w:shd w:val="clear" w:color="auto" w:fill="E9E8E3"/>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E9E8E3"/>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spacing w:after="0"/>
              <w:rPr>
                <w:sz w:val="20"/>
                <w:szCs w:val="20"/>
                <w:color w:val="auto"/>
              </w:rPr>
            </w:pPr>
            <w:r>
              <w:rPr>
                <w:rFonts w:ascii="Arial" w:cs="Arial" w:eastAsia="Arial" w:hAnsi="Arial"/>
                <w:sz w:val="18"/>
                <w:szCs w:val="18"/>
                <w:color w:val="auto"/>
              </w:rPr>
              <w:t>395,661</w:t>
            </w:r>
          </w:p>
        </w:tc>
        <w:tc>
          <w:tcPr>
            <w:tcW w:w="30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w w:val="98"/>
              </w:rPr>
              <w:t>269,081</w:t>
            </w:r>
          </w:p>
        </w:tc>
        <w:tc>
          <w:tcPr>
            <w:tcW w:w="28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8E3"/>
          </w:tcPr>
          <w:p>
            <w:pPr>
              <w:jc w:val="right"/>
              <w:spacing w:after="0"/>
              <w:rPr>
                <w:sz w:val="20"/>
                <w:szCs w:val="20"/>
                <w:color w:val="auto"/>
              </w:rPr>
            </w:pPr>
            <w:r>
              <w:rPr>
                <w:rFonts w:ascii="Arial" w:cs="Arial" w:eastAsia="Arial" w:hAnsi="Arial"/>
                <w:sz w:val="18"/>
                <w:szCs w:val="18"/>
                <w:color w:val="auto"/>
              </w:rPr>
              <w:t>135,888</w:t>
            </w:r>
          </w:p>
        </w:tc>
        <w:tc>
          <w:tcPr>
            <w:tcW w:w="20" w:type="dxa"/>
            <w:vAlign w:val="bottom"/>
            <w:shd w:val="clear" w:color="auto" w:fill="E9E8E3"/>
          </w:tcPr>
          <w:p>
            <w:pPr>
              <w:spacing w:after="0"/>
              <w:rPr>
                <w:sz w:val="20"/>
                <w:szCs w:val="20"/>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(10,170)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(4,182)</w:t>
            </w:r>
          </w:p>
        </w:tc>
        <w:tc>
          <w:tcPr>
            <w:tcW w:w="20" w:type="dxa"/>
            <w:vAlign w:val="bottom"/>
          </w:tcPr>
          <w:p>
            <w:pPr>
              <w:spacing w:after="0"/>
              <w:rPr>
                <w:sz w:val="19"/>
                <w:szCs w:val="19"/>
                <w:color w:val="auto"/>
              </w:rPr>
            </w:pPr>
          </w:p>
        </w:tc>
      </w:tr>
      <w:tr>
        <w:trPr>
          <w:trHeight w:val="231"/>
        </w:trPr>
        <w:tc>
          <w:tcPr>
            <w:tcW w:w="7000" w:type="dxa"/>
            <w:vAlign w:val="bottom"/>
            <w:shd w:val="clear" w:color="auto" w:fill="E9E8E3"/>
          </w:tcPr>
          <w:p>
            <w:pPr>
              <w:spacing w:after="0"/>
              <w:rPr>
                <w:sz w:val="20"/>
                <w:szCs w:val="20"/>
                <w:color w:val="auto"/>
              </w:rPr>
            </w:pPr>
            <w:r>
              <w:rPr>
                <w:rFonts w:ascii="Arial" w:cs="Arial" w:eastAsia="Arial" w:hAnsi="Arial"/>
                <w:sz w:val="18"/>
                <w:szCs w:val="18"/>
                <w:color w:val="auto"/>
              </w:rPr>
              <w:t>Gain on deconsolidation of VIE</w:t>
            </w:r>
          </w:p>
        </w:tc>
        <w:tc>
          <w:tcPr>
            <w:tcW w:w="380" w:type="dxa"/>
            <w:vAlign w:val="bottom"/>
            <w:gridSpan w:val="2"/>
            <w:shd w:val="clear" w:color="auto" w:fill="E9E8E3"/>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spacing w:after="0"/>
              <w:rPr>
                <w:sz w:val="20"/>
                <w:szCs w:val="20"/>
                <w:color w:val="auto"/>
              </w:rPr>
            </w:pPr>
            <w:r>
              <w:rPr>
                <w:rFonts w:ascii="Arial" w:cs="Arial" w:eastAsia="Arial" w:hAnsi="Arial"/>
                <w:sz w:val="18"/>
                <w:szCs w:val="18"/>
                <w:color w:val="auto"/>
                <w:w w:val="98"/>
              </w:rPr>
              <w:t>(70,374)</w:t>
            </w:r>
          </w:p>
        </w:tc>
        <w:tc>
          <w:tcPr>
            <w:tcW w:w="30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9E8E3"/>
          </w:tcPr>
          <w:p>
            <w:pPr>
              <w:spacing w:after="0"/>
              <w:rPr>
                <w:sz w:val="20"/>
                <w:szCs w:val="20"/>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(93,483)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(89,892)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(91,922)</w:t>
            </w:r>
          </w:p>
        </w:tc>
        <w:tc>
          <w:tcPr>
            <w:tcW w:w="20" w:type="dxa"/>
            <w:vAlign w:val="bottom"/>
          </w:tcPr>
          <w:p>
            <w:pPr>
              <w:spacing w:after="0"/>
              <w:rPr>
                <w:sz w:val="19"/>
                <w:szCs w:val="19"/>
                <w:color w:val="auto"/>
              </w:rPr>
            </w:pPr>
          </w:p>
        </w:tc>
      </w:tr>
      <w:tr>
        <w:trPr>
          <w:trHeight w:val="231"/>
        </w:trPr>
        <w:tc>
          <w:tcPr>
            <w:tcW w:w="7000" w:type="dxa"/>
            <w:vAlign w:val="bottom"/>
            <w:shd w:val="clear" w:color="auto" w:fill="E9E8E3"/>
          </w:tcPr>
          <w:p>
            <w:pPr>
              <w:spacing w:after="0"/>
              <w:rPr>
                <w:sz w:val="20"/>
                <w:szCs w:val="20"/>
                <w:color w:val="auto"/>
              </w:rPr>
            </w:pPr>
            <w:r>
              <w:rPr>
                <w:rFonts w:ascii="Arial" w:cs="Arial" w:eastAsia="Arial" w:hAnsi="Arial"/>
                <w:sz w:val="18"/>
                <w:szCs w:val="18"/>
                <w:color w:val="auto"/>
              </w:rPr>
              <w:t>Impairment charge, net</w:t>
            </w:r>
          </w:p>
        </w:tc>
        <w:tc>
          <w:tcPr>
            <w:tcW w:w="380" w:type="dxa"/>
            <w:vAlign w:val="bottom"/>
            <w:gridSpan w:val="2"/>
            <w:shd w:val="clear" w:color="auto" w:fill="E9E8E3"/>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8E3"/>
          </w:tcPr>
          <w:p>
            <w:pPr>
              <w:jc w:val="right"/>
              <w:spacing w:after="0"/>
              <w:rPr>
                <w:sz w:val="20"/>
                <w:szCs w:val="20"/>
                <w:color w:val="auto"/>
              </w:rPr>
            </w:pPr>
            <w:r>
              <w:rPr>
                <w:rFonts w:ascii="Arial" w:cs="Arial" w:eastAsia="Arial" w:hAnsi="Arial"/>
                <w:sz w:val="18"/>
                <w:szCs w:val="18"/>
                <w:color w:val="auto"/>
              </w:rPr>
              <w:t>50,728</w:t>
            </w:r>
          </w:p>
        </w:tc>
        <w:tc>
          <w:tcPr>
            <w:tcW w:w="20" w:type="dxa"/>
            <w:vAlign w:val="bottom"/>
            <w:shd w:val="clear" w:color="auto" w:fill="E9E8E3"/>
          </w:tcPr>
          <w:p>
            <w:pPr>
              <w:spacing w:after="0"/>
              <w:rPr>
                <w:sz w:val="20"/>
                <w:szCs w:val="20"/>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266,741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243,711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228,850</w:t>
            </w:r>
          </w:p>
        </w:tc>
        <w:tc>
          <w:tcPr>
            <w:tcW w:w="20" w:type="dxa"/>
            <w:vAlign w:val="bottom"/>
          </w:tcPr>
          <w:p>
            <w:pPr>
              <w:spacing w:after="0"/>
              <w:rPr>
                <w:sz w:val="19"/>
                <w:szCs w:val="19"/>
                <w:color w:val="auto"/>
              </w:rPr>
            </w:pPr>
          </w:p>
        </w:tc>
      </w:tr>
      <w:tr>
        <w:trPr>
          <w:trHeight w:val="231"/>
        </w:trPr>
        <w:tc>
          <w:tcPr>
            <w:tcW w:w="7000" w:type="dxa"/>
            <w:vAlign w:val="bottom"/>
            <w:shd w:val="clear" w:color="auto" w:fill="E9E8E3"/>
          </w:tcPr>
          <w:p>
            <w:pPr>
              <w:spacing w:after="0"/>
              <w:rPr>
                <w:sz w:val="20"/>
                <w:szCs w:val="20"/>
                <w:color w:val="auto"/>
              </w:rPr>
            </w:pPr>
            <w:r>
              <w:rPr>
                <w:rFonts w:ascii="Arial" w:cs="Arial" w:eastAsia="Arial" w:hAnsi="Arial"/>
                <w:sz w:val="18"/>
                <w:szCs w:val="18"/>
                <w:color w:val="auto"/>
              </w:rPr>
              <w:t>Amortization of initial direct costs of leases</w:t>
            </w:r>
          </w:p>
        </w:tc>
        <w:tc>
          <w:tcPr>
            <w:tcW w:w="380" w:type="dxa"/>
            <w:vAlign w:val="bottom"/>
            <w:gridSpan w:val="2"/>
            <w:shd w:val="clear" w:color="auto" w:fill="E9E8E3"/>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spacing w:after="0"/>
              <w:rPr>
                <w:sz w:val="20"/>
                <w:szCs w:val="20"/>
                <w:color w:val="auto"/>
              </w:rPr>
            </w:pPr>
            <w:r>
              <w:rPr>
                <w:rFonts w:ascii="Arial" w:cs="Arial" w:eastAsia="Arial" w:hAnsi="Arial"/>
                <w:sz w:val="18"/>
                <w:szCs w:val="18"/>
                <w:color w:val="auto"/>
              </w:rPr>
              <w:t>27,268</w:t>
            </w:r>
          </w:p>
        </w:tc>
        <w:tc>
          <w:tcPr>
            <w:tcW w:w="30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rPr>
              <w:t>26,051</w:t>
            </w:r>
          </w:p>
        </w:tc>
        <w:tc>
          <w:tcPr>
            <w:tcW w:w="28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8E3"/>
          </w:tcPr>
          <w:p>
            <w:pPr>
              <w:jc w:val="right"/>
              <w:spacing w:after="0"/>
              <w:rPr>
                <w:sz w:val="20"/>
                <w:szCs w:val="20"/>
                <w:color w:val="auto"/>
              </w:rPr>
            </w:pPr>
            <w:r>
              <w:rPr>
                <w:rFonts w:ascii="Arial" w:cs="Arial" w:eastAsia="Arial" w:hAnsi="Arial"/>
                <w:sz w:val="18"/>
                <w:szCs w:val="18"/>
                <w:color w:val="auto"/>
              </w:rPr>
              <w:t>20,415</w:t>
            </w:r>
          </w:p>
        </w:tc>
        <w:tc>
          <w:tcPr>
            <w:tcW w:w="20" w:type="dxa"/>
            <w:vAlign w:val="bottom"/>
            <w:shd w:val="clear" w:color="auto" w:fill="E9E8E3"/>
          </w:tcPr>
          <w:p>
            <w:pPr>
              <w:spacing w:after="0"/>
              <w:rPr>
                <w:sz w:val="20"/>
                <w:szCs w:val="20"/>
                <w:color w:val="auto"/>
              </w:rPr>
            </w:pPr>
          </w:p>
        </w:tc>
      </w:tr>
      <w:tr>
        <w:trPr>
          <w:trHeight w:val="70"/>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17"/>
        </w:trPr>
        <w:tc>
          <w:tcPr>
            <w:tcW w:w="7000" w:type="dxa"/>
            <w:vAlign w:val="bottom"/>
          </w:tcPr>
          <w:p>
            <w:pPr>
              <w:ind w:left="180"/>
              <w:spacing w:after="0"/>
              <w:rPr>
                <w:sz w:val="20"/>
                <w:szCs w:val="20"/>
                <w:color w:val="auto"/>
              </w:rPr>
            </w:pPr>
            <w:r>
              <w:rPr>
                <w:rFonts w:ascii="Arial" w:cs="Arial" w:eastAsia="Arial" w:hAnsi="Arial"/>
                <w:sz w:val="18"/>
                <w:szCs w:val="18"/>
                <w:color w:val="auto"/>
              </w:rPr>
              <w:t>Funds from operations</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515,643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441,368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339,777</w:t>
            </w:r>
          </w:p>
        </w:tc>
        <w:tc>
          <w:tcPr>
            <w:tcW w:w="20" w:type="dxa"/>
            <w:vAlign w:val="bottom"/>
          </w:tcPr>
          <w:p>
            <w:pPr>
              <w:spacing w:after="0"/>
              <w:rPr>
                <w:sz w:val="18"/>
                <w:szCs w:val="18"/>
                <w:color w:val="auto"/>
              </w:rPr>
            </w:pPr>
          </w:p>
        </w:tc>
      </w:tr>
      <w:tr>
        <w:trPr>
          <w:trHeight w:val="231"/>
        </w:trPr>
        <w:tc>
          <w:tcPr>
            <w:tcW w:w="7000" w:type="dxa"/>
            <w:vAlign w:val="bottom"/>
            <w:shd w:val="clear" w:color="auto" w:fill="E9E8E3"/>
          </w:tcPr>
          <w:p>
            <w:pPr>
              <w:spacing w:after="0" w:line="231" w:lineRule="exact"/>
              <w:rPr>
                <w:sz w:val="20"/>
                <w:szCs w:val="20"/>
                <w:color w:val="auto"/>
              </w:rPr>
            </w:pPr>
            <w:r>
              <w:rPr>
                <w:rFonts w:ascii="Arial" w:cs="Arial" w:eastAsia="Arial" w:hAnsi="Arial"/>
                <w:sz w:val="18"/>
                <w:szCs w:val="18"/>
                <w:color w:val="auto"/>
              </w:rPr>
              <w:t>Dividends on preferred shares</w:t>
            </w:r>
            <w:r>
              <w:rPr>
                <w:rFonts w:ascii="Arial" w:cs="Arial" w:eastAsia="Arial" w:hAnsi="Arial"/>
                <w:sz w:val="23"/>
                <w:szCs w:val="23"/>
                <w:color w:val="auto"/>
                <w:vertAlign w:val="superscript"/>
              </w:rPr>
              <w:t>(1)</w:t>
            </w:r>
          </w:p>
        </w:tc>
        <w:tc>
          <w:tcPr>
            <w:tcW w:w="380" w:type="dxa"/>
            <w:vAlign w:val="bottom"/>
            <w:gridSpan w:val="2"/>
            <w:shd w:val="clear" w:color="auto" w:fill="E9E8E3"/>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rPr>
              <w:t>(8,042)</w:t>
            </w:r>
          </w:p>
        </w:tc>
        <w:tc>
          <w:tcPr>
            <w:tcW w:w="28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8E3"/>
          </w:tcPr>
          <w:p>
            <w:pPr>
              <w:jc w:val="right"/>
              <w:spacing w:after="0"/>
              <w:rPr>
                <w:sz w:val="20"/>
                <w:szCs w:val="20"/>
                <w:color w:val="auto"/>
              </w:rPr>
            </w:pPr>
            <w:r>
              <w:rPr>
                <w:rFonts w:ascii="Arial" w:cs="Arial" w:eastAsia="Arial" w:hAnsi="Arial"/>
                <w:sz w:val="18"/>
                <w:szCs w:val="18"/>
                <w:color w:val="auto"/>
              </w:rPr>
              <w:t>(8,042)</w:t>
            </w:r>
          </w:p>
        </w:tc>
        <w:tc>
          <w:tcPr>
            <w:tcW w:w="20" w:type="dxa"/>
            <w:vAlign w:val="bottom"/>
            <w:shd w:val="clear" w:color="auto" w:fill="E9E8E3"/>
          </w:tcPr>
          <w:p>
            <w:pPr>
              <w:spacing w:after="0"/>
              <w:rPr>
                <w:sz w:val="20"/>
                <w:szCs w:val="20"/>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3,151</w:t>
            </w:r>
          </w:p>
        </w:tc>
        <w:tc>
          <w:tcPr>
            <w:tcW w:w="20" w:type="dxa"/>
            <w:vAlign w:val="bottom"/>
          </w:tcPr>
          <w:p>
            <w:pPr>
              <w:spacing w:after="0"/>
              <w:rPr>
                <w:sz w:val="19"/>
                <w:szCs w:val="19"/>
                <w:color w:val="auto"/>
              </w:rPr>
            </w:pPr>
          </w:p>
        </w:tc>
      </w:tr>
      <w:tr>
        <w:trPr>
          <w:trHeight w:val="231"/>
        </w:trPr>
        <w:tc>
          <w:tcPr>
            <w:tcW w:w="7000" w:type="dxa"/>
            <w:vAlign w:val="bottom"/>
            <w:shd w:val="clear" w:color="auto" w:fill="E9E8E3"/>
          </w:tcPr>
          <w:p>
            <w:pPr>
              <w:spacing w:after="0"/>
              <w:rPr>
                <w:sz w:val="20"/>
                <w:szCs w:val="20"/>
                <w:color w:val="auto"/>
              </w:rPr>
            </w:pPr>
            <w:r>
              <w:rPr>
                <w:rFonts w:ascii="Arial" w:cs="Arial" w:eastAsia="Arial" w:hAnsi="Arial"/>
                <w:sz w:val="18"/>
                <w:szCs w:val="18"/>
                <w:color w:val="auto"/>
              </w:rPr>
              <w:t>Income attributable to unvested shares</w:t>
            </w:r>
          </w:p>
        </w:tc>
        <w:tc>
          <w:tcPr>
            <w:tcW w:w="380" w:type="dxa"/>
            <w:vAlign w:val="bottom"/>
            <w:gridSpan w:val="2"/>
            <w:shd w:val="clear" w:color="auto" w:fill="E9E8E3"/>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spacing w:after="0"/>
              <w:rPr>
                <w:sz w:val="20"/>
                <w:szCs w:val="20"/>
                <w:color w:val="auto"/>
              </w:rPr>
            </w:pPr>
            <w:r>
              <w:rPr>
                <w:rFonts w:ascii="Arial" w:cs="Arial" w:eastAsia="Arial" w:hAnsi="Arial"/>
                <w:sz w:val="18"/>
                <w:szCs w:val="18"/>
                <w:color w:val="auto"/>
              </w:rPr>
              <w:t>(1,797)</w:t>
            </w:r>
          </w:p>
        </w:tc>
        <w:tc>
          <w:tcPr>
            <w:tcW w:w="30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rPr>
              <w:t>(1,581)</w:t>
            </w:r>
          </w:p>
        </w:tc>
        <w:tc>
          <w:tcPr>
            <w:tcW w:w="280" w:type="dxa"/>
            <w:vAlign w:val="bottom"/>
            <w:shd w:val="clear" w:color="auto" w:fill="E9E8E3"/>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8E3"/>
          </w:tcPr>
          <w:p>
            <w:pPr>
              <w:jc w:val="right"/>
              <w:spacing w:after="0"/>
              <w:rPr>
                <w:sz w:val="20"/>
                <w:szCs w:val="20"/>
                <w:color w:val="auto"/>
              </w:rPr>
            </w:pPr>
            <w:r>
              <w:rPr>
                <w:rFonts w:ascii="Arial" w:cs="Arial" w:eastAsia="Arial" w:hAnsi="Arial"/>
                <w:sz w:val="18"/>
                <w:szCs w:val="18"/>
                <w:color w:val="auto"/>
              </w:rPr>
              <w:t>(1,037)</w:t>
            </w:r>
          </w:p>
        </w:tc>
        <w:tc>
          <w:tcPr>
            <w:tcW w:w="20" w:type="dxa"/>
            <w:vAlign w:val="bottom"/>
            <w:shd w:val="clear" w:color="auto" w:fill="E9E8E3"/>
          </w:tcPr>
          <w:p>
            <w:pPr>
              <w:spacing w:after="0"/>
              <w:rPr>
                <w:sz w:val="20"/>
                <w:szCs w:val="20"/>
                <w:color w:val="auto"/>
              </w:rPr>
            </w:pPr>
          </w:p>
        </w:tc>
      </w:tr>
      <w:tr>
        <w:trPr>
          <w:trHeight w:val="70"/>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87"/>
        </w:trPr>
        <w:tc>
          <w:tcPr>
            <w:tcW w:w="7000" w:type="dxa"/>
            <w:vAlign w:val="bottom"/>
          </w:tcPr>
          <w:p>
            <w:pPr>
              <w:ind w:left="180"/>
              <w:spacing w:after="0"/>
              <w:rPr>
                <w:sz w:val="20"/>
                <w:szCs w:val="20"/>
                <w:color w:val="auto"/>
              </w:rPr>
            </w:pPr>
            <w:r>
              <w:rPr>
                <w:rFonts w:ascii="Arial" w:cs="Arial" w:eastAsia="Arial" w:hAnsi="Arial"/>
                <w:sz w:val="18"/>
                <w:szCs w:val="18"/>
                <w:color w:val="auto"/>
              </w:rPr>
              <w:t>Funds from operations available for common shareholders</w:t>
            </w:r>
            <w:r>
              <w:rPr>
                <w:rFonts w:ascii="Arial" w:cs="Arial" w:eastAsia="Arial" w:hAnsi="Arial"/>
                <w:sz w:val="23"/>
                <w:szCs w:val="23"/>
                <w:color w:val="auto"/>
                <w:vertAlign w:val="superscript"/>
              </w:rPr>
              <w:t>(2)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509,156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434,743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333,849</w:t>
            </w:r>
          </w:p>
        </w:tc>
        <w:tc>
          <w:tcPr>
            <w:tcW w:w="20" w:type="dxa"/>
            <w:vAlign w:val="bottom"/>
          </w:tcPr>
          <w:p>
            <w:pPr>
              <w:spacing w:after="0"/>
              <w:rPr>
                <w:sz w:val="24"/>
                <w:szCs w:val="24"/>
                <w:color w:val="auto"/>
              </w:rPr>
            </w:pPr>
          </w:p>
        </w:tc>
      </w:tr>
      <w:tr>
        <w:trPr>
          <w:trHeight w:val="22"/>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19"/>
        </w:trPr>
        <w:tc>
          <w:tcPr>
            <w:tcW w:w="7000" w:type="dxa"/>
            <w:vAlign w:val="bottom"/>
            <w:shd w:val="clear" w:color="auto" w:fill="E9E8E3"/>
          </w:tcPr>
          <w:p>
            <w:pPr>
              <w:spacing w:after="0" w:line="219" w:lineRule="exact"/>
              <w:rPr>
                <w:sz w:val="20"/>
                <w:szCs w:val="20"/>
                <w:color w:val="auto"/>
              </w:rPr>
            </w:pPr>
            <w:r>
              <w:rPr>
                <w:rFonts w:ascii="Arial" w:cs="Arial" w:eastAsia="Arial" w:hAnsi="Arial"/>
                <w:sz w:val="18"/>
                <w:szCs w:val="18"/>
                <w:color w:val="auto"/>
              </w:rPr>
              <w:t>Weighted average number of common shares, diluted</w:t>
            </w:r>
            <w:r>
              <w:rPr>
                <w:rFonts w:ascii="Arial" w:cs="Arial" w:eastAsia="Arial" w:hAnsi="Arial"/>
                <w:sz w:val="23"/>
                <w:szCs w:val="23"/>
                <w:color w:val="auto"/>
                <w:vertAlign w:val="superscript"/>
              </w:rPr>
              <w:t>(1)(2)(3)</w:t>
            </w:r>
          </w:p>
        </w:tc>
        <w:tc>
          <w:tcPr>
            <w:tcW w:w="200" w:type="dxa"/>
            <w:vAlign w:val="bottom"/>
            <w:shd w:val="clear" w:color="auto" w:fill="E9E8E3"/>
          </w:tcPr>
          <w:p>
            <w:pPr>
              <w:spacing w:after="0"/>
              <w:rPr>
                <w:sz w:val="19"/>
                <w:szCs w:val="19"/>
                <w:color w:val="auto"/>
              </w:rPr>
            </w:pPr>
          </w:p>
        </w:tc>
        <w:tc>
          <w:tcPr>
            <w:tcW w:w="180" w:type="dxa"/>
            <w:vAlign w:val="bottom"/>
            <w:shd w:val="clear" w:color="auto" w:fill="E9E8E3"/>
          </w:tcPr>
          <w:p>
            <w:pPr>
              <w:spacing w:after="0"/>
              <w:rPr>
                <w:sz w:val="19"/>
                <w:szCs w:val="19"/>
                <w:color w:val="auto"/>
              </w:rPr>
            </w:pPr>
          </w:p>
        </w:tc>
        <w:tc>
          <w:tcPr>
            <w:tcW w:w="680" w:type="dxa"/>
            <w:vAlign w:val="bottom"/>
            <w:gridSpan w:val="2"/>
            <w:shd w:val="clear" w:color="auto" w:fill="E9E8E3"/>
          </w:tcPr>
          <w:p>
            <w:pPr>
              <w:jc w:val="right"/>
              <w:spacing w:after="0"/>
              <w:rPr>
                <w:sz w:val="20"/>
                <w:szCs w:val="20"/>
                <w:color w:val="auto"/>
              </w:rPr>
            </w:pPr>
            <w:r>
              <w:rPr>
                <w:rFonts w:ascii="Arial" w:cs="Arial" w:eastAsia="Arial" w:hAnsi="Arial"/>
                <w:sz w:val="18"/>
                <w:szCs w:val="18"/>
                <w:color w:val="auto"/>
              </w:rPr>
              <w:t>80,603</w:t>
            </w:r>
          </w:p>
        </w:tc>
        <w:tc>
          <w:tcPr>
            <w:tcW w:w="300" w:type="dxa"/>
            <w:vAlign w:val="bottom"/>
            <w:shd w:val="clear" w:color="auto" w:fill="E9E8E3"/>
          </w:tcPr>
          <w:p>
            <w:pPr>
              <w:spacing w:after="0"/>
              <w:rPr>
                <w:sz w:val="19"/>
                <w:szCs w:val="19"/>
                <w:color w:val="auto"/>
              </w:rPr>
            </w:pPr>
          </w:p>
        </w:tc>
        <w:tc>
          <w:tcPr>
            <w:tcW w:w="680" w:type="dxa"/>
            <w:vAlign w:val="bottom"/>
            <w:gridSpan w:val="2"/>
            <w:shd w:val="clear" w:color="auto" w:fill="E9E8E3"/>
          </w:tcPr>
          <w:p>
            <w:pPr>
              <w:jc w:val="right"/>
              <w:ind w:right="20"/>
              <w:spacing w:after="0"/>
              <w:rPr>
                <w:sz w:val="20"/>
                <w:szCs w:val="20"/>
                <w:color w:val="auto"/>
              </w:rPr>
            </w:pPr>
            <w:r>
              <w:rPr>
                <w:rFonts w:ascii="Arial" w:cs="Arial" w:eastAsia="Arial" w:hAnsi="Arial"/>
                <w:sz w:val="18"/>
                <w:szCs w:val="18"/>
                <w:color w:val="auto"/>
              </w:rPr>
              <w:t>78,072</w:t>
            </w:r>
          </w:p>
        </w:tc>
        <w:tc>
          <w:tcPr>
            <w:tcW w:w="280" w:type="dxa"/>
            <w:vAlign w:val="bottom"/>
            <w:shd w:val="clear" w:color="auto" w:fill="E9E8E3"/>
          </w:tcPr>
          <w:p>
            <w:pPr>
              <w:spacing w:after="0"/>
              <w:rPr>
                <w:sz w:val="19"/>
                <w:szCs w:val="19"/>
                <w:color w:val="auto"/>
              </w:rPr>
            </w:pPr>
          </w:p>
        </w:tc>
        <w:tc>
          <w:tcPr>
            <w:tcW w:w="740" w:type="dxa"/>
            <w:vAlign w:val="bottom"/>
            <w:shd w:val="clear" w:color="auto" w:fill="E9E8E3"/>
          </w:tcPr>
          <w:p>
            <w:pPr>
              <w:jc w:val="right"/>
              <w:spacing w:after="0"/>
              <w:rPr>
                <w:sz w:val="20"/>
                <w:szCs w:val="20"/>
                <w:color w:val="auto"/>
              </w:rPr>
            </w:pPr>
            <w:r>
              <w:rPr>
                <w:rFonts w:ascii="Arial" w:cs="Arial" w:eastAsia="Arial" w:hAnsi="Arial"/>
                <w:sz w:val="18"/>
                <w:szCs w:val="18"/>
                <w:color w:val="auto"/>
              </w:rPr>
              <w:t>76,621</w:t>
            </w:r>
          </w:p>
        </w:tc>
        <w:tc>
          <w:tcPr>
            <w:tcW w:w="20" w:type="dxa"/>
            <w:vAlign w:val="bottom"/>
            <w:shd w:val="clear" w:color="auto" w:fill="E9E8E3"/>
          </w:tcPr>
          <w:p>
            <w:pPr>
              <w:spacing w:after="0"/>
              <w:rPr>
                <w:sz w:val="19"/>
                <w:szCs w:val="19"/>
                <w:color w:val="auto"/>
              </w:rPr>
            </w:pPr>
          </w:p>
        </w:tc>
      </w:tr>
      <w:tr>
        <w:trPr>
          <w:trHeight w:val="70"/>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84"/>
        </w:trPr>
        <w:tc>
          <w:tcPr>
            <w:tcW w:w="7000" w:type="dxa"/>
            <w:vAlign w:val="bottom"/>
          </w:tcPr>
          <w:p>
            <w:pPr>
              <w:spacing w:after="0"/>
              <w:rPr>
                <w:sz w:val="20"/>
                <w:szCs w:val="20"/>
                <w:color w:val="auto"/>
              </w:rPr>
            </w:pPr>
            <w:r>
              <w:rPr>
                <w:rFonts w:ascii="Arial" w:cs="Arial" w:eastAsia="Arial" w:hAnsi="Arial"/>
                <w:sz w:val="18"/>
                <w:szCs w:val="18"/>
                <w:color w:val="auto"/>
              </w:rPr>
              <w:t>Funds from operations available for common shareholders, per diluted share</w:t>
            </w:r>
            <w:r>
              <w:rPr>
                <w:rFonts w:ascii="Arial" w:cs="Arial" w:eastAsia="Arial" w:hAnsi="Arial"/>
                <w:sz w:val="23"/>
                <w:szCs w:val="23"/>
                <w:color w:val="auto"/>
                <w:vertAlign w:val="superscript"/>
              </w:rPr>
              <w:t>(2)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56515</wp:posOffset>
                </wp:positionV>
                <wp:extent cx="609600"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5pt" to="48pt,4.45pt" o:allowincell="f" strokecolor="#000000" strokeweight="0.5pt"/>
            </w:pict>
          </mc:Fallback>
        </mc:AlternateContent>
      </w:r>
    </w:p>
    <w:p>
      <w:pPr>
        <w:spacing w:after="0" w:line="114" w:lineRule="exact"/>
        <w:rPr>
          <w:sz w:val="20"/>
          <w:szCs w:val="20"/>
          <w:color w:val="auto"/>
        </w:rPr>
      </w:pPr>
    </w:p>
    <w:p>
      <w:pPr>
        <w:ind w:left="360" w:hanging="360"/>
        <w:spacing w:after="0" w:line="228" w:lineRule="auto"/>
        <w:tabs>
          <w:tab w:leader="none" w:pos="360" w:val="left"/>
        </w:tabs>
        <w:numPr>
          <w:ilvl w:val="0"/>
          <w:numId w:val="171"/>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2022, dividends on our Series 1 preferred stock were not deducted in the calculation of FFO available to common shareholders, as the related shares were dilutive and included in “weighted average common shares, diluted.”</w:t>
      </w:r>
    </w:p>
    <w:p>
      <w:pPr>
        <w:spacing w:after="0" w:line="3" w:lineRule="exact"/>
        <w:rPr>
          <w:rFonts w:ascii="Arial" w:cs="Arial" w:eastAsia="Arial" w:hAnsi="Arial"/>
          <w:sz w:val="21"/>
          <w:szCs w:val="21"/>
          <w:color w:val="auto"/>
          <w:vertAlign w:val="superscript"/>
        </w:rPr>
      </w:pPr>
    </w:p>
    <w:p>
      <w:pPr>
        <w:jc w:val="both"/>
        <w:ind w:left="360" w:hanging="360"/>
        <w:spacing w:after="0" w:line="215" w:lineRule="auto"/>
        <w:tabs>
          <w:tab w:leader="none" w:pos="360" w:val="left"/>
        </w:tabs>
        <w:numPr>
          <w:ilvl w:val="0"/>
          <w:numId w:val="171"/>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FFO available for common shareholders includes a $11.2 million charge related to early extinguishment of debt. If this charge was excluded, our FFO available for common shareholders for 2020 would have been $345.0 million, and FFO available for common shareholders, per diluted share would have been $4.52.</w:t>
      </w:r>
    </w:p>
    <w:p>
      <w:pPr>
        <w:spacing w:after="0" w:line="4" w:lineRule="exact"/>
        <w:rPr>
          <w:rFonts w:ascii="Arial" w:cs="Arial" w:eastAsia="Arial" w:hAnsi="Arial"/>
          <w:sz w:val="23"/>
          <w:szCs w:val="23"/>
          <w:color w:val="auto"/>
          <w:vertAlign w:val="superscript"/>
        </w:rPr>
      </w:pPr>
    </w:p>
    <w:p>
      <w:pPr>
        <w:jc w:val="both"/>
        <w:ind w:left="360" w:hanging="360"/>
        <w:spacing w:after="0" w:line="239" w:lineRule="auto"/>
        <w:tabs>
          <w:tab w:leader="none" w:pos="360" w:val="left"/>
        </w:tabs>
        <w:numPr>
          <w:ilvl w:val="0"/>
          <w:numId w:val="171"/>
        </w:numPr>
        <w:rPr>
          <w:rFonts w:ascii="Arial" w:cs="Arial" w:eastAsia="Arial" w:hAnsi="Arial"/>
          <w:sz w:val="21"/>
          <w:szCs w:val="21"/>
          <w:color w:val="auto"/>
          <w:vertAlign w:val="superscript"/>
        </w:rPr>
      </w:pPr>
      <w:r>
        <w:rPr>
          <w:rFonts w:ascii="Arial" w:cs="Arial" w:eastAsia="Arial" w:hAnsi="Arial"/>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2021 and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400800" cy="177800"/>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9E8E3"/>
                        </a:solidFill>
                      </wps:spPr>
                      <wps:bodyPr/>
                    </wps:wsp>
                  </a:graphicData>
                </a:graphic>
              </wp:anchor>
            </w:drawing>
          </mc:Choice>
          <mc:Fallback>
            <w:pict>
              <v:rect id="Shape 645" o:spid="_x0000_s1670" style="position:absolute;margin-left:0pt;margin-top:10.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8E3"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132080</wp:posOffset>
                </wp:positionV>
                <wp:extent cx="0" cy="17780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0.4pt" to="0.75pt,24.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6400800"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5pt" to="504pt,11.15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132080</wp:posOffset>
                </wp:positionV>
                <wp:extent cx="0" cy="17780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10.4pt" to="503.25pt,24.4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300355</wp:posOffset>
                </wp:positionV>
                <wp:extent cx="6400800" cy="0"/>
                <wp:wrapNone/>
                <wp:docPr id="649" name="Shape 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9" o:spid="_x0000_s16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65pt" to="504pt,23.65pt" o:allowincell="f" strokecolor="#000000" strokeweight="1.5pt"/>
            </w:pict>
          </mc:Fallback>
        </mc:AlternateContent>
      </w:r>
    </w:p>
    <w:p>
      <w:pPr>
        <w:sectPr>
          <w:pgSz w:w="11880" w:h="15480" w:orient="portrait"/>
          <w:cols w:equalWidth="0" w:num="1">
            <w:col w:w="10080"/>
          </w:cols>
          <w:pgMar w:left="900" w:top="1306" w:right="900" w:bottom="764" w:gutter="0" w:footer="0" w:header="0"/>
        </w:sectPr>
      </w:pPr>
    </w:p>
    <w:p>
      <w:pPr>
        <w:spacing w:after="0" w:line="256" w:lineRule="exact"/>
        <w:rPr>
          <w:sz w:val="20"/>
          <w:szCs w:val="20"/>
          <w:color w:val="auto"/>
        </w:rPr>
      </w:pPr>
    </w:p>
    <w:p>
      <w:pPr>
        <w:ind w:left="6640"/>
        <w:spacing w:after="0"/>
        <w:tabs>
          <w:tab w:leader="none" w:pos="8000" w:val="left"/>
          <w:tab w:leader="none" w:pos="9740" w:val="left"/>
        </w:tabs>
        <w:rPr>
          <w:sz w:val="20"/>
          <w:szCs w:val="20"/>
          <w:color w:val="auto"/>
        </w:rPr>
      </w:pPr>
      <w:r>
        <w:rPr>
          <w:rFonts w:ascii="Arial" w:cs="Arial" w:eastAsia="Arial" w:hAnsi="Arial"/>
          <w:sz w:val="16"/>
          <w:szCs w:val="16"/>
          <w:color w:val="FB1717"/>
        </w:rPr>
        <w:t>Federal Realty</w:t>
      </w:r>
      <w:r>
        <w:rPr>
          <w:sz w:val="20"/>
          <w:szCs w:val="20"/>
          <w:color w:val="auto"/>
        </w:rPr>
        <w:tab/>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color w:val="auto"/>
        </w:rPr>
        <w:t>A-1</w:t>
      </w:r>
    </w:p>
    <w:p>
      <w:pPr>
        <w:sectPr>
          <w:pgSz w:w="11880" w:h="15480" w:orient="portrait"/>
          <w:cols w:equalWidth="0" w:num="1">
            <w:col w:w="10080"/>
          </w:cols>
          <w:pgMar w:left="900" w:top="1306" w:right="900" w:bottom="764" w:gutter="0" w:footer="0" w:header="0"/>
          <w:type w:val="continuous"/>
        </w:sectPr>
      </w:pPr>
    </w:p>
    <w:bookmarkStart w:id="169" w:name="page170"/>
    <w:bookmarkEnd w:id="169"/>
    <w:p>
      <w:pPr>
        <w:spacing w:after="0"/>
        <w:tabs>
          <w:tab w:leader="none" w:pos="8000" w:val="left"/>
          <w:tab w:leader="none" w:pos="9740" w:val="left"/>
        </w:tabs>
        <w:rPr>
          <w:sz w:val="20"/>
          <w:szCs w:val="20"/>
          <w:color w:val="auto"/>
        </w:rPr>
      </w:pPr>
    </w:p>
    <w:p>
      <w:pPr>
        <w:sectPr>
          <w:pgSz w:w="11880" w:h="15480" w:orient="portrait"/>
          <w:cols w:equalWidth="1" w:num="1" w:space="0"/>
          <w:pgMar w:left="1440" w:top="1440" w:right="1440" w:bottom="875" w:gutter="0" w:footer="0" w:header="0"/>
        </w:sectPr>
      </w:pPr>
    </w:p>
    <w:bookmarkStart w:id="170" w:name="page171"/>
    <w:bookmarkEnd w:id="170"/>
    <w:p>
      <w:pPr>
        <w:ind w:right="3720"/>
        <w:spacing w:after="0" w:line="231" w:lineRule="auto"/>
        <w:rPr>
          <w:sz w:val="20"/>
          <w:szCs w:val="20"/>
          <w:color w:val="auto"/>
        </w:rPr>
      </w:pPr>
      <w:r>
        <w:rPr>
          <w:rFonts w:ascii="Georgia Pro" w:cs="Georgia Pro" w:eastAsia="Georgia Pro" w:hAnsi="Georgia Pro"/>
          <w:sz w:val="99"/>
          <w:szCs w:val="99"/>
          <w:color w:val="auto"/>
        </w:rPr>
        <w:t>Corporate Information</w:t>
      </w:r>
    </w:p>
    <w:p>
      <w:pPr>
        <w:sectPr>
          <w:pgSz w:w="11880" w:h="15480" w:orient="portrait"/>
          <w:cols w:equalWidth="0" w:num="1">
            <w:col w:w="9120"/>
          </w:cols>
          <w:pgMar w:left="1380" w:top="1390" w:right="1380" w:bottom="791"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tabs>
          <w:tab w:leader="none" w:pos="1580" w:val="left"/>
        </w:tabs>
        <w:rPr>
          <w:sz w:val="20"/>
          <w:szCs w:val="20"/>
          <w:color w:val="auto"/>
        </w:rPr>
      </w:pPr>
      <w:r>
        <w:rPr>
          <w:rFonts w:ascii="Lucida Sans" w:cs="Lucida Sans" w:eastAsia="Lucida Sans" w:hAnsi="Lucida Sans"/>
          <w:sz w:val="16"/>
          <w:szCs w:val="16"/>
          <w:b w:val="1"/>
          <w:bCs w:val="1"/>
          <w:color w:val="FB1717"/>
        </w:rPr>
        <w:t>C O R P O R A T E</w:t>
        <w:tab/>
        <w:t>O F F I C E</w:t>
      </w:r>
    </w:p>
    <w:p>
      <w:pPr>
        <w:spacing w:after="0" w:line="151"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909 Rose Avenue, Suite 200</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North Bethesda, MD 20852</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301.998.8100</w:t>
      </w:r>
    </w:p>
    <w:p>
      <w:pPr>
        <w:spacing w:after="0" w:line="392" w:lineRule="exact"/>
        <w:rPr>
          <w:sz w:val="20"/>
          <w:szCs w:val="20"/>
          <w:color w:val="auto"/>
        </w:rPr>
      </w:pPr>
    </w:p>
    <w:p>
      <w:pPr>
        <w:spacing w:after="0"/>
        <w:tabs>
          <w:tab w:leader="none" w:pos="1580" w:val="left"/>
        </w:tabs>
        <w:rPr>
          <w:sz w:val="20"/>
          <w:szCs w:val="20"/>
          <w:color w:val="auto"/>
        </w:rPr>
      </w:pPr>
      <w:r>
        <w:rPr>
          <w:rFonts w:ascii="Lucida Sans" w:cs="Lucida Sans" w:eastAsia="Lucida Sans" w:hAnsi="Lucida Sans"/>
          <w:sz w:val="16"/>
          <w:szCs w:val="16"/>
          <w:b w:val="1"/>
          <w:bCs w:val="1"/>
          <w:color w:val="FB1717"/>
        </w:rPr>
        <w:t>C O R P O R A T E</w:t>
        <w:tab/>
        <w:t>C O U N S E L</w:t>
      </w:r>
    </w:p>
    <w:p>
      <w:pPr>
        <w:spacing w:after="0" w:line="151" w:lineRule="exact"/>
        <w:rPr>
          <w:sz w:val="20"/>
          <w:szCs w:val="20"/>
          <w:color w:val="auto"/>
        </w:rPr>
      </w:pPr>
    </w:p>
    <w:p>
      <w:pPr>
        <w:ind w:right="1480"/>
        <w:spacing w:after="0" w:line="281" w:lineRule="auto"/>
        <w:rPr>
          <w:sz w:val="20"/>
          <w:szCs w:val="20"/>
          <w:color w:val="auto"/>
        </w:rPr>
      </w:pPr>
      <w:r>
        <w:rPr>
          <w:rFonts w:ascii="Lucida Sans" w:cs="Lucida Sans" w:eastAsia="Lucida Sans" w:hAnsi="Lucida Sans"/>
          <w:sz w:val="16"/>
          <w:szCs w:val="16"/>
          <w:color w:val="auto"/>
        </w:rPr>
        <w:t>Pillsbury Winthrop Shaw Pittman LLP Washington, DC</w:t>
      </w:r>
    </w:p>
    <w:p>
      <w:pPr>
        <w:spacing w:after="0" w:line="361" w:lineRule="exact"/>
        <w:rPr>
          <w:sz w:val="20"/>
          <w:szCs w:val="20"/>
          <w:color w:val="auto"/>
        </w:rPr>
      </w:pPr>
    </w:p>
    <w:p>
      <w:pPr>
        <w:ind w:right="940"/>
        <w:spacing w:after="0" w:line="278" w:lineRule="auto"/>
        <w:rPr>
          <w:sz w:val="20"/>
          <w:szCs w:val="20"/>
          <w:color w:val="auto"/>
        </w:rPr>
      </w:pPr>
      <w:r>
        <w:rPr>
          <w:rFonts w:ascii="Lucida Sans" w:cs="Lucida Sans" w:eastAsia="Lucida Sans" w:hAnsi="Lucida Sans"/>
          <w:sz w:val="16"/>
          <w:szCs w:val="16"/>
          <w:b w:val="1"/>
          <w:bCs w:val="1"/>
          <w:color w:val="FB1717"/>
        </w:rPr>
        <w:t>I N D E P E N D E N T R E G I S T E R E D P U B L I C A C C O U N T I N G F I R M</w:t>
      </w:r>
    </w:p>
    <w:p>
      <w:pPr>
        <w:spacing w:after="0" w:line="121"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Grant Thornton LLP</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New York, NY</w:t>
      </w:r>
    </w:p>
    <w:p>
      <w:pPr>
        <w:spacing w:after="0" w:line="392" w:lineRule="exact"/>
        <w:rPr>
          <w:sz w:val="20"/>
          <w:szCs w:val="20"/>
          <w:color w:val="auto"/>
        </w:rPr>
      </w:pPr>
    </w:p>
    <w:p>
      <w:pPr>
        <w:spacing w:after="0"/>
        <w:tabs>
          <w:tab w:leader="none" w:pos="1360" w:val="left"/>
          <w:tab w:leader="none" w:pos="2300" w:val="left"/>
          <w:tab w:leader="none" w:pos="2920" w:val="left"/>
        </w:tabs>
        <w:rPr>
          <w:sz w:val="20"/>
          <w:szCs w:val="20"/>
          <w:color w:val="auto"/>
        </w:rPr>
      </w:pPr>
      <w:r>
        <w:rPr>
          <w:rFonts w:ascii="Lucida Sans" w:cs="Lucida Sans" w:eastAsia="Lucida Sans" w:hAnsi="Lucida Sans"/>
          <w:sz w:val="16"/>
          <w:szCs w:val="16"/>
          <w:b w:val="1"/>
          <w:bCs w:val="1"/>
          <w:color w:val="FB1717"/>
        </w:rPr>
        <w:t>T R A N S F E R</w:t>
        <w:tab/>
        <w:t>A G E N T</w:t>
        <w:tab/>
        <w:t>A N D</w:t>
        <w:tab/>
        <w:t>R E G I S T R A R</w:t>
      </w:r>
    </w:p>
    <w:p>
      <w:pPr>
        <w:spacing w:after="0" w:line="151"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American Stock Transfer &amp; Trust Company</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6201 15th Avenue</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Brooklyn, NY 11219</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718.921.8124</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800.937.5449</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www.astfinancial.com</w:t>
      </w:r>
    </w:p>
    <w:p>
      <w:pPr>
        <w:spacing w:after="0" w:line="392" w:lineRule="exact"/>
        <w:rPr>
          <w:sz w:val="20"/>
          <w:szCs w:val="20"/>
          <w:color w:val="auto"/>
        </w:rPr>
      </w:pPr>
    </w:p>
    <w:p>
      <w:pPr>
        <w:spacing w:after="0"/>
        <w:tabs>
          <w:tab w:leader="none" w:pos="1180" w:val="left"/>
          <w:tab w:leader="none" w:pos="2120" w:val="left"/>
        </w:tabs>
        <w:rPr>
          <w:sz w:val="20"/>
          <w:szCs w:val="20"/>
          <w:color w:val="auto"/>
        </w:rPr>
      </w:pPr>
      <w:r>
        <w:rPr>
          <w:rFonts w:ascii="Lucida Sans" w:cs="Lucida Sans" w:eastAsia="Lucida Sans" w:hAnsi="Lucida Sans"/>
          <w:sz w:val="16"/>
          <w:szCs w:val="16"/>
          <w:b w:val="1"/>
          <w:bCs w:val="1"/>
          <w:color w:val="FB1717"/>
        </w:rPr>
        <w:t>C O M M O N</w:t>
        <w:tab/>
        <w:t>S T O C K</w:t>
        <w:tab/>
        <w:t>L I S T I N G</w:t>
      </w:r>
    </w:p>
    <w:p>
      <w:pPr>
        <w:spacing w:after="0" w:line="151"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New York Stock Exchange</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Symbol: FRT</w:t>
      </w:r>
    </w:p>
    <w:p>
      <w:pPr>
        <w:spacing w:after="0" w:line="392" w:lineRule="exact"/>
        <w:rPr>
          <w:sz w:val="20"/>
          <w:szCs w:val="20"/>
          <w:color w:val="auto"/>
        </w:rPr>
      </w:pPr>
    </w:p>
    <w:p>
      <w:pPr>
        <w:spacing w:after="0"/>
        <w:rPr>
          <w:sz w:val="20"/>
          <w:szCs w:val="20"/>
          <w:color w:val="auto"/>
        </w:rPr>
      </w:pPr>
      <w:r>
        <w:rPr>
          <w:rFonts w:ascii="Lucida Sans" w:cs="Lucida Sans" w:eastAsia="Lucida Sans" w:hAnsi="Lucida Sans"/>
          <w:sz w:val="16"/>
          <w:szCs w:val="16"/>
          <w:b w:val="1"/>
          <w:bCs w:val="1"/>
          <w:color w:val="FB1717"/>
        </w:rPr>
        <w:t>M E M B E R S H I P S</w:t>
      </w:r>
    </w:p>
    <w:p>
      <w:pPr>
        <w:spacing w:after="0" w:line="151"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International Council of Shopping Centers</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National Association of Real Estate Investment Trusts</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auto"/>
        </w:rPr>
        <w:t>Urban Land Institute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tabs>
          <w:tab w:leader="none" w:pos="1100" w:val="left"/>
        </w:tabs>
        <w:rPr>
          <w:sz w:val="20"/>
          <w:szCs w:val="20"/>
          <w:color w:val="auto"/>
        </w:rPr>
      </w:pPr>
      <w:r>
        <w:rPr>
          <w:rFonts w:ascii="Lucida Sans" w:cs="Lucida Sans" w:eastAsia="Lucida Sans" w:hAnsi="Lucida Sans"/>
          <w:sz w:val="16"/>
          <w:szCs w:val="16"/>
          <w:b w:val="1"/>
          <w:bCs w:val="1"/>
          <w:color w:val="FB1717"/>
        </w:rPr>
        <w:t>A N N U A L</w:t>
        <w:tab/>
        <w:t>M E E T I N G</w:t>
      </w:r>
    </w:p>
    <w:p>
      <w:pPr>
        <w:spacing w:after="0" w:line="151" w:lineRule="exact"/>
        <w:rPr>
          <w:sz w:val="20"/>
          <w:szCs w:val="20"/>
          <w:color w:val="auto"/>
        </w:rPr>
      </w:pPr>
    </w:p>
    <w:p>
      <w:pPr>
        <w:ind w:right="220"/>
        <w:spacing w:after="0" w:line="280" w:lineRule="auto"/>
        <w:rPr>
          <w:sz w:val="20"/>
          <w:szCs w:val="20"/>
          <w:color w:val="auto"/>
        </w:rPr>
      </w:pPr>
      <w:r>
        <w:rPr>
          <w:rFonts w:ascii="Lucida Sans" w:cs="Lucida Sans" w:eastAsia="Lucida Sans" w:hAnsi="Lucida Sans"/>
          <w:sz w:val="16"/>
          <w:szCs w:val="16"/>
          <w:color w:val="auto"/>
        </w:rPr>
        <w:t>Federal Realty Investment Trust will hold its Annual Shareholder Meeting virtually at 9:00 a.m. on May 3, 2023.</w:t>
      </w:r>
    </w:p>
    <w:p>
      <w:pPr>
        <w:spacing w:after="0" w:line="361" w:lineRule="exact"/>
        <w:rPr>
          <w:sz w:val="20"/>
          <w:szCs w:val="20"/>
          <w:color w:val="auto"/>
        </w:rPr>
      </w:pPr>
    </w:p>
    <w:p>
      <w:pPr>
        <w:spacing w:after="0"/>
        <w:tabs>
          <w:tab w:leader="none" w:pos="1580" w:val="left"/>
        </w:tabs>
        <w:rPr>
          <w:sz w:val="20"/>
          <w:szCs w:val="20"/>
          <w:color w:val="auto"/>
        </w:rPr>
      </w:pPr>
      <w:r>
        <w:rPr>
          <w:rFonts w:ascii="Lucida Sans" w:cs="Lucida Sans" w:eastAsia="Lucida Sans" w:hAnsi="Lucida Sans"/>
          <w:sz w:val="16"/>
          <w:szCs w:val="16"/>
          <w:b w:val="1"/>
          <w:bCs w:val="1"/>
          <w:color w:val="FB1717"/>
        </w:rPr>
        <w:t>C O R P O R A T E</w:t>
        <w:tab/>
        <w:t>G O V E R N A N C E</w:t>
      </w:r>
    </w:p>
    <w:p>
      <w:pPr>
        <w:spacing w:after="0" w:line="151" w:lineRule="exact"/>
        <w:rPr>
          <w:sz w:val="20"/>
          <w:szCs w:val="20"/>
          <w:color w:val="auto"/>
        </w:rPr>
      </w:pPr>
    </w:p>
    <w:p>
      <w:pPr>
        <w:ind w:right="80"/>
        <w:spacing w:after="0" w:line="280" w:lineRule="auto"/>
        <w:rPr>
          <w:sz w:val="20"/>
          <w:szCs w:val="20"/>
          <w:color w:val="auto"/>
        </w:rPr>
      </w:pPr>
      <w:r>
        <w:rPr>
          <w:rFonts w:ascii="Lucida Sans" w:cs="Lucida Sans" w:eastAsia="Lucida Sans" w:hAnsi="Lucida Sans"/>
          <w:sz w:val="16"/>
          <w:szCs w:val="16"/>
          <w:color w:val="auto"/>
        </w:rPr>
        <w:t>The Trust’s Corporate Governance Guidelines and the charters for the Audit Committee, the Compensation and Human Capital Management Committee and the Nominating and Corporate Governance Committee are available in the Investors section of our website at www.federalrealty.com.</w:t>
      </w:r>
    </w:p>
    <w:p>
      <w:pPr>
        <w:spacing w:after="0" w:line="363" w:lineRule="exact"/>
        <w:rPr>
          <w:sz w:val="20"/>
          <w:szCs w:val="20"/>
          <w:color w:val="auto"/>
        </w:rPr>
      </w:pPr>
    </w:p>
    <w:p>
      <w:pPr>
        <w:ind w:right="420"/>
        <w:spacing w:after="0" w:line="278" w:lineRule="auto"/>
        <w:rPr>
          <w:sz w:val="20"/>
          <w:szCs w:val="20"/>
          <w:color w:val="auto"/>
        </w:rPr>
      </w:pPr>
      <w:r>
        <w:rPr>
          <w:rFonts w:ascii="Lucida Sans" w:cs="Lucida Sans" w:eastAsia="Lucida Sans" w:hAnsi="Lucida Sans"/>
          <w:sz w:val="16"/>
          <w:szCs w:val="16"/>
          <w:b w:val="1"/>
          <w:bCs w:val="1"/>
          <w:color w:val="FB1717"/>
        </w:rPr>
        <w:t>A U T O M A T I C C A S H I N V E S T M E N T A N D D I R E C T D E P O S I T</w:t>
      </w:r>
    </w:p>
    <w:p>
      <w:pPr>
        <w:spacing w:after="0" w:line="121" w:lineRule="exact"/>
        <w:rPr>
          <w:sz w:val="20"/>
          <w:szCs w:val="20"/>
          <w:color w:val="auto"/>
        </w:rPr>
      </w:pPr>
    </w:p>
    <w:p>
      <w:pPr>
        <w:ind w:right="20"/>
        <w:spacing w:after="0" w:line="270" w:lineRule="auto"/>
        <w:rPr>
          <w:sz w:val="20"/>
          <w:szCs w:val="20"/>
          <w:color w:val="auto"/>
        </w:rPr>
      </w:pPr>
      <w:r>
        <w:rPr>
          <w:rFonts w:ascii="Lucida Sans" w:cs="Lucida Sans" w:eastAsia="Lucida Sans" w:hAnsi="Lucida Sans"/>
          <w:sz w:val="16"/>
          <w:szCs w:val="16"/>
          <w:color w:val="auto"/>
        </w:rPr>
        <w:t>Federal Realty offers automatic cash investment, the option to automatically withdraw funds from a checking/savings or other bank account to purchase additional shares of FRT on the 1</w:t>
      </w:r>
      <w:r>
        <w:rPr>
          <w:rFonts w:ascii="Lucida Sans" w:cs="Lucida Sans" w:eastAsia="Lucida Sans" w:hAnsi="Lucida Sans"/>
          <w:sz w:val="20"/>
          <w:szCs w:val="20"/>
          <w:color w:val="auto"/>
          <w:vertAlign w:val="superscript"/>
        </w:rPr>
        <w:t>st</w:t>
      </w:r>
      <w:r>
        <w:rPr>
          <w:rFonts w:ascii="Lucida Sans" w:cs="Lucida Sans" w:eastAsia="Lucida Sans" w:hAnsi="Lucida Sans"/>
          <w:sz w:val="16"/>
          <w:szCs w:val="16"/>
          <w:color w:val="auto"/>
        </w:rPr>
        <w:t xml:space="preserve"> and 15</w:t>
      </w:r>
      <w:r>
        <w:rPr>
          <w:rFonts w:ascii="Lucida Sans" w:cs="Lucida Sans" w:eastAsia="Lucida Sans" w:hAnsi="Lucida Sans"/>
          <w:sz w:val="20"/>
          <w:szCs w:val="20"/>
          <w:color w:val="auto"/>
          <w:vertAlign w:val="superscript"/>
        </w:rPr>
        <w:t>th</w:t>
      </w:r>
      <w:r>
        <w:rPr>
          <w:rFonts w:ascii="Lucida Sans" w:cs="Lucida Sans" w:eastAsia="Lucida Sans" w:hAnsi="Lucida Sans"/>
          <w:sz w:val="16"/>
          <w:szCs w:val="16"/>
          <w:color w:val="auto"/>
        </w:rPr>
        <w:t xml:space="preserve"> of each month. Federal Realty also offers shareholders the option to directly deposit their dividends. To sign up for automatic cash investment or direct deposit, please call 800.937.5449 or visit www.astfinancial.com.</w:t>
      </w:r>
    </w:p>
    <w:p>
      <w:pPr>
        <w:spacing w:after="0" w:line="372" w:lineRule="exact"/>
        <w:rPr>
          <w:sz w:val="20"/>
          <w:szCs w:val="20"/>
          <w:color w:val="auto"/>
        </w:rPr>
      </w:pPr>
    </w:p>
    <w:p>
      <w:pPr>
        <w:spacing w:after="0"/>
        <w:tabs>
          <w:tab w:leader="none" w:pos="1340" w:val="left"/>
        </w:tabs>
        <w:rPr>
          <w:sz w:val="20"/>
          <w:szCs w:val="20"/>
          <w:color w:val="auto"/>
        </w:rPr>
      </w:pPr>
      <w:r>
        <w:rPr>
          <w:rFonts w:ascii="Lucida Sans" w:cs="Lucida Sans" w:eastAsia="Lucida Sans" w:hAnsi="Lucida Sans"/>
          <w:sz w:val="16"/>
          <w:szCs w:val="16"/>
          <w:b w:val="1"/>
          <w:bCs w:val="1"/>
          <w:color w:val="FB1717"/>
        </w:rPr>
        <w:t>I N T E R N E T</w:t>
        <w:tab/>
        <w:t>|</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b w:val="1"/>
          <w:bCs w:val="1"/>
          <w:color w:val="FB1717"/>
        </w:rPr>
        <w:t>W W W . F E D E R A L R E A L T Y . C O M</w:t>
      </w:r>
    </w:p>
    <w:p>
      <w:pPr>
        <w:spacing w:after="0" w:line="151" w:lineRule="exact"/>
        <w:rPr>
          <w:sz w:val="20"/>
          <w:szCs w:val="20"/>
          <w:color w:val="auto"/>
        </w:rPr>
      </w:pPr>
    </w:p>
    <w:p>
      <w:pPr>
        <w:ind w:right="120"/>
        <w:spacing w:after="0" w:line="280" w:lineRule="auto"/>
        <w:rPr>
          <w:sz w:val="20"/>
          <w:szCs w:val="20"/>
          <w:color w:val="auto"/>
        </w:rPr>
      </w:pPr>
      <w:r>
        <w:rPr>
          <w:rFonts w:ascii="Lucida Sans" w:cs="Lucida Sans" w:eastAsia="Lucida Sans" w:hAnsi="Lucida Sans"/>
          <w:sz w:val="16"/>
          <w:szCs w:val="16"/>
          <w:color w:val="auto"/>
        </w:rPr>
        <w:t>Visitors to the site can search for and download Securities and Exchange Commission filings, review Federal Realty’s Dividend Reinvestment Plan, obtain current stock quotes, read recent press releases, and see a listing of our properties and the properties’ respective websites. Printed materials and email news alerts can also be requested.</w:t>
      </w:r>
    </w:p>
    <w:p>
      <w:pPr>
        <w:spacing w:after="0" w:line="362" w:lineRule="exact"/>
        <w:rPr>
          <w:sz w:val="20"/>
          <w:szCs w:val="20"/>
          <w:color w:val="auto"/>
        </w:rPr>
      </w:pPr>
    </w:p>
    <w:p>
      <w:pPr>
        <w:spacing w:after="0"/>
        <w:tabs>
          <w:tab w:leader="none" w:pos="1340" w:val="left"/>
          <w:tab w:leader="none" w:pos="2840" w:val="left"/>
        </w:tabs>
        <w:rPr>
          <w:sz w:val="20"/>
          <w:szCs w:val="20"/>
          <w:color w:val="auto"/>
        </w:rPr>
      </w:pPr>
      <w:r>
        <w:rPr>
          <w:rFonts w:ascii="Lucida Sans" w:cs="Lucida Sans" w:eastAsia="Lucida Sans" w:hAnsi="Lucida Sans"/>
          <w:sz w:val="16"/>
          <w:szCs w:val="16"/>
          <w:b w:val="1"/>
          <w:bCs w:val="1"/>
          <w:color w:val="FB1717"/>
        </w:rPr>
        <w:t>I N V E S T O R</w:t>
        <w:tab/>
        <w:t>R E L A T I O N S</w:t>
        <w:tab/>
        <w:t>C O N T A C T</w:t>
      </w:r>
    </w:p>
    <w:p>
      <w:pPr>
        <w:spacing w:after="0" w:line="151" w:lineRule="exact"/>
        <w:rPr>
          <w:sz w:val="20"/>
          <w:szCs w:val="20"/>
          <w:color w:val="auto"/>
        </w:rPr>
      </w:pPr>
    </w:p>
    <w:p>
      <w:pPr>
        <w:ind w:right="260"/>
        <w:spacing w:after="0" w:line="280" w:lineRule="auto"/>
        <w:rPr>
          <w:sz w:val="20"/>
          <w:szCs w:val="20"/>
          <w:color w:val="auto"/>
        </w:rPr>
      </w:pPr>
      <w:r>
        <w:rPr>
          <w:rFonts w:ascii="Lucida Sans" w:cs="Lucida Sans" w:eastAsia="Lucida Sans" w:hAnsi="Lucida Sans"/>
          <w:sz w:val="16"/>
          <w:szCs w:val="16"/>
          <w:color w:val="auto"/>
        </w:rPr>
        <w:t>You may communicate directly with Federal Realty’s Investor Relations department via telephone at 800.658.8980 or by email at IR@federalrealty.com.</w:t>
      </w:r>
    </w:p>
    <w:p>
      <w:pPr>
        <w:spacing w:after="0" w:line="200" w:lineRule="exact"/>
        <w:rPr>
          <w:sz w:val="20"/>
          <w:szCs w:val="20"/>
          <w:color w:val="auto"/>
        </w:rPr>
      </w:pPr>
    </w:p>
    <w:p>
      <w:pPr>
        <w:sectPr>
          <w:pgSz w:w="11880" w:h="15480" w:orient="portrait"/>
          <w:cols w:equalWidth="0" w:num="2">
            <w:col w:w="4300" w:space="500"/>
            <w:col w:w="4320"/>
          </w:cols>
          <w:pgMar w:left="1380" w:top="1390" w:right="1380" w:bottom="791" w:gutter="0" w:footer="0" w:header="0"/>
          <w:type w:val="continuous"/>
        </w:sectPr>
      </w:pPr>
    </w:p>
    <w:p>
      <w:pPr>
        <w:spacing w:after="0" w:line="107" w:lineRule="exact"/>
        <w:rPr>
          <w:sz w:val="20"/>
          <w:szCs w:val="20"/>
          <w:color w:val="auto"/>
        </w:rPr>
      </w:pPr>
    </w:p>
    <w:p>
      <w:pPr>
        <w:ind w:left="5060"/>
        <w:spacing w:after="0"/>
        <w:tabs>
          <w:tab w:leader="none" w:pos="6000" w:val="left"/>
          <w:tab w:leader="none" w:pos="6840" w:val="left"/>
          <w:tab w:leader="none" w:pos="7020" w:val="left"/>
          <w:tab w:leader="none" w:pos="7920" w:val="left"/>
        </w:tabs>
        <w:rPr>
          <w:sz w:val="20"/>
          <w:szCs w:val="20"/>
          <w:color w:val="auto"/>
        </w:rPr>
      </w:pPr>
      <w:r>
        <w:rPr>
          <w:rFonts w:ascii="Lucida Sans" w:cs="Lucida Sans" w:eastAsia="Lucida Sans" w:hAnsi="Lucida Sans"/>
          <w:sz w:val="14"/>
          <w:szCs w:val="14"/>
          <w:color w:val="auto"/>
        </w:rPr>
        <w:t>F E D E R A L</w:t>
        <w:tab/>
        <w:t>R E A L T Y</w:t>
      </w:r>
      <w:r>
        <w:rPr>
          <w:rFonts w:ascii="Lucida Sans" w:cs="Lucida Sans" w:eastAsia="Lucida Sans" w:hAnsi="Lucida Sans"/>
          <w:sz w:val="14"/>
          <w:szCs w:val="14"/>
          <w:color w:val="FA2E24"/>
        </w:rPr>
        <w:tab/>
        <w:t>|</w:t>
      </w:r>
      <w:r>
        <w:rPr>
          <w:rFonts w:ascii="Lucida Sans" w:cs="Lucida Sans" w:eastAsia="Lucida Sans" w:hAnsi="Lucida Sans"/>
          <w:sz w:val="14"/>
          <w:szCs w:val="14"/>
          <w:color w:val="auto"/>
        </w:rPr>
        <w:tab/>
        <w:t>A N N U A L</w:t>
        <w:tab/>
        <w:t xml:space="preserve">R E P O R T </w:t>
      </w:r>
      <w:r>
        <w:rPr>
          <w:rFonts w:ascii="Georgia Pro" w:cs="Georgia Pro" w:eastAsia="Georgia Pro" w:hAnsi="Georgia Pro"/>
          <w:sz w:val="14"/>
          <w:szCs w:val="14"/>
          <w:b w:val="1"/>
          <w:bCs w:val="1"/>
          <w:color w:val="FA2E24"/>
        </w:rPr>
        <w:t>2022</w:t>
      </w:r>
    </w:p>
    <w:p>
      <w:pPr>
        <w:sectPr>
          <w:pgSz w:w="11880" w:h="15480" w:orient="portrait"/>
          <w:cols w:equalWidth="0" w:num="1">
            <w:col w:w="9120"/>
          </w:cols>
          <w:pgMar w:left="1380" w:top="1390" w:right="1380" w:bottom="791" w:gutter="0" w:footer="0" w:header="0"/>
          <w:type w:val="continuous"/>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10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Georgia Pro" w:cs="Georgia Pro" w:eastAsia="Georgia Pro" w:hAnsi="Georgia Pro"/>
          <w:sz w:val="40"/>
          <w:szCs w:val="40"/>
          <w:color w:val="E9E8E3"/>
        </w:rPr>
        <w:t>Corporate</w:t>
      </w:r>
    </w:p>
    <w:p>
      <w:pPr>
        <w:spacing w:after="0" w:line="211" w:lineRule="auto"/>
        <w:rPr>
          <w:sz w:val="20"/>
          <w:szCs w:val="20"/>
          <w:color w:val="auto"/>
        </w:rPr>
      </w:pPr>
      <w:r>
        <w:rPr>
          <w:rFonts w:ascii="Georgia Pro" w:cs="Georgia Pro" w:eastAsia="Georgia Pro" w:hAnsi="Georgia Pro"/>
          <w:sz w:val="40"/>
          <w:szCs w:val="40"/>
          <w:color w:val="E9E8E3"/>
        </w:rPr>
        <w:t>Headquarters</w:t>
      </w:r>
    </w:p>
    <w:p>
      <w:pPr>
        <w:spacing w:after="0" w:line="155"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909 Rose Avenue</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Suite 200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North Bethesda, MD 20852</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301.998.8100</w:t>
      </w:r>
    </w:p>
    <w:p>
      <w:pPr>
        <w:spacing w:after="0" w:line="230" w:lineRule="exact"/>
        <w:rPr>
          <w:sz w:val="20"/>
          <w:szCs w:val="20"/>
          <w:color w:val="auto"/>
        </w:rPr>
      </w:pPr>
    </w:p>
    <w:p>
      <w:pPr>
        <w:spacing w:after="0"/>
        <w:rPr>
          <w:sz w:val="20"/>
          <w:szCs w:val="20"/>
          <w:color w:val="auto"/>
        </w:rPr>
      </w:pPr>
      <w:r>
        <w:rPr>
          <w:rFonts w:ascii="Georgia Pro" w:cs="Georgia Pro" w:eastAsia="Georgia Pro" w:hAnsi="Georgia Pro"/>
          <w:sz w:val="39"/>
          <w:szCs w:val="39"/>
          <w:color w:val="E9E8E3"/>
        </w:rPr>
        <w:t>Regional Offices</w:t>
      </w:r>
    </w:p>
    <w:p>
      <w:pPr>
        <w:spacing w:after="0" w:line="161" w:lineRule="exact"/>
        <w:rPr>
          <w:sz w:val="20"/>
          <w:szCs w:val="20"/>
          <w:color w:val="auto"/>
        </w:rPr>
      </w:pPr>
    </w:p>
    <w:p>
      <w:pPr>
        <w:spacing w:after="0"/>
        <w:rPr>
          <w:sz w:val="20"/>
          <w:szCs w:val="20"/>
          <w:color w:val="auto"/>
        </w:rPr>
      </w:pPr>
      <w:r>
        <w:rPr>
          <w:rFonts w:ascii="Lucida Sans" w:cs="Lucida Sans" w:eastAsia="Lucida Sans" w:hAnsi="Lucida Sans"/>
          <w:sz w:val="18"/>
          <w:szCs w:val="18"/>
          <w:b w:val="1"/>
          <w:bCs w:val="1"/>
          <w:color w:val="FB1717"/>
        </w:rPr>
        <w:t>B O S T O N</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455 Grand Union Boulevard</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Suite 600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Somerville MA 02145</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617.684.1500</w:t>
      </w:r>
    </w:p>
    <w:p>
      <w:pPr>
        <w:spacing w:after="0" w:line="265" w:lineRule="exact"/>
        <w:rPr>
          <w:sz w:val="20"/>
          <w:szCs w:val="20"/>
          <w:color w:val="auto"/>
        </w:rPr>
      </w:pPr>
    </w:p>
    <w:p>
      <w:pPr>
        <w:spacing w:after="0"/>
        <w:tabs>
          <w:tab w:leader="none" w:pos="640" w:val="left"/>
        </w:tabs>
        <w:rPr>
          <w:sz w:val="20"/>
          <w:szCs w:val="20"/>
          <w:color w:val="auto"/>
        </w:rPr>
      </w:pPr>
      <w:r>
        <w:rPr>
          <w:rFonts w:ascii="Lucida Sans" w:cs="Lucida Sans" w:eastAsia="Lucida Sans" w:hAnsi="Lucida Sans"/>
          <w:sz w:val="18"/>
          <w:szCs w:val="18"/>
          <w:b w:val="1"/>
          <w:bCs w:val="1"/>
          <w:color w:val="FB1717"/>
        </w:rPr>
        <w:t>L O S</w:t>
        <w:tab/>
        <w:t>A N G E L E S</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830 Pacific Coast Highway</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Suite 204</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El Segundo, CA 90245</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310.414.5280</w:t>
      </w:r>
    </w:p>
    <w:p>
      <w:pPr>
        <w:spacing w:after="0" w:line="265" w:lineRule="exact"/>
        <w:rPr>
          <w:sz w:val="20"/>
          <w:szCs w:val="20"/>
          <w:color w:val="auto"/>
        </w:rPr>
      </w:pPr>
    </w:p>
    <w:p>
      <w:pPr>
        <w:spacing w:after="0"/>
        <w:rPr>
          <w:sz w:val="20"/>
          <w:szCs w:val="20"/>
          <w:color w:val="auto"/>
        </w:rPr>
      </w:pPr>
      <w:r>
        <w:rPr>
          <w:rFonts w:ascii="Lucida Sans" w:cs="Lucida Sans" w:eastAsia="Lucida Sans" w:hAnsi="Lucida Sans"/>
          <w:sz w:val="18"/>
          <w:szCs w:val="18"/>
          <w:b w:val="1"/>
          <w:bCs w:val="1"/>
          <w:color w:val="FB1717"/>
        </w:rPr>
        <w:t>P H I L A D E L P H I A</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50 E Wynnewood Road</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Suite 200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Wynnewood, PA 19096</w:t>
      </w:r>
    </w:p>
    <w:p>
      <w:pPr>
        <w:spacing w:after="0" w:line="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610.896.5870</w:t>
      </w:r>
    </w:p>
    <w:p>
      <w:pPr>
        <w:spacing w:after="0" w:line="265" w:lineRule="exact"/>
        <w:rPr>
          <w:sz w:val="20"/>
          <w:szCs w:val="20"/>
          <w:color w:val="auto"/>
        </w:rPr>
      </w:pPr>
    </w:p>
    <w:p>
      <w:pPr>
        <w:spacing w:after="0"/>
        <w:tabs>
          <w:tab w:leader="none" w:pos="640" w:val="left"/>
        </w:tabs>
        <w:rPr>
          <w:sz w:val="20"/>
          <w:szCs w:val="20"/>
          <w:color w:val="auto"/>
        </w:rPr>
      </w:pPr>
      <w:r>
        <w:rPr>
          <w:rFonts w:ascii="Lucida Sans" w:cs="Lucida Sans" w:eastAsia="Lucida Sans" w:hAnsi="Lucida Sans"/>
          <w:sz w:val="18"/>
          <w:szCs w:val="18"/>
          <w:b w:val="1"/>
          <w:bCs w:val="1"/>
          <w:color w:val="FB1717"/>
        </w:rPr>
        <w:t>S A N</w:t>
        <w:tab/>
        <w:t>J O S E</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356 Santana Row</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Suite 1005</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San Jose, CA 95128</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408.551.4600</w:t>
      </w:r>
    </w:p>
    <w:p>
      <w:pPr>
        <w:spacing w:after="0" w:line="265" w:lineRule="exact"/>
        <w:rPr>
          <w:sz w:val="20"/>
          <w:szCs w:val="20"/>
          <w:color w:val="auto"/>
        </w:rPr>
      </w:pPr>
    </w:p>
    <w:p>
      <w:pPr>
        <w:spacing w:after="0"/>
        <w:rPr>
          <w:sz w:val="20"/>
          <w:szCs w:val="20"/>
          <w:color w:val="auto"/>
        </w:rPr>
      </w:pPr>
      <w:r>
        <w:rPr>
          <w:rFonts w:ascii="Lucida Sans" w:cs="Lucida Sans" w:eastAsia="Lucida Sans" w:hAnsi="Lucida Sans"/>
          <w:sz w:val="18"/>
          <w:szCs w:val="18"/>
          <w:b w:val="1"/>
          <w:bCs w:val="1"/>
          <w:color w:val="FB1717"/>
        </w:rPr>
        <w:t>T Y S O N S</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7930 Jones Branch Drive</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Suite 350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McLean, VA 22102</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9E8E3"/>
        </w:rPr>
        <w:t>703.776.9675</w:t>
      </w:r>
    </w:p>
    <w:sectPr>
      <w:pgSz w:w="11880" w:h="15480" w:orient="portrait"/>
      <w:cols w:equalWidth="0" w:num="1">
        <w:col w:w="9060"/>
      </w:cols>
      <w:pgMar w:left="13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20000001" w:csb1="00000000"/>
  </w:font>
  <w:font w:name="Georgia Pro">
    <w:panose1 w:val="02040502050405020303"/>
    <w:charset w:val="00"/>
    <w:family w:val="roman"/>
    <w:pitch w:val="variable"/>
    <w:sig w:usb0="80000287" w:usb1="00000043" w:usb2="00000000" w:usb3="00000000" w:csb0="2000009F" w:csb1="00000000"/>
  </w:font>
  <w:font w:name="Arial Unicode MS">
    <w:panose1 w:val="020B0604020202020204"/>
    <w:charset w:val="00"/>
    <w:family w:val="swiss"/>
    <w:pitch w:val="variable"/>
    <w:sig w:usb0="FFFFFFFF" w:usb1="E9FFFFFF" w:usb2="0000003F" w:usb3="00000000" w:csb0="603F01FF" w:csb1="FFFF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lvl w:ilvl="1">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1)"/>
      <w:numFmt w:val="decimal"/>
      <w:start w:val="1"/>
    </w:lvl>
  </w:abstractNum>
  <w:abstractNum w:abstractNumId="28">
    <w:nsid w:val="6A5F7029"/>
    <w:multiLevelType w:val="hybridMultilevel"/>
    <w:lvl w:ilvl="0">
      <w:lvlJc w:val="left"/>
      <w:lvlText w:val="(%1)"/>
      <w:numFmt w:val="decimal"/>
      <w:start w:val="1"/>
    </w:lvl>
  </w:abstractNum>
  <w:abstractNum w:abstractNumId="29">
    <w:nsid w:val="7D5E18F8"/>
    <w:multiLevelType w:val="hybridMultilevel"/>
    <w:lvl w:ilvl="0">
      <w:lvlJc w:val="left"/>
      <w:lvlText w:val="(%1)"/>
      <w:numFmt w:val="decimal"/>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1)"/>
      <w:numFmt w:val="decimal"/>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
      <w:numFmt w:val="bullet"/>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1)"/>
      <w:numFmt w:val="decimal"/>
      <w:start w:val="1"/>
    </w:lvl>
  </w:abstractNum>
  <w:abstractNum w:abstractNumId="46">
    <w:nsid w:val="1D9F6E5F"/>
    <w:multiLevelType w:val="hybridMultilevel"/>
    <w:lvl w:ilvl="0">
      <w:lvlJc w:val="left"/>
      <w:lvlText w:val="(%1)"/>
      <w:numFmt w:val="lowerLetter"/>
      <w:start w:val="1"/>
    </w:lvl>
  </w:abstractNum>
  <w:abstractNum w:abstractNumId="47">
    <w:nsid w:val="97E1B4E"/>
    <w:multiLevelType w:val="hybridMultilevel"/>
    <w:lvl w:ilvl="0">
      <w:lvlJc w:val="left"/>
      <w:lvlText w:val="(%1)"/>
      <w:numFmt w:val="lowerLetter"/>
      <w:start w:val="6"/>
    </w:lvl>
  </w:abstractNum>
  <w:abstractNum w:abstractNumId="48">
    <w:nsid w:val="51088277"/>
    <w:multiLevelType w:val="hybridMultilevel"/>
    <w:lvl w:ilvl="0">
      <w:lvlJc w:val="left"/>
      <w:lvlText w:val="(%1)"/>
      <w:numFmt w:val="decimal"/>
      <w:start w:val="1"/>
    </w:lvl>
  </w:abstractNum>
  <w:abstractNum w:abstractNumId="49">
    <w:nsid w:val="1CA0C5FA"/>
    <w:multiLevelType w:val="hybridMultilevel"/>
    <w:lvl w:ilvl="0">
      <w:lvlJc w:val="left"/>
      <w:lvlText w:val="(%1)"/>
      <w:numFmt w:val="decimal"/>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1)"/>
      <w:numFmt w:val="decimal"/>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1"/>
      <w:numFmt w:val="decimal"/>
      <w:start w:val="10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lvl w:ilvl="1">
      <w:lvlJc w:val="left"/>
      <w:lvlText w:val="◦"/>
      <w:numFmt w:val="bullet"/>
      <w:start w:val="1"/>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
      <w:numFmt w:val="bullet"/>
      <w:start w:val="1"/>
    </w:lvl>
    <w:lvl w:ilvl="1">
      <w:lvlJc w:val="left"/>
      <w:lvlText w:val="◦"/>
      <w:numFmt w:val="bullet"/>
      <w:start w:val="1"/>
    </w:lvl>
  </w:abstractNum>
  <w:abstractNum w:abstractNumId="60">
    <w:nsid w:val="39B7AAA2"/>
    <w:multiLevelType w:val="hybridMultilevel"/>
    <w:lvl w:ilvl="0">
      <w:lvlJc w:val="left"/>
      <w:lvlText w:val="(%1)"/>
      <w:numFmt w:val="decimal"/>
      <w:start w:val="1"/>
    </w:lvl>
  </w:abstractNum>
  <w:abstractNum w:abstractNumId="61">
    <w:nsid w:val="2B0D8DBE"/>
    <w:multiLevelType w:val="hybridMultilevel"/>
    <w:lvl w:ilvl="0">
      <w:lvlJc w:val="left"/>
      <w:lvlText w:val="(%1)"/>
      <w:numFmt w:val="decimal"/>
      <w:start w:val="1"/>
    </w:lvl>
  </w:abstractNum>
  <w:abstractNum w:abstractNumId="62">
    <w:nsid w:val="6C80EC70"/>
    <w:multiLevelType w:val="hybridMultilevel"/>
    <w:lvl w:ilvl="0">
      <w:lvlJc w:val="left"/>
      <w:lvlText w:val="(%1)"/>
      <w:numFmt w:val="decimal"/>
      <w:start w:val="3"/>
    </w:lvl>
  </w:abstractNum>
  <w:abstractNum w:abstractNumId="63">
    <w:nsid w:val="379E21B5"/>
    <w:multiLevelType w:val="hybridMultilevel"/>
    <w:lvl w:ilvl="0">
      <w:lvlJc w:val="left"/>
      <w:lvlText w:val="(%1)"/>
      <w:numFmt w:val="decimal"/>
      <w:start w:val="1"/>
    </w:lvl>
  </w:abstractNum>
  <w:abstractNum w:abstractNumId="64">
    <w:nsid w:val="69E373"/>
    <w:multiLevelType w:val="hybridMultilevel"/>
    <w:lvl w:ilvl="0">
      <w:lvlJc w:val="left"/>
      <w:lvlText w:val="(%1)"/>
      <w:numFmt w:val="decimal"/>
      <w:start w:val="1"/>
    </w:lvl>
  </w:abstractNum>
  <w:abstractNum w:abstractNumId="65">
    <w:nsid w:val="2C27173B"/>
    <w:multiLevelType w:val="hybridMultilevel"/>
    <w:lvl w:ilvl="0">
      <w:lvlJc w:val="left"/>
      <w:lvlText w:val="(%1)"/>
      <w:numFmt w:val="decimal"/>
      <w:start w:val="1"/>
    </w:lvl>
  </w:abstractNum>
  <w:abstractNum w:abstractNumId="66">
    <w:nsid w:val="4C9B0904"/>
    <w:multiLevelType w:val="hybridMultilevel"/>
    <w:lvl w:ilvl="0">
      <w:lvlJc w:val="left"/>
      <w:lvlText w:val="%1."/>
      <w:numFmt w:val="decimal"/>
      <w:start w:val="1"/>
    </w:lvl>
  </w:abstractNum>
  <w:abstractNum w:abstractNumId="67">
    <w:nsid w:val="6AA7B75C"/>
    <w:multiLevelType w:val="hybridMultilevel"/>
    <w:lvl w:ilvl="0">
      <w:lvlJc w:val="left"/>
      <w:lvlText w:val="%1."/>
      <w:numFmt w:val="decimal"/>
      <w:start w:val="3"/>
    </w:lvl>
  </w:abstractNum>
  <w:abstractNum w:abstractNumId="68">
    <w:nsid w:val="1DF029D3"/>
    <w:multiLevelType w:val="hybridMultilevel"/>
    <w:lvl w:ilvl="0">
      <w:lvlJc w:val="left"/>
      <w:lvlText w:val="•"/>
      <w:numFmt w:val="bullet"/>
      <w:start w:val="1"/>
    </w:lvl>
  </w:abstractNum>
  <w:abstractNum w:abstractNumId="69">
    <w:nsid w:val="5675FF36"/>
    <w:multiLevelType w:val="hybridMultilevel"/>
    <w:lvl w:ilvl="0">
      <w:lvlJc w:val="left"/>
      <w:lvlText w:val="(%1)"/>
      <w:numFmt w:val="decimal"/>
      <w:start w:val="1"/>
    </w:lvl>
  </w:abstractNum>
  <w:abstractNum w:abstractNumId="70">
    <w:nsid w:val="3DD15094"/>
    <w:multiLevelType w:val="hybridMultilevel"/>
    <w:lvl w:ilvl="0">
      <w:lvlJc w:val="left"/>
      <w:lvlText w:val=" "/>
      <w:numFmt w:val="bullet"/>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
      <w:numFmt w:val="bullet"/>
      <w:start w:val="1"/>
    </w:lvl>
  </w:abstractNum>
  <w:abstractNum w:abstractNumId="73">
    <w:nsid w:val="5B25ACE2"/>
    <w:multiLevelType w:val="hybridMultilevel"/>
    <w:lvl w:ilvl="0">
      <w:lvlJc w:val="left"/>
      <w:lvlText w:val=" "/>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
      <w:numFmt w:val="bullet"/>
      <w:start w:val="1"/>
    </w:lvl>
  </w:abstractNum>
  <w:abstractNum w:abstractNumId="76">
    <w:nsid w:val="53B0A9E"/>
    <w:multiLevelType w:val="hybridMultilevel"/>
    <w:lvl w:ilvl="0">
      <w:lvlJc w:val="left"/>
      <w:lvlText w:val=" "/>
      <w:numFmt w:val="bullet"/>
      <w:start w:val="1"/>
    </w:lvl>
  </w:abstractNum>
  <w:abstractNum w:abstractNumId="77">
    <w:nsid w:val="34FD6B4F"/>
    <w:multiLevelType w:val="hybridMultilevel"/>
    <w:lvl w:ilvl="0">
      <w:lvlJc w:val="left"/>
      <w:lvlText w:val=" "/>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
      <w:numFmt w:val="bullet"/>
      <w:start w:val="1"/>
    </w:lvl>
  </w:abstractNum>
  <w:abstractNum w:abstractNumId="80">
    <w:nsid w:val="519E3149"/>
    <w:multiLevelType w:val="hybridMultilevel"/>
    <w:lvl w:ilvl="0">
      <w:lvlJc w:val="left"/>
      <w:lvlText w:val=" "/>
      <w:numFmt w:val="bullet"/>
      <w:start w:val="1"/>
    </w:lvl>
  </w:abstractNum>
  <w:abstractNum w:abstractNumId="81">
    <w:nsid w:val="2C6E4AFD"/>
    <w:multiLevelType w:val="hybridMultilevel"/>
    <w:lvl w:ilvl="0">
      <w:lvlJc w:val="left"/>
      <w:lvlText w:val=" "/>
      <w:numFmt w:val="bullet"/>
      <w:start w:val="1"/>
    </w:lvl>
  </w:abstractNum>
  <w:abstractNum w:abstractNumId="82">
    <w:nsid w:val="17A1B582"/>
    <w:multiLevelType w:val="hybridMultilevel"/>
    <w:lvl w:ilvl="0">
      <w:lvlJc w:val="left"/>
      <w:lvlText w:val="*"/>
      <w:numFmt w:val="bullet"/>
      <w:start w:val="1"/>
    </w:lvl>
  </w:abstractNum>
  <w:abstractNum w:abstractNumId="83">
    <w:nsid w:val="4DF72E4E"/>
    <w:multiLevelType w:val="hybridMultilevel"/>
    <w:lvl w:ilvl="0">
      <w:lvlJc w:val="left"/>
      <w:lvlText w:val=" "/>
      <w:numFmt w:val="bullet"/>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 "/>
      <w:numFmt w:val="bullet"/>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
      <w:numFmt w:val="bullet"/>
      <w:start w:val="1"/>
    </w:lvl>
  </w:abstractNum>
  <w:abstractNum w:abstractNumId="88">
    <w:nsid w:val="19E21BB2"/>
    <w:multiLevelType w:val="hybridMultilevel"/>
    <w:lvl w:ilvl="0">
      <w:lvlJc w:val="left"/>
      <w:lvlText w:val=" "/>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
      <w:numFmt w:val="bullet"/>
      <w:start w:val="1"/>
    </w:lvl>
    <w:lvl w:ilvl="1">
      <w:lvlJc w:val="left"/>
      <w:lvlText w:val="•"/>
      <w:numFmt w:val="bullet"/>
      <w:start w:val="1"/>
    </w:lvl>
  </w:abstractNum>
  <w:abstractNum w:abstractNumId="93">
    <w:nsid w:val="4427069A"/>
    <w:multiLevelType w:val="hybridMultilevel"/>
    <w:lvl w:ilvl="0">
      <w:lvlJc w:val="left"/>
      <w:lvlText w:val="▪"/>
      <w:numFmt w:val="bullet"/>
      <w:start w:val="1"/>
    </w:lvl>
    <w:lvl w:ilvl="1">
      <w:lvlJc w:val="left"/>
      <w:lvlText w:val="▪"/>
      <w:numFmt w:val="bullet"/>
      <w:start w:val="1"/>
    </w:lvl>
  </w:abstractNum>
  <w:abstractNum w:abstractNumId="94">
    <w:nsid w:val="B37E80A"/>
    <w:multiLevelType w:val="hybridMultilevel"/>
    <w:lvl w:ilvl="0">
      <w:lvlJc w:val="left"/>
      <w:lvlText w:val="▪"/>
      <w:numFmt w:val="bullet"/>
      <w:start w:val="1"/>
    </w:lvl>
    <w:lvl w:ilvl="1">
      <w:lvlJc w:val="left"/>
      <w:lvlText w:val="▪"/>
      <w:numFmt w:val="bullet"/>
      <w:start w:val="1"/>
    </w:lvl>
  </w:abstractNum>
  <w:abstractNum w:abstractNumId="95">
    <w:nsid w:val="2157F6BC"/>
    <w:multiLevelType w:val="hybridMultilevel"/>
    <w:lvl w:ilvl="0">
      <w:lvlJc w:val="left"/>
      <w:lvlText w:val=" "/>
      <w:numFmt w:val="bullet"/>
      <w:start w:val="1"/>
    </w:lvl>
  </w:abstractNum>
  <w:abstractNum w:abstractNumId="96">
    <w:nsid w:val="704E1DD5"/>
    <w:multiLevelType w:val="hybridMultilevel"/>
    <w:lvl w:ilvl="0">
      <w:lvlJc w:val="left"/>
      <w:lvlText w:val=" "/>
      <w:numFmt w:val="bullet"/>
      <w:start w:val="1"/>
    </w:lvl>
  </w:abstractNum>
  <w:abstractNum w:abstractNumId="97">
    <w:nsid w:val="57D2F10E"/>
    <w:multiLevelType w:val="hybridMultilevel"/>
    <w:lvl w:ilvl="0">
      <w:lvlJc w:val="left"/>
      <w:lvlText w:val=" "/>
      <w:numFmt w:val="bullet"/>
      <w:start w:val="1"/>
    </w:lvl>
  </w:abstractNum>
  <w:abstractNum w:abstractNumId="98">
    <w:nsid w:val="BFFAE18"/>
    <w:multiLevelType w:val="hybridMultilevel"/>
    <w:lvl w:ilvl="0">
      <w:lvlJc w:val="left"/>
      <w:lvlText w:val=" "/>
      <w:numFmt w:val="bullet"/>
      <w:start w:val="1"/>
    </w:lvl>
  </w:abstractNum>
  <w:abstractNum w:abstractNumId="99">
    <w:nsid w:val="E3E47A8"/>
    <w:multiLevelType w:val="hybridMultilevel"/>
    <w:lvl w:ilvl="0">
      <w:lvlJc w:val="left"/>
      <w:lvlText w:val=" "/>
      <w:numFmt w:val="bullet"/>
      <w:start w:val="1"/>
    </w:lvl>
  </w:abstractNum>
  <w:abstractNum w:abstractNumId="100">
    <w:nsid w:val="2E48F044"/>
    <w:multiLevelType w:val="hybridMultilevel"/>
    <w:lvl w:ilvl="0">
      <w:lvlJc w:val="left"/>
      <w:lvlText w:val=" "/>
      <w:numFmt w:val="bullet"/>
      <w:start w:val="1"/>
    </w:lvl>
  </w:abstractNum>
  <w:abstractNum w:abstractNumId="101">
    <w:nsid w:val="49D0FEAC"/>
    <w:multiLevelType w:val="hybridMultilevel"/>
    <w:lvl w:ilvl="0">
      <w:lvlJc w:val="left"/>
      <w:lvlText w:val=" "/>
      <w:numFmt w:val="bullet"/>
      <w:start w:val="1"/>
    </w:lvl>
  </w:abstractNum>
  <w:abstractNum w:abstractNumId="102">
    <w:nsid w:val="4BEE5A5B"/>
    <w:multiLevelType w:val="hybridMultilevel"/>
    <w:lvl w:ilvl="0">
      <w:lvlJc w:val="left"/>
      <w:lvlText w:val=" "/>
      <w:numFmt w:val="bullet"/>
      <w:start w:val="1"/>
    </w:lvl>
  </w:abstractNum>
  <w:abstractNum w:abstractNumId="103">
    <w:nsid w:val="5551B9F3"/>
    <w:multiLevelType w:val="hybridMultilevel"/>
    <w:lvl w:ilvl="0">
      <w:lvlJc w:val="left"/>
      <w:lvlText w:val=" "/>
      <w:numFmt w:val="bullet"/>
      <w:start w:val="1"/>
    </w:lvl>
  </w:abstractNum>
  <w:abstractNum w:abstractNumId="104">
    <w:nsid w:val="24F6AB8E"/>
    <w:multiLevelType w:val="hybridMultilevel"/>
    <w:lvl w:ilvl="0">
      <w:lvlJc w:val="left"/>
      <w:lvlText w:val="(%1)"/>
      <w:numFmt w:val="decimal"/>
      <w:start w:val="1"/>
    </w:lvl>
  </w:abstractNum>
  <w:abstractNum w:abstractNumId="105">
    <w:nsid w:val="634C574C"/>
    <w:multiLevelType w:val="hybridMultilevel"/>
    <w:lvl w:ilvl="0">
      <w:lvlJc w:val="left"/>
      <w:lvlText w:val=" "/>
      <w:numFmt w:val="bullet"/>
      <w:start w:val="1"/>
    </w:lvl>
  </w:abstractNum>
  <w:abstractNum w:abstractNumId="106">
    <w:nsid w:val="24E99DD7"/>
    <w:multiLevelType w:val="hybridMultilevel"/>
    <w:lvl w:ilvl="0">
      <w:lvlJc w:val="left"/>
      <w:lvlText w:val="*"/>
      <w:numFmt w:val="bullet"/>
      <w:start w:val="1"/>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 "/>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 "/>
      <w:numFmt w:val="bullet"/>
      <w:start w:val="1"/>
    </w:lvl>
  </w:abstractNum>
  <w:abstractNum w:abstractNumId="111">
    <w:nsid w:val="69E7F3E5"/>
    <w:multiLevelType w:val="hybridMultilevel"/>
    <w:lvl w:ilvl="0">
      <w:lvlJc w:val="left"/>
      <w:lvlText w:val=" "/>
      <w:numFmt w:val="bullet"/>
      <w:start w:val="1"/>
    </w:lvl>
  </w:abstractNum>
  <w:abstractNum w:abstractNumId="112">
    <w:nsid w:val="2A6DE806"/>
    <w:multiLevelType w:val="hybridMultilevel"/>
    <w:lvl w:ilvl="0">
      <w:lvlJc w:val="left"/>
      <w:lvlText w:val=" "/>
      <w:numFmt w:val="bullet"/>
      <w:start w:val="1"/>
    </w:lvl>
  </w:abstractNum>
  <w:abstractNum w:abstractNumId="113">
    <w:nsid w:val="1816F8C4"/>
    <w:multiLevelType w:val="hybridMultilevel"/>
    <w:lvl w:ilvl="0">
      <w:lvlJc w:val="left"/>
      <w:lvlText w:val=" "/>
      <w:numFmt w:val="bullet"/>
      <w:start w:val="1"/>
    </w:lvl>
  </w:abstractNum>
  <w:abstractNum w:abstractNumId="114">
    <w:nsid w:val="37DF2233"/>
    <w:multiLevelType w:val="hybridMultilevel"/>
    <w:lvl w:ilvl="0">
      <w:lvlJc w:val="left"/>
      <w:lvlText w:val=" "/>
      <w:numFmt w:val="bullet"/>
      <w:start w:val="1"/>
    </w:lvl>
  </w:abstractNum>
  <w:abstractNum w:abstractNumId="115">
    <w:nsid w:val="7AB49DAF"/>
    <w:multiLevelType w:val="hybridMultilevel"/>
    <w:lvl w:ilvl="0">
      <w:lvlJc w:val="left"/>
      <w:lvlText w:val=" "/>
      <w:numFmt w:val="bullet"/>
      <w:start w:val="1"/>
    </w:lvl>
  </w:abstractNum>
  <w:abstractNum w:abstractNumId="116">
    <w:nsid w:val="759F82CD"/>
    <w:multiLevelType w:val="hybridMultilevel"/>
    <w:lvl w:ilvl="0">
      <w:lvlJc w:val="left"/>
      <w:lvlText w:val=" "/>
      <w:numFmt w:val="bullet"/>
      <w:start w:val="1"/>
    </w:lvl>
  </w:abstractNum>
  <w:abstractNum w:abstractNumId="117">
    <w:nsid w:val="61E74EA3"/>
    <w:multiLevelType w:val="hybridMultilevel"/>
    <w:lvl w:ilvl="0">
      <w:lvlJc w:val="left"/>
      <w:lvlText w:val=" "/>
      <w:numFmt w:val="bullet"/>
      <w:start w:val="1"/>
    </w:lvl>
  </w:abstractNum>
  <w:abstractNum w:abstractNumId="118">
    <w:nsid w:val="597B4D84"/>
    <w:multiLevelType w:val="hybridMultilevel"/>
    <w:lvl w:ilvl="0">
      <w:lvlJc w:val="left"/>
      <w:lvlText w:val=" "/>
      <w:numFmt w:val="bullet"/>
      <w:start w:val="1"/>
    </w:lvl>
  </w:abstractNum>
  <w:abstractNum w:abstractNumId="119">
    <w:nsid w:val="F819E7F"/>
    <w:multiLevelType w:val="hybridMultilevel"/>
    <w:lvl w:ilvl="0">
      <w:lvlJc w:val="left"/>
      <w:lvlText w:val=" "/>
      <w:numFmt w:val="bullet"/>
      <w:start w:val="1"/>
    </w:lvl>
  </w:abstractNum>
  <w:abstractNum w:abstractNumId="120">
    <w:nsid w:val="57C7D42D"/>
    <w:multiLevelType w:val="hybridMultilevel"/>
    <w:lvl w:ilvl="0">
      <w:lvlJc w:val="left"/>
      <w:lvlText w:val=" "/>
      <w:numFmt w:val="bullet"/>
      <w:start w:val="1"/>
    </w:lvl>
  </w:abstractNum>
  <w:abstractNum w:abstractNumId="121">
    <w:nsid w:val="312167AD"/>
    <w:multiLevelType w:val="hybridMultilevel"/>
    <w:lvl w:ilvl="0">
      <w:lvlJc w:val="left"/>
      <w:lvlText w:val=" "/>
      <w:numFmt w:val="bullet"/>
      <w:start w:val="1"/>
    </w:lvl>
  </w:abstractNum>
  <w:abstractNum w:abstractNumId="122">
    <w:nsid w:val="631B64D4"/>
    <w:multiLevelType w:val="hybridMultilevel"/>
    <w:lvl w:ilvl="0">
      <w:lvlJc w:val="left"/>
      <w:lvlText w:val=" "/>
      <w:numFmt w:val="bullet"/>
      <w:start w:val="1"/>
    </w:lvl>
  </w:abstractNum>
  <w:abstractNum w:abstractNumId="123">
    <w:nsid w:val="78B5E776"/>
    <w:multiLevelType w:val="hybridMultilevel"/>
    <w:lvl w:ilvl="0">
      <w:lvlJc w:val="left"/>
      <w:lvlText w:val=" "/>
      <w:numFmt w:val="bullet"/>
      <w:start w:val="1"/>
    </w:lvl>
  </w:abstractNum>
  <w:abstractNum w:abstractNumId="124">
    <w:nsid w:val="75486E47"/>
    <w:multiLevelType w:val="hybridMultilevel"/>
    <w:lvl w:ilvl="0">
      <w:lvlJc w:val="left"/>
      <w:lvlText w:val=" "/>
      <w:numFmt w:val="bullet"/>
      <w:start w:val="1"/>
    </w:lvl>
  </w:abstractNum>
  <w:abstractNum w:abstractNumId="125">
    <w:nsid w:val="6E534CDE"/>
    <w:multiLevelType w:val="hybridMultilevel"/>
    <w:lvl w:ilvl="0">
      <w:lvlJc w:val="left"/>
      <w:lvlText w:val=" "/>
      <w:numFmt w:val="bullet"/>
      <w:start w:val="1"/>
    </w:lvl>
  </w:abstractNum>
  <w:abstractNum w:abstractNumId="126">
    <w:nsid w:val="1A0DDE32"/>
    <w:multiLevelType w:val="hybridMultilevel"/>
    <w:lvl w:ilvl="0">
      <w:lvlJc w:val="left"/>
      <w:lvlText w:val=" "/>
      <w:numFmt w:val="bullet"/>
      <w:start w:val="1"/>
    </w:lvl>
  </w:abstractNum>
  <w:abstractNum w:abstractNumId="127">
    <w:nsid w:val="65968C1C"/>
    <w:multiLevelType w:val="hybridMultilevel"/>
    <w:lvl w:ilvl="0">
      <w:lvlJc w:val="left"/>
      <w:lvlText w:val=" "/>
      <w:numFmt w:val="bullet"/>
      <w:start w:val="1"/>
    </w:lvl>
  </w:abstractNum>
  <w:abstractNum w:abstractNumId="128">
    <w:nsid w:val="46263DEC"/>
    <w:multiLevelType w:val="hybridMultilevel"/>
    <w:lvl w:ilvl="0">
      <w:lvlJc w:val="left"/>
      <w:lvlText w:val=" "/>
      <w:numFmt w:val="bullet"/>
      <w:start w:val="1"/>
    </w:lvl>
  </w:abstractNum>
  <w:abstractNum w:abstractNumId="129">
    <w:nsid w:val="260D8C4A"/>
    <w:multiLevelType w:val="hybridMultilevel"/>
    <w:lvl w:ilvl="0">
      <w:lvlJc w:val="left"/>
      <w:lvlText w:val=" "/>
      <w:numFmt w:val="bullet"/>
      <w:start w:val="1"/>
    </w:lvl>
  </w:abstractNum>
  <w:abstractNum w:abstractNumId="130">
    <w:nsid w:val="73D4D3C4"/>
    <w:multiLevelType w:val="hybridMultilevel"/>
    <w:lvl w:ilvl="0">
      <w:lvlJc w:val="left"/>
      <w:lvlText w:val=" "/>
      <w:numFmt w:val="bullet"/>
      <w:start w:val="1"/>
    </w:lvl>
  </w:abstractNum>
  <w:abstractNum w:abstractNumId="131">
    <w:nsid w:val="746F2E30"/>
    <w:multiLevelType w:val="hybridMultilevel"/>
    <w:lvl w:ilvl="0">
      <w:lvlJc w:val="left"/>
      <w:lvlText w:val=" "/>
      <w:numFmt w:val="bullet"/>
      <w:start w:val="1"/>
    </w:lvl>
  </w:abstractNum>
  <w:abstractNum w:abstractNumId="132">
    <w:nsid w:val="6FDE8AF6"/>
    <w:multiLevelType w:val="hybridMultilevel"/>
    <w:lvl w:ilvl="0">
      <w:lvlJc w:val="left"/>
      <w:lvlText w:val="(%1)"/>
      <w:numFmt w:val="decimal"/>
      <w:start w:val="1"/>
    </w:lvl>
    <w:lvl w:ilvl="1">
      <w:lvlJc w:val="left"/>
      <w:lvlText w:val="(%2)"/>
      <w:numFmt w:val="lowerLetter"/>
      <w:start w:val="2"/>
    </w:lvl>
  </w:abstractNum>
  <w:abstractNum w:abstractNumId="133">
    <w:nsid w:val="3FC32E20"/>
    <w:multiLevelType w:val="hybridMultilevel"/>
    <w:lvl w:ilvl="0">
      <w:lvlJc w:val="left"/>
      <w:lvlText w:val=" "/>
      <w:numFmt w:val="bullet"/>
      <w:start w:val="1"/>
    </w:lvl>
  </w:abstractNum>
  <w:abstractNum w:abstractNumId="134">
    <w:nsid w:val="49C0E823"/>
    <w:multiLevelType w:val="hybridMultilevel"/>
    <w:lvl w:ilvl="0">
      <w:lvlJc w:val="left"/>
      <w:lvlText w:val="(%1)"/>
      <w:numFmt w:val="decimal"/>
      <w:start w:val="1"/>
    </w:lvl>
  </w:abstractNum>
  <w:abstractNum w:abstractNumId="135">
    <w:nsid w:val="14D53685"/>
    <w:multiLevelType w:val="hybridMultilevel"/>
    <w:lvl w:ilvl="0">
      <w:lvlJc w:val="left"/>
      <w:lvlText w:val=" "/>
      <w:numFmt w:val="bullet"/>
      <w:start w:val="1"/>
    </w:lvl>
  </w:abstractNum>
  <w:abstractNum w:abstractNumId="136">
    <w:nsid w:val="230F856C"/>
    <w:multiLevelType w:val="hybridMultilevel"/>
    <w:lvl w:ilvl="0">
      <w:lvlJc w:val="left"/>
      <w:lvlText w:val="(%1)"/>
      <w:numFmt w:val="decimal"/>
      <w:start w:val="1"/>
    </w:lvl>
  </w:abstractNum>
  <w:abstractNum w:abstractNumId="137">
    <w:nsid w:val="6EAA85FB"/>
    <w:multiLevelType w:val="hybridMultilevel"/>
    <w:lvl w:ilvl="0">
      <w:lvlJc w:val="left"/>
      <w:lvlText w:val=" "/>
      <w:numFmt w:val="bullet"/>
      <w:start w:val="1"/>
    </w:lvl>
  </w:abstractNum>
  <w:abstractNum w:abstractNumId="138">
    <w:nsid w:val="3F06ECB2"/>
    <w:multiLevelType w:val="hybridMultilevel"/>
    <w:lvl w:ilvl="0">
      <w:lvlJc w:val="left"/>
      <w:lvlText w:val="(%1)"/>
      <w:numFmt w:val="decimal"/>
      <w:start w:val="1"/>
    </w:lvl>
  </w:abstractNum>
  <w:abstractNum w:abstractNumId="139">
    <w:nsid w:val="3B594807"/>
    <w:multiLevelType w:val="hybridMultilevel"/>
    <w:lvl w:ilvl="0">
      <w:lvlJc w:val="left"/>
      <w:lvlText w:val=" "/>
      <w:numFmt w:val="bullet"/>
      <w:start w:val="1"/>
    </w:lvl>
  </w:abstractNum>
  <w:abstractNum w:abstractNumId="140">
    <w:nsid w:val="6CAA2304"/>
    <w:multiLevelType w:val="hybridMultilevel"/>
    <w:lvl w:ilvl="0">
      <w:lvlJc w:val="left"/>
      <w:lvlText w:val=" "/>
      <w:numFmt w:val="bullet"/>
      <w:start w:val="1"/>
    </w:lvl>
    <w:lvl w:ilvl="1">
      <w:lvlJc w:val="left"/>
      <w:lvlText w:val="(%2)"/>
      <w:numFmt w:val="decimal"/>
      <w:start w:val="1"/>
    </w:lvl>
  </w:abstractNum>
  <w:abstractNum w:abstractNumId="141">
    <w:nsid w:val="3F7C2FF4"/>
    <w:multiLevelType w:val="hybridMultilevel"/>
    <w:lvl w:ilvl="0">
      <w:lvlJc w:val="left"/>
      <w:lvlText w:val="(%1)"/>
      <w:numFmt w:val="decimal"/>
      <w:start w:val="1"/>
    </w:lvl>
  </w:abstractNum>
  <w:abstractNum w:abstractNumId="142">
    <w:nsid w:val="25413BEC"/>
    <w:multiLevelType w:val="hybridMultilevel"/>
    <w:lvl w:ilvl="0">
      <w:lvlJc w:val="left"/>
      <w:lvlText w:val="%1"/>
      <w:numFmt w:val="decimal"/>
      <w:start w:val="1"/>
    </w:lvl>
    <w:lvl w:ilvl="1">
      <w:lvlJc w:val="left"/>
      <w:lvlText w:val="(%2)"/>
      <w:numFmt w:val="lowerLetter"/>
      <w:start w:val="2"/>
    </w:lvl>
  </w:abstractNum>
  <w:abstractNum w:abstractNumId="143">
    <w:nsid w:val="17180B0B"/>
    <w:multiLevelType w:val="hybridMultilevel"/>
    <w:lvl w:ilvl="0">
      <w:lvlJc w:val="left"/>
      <w:lvlText w:val="%1"/>
      <w:numFmt w:val="decimal"/>
      <w:start w:val="1"/>
    </w:lvl>
    <w:lvl w:ilvl="1">
      <w:lvlJc w:val="left"/>
      <w:lvlText w:val="(%2)"/>
      <w:numFmt w:val="lowerLetter"/>
      <w:start w:val="4"/>
    </w:lvl>
  </w:abstractNum>
  <w:abstractNum w:abstractNumId="144">
    <w:nsid w:val="579328B9"/>
    <w:multiLevelType w:val="hybridMultilevel"/>
    <w:lvl w:ilvl="0">
      <w:lvlJc w:val="left"/>
      <w:lvlText w:val="(%1)"/>
      <w:numFmt w:val="decimal"/>
      <w:start w:val="3"/>
    </w:lvl>
    <w:lvl w:ilvl="1">
      <w:lvlJc w:val="left"/>
      <w:lvlText w:val="(%2)"/>
      <w:numFmt w:val="lowerLetter"/>
      <w:start w:val="2"/>
    </w:lvl>
  </w:abstractNum>
  <w:abstractNum w:abstractNumId="145">
    <w:nsid w:val="5D205E20"/>
    <w:multiLevelType w:val="hybridMultilevel"/>
    <w:lvl w:ilvl="0">
      <w:lvlJc w:val="left"/>
      <w:lvlText w:val=" "/>
      <w:numFmt w:val="bullet"/>
      <w:start w:val="1"/>
    </w:lvl>
  </w:abstractNum>
  <w:abstractNum w:abstractNumId="146">
    <w:nsid w:val="11CCA8BA"/>
    <w:multiLevelType w:val="hybridMultilevel"/>
    <w:lvl w:ilvl="0">
      <w:lvlJc w:val="left"/>
      <w:lvlText w:val=" "/>
      <w:numFmt w:val="bullet"/>
      <w:start w:val="1"/>
    </w:lvl>
  </w:abstractNum>
  <w:abstractNum w:abstractNumId="147">
    <w:nsid w:val="4D32AB86"/>
    <w:multiLevelType w:val="hybridMultilevel"/>
    <w:lvl w:ilvl="0">
      <w:lvlJc w:val="left"/>
      <w:lvlText w:val="(%1)"/>
      <w:numFmt w:val="decimal"/>
      <w:start w:val="1"/>
    </w:lvl>
  </w:abstractNum>
  <w:abstractNum w:abstractNumId="148">
    <w:nsid w:val="3F07ACC3"/>
    <w:multiLevelType w:val="hybridMultilevel"/>
    <w:lvl w:ilvl="0">
      <w:lvlJc w:val="left"/>
      <w:lvlText w:val="(%1)"/>
      <w:numFmt w:val="decimal"/>
      <w:start w:val="2"/>
    </w:lvl>
  </w:abstractNum>
  <w:abstractNum w:abstractNumId="149">
    <w:nsid w:val="6B47F63E"/>
    <w:multiLevelType w:val="hybridMultilevel"/>
    <w:lvl w:ilvl="0">
      <w:lvlJc w:val="left"/>
      <w:lvlText w:val="(%1)"/>
      <w:numFmt w:val="decimal"/>
      <w:start w:val="3"/>
    </w:lvl>
  </w:abstractNum>
  <w:abstractNum w:abstractNumId="150">
    <w:nsid w:val="5CB44A05"/>
    <w:multiLevelType w:val="hybridMultilevel"/>
    <w:lvl w:ilvl="0">
      <w:lvlJc w:val="left"/>
      <w:lvlText w:val="*"/>
      <w:numFmt w:val="bullet"/>
      <w:start w:val="1"/>
    </w:lvl>
  </w:abstractNum>
  <w:abstractNum w:abstractNumId="151">
    <w:nsid w:val="16CF80F1"/>
    <w:multiLevelType w:val="hybridMultilevel"/>
    <w:lvl w:ilvl="0">
      <w:lvlJc w:val="left"/>
      <w:lvlText w:val="*"/>
      <w:numFmt w:val="bullet"/>
      <w:start w:val="1"/>
    </w:lvl>
  </w:abstractNum>
  <w:abstractNum w:abstractNumId="152">
    <w:nsid w:val="1C695DEC"/>
    <w:multiLevelType w:val="hybridMultilevel"/>
    <w:lvl w:ilvl="0">
      <w:lvlJc w:val="left"/>
      <w:lvlText w:val="•"/>
      <w:numFmt w:val="bullet"/>
      <w:start w:val="1"/>
    </w:lvl>
  </w:abstractNum>
  <w:abstractNum w:abstractNumId="153">
    <w:nsid w:val="3FCFAED9"/>
    <w:multiLevelType w:val="hybridMultilevel"/>
    <w:lvl w:ilvl="0">
      <w:lvlJc w:val="left"/>
      <w:lvlText w:val=" "/>
      <w:numFmt w:val="bullet"/>
      <w:start w:val="1"/>
    </w:lvl>
  </w:abstractNum>
  <w:abstractNum w:abstractNumId="154">
    <w:nsid w:val="F856867"/>
    <w:multiLevelType w:val="hybridMultilevel"/>
    <w:lvl w:ilvl="0">
      <w:lvlJc w:val="left"/>
      <w:lvlText w:val="(%1)"/>
      <w:numFmt w:val="decimal"/>
      <w:start w:val="1"/>
    </w:lvl>
  </w:abstractNum>
  <w:abstractNum w:abstractNumId="155">
    <w:nsid w:val="11B1CC33"/>
    <w:multiLevelType w:val="hybridMultilevel"/>
    <w:lvl w:ilvl="0">
      <w:lvlJc w:val="left"/>
      <w:lvlText w:val=" "/>
      <w:numFmt w:val="bullet"/>
      <w:start w:val="1"/>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 "/>
      <w:numFmt w:val="bullet"/>
      <w:start w:val="1"/>
    </w:lvl>
  </w:abstractNum>
  <w:abstractNum w:abstractNumId="158">
    <w:nsid w:val="77485850"/>
    <w:multiLevelType w:val="hybridMultilevel"/>
    <w:lvl w:ilvl="0">
      <w:lvlJc w:val="left"/>
      <w:lvlText w:val="(%1)"/>
      <w:numFmt w:val="decimal"/>
      <w:start w:val="1"/>
    </w:lvl>
  </w:abstractNum>
  <w:abstractNum w:abstractNumId="159">
    <w:nsid w:val="744939A3"/>
    <w:multiLevelType w:val="hybridMultilevel"/>
    <w:lvl w:ilvl="0">
      <w:lvlJc w:val="left"/>
      <w:lvlText w:val=" "/>
      <w:numFmt w:val="bullet"/>
      <w:start w:val="1"/>
    </w:lvl>
  </w:abstractNum>
  <w:abstractNum w:abstractNumId="160">
    <w:nsid w:val="4FA0D2E3"/>
    <w:multiLevelType w:val="hybridMultilevel"/>
    <w:lvl w:ilvl="0">
      <w:lvlJc w:val="left"/>
      <w:lvlText w:val="*"/>
      <w:numFmt w:val="bullet"/>
      <w:start w:val="1"/>
    </w:lvl>
  </w:abstractNum>
  <w:abstractNum w:abstractNumId="161">
    <w:nsid w:val="6B1D2C14"/>
    <w:multiLevelType w:val="hybridMultilevel"/>
    <w:lvl w:ilvl="0">
      <w:lvlJc w:val="left"/>
      <w:lvlText w:val="(%1)"/>
      <w:numFmt w:val="decimal"/>
      <w:start w:val="1"/>
    </w:lvl>
  </w:abstractNum>
  <w:abstractNum w:abstractNumId="162">
    <w:nsid w:val="68B867D3"/>
    <w:multiLevelType w:val="hybridMultilevel"/>
    <w:lvl w:ilvl="0">
      <w:lvlJc w:val="left"/>
      <w:lvlText w:val=" "/>
      <w:numFmt w:val="bullet"/>
      <w:start w:val="1"/>
    </w:lvl>
  </w:abstractNum>
  <w:abstractNum w:abstractNumId="163">
    <w:nsid w:val="3F7F5DD9"/>
    <w:multiLevelType w:val="hybridMultilevel"/>
    <w:lvl w:ilvl="0">
      <w:lvlJc w:val="left"/>
      <w:lvlText w:val=" "/>
      <w:numFmt w:val="bullet"/>
      <w:start w:val="1"/>
    </w:lvl>
  </w:abstractNum>
  <w:abstractNum w:abstractNumId="164">
    <w:nsid w:val="2AE05A34"/>
    <w:multiLevelType w:val="hybridMultilevel"/>
    <w:lvl w:ilvl="0">
      <w:lvlJc w:val="left"/>
      <w:lvlText w:val=" "/>
      <w:numFmt w:val="bullet"/>
      <w:start w:val="1"/>
    </w:lvl>
  </w:abstractNum>
  <w:abstractNum w:abstractNumId="165">
    <w:nsid w:val="32794FF7"/>
    <w:multiLevelType w:val="hybridMultilevel"/>
    <w:lvl w:ilvl="0">
      <w:lvlJc w:val="left"/>
      <w:lvlText w:val=" "/>
      <w:numFmt w:val="bullet"/>
      <w:start w:val="1"/>
    </w:lvl>
  </w:abstractNum>
  <w:abstractNum w:abstractNumId="166">
    <w:nsid w:val="5454945E"/>
    <w:multiLevelType w:val="hybridMultilevel"/>
    <w:lvl w:ilvl="0">
      <w:lvlJc w:val="left"/>
      <w:lvlText w:val=" "/>
      <w:numFmt w:val="bullet"/>
      <w:start w:val="1"/>
    </w:lvl>
  </w:abstractNum>
  <w:abstractNum w:abstractNumId="167">
    <w:nsid w:val="4DEFDFA0"/>
    <w:multiLevelType w:val="hybridMultilevel"/>
    <w:lvl w:ilvl="0">
      <w:lvlJc w:val="left"/>
      <w:lvlText w:val=" "/>
      <w:numFmt w:val="bullet"/>
      <w:start w:val="1"/>
    </w:lvl>
  </w:abstractNum>
  <w:abstractNum w:abstractNumId="168">
    <w:nsid w:val="2123D5F2"/>
    <w:multiLevelType w:val="hybridMultilevel"/>
    <w:lvl w:ilvl="0">
      <w:lvlJc w:val="left"/>
      <w:lvlText w:val=" "/>
      <w:numFmt w:val="bullet"/>
      <w:start w:val="1"/>
    </w:lvl>
  </w:abstractNum>
  <w:abstractNum w:abstractNumId="169">
    <w:nsid w:val="135B8110"/>
    <w:multiLevelType w:val="hybridMultilevel"/>
    <w:lvl w:ilvl="0">
      <w:lvlJc w:val="left"/>
      <w:lvlText w:val=" "/>
      <w:numFmt w:val="bullet"/>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2023-03-24T08:01:00Z</dcterms:created>
  <dcterms:modified xsi:type="dcterms:W3CDTF">2023-03-24T08:01:00Z</dcterms:modified>
</cp:coreProperties>
</file>