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30"/>
          <w:szCs w:val="30"/>
          <w:b w:val="1"/>
          <w:bCs w:val="1"/>
          <w:color w:val="auto"/>
        </w:rPr>
        <w:t>UNITED STATES</w:t>
      </w:r>
    </w:p>
    <w:p>
      <w:pPr>
        <w:spacing w:after="0" w:line="12" w:lineRule="exact"/>
        <w:rPr>
          <w:sz w:val="24"/>
          <w:szCs w:val="24"/>
          <w:color w:val="auto"/>
        </w:rPr>
      </w:pPr>
    </w:p>
    <w:p>
      <w:pPr>
        <w:jc w:val="center"/>
        <w:ind w:right="-180"/>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180"/>
        <w:spacing w:after="0"/>
        <w:rPr>
          <w:sz w:val="20"/>
          <w:szCs w:val="20"/>
          <w:color w:val="auto"/>
        </w:rPr>
      </w:pPr>
      <w:r>
        <w:rPr>
          <w:rFonts w:ascii="Arial" w:cs="Arial" w:eastAsia="Arial" w:hAnsi="Arial"/>
          <w:sz w:val="20"/>
          <w:szCs w:val="20"/>
          <w:b w:val="1"/>
          <w:bCs w:val="1"/>
          <w:color w:val="auto"/>
        </w:rPr>
        <w:t>Washington, D.C. 20549</w:t>
      </w:r>
    </w:p>
    <w:p>
      <w:pPr>
        <w:spacing w:after="0" w:line="105" w:lineRule="exact"/>
        <w:rPr>
          <w:sz w:val="24"/>
          <w:szCs w:val="24"/>
          <w:color w:val="auto"/>
        </w:rPr>
      </w:pPr>
    </w:p>
    <w:p>
      <w:pPr>
        <w:jc w:val="center"/>
        <w:ind w:right="-180"/>
        <w:spacing w:after="0"/>
        <w:rPr>
          <w:sz w:val="20"/>
          <w:szCs w:val="20"/>
          <w:color w:val="auto"/>
        </w:rPr>
      </w:pPr>
      <w:r>
        <w:rPr>
          <w:rFonts w:ascii="Arial" w:cs="Arial" w:eastAsia="Arial" w:hAnsi="Arial"/>
          <w:sz w:val="30"/>
          <w:szCs w:val="30"/>
          <w:b w:val="1"/>
          <w:bCs w:val="1"/>
          <w:color w:val="auto"/>
        </w:rPr>
        <w:t>FORM 8-K</w:t>
      </w:r>
    </w:p>
    <w:p>
      <w:pPr>
        <w:spacing w:after="0" w:line="151" w:lineRule="exact"/>
        <w:rPr>
          <w:sz w:val="24"/>
          <w:szCs w:val="24"/>
          <w:color w:val="auto"/>
        </w:rPr>
      </w:pPr>
    </w:p>
    <w:p>
      <w:pPr>
        <w:jc w:val="center"/>
        <w:ind w:right="-180"/>
        <w:spacing w:after="0"/>
        <w:rPr>
          <w:sz w:val="20"/>
          <w:szCs w:val="20"/>
          <w:color w:val="auto"/>
        </w:rPr>
      </w:pPr>
      <w:r>
        <w:rPr>
          <w:rFonts w:ascii="Arial" w:cs="Arial" w:eastAsia="Arial" w:hAnsi="Arial"/>
          <w:sz w:val="22"/>
          <w:szCs w:val="22"/>
          <w:b w:val="1"/>
          <w:bCs w:val="1"/>
          <w:color w:val="auto"/>
        </w:rPr>
        <w:t>CURRENT REPORT</w:t>
      </w:r>
    </w:p>
    <w:p>
      <w:pPr>
        <w:spacing w:after="0" w:line="154" w:lineRule="exact"/>
        <w:rPr>
          <w:sz w:val="24"/>
          <w:szCs w:val="24"/>
          <w:color w:val="auto"/>
        </w:rPr>
      </w:pPr>
    </w:p>
    <w:p>
      <w:pPr>
        <w:jc w:val="center"/>
        <w:ind w:right="-18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2" w:lineRule="exact"/>
        <w:rPr>
          <w:sz w:val="24"/>
          <w:szCs w:val="24"/>
          <w:color w:val="auto"/>
        </w:rPr>
      </w:pPr>
    </w:p>
    <w:p>
      <w:pPr>
        <w:jc w:val="center"/>
        <w:ind w:right="-180"/>
        <w:spacing w:after="0"/>
        <w:rPr>
          <w:sz w:val="20"/>
          <w:szCs w:val="20"/>
          <w:color w:val="auto"/>
        </w:rPr>
      </w:pPr>
      <w:r>
        <w:rPr>
          <w:rFonts w:ascii="Arial" w:cs="Arial" w:eastAsia="Arial" w:hAnsi="Arial"/>
          <w:sz w:val="20"/>
          <w:szCs w:val="20"/>
          <w:b w:val="1"/>
          <w:bCs w:val="1"/>
          <w:color w:val="auto"/>
        </w:rPr>
        <w:t>Date of Report (Date of earliest event reported) June 30, 2011</w:t>
      </w:r>
    </w:p>
    <w:p>
      <w:pPr>
        <w:spacing w:after="0" w:line="126" w:lineRule="exact"/>
        <w:rPr>
          <w:sz w:val="24"/>
          <w:szCs w:val="24"/>
          <w:color w:val="auto"/>
        </w:rPr>
      </w:pPr>
    </w:p>
    <w:p>
      <w:pPr>
        <w:jc w:val="center"/>
        <w:ind w:right="-180"/>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1"/>
          </w:cols>
          <w:pgMar w:left="239" w:top="200" w:right="419" w:bottom="1440" w:gutter="0" w:footer="0" w:header="0"/>
        </w:sectPr>
      </w:pPr>
    </w:p>
    <w:p>
      <w:pPr>
        <w:spacing w:after="0" w:line="181" w:lineRule="exact"/>
        <w:rPr>
          <w:sz w:val="24"/>
          <w:szCs w:val="24"/>
          <w:color w:val="auto"/>
        </w:rPr>
      </w:pPr>
    </w:p>
    <w:p>
      <w:pPr>
        <w:ind w:left="1601"/>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400"/>
        <w:spacing w:after="0"/>
        <w:rPr>
          <w:sz w:val="20"/>
          <w:szCs w:val="20"/>
          <w:color w:val="auto"/>
        </w:rPr>
      </w:pPr>
      <w:r>
        <w:rPr>
          <w:rFonts w:ascii="Arial" w:cs="Arial" w:eastAsia="Arial" w:hAnsi="Arial"/>
          <w:sz w:val="14"/>
          <w:szCs w:val="14"/>
          <w:b w:val="1"/>
          <w:bCs w:val="1"/>
          <w:color w:val="auto"/>
        </w:rPr>
        <w:t>1-07533</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52-0782497</w:t>
      </w:r>
    </w:p>
    <w:p>
      <w:pPr>
        <w:spacing w:after="0" w:line="47" w:lineRule="exact"/>
        <w:rPr>
          <w:sz w:val="24"/>
          <w:szCs w:val="24"/>
          <w:color w:val="auto"/>
        </w:rPr>
      </w:pPr>
    </w:p>
    <w:p>
      <w:pPr>
        <w:sectPr>
          <w:pgSz w:w="11900" w:h="16838" w:orient="portrait"/>
          <w:cols w:equalWidth="0" w:num="3">
            <w:col w:w="4861" w:space="720"/>
            <w:col w:w="2920" w:space="720"/>
            <w:col w:w="2020"/>
          </w:cols>
          <w:pgMar w:left="239" w:top="200" w:right="419" w:bottom="1440" w:gutter="0" w:footer="0" w:header="0"/>
          <w:type w:val="continuous"/>
        </w:sectPr>
      </w:pPr>
    </w:p>
    <w:p>
      <w:pPr>
        <w:jc w:val="center"/>
        <w:ind w:right="879"/>
        <w:spacing w:after="0"/>
        <w:rPr>
          <w:sz w:val="20"/>
          <w:szCs w:val="20"/>
          <w:color w:val="auto"/>
        </w:rPr>
      </w:pPr>
      <w:r>
        <w:rPr>
          <w:rFonts w:ascii="Arial" w:cs="Arial" w:eastAsia="Arial" w:hAnsi="Arial"/>
          <w:sz w:val="11"/>
          <w:szCs w:val="11"/>
          <w:b w:val="1"/>
          <w:bCs w:val="1"/>
          <w:color w:val="auto"/>
        </w:rPr>
        <w:t>(State or other jurisdiction</w:t>
      </w:r>
    </w:p>
    <w:p>
      <w:pPr>
        <w:spacing w:after="0" w:line="12" w:lineRule="exact"/>
        <w:rPr>
          <w:sz w:val="24"/>
          <w:szCs w:val="24"/>
          <w:color w:val="auto"/>
        </w:rPr>
      </w:pPr>
    </w:p>
    <w:p>
      <w:pPr>
        <w:jc w:val="center"/>
        <w:ind w:right="879"/>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1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2"/>
          <w:szCs w:val="12"/>
          <w:b w:val="1"/>
          <w:bCs w:val="1"/>
          <w:color w:val="auto"/>
        </w:rPr>
        <w:t>(IRS Employer</w:t>
      </w:r>
    </w:p>
    <w:p>
      <w:pPr>
        <w:jc w:val="center"/>
        <w:ind w:right="1160"/>
        <w:spacing w:after="0"/>
        <w:rPr>
          <w:sz w:val="20"/>
          <w:szCs w:val="20"/>
          <w:color w:val="auto"/>
        </w:rPr>
      </w:pPr>
      <w:r>
        <w:rPr>
          <w:rFonts w:ascii="Arial" w:cs="Arial" w:eastAsia="Arial" w:hAnsi="Arial"/>
          <w:sz w:val="11"/>
          <w:szCs w:val="11"/>
          <w:b w:val="1"/>
          <w:bCs w:val="1"/>
          <w:color w:val="auto"/>
        </w:rPr>
        <w:t>Identification No.)</w:t>
      </w:r>
    </w:p>
    <w:p>
      <w:pPr>
        <w:spacing w:after="0" w:line="192" w:lineRule="exact"/>
        <w:rPr>
          <w:sz w:val="24"/>
          <w:szCs w:val="24"/>
          <w:color w:val="auto"/>
        </w:rPr>
      </w:pPr>
    </w:p>
    <w:p>
      <w:pPr>
        <w:sectPr>
          <w:pgSz w:w="11900" w:h="16838" w:orient="portrait"/>
          <w:cols w:equalWidth="0" w:num="3">
            <w:col w:w="4761" w:space="720"/>
            <w:col w:w="2920" w:space="720"/>
            <w:col w:w="2120"/>
          </w:cols>
          <w:pgMar w:left="239" w:top="200" w:right="419" w:bottom="1440" w:gutter="0" w:footer="0" w:header="0"/>
          <w:type w:val="continuous"/>
        </w:sectPr>
      </w:pPr>
    </w:p>
    <w:p>
      <w:pPr>
        <w:ind w:left="1221"/>
        <w:spacing w:after="0"/>
        <w:rPr>
          <w:sz w:val="20"/>
          <w:szCs w:val="20"/>
          <w:color w:val="auto"/>
        </w:rPr>
      </w:pPr>
      <w:r>
        <w:rPr>
          <w:rFonts w:ascii="Arial" w:cs="Arial" w:eastAsia="Arial" w:hAnsi="Arial"/>
          <w:sz w:val="14"/>
          <w:szCs w:val="14"/>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20852-4041</w:t>
      </w:r>
    </w:p>
    <w:p>
      <w:pPr>
        <w:spacing w:after="0" w:line="48" w:lineRule="exact"/>
        <w:rPr>
          <w:sz w:val="24"/>
          <w:szCs w:val="24"/>
          <w:color w:val="auto"/>
        </w:rPr>
      </w:pPr>
    </w:p>
    <w:p>
      <w:pPr>
        <w:sectPr>
          <w:pgSz w:w="11900" w:h="16838" w:orient="portrait"/>
          <w:cols w:equalWidth="0" w:num="2">
            <w:col w:w="7581" w:space="720"/>
            <w:col w:w="2940"/>
          </w:cols>
          <w:pgMar w:left="239" w:top="200" w:right="419" w:bottom="1440" w:gutter="0" w:footer="0" w:header="0"/>
          <w:type w:val="continuous"/>
        </w:sectPr>
      </w:pPr>
    </w:p>
    <w:p>
      <w:pPr>
        <w:ind w:left="1841"/>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46" w:lineRule="exact"/>
        <w:rPr>
          <w:sz w:val="24"/>
          <w:szCs w:val="24"/>
          <w:color w:val="auto"/>
        </w:rPr>
      </w:pPr>
    </w:p>
    <w:p>
      <w:pPr>
        <w:sectPr>
          <w:pgSz w:w="11900" w:h="16838" w:orient="portrait"/>
          <w:cols w:equalWidth="0" w:num="2">
            <w:col w:w="7681" w:space="720"/>
            <w:col w:w="2840"/>
          </w:cols>
          <w:pgMar w:left="239" w:top="200" w:right="419" w:bottom="1440" w:gutter="0" w:footer="0" w:header="0"/>
          <w:type w:val="continuous"/>
        </w:sectPr>
      </w:pPr>
    </w:p>
    <w:p>
      <w:pPr>
        <w:jc w:val="center"/>
        <w:ind w:right="-200"/>
        <w:spacing w:after="0"/>
        <w:rPr>
          <w:sz w:val="20"/>
          <w:szCs w:val="20"/>
          <w:color w:val="auto"/>
        </w:rPr>
      </w:pPr>
      <w:r>
        <w:rPr>
          <w:rFonts w:ascii="Arial" w:cs="Arial" w:eastAsia="Arial" w:hAnsi="Arial"/>
          <w:sz w:val="16"/>
          <w:szCs w:val="16"/>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110490</wp:posOffset>
            </wp:positionV>
            <wp:extent cx="1520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0825" cy="7620"/>
                    </a:xfrm>
                    <a:prstGeom prst="rect">
                      <a:avLst/>
                    </a:prstGeom>
                    <a:noFill/>
                  </pic:spPr>
                </pic:pic>
              </a:graphicData>
            </a:graphic>
          </wp:anchor>
        </w:drawing>
      </w:r>
    </w:p>
    <w:p>
      <w:pPr>
        <w:spacing w:after="0" w:line="232" w:lineRule="exact"/>
        <w:rPr>
          <w:sz w:val="24"/>
          <w:szCs w:val="24"/>
          <w:color w:val="auto"/>
        </w:rPr>
      </w:pPr>
    </w:p>
    <w:p>
      <w:pPr>
        <w:ind w:left="1" w:firstLine="457"/>
        <w:spacing w:after="0" w:line="28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32"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7" w:lineRule="exact"/>
        <w:rPr>
          <w:rFonts w:ascii="MS PGothic" w:cs="MS PGothic" w:eastAsia="MS PGothic" w:hAnsi="MS PGothic"/>
          <w:sz w:val="16"/>
          <w:szCs w:val="16"/>
          <w:color w:val="auto"/>
        </w:rPr>
      </w:pPr>
    </w:p>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7" w:lineRule="exact"/>
        <w:rPr>
          <w:rFonts w:ascii="MS PGothic" w:cs="MS PGothic" w:eastAsia="MS PGothic" w:hAnsi="MS PGothic"/>
          <w:sz w:val="16"/>
          <w:szCs w:val="16"/>
          <w:color w:val="auto"/>
        </w:rPr>
      </w:pPr>
    </w:p>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7" w:lineRule="exact"/>
        <w:rPr>
          <w:rFonts w:ascii="MS PGothic" w:cs="MS PGothic" w:eastAsia="MS PGothic" w:hAnsi="MS PGothic"/>
          <w:sz w:val="16"/>
          <w:szCs w:val="16"/>
          <w:color w:val="auto"/>
        </w:rPr>
      </w:pPr>
    </w:p>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241"/>
          </w:cols>
          <w:pgMar w:left="239" w:top="200"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6195"/>
                    </a:xfrm>
                    <a:prstGeom prst="rect">
                      <a:avLst/>
                    </a:prstGeom>
                    <a:noFill/>
                  </pic:spPr>
                </pic:pic>
              </a:graphicData>
            </a:graphic>
          </wp:anchor>
        </w:drawing>
        <w:t>Item 2.02. Results of Operations and Financial Condition.</w:t>
      </w:r>
    </w:p>
    <w:p>
      <w:pPr>
        <w:spacing w:after="0" w:line="92"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07"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On August 3, 2011, Federal Realty Investment Trust issued supplemental data pertaining to its operations, as well as a press release, to report its financial results for the quarter ended June 30, 2011. The supplemental data and press release are furnished as Exhibit 99.1 hereto.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2" w:lineRule="exact"/>
        <w:rPr>
          <w:sz w:val="20"/>
          <w:szCs w:val="20"/>
          <w:color w:val="auto"/>
        </w:rPr>
      </w:pPr>
    </w:p>
    <w:p>
      <w:pPr>
        <w:ind w:left="920" w:hanging="465"/>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9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Supplemental information at June 30, 2011 (including press release dated August 3, 2011)</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SIGNATURES</w:t>
      </w:r>
    </w:p>
    <w:p>
      <w:pPr>
        <w:spacing w:after="0" w:line="166"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FEDERAL REALTY INVESTMENT TRUST</w:t>
      </w:r>
    </w:p>
    <w:p>
      <w:pPr>
        <w:spacing w:after="0" w:line="215" w:lineRule="exact"/>
        <w:rPr>
          <w:sz w:val="20"/>
          <w:szCs w:val="20"/>
          <w:color w:val="auto"/>
        </w:rPr>
      </w:pPr>
    </w:p>
    <w:p>
      <w:pPr>
        <w:spacing w:after="0"/>
        <w:tabs>
          <w:tab w:leader="none" w:pos="6160" w:val="left"/>
        </w:tabs>
        <w:rPr>
          <w:sz w:val="20"/>
          <w:szCs w:val="20"/>
          <w:color w:val="auto"/>
        </w:rPr>
      </w:pPr>
      <w:r>
        <w:rPr>
          <w:rFonts w:ascii="Arial" w:cs="Arial" w:eastAsia="Arial" w:hAnsi="Arial"/>
          <w:sz w:val="16"/>
          <w:szCs w:val="16"/>
          <w:color w:val="auto"/>
        </w:rPr>
        <w:t>Date: August 3, 2011</w:t>
      </w:r>
      <w:r>
        <w:rPr>
          <w:sz w:val="20"/>
          <w:szCs w:val="20"/>
          <w:color w:val="auto"/>
        </w:rPr>
        <w:tab/>
      </w:r>
      <w:r>
        <w:rPr>
          <w:rFonts w:ascii="Arial" w:cs="Arial" w:eastAsia="Arial" w:hAnsi="Arial"/>
          <w:sz w:val="14"/>
          <w:szCs w:val="14"/>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13970</wp:posOffset>
            </wp:positionV>
            <wp:extent cx="33312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1210" cy="762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Andrew P. Blocher</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Senior Vice President-</w:t>
      </w:r>
    </w:p>
    <w:p>
      <w:pPr>
        <w:spacing w:after="0" w:line="1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380"/>
          </w:cols>
          <w:pgMar w:left="240" w:top="26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36195"/>
                    </a:xfrm>
                    <a:prstGeom prst="rect">
                      <a:avLst/>
                    </a:prstGeom>
                    <a:noFill/>
                  </pic:spPr>
                </pic:pic>
              </a:graphicData>
            </a:graphic>
          </wp:anchor>
        </w:drawing>
        <w:t>EXHIBIT 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8"/>
              </w:rPr>
              <w:t>Exh No.</w:t>
            </w:r>
          </w:p>
        </w:tc>
        <w:tc>
          <w:tcPr>
            <w:tcW w:w="10980" w:type="dxa"/>
            <w:vAlign w:val="bottom"/>
            <w:gridSpan w:val="2"/>
          </w:tcPr>
          <w:p>
            <w:pPr>
              <w:ind w:left="540"/>
              <w:spacing w:after="0"/>
              <w:rPr>
                <w:sz w:val="20"/>
                <w:szCs w:val="20"/>
                <w:color w:val="auto"/>
              </w:rPr>
            </w:pPr>
            <w:r>
              <w:rPr>
                <w:rFonts w:ascii="Arial" w:cs="Arial" w:eastAsia="Arial" w:hAnsi="Arial"/>
                <w:sz w:val="12"/>
                <w:szCs w:val="12"/>
                <w:color w:val="auto"/>
              </w:rPr>
              <w:t>Exhibit</w:t>
            </w:r>
          </w:p>
        </w:tc>
      </w:tr>
      <w:tr>
        <w:trPr>
          <w:trHeight w:val="190"/>
        </w:trPr>
        <w:tc>
          <w:tcPr>
            <w:tcW w:w="440" w:type="dxa"/>
            <w:vAlign w:val="bottom"/>
          </w:tcPr>
          <w:p>
            <w:pPr>
              <w:spacing w:after="0"/>
              <w:rPr>
                <w:sz w:val="20"/>
                <w:szCs w:val="20"/>
                <w:color w:val="auto"/>
              </w:rPr>
            </w:pPr>
            <w:r>
              <w:rPr>
                <w:rFonts w:ascii="Arial" w:cs="Arial" w:eastAsia="Arial" w:hAnsi="Arial"/>
                <w:sz w:val="16"/>
                <w:szCs w:val="16"/>
                <w:color w:val="auto"/>
              </w:rPr>
              <w:t>99.1</w:t>
            </w:r>
          </w:p>
        </w:tc>
        <w:tc>
          <w:tcPr>
            <w:tcW w:w="540" w:type="dxa"/>
            <w:vAlign w:val="bottom"/>
          </w:tcPr>
          <w:p>
            <w:pPr>
              <w:spacing w:after="0"/>
              <w:rPr>
                <w:sz w:val="16"/>
                <w:szCs w:val="16"/>
                <w:color w:val="auto"/>
              </w:rPr>
            </w:pPr>
          </w:p>
        </w:tc>
        <w:tc>
          <w:tcPr>
            <w:tcW w:w="10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Supplemental Information at June 30, 2011</w:t>
            </w:r>
          </w:p>
        </w:tc>
      </w:tr>
    </w:tbl>
    <w:p>
      <w:pPr>
        <w:sectPr>
          <w:pgSz w:w="11900" w:h="16838" w:orient="portrait"/>
          <w:cols w:equalWidth="0" w:num="1">
            <w:col w:w="11420"/>
          </w:cols>
          <w:pgMar w:left="240" w:top="26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SUPPLEMENTAL INFORMATION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June 30, 2011</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760" w:type="dxa"/>
            <w:vAlign w:val="bottom"/>
          </w:tcPr>
          <w:p>
            <w:pPr>
              <w:jc w:val="right"/>
              <w:ind w:right="4680"/>
              <w:spacing w:after="0"/>
              <w:rPr>
                <w:sz w:val="20"/>
                <w:szCs w:val="20"/>
                <w:color w:val="auto"/>
              </w:rPr>
            </w:pPr>
            <w:r>
              <w:rPr>
                <w:rFonts w:ascii="Arial" w:cs="Arial" w:eastAsia="Arial" w:hAnsi="Arial"/>
                <w:sz w:val="16"/>
                <w:szCs w:val="16"/>
                <w:b w:val="1"/>
                <w:bCs w:val="1"/>
                <w:color w:val="auto"/>
              </w:rPr>
              <w:t>TABLE OF CONTENTS</w:t>
            </w:r>
          </w:p>
        </w:tc>
      </w:tr>
      <w:tr>
        <w:trPr>
          <w:trHeight w:val="383"/>
        </w:trPr>
        <w:tc>
          <w:tcPr>
            <w:tcW w:w="220" w:type="dxa"/>
            <w:vAlign w:val="bottom"/>
          </w:tcPr>
          <w:p>
            <w:pPr>
              <w:jc w:val="right"/>
              <w:ind w:right="20"/>
              <w:spacing w:after="0"/>
              <w:rPr>
                <w:sz w:val="20"/>
                <w:szCs w:val="20"/>
                <w:color w:val="auto"/>
              </w:rPr>
            </w:pPr>
            <w:r>
              <w:rPr>
                <w:rFonts w:ascii="Arial" w:cs="Arial" w:eastAsia="Arial" w:hAnsi="Arial"/>
                <w:sz w:val="16"/>
                <w:szCs w:val="16"/>
                <w:color w:val="auto"/>
                <w:w w:val="74"/>
              </w:rPr>
              <w:t>1.</w:t>
            </w:r>
          </w:p>
        </w:tc>
        <w:tc>
          <w:tcPr>
            <w:tcW w:w="4360" w:type="dxa"/>
            <w:vAlign w:val="bottom"/>
          </w:tcPr>
          <w:p>
            <w:pPr>
              <w:ind w:left="100"/>
              <w:spacing w:after="0"/>
              <w:rPr>
                <w:sz w:val="20"/>
                <w:szCs w:val="20"/>
                <w:color w:val="auto"/>
              </w:rPr>
            </w:pPr>
            <w:r>
              <w:rPr>
                <w:rFonts w:ascii="Arial" w:cs="Arial" w:eastAsia="Arial" w:hAnsi="Arial"/>
                <w:sz w:val="16"/>
                <w:szCs w:val="16"/>
                <w:color w:val="auto"/>
              </w:rPr>
              <w:t>Second Quarter 2011 Earnings Press Release</w:t>
            </w:r>
          </w:p>
        </w:tc>
        <w:tc>
          <w:tcPr>
            <w:tcW w:w="6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9"/>
        </w:trPr>
        <w:tc>
          <w:tcPr>
            <w:tcW w:w="220" w:type="dxa"/>
            <w:vAlign w:val="bottom"/>
          </w:tcPr>
          <w:p>
            <w:pPr>
              <w:jc w:val="right"/>
              <w:ind w:right="20"/>
              <w:spacing w:after="0"/>
              <w:rPr>
                <w:sz w:val="20"/>
                <w:szCs w:val="20"/>
                <w:color w:val="auto"/>
              </w:rPr>
            </w:pPr>
            <w:r>
              <w:rPr>
                <w:rFonts w:ascii="Arial" w:cs="Arial" w:eastAsia="Arial" w:hAnsi="Arial"/>
                <w:sz w:val="16"/>
                <w:szCs w:val="16"/>
                <w:color w:val="auto"/>
                <w:w w:val="74"/>
              </w:rPr>
              <w:t>2.</w:t>
            </w:r>
          </w:p>
        </w:tc>
        <w:tc>
          <w:tcPr>
            <w:tcW w:w="4360" w:type="dxa"/>
            <w:vAlign w:val="bottom"/>
          </w:tcPr>
          <w:p>
            <w:pPr>
              <w:ind w:left="100"/>
              <w:spacing w:after="0"/>
              <w:rPr>
                <w:sz w:val="20"/>
                <w:szCs w:val="20"/>
                <w:color w:val="auto"/>
              </w:rPr>
            </w:pPr>
            <w:r>
              <w:rPr>
                <w:rFonts w:ascii="Arial" w:cs="Arial" w:eastAsia="Arial" w:hAnsi="Arial"/>
                <w:sz w:val="16"/>
                <w:szCs w:val="16"/>
                <w:color w:val="auto"/>
              </w:rPr>
              <w:t>Financial Highlights</w:t>
            </w:r>
          </w:p>
        </w:tc>
        <w:tc>
          <w:tcPr>
            <w:tcW w:w="6760" w:type="dxa"/>
            <w:vAlign w:val="bottom"/>
          </w:tcPr>
          <w:p>
            <w:pPr>
              <w:spacing w:after="0"/>
              <w:rPr>
                <w:sz w:val="24"/>
                <w:szCs w:val="24"/>
                <w:color w:val="auto"/>
              </w:rPr>
            </w:pPr>
          </w:p>
        </w:tc>
      </w:tr>
      <w:tr>
        <w:trPr>
          <w:trHeight w:val="198"/>
        </w:trPr>
        <w:tc>
          <w:tcPr>
            <w:tcW w:w="220" w:type="dxa"/>
            <w:vAlign w:val="bottom"/>
          </w:tcPr>
          <w:p>
            <w:pPr>
              <w:spacing w:after="0"/>
              <w:rPr>
                <w:sz w:val="17"/>
                <w:szCs w:val="17"/>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Summarized Income Statements</w:t>
            </w:r>
          </w:p>
        </w:tc>
        <w:tc>
          <w:tcPr>
            <w:tcW w:w="67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8"/>
        </w:trPr>
        <w:tc>
          <w:tcPr>
            <w:tcW w:w="220" w:type="dxa"/>
            <w:vAlign w:val="bottom"/>
          </w:tcPr>
          <w:p>
            <w:pPr>
              <w:spacing w:after="0"/>
              <w:rPr>
                <w:sz w:val="17"/>
                <w:szCs w:val="17"/>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Summarized Balance Sheets</w:t>
            </w:r>
          </w:p>
        </w:tc>
        <w:tc>
          <w:tcPr>
            <w:tcW w:w="67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8"/>
        </w:trPr>
        <w:tc>
          <w:tcPr>
            <w:tcW w:w="220" w:type="dxa"/>
            <w:vAlign w:val="bottom"/>
          </w:tcPr>
          <w:p>
            <w:pPr>
              <w:spacing w:after="0"/>
              <w:rPr>
                <w:sz w:val="17"/>
                <w:szCs w:val="17"/>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w w:val="96"/>
              </w:rPr>
              <w:t>Funds From Operations / Summary of Capital Expenditures</w:t>
            </w:r>
          </w:p>
        </w:tc>
        <w:tc>
          <w:tcPr>
            <w:tcW w:w="67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98"/>
        </w:trPr>
        <w:tc>
          <w:tcPr>
            <w:tcW w:w="220" w:type="dxa"/>
            <w:vAlign w:val="bottom"/>
          </w:tcPr>
          <w:p>
            <w:pPr>
              <w:spacing w:after="0"/>
              <w:rPr>
                <w:sz w:val="17"/>
                <w:szCs w:val="17"/>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Market Data</w:t>
            </w:r>
          </w:p>
        </w:tc>
        <w:tc>
          <w:tcPr>
            <w:tcW w:w="67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220" w:type="dxa"/>
            <w:vAlign w:val="bottom"/>
          </w:tcPr>
          <w:p>
            <w:pPr>
              <w:spacing w:after="0"/>
              <w:rPr>
                <w:sz w:val="17"/>
                <w:szCs w:val="17"/>
                <w:color w:val="auto"/>
              </w:rPr>
            </w:pPr>
          </w:p>
        </w:tc>
        <w:tc>
          <w:tcPr>
            <w:tcW w:w="4360" w:type="dxa"/>
            <w:vAlign w:val="bottom"/>
          </w:tcPr>
          <w:p>
            <w:pPr>
              <w:ind w:left="260"/>
              <w:spacing w:after="0"/>
              <w:rPr>
                <w:sz w:val="20"/>
                <w:szCs w:val="20"/>
                <w:color w:val="auto"/>
              </w:rPr>
            </w:pPr>
            <w:r>
              <w:rPr>
                <w:rFonts w:ascii="Arial" w:cs="Arial" w:eastAsia="Arial" w:hAnsi="Arial"/>
                <w:sz w:val="16"/>
                <w:szCs w:val="16"/>
                <w:color w:val="auto"/>
              </w:rPr>
              <w:t>Components of Rental Income</w:t>
            </w:r>
          </w:p>
        </w:tc>
        <w:tc>
          <w:tcPr>
            <w:tcW w:w="676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91" w:lineRule="exact"/>
        <w:rPr>
          <w:sz w:val="20"/>
          <w:szCs w:val="20"/>
          <w:color w:val="auto"/>
        </w:rPr>
      </w:pPr>
    </w:p>
    <w:p>
      <w:pPr>
        <w:ind w:left="321" w:hanging="321"/>
        <w:spacing w:after="0"/>
        <w:tabs>
          <w:tab w:leader="none" w:pos="321" w:val="left"/>
        </w:tabs>
        <w:numPr>
          <w:ilvl w:val="0"/>
          <w:numId w:val="3"/>
        </w:numPr>
        <w:rPr>
          <w:rFonts w:ascii="Arial" w:cs="Arial" w:eastAsia="Arial" w:hAnsi="Arial"/>
          <w:sz w:val="16"/>
          <w:szCs w:val="16"/>
          <w:color w:val="auto"/>
        </w:rPr>
      </w:pPr>
      <w:r>
        <w:rPr>
          <w:rFonts w:ascii="Arial" w:cs="Arial" w:eastAsia="Arial" w:hAnsi="Arial"/>
          <w:sz w:val="16"/>
          <w:szCs w:val="16"/>
          <w:color w:val="auto"/>
        </w:rPr>
        <w:t>Summary of Debt</w:t>
      </w:r>
    </w:p>
    <w:p>
      <w:pPr>
        <w:spacing w:after="0" w:line="21"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7540" w:type="dxa"/>
            <w:vAlign w:val="bottom"/>
          </w:tcPr>
          <w:p>
            <w:pPr>
              <w:ind w:left="220"/>
              <w:spacing w:after="0"/>
              <w:rPr>
                <w:sz w:val="20"/>
                <w:szCs w:val="20"/>
                <w:color w:val="auto"/>
              </w:rPr>
            </w:pPr>
            <w:r>
              <w:rPr>
                <w:rFonts w:ascii="Arial" w:cs="Arial" w:eastAsia="Arial" w:hAnsi="Arial"/>
                <w:sz w:val="16"/>
                <w:szCs w:val="16"/>
                <w:color w:val="auto"/>
              </w:rPr>
              <w:t>Summary of Outstanding Debt and Capital Lease Obligations</w:t>
            </w:r>
          </w:p>
        </w:tc>
        <w:tc>
          <w:tcPr>
            <w:tcW w:w="3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5"/>
        </w:trPr>
        <w:tc>
          <w:tcPr>
            <w:tcW w:w="260" w:type="dxa"/>
            <w:vAlign w:val="bottom"/>
          </w:tcPr>
          <w:p>
            <w:pPr>
              <w:spacing w:after="0"/>
              <w:rPr>
                <w:sz w:val="17"/>
                <w:szCs w:val="17"/>
                <w:color w:val="auto"/>
              </w:rPr>
            </w:pPr>
          </w:p>
        </w:tc>
        <w:tc>
          <w:tcPr>
            <w:tcW w:w="7540" w:type="dxa"/>
            <w:vAlign w:val="bottom"/>
          </w:tcPr>
          <w:p>
            <w:pPr>
              <w:ind w:left="220"/>
              <w:spacing w:after="0"/>
              <w:rPr>
                <w:sz w:val="20"/>
                <w:szCs w:val="20"/>
                <w:color w:val="auto"/>
              </w:rPr>
            </w:pPr>
            <w:r>
              <w:rPr>
                <w:rFonts w:ascii="Arial" w:cs="Arial" w:eastAsia="Arial" w:hAnsi="Arial"/>
                <w:sz w:val="16"/>
                <w:szCs w:val="16"/>
                <w:color w:val="auto"/>
              </w:rPr>
              <w:t>Summary of Debt Maturities</w:t>
            </w:r>
          </w:p>
        </w:tc>
        <w:tc>
          <w:tcPr>
            <w:tcW w:w="3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4.</w:t>
            </w:r>
          </w:p>
        </w:tc>
        <w:tc>
          <w:tcPr>
            <w:tcW w:w="7540" w:type="dxa"/>
            <w:vAlign w:val="bottom"/>
          </w:tcPr>
          <w:p>
            <w:pPr>
              <w:ind w:left="60"/>
              <w:spacing w:after="0"/>
              <w:rPr>
                <w:sz w:val="20"/>
                <w:szCs w:val="20"/>
                <w:color w:val="auto"/>
              </w:rPr>
            </w:pPr>
            <w:r>
              <w:rPr>
                <w:rFonts w:ascii="Arial" w:cs="Arial" w:eastAsia="Arial" w:hAnsi="Arial"/>
                <w:sz w:val="16"/>
                <w:szCs w:val="16"/>
                <w:color w:val="auto"/>
              </w:rPr>
              <w:t>Summary of Redevelopment Opportunities</w:t>
            </w:r>
          </w:p>
        </w:tc>
        <w:tc>
          <w:tcPr>
            <w:tcW w:w="35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5.</w:t>
            </w:r>
          </w:p>
        </w:tc>
        <w:tc>
          <w:tcPr>
            <w:tcW w:w="7540" w:type="dxa"/>
            <w:vAlign w:val="bottom"/>
          </w:tcPr>
          <w:p>
            <w:pPr>
              <w:ind w:left="60"/>
              <w:spacing w:after="0"/>
              <w:rPr>
                <w:sz w:val="20"/>
                <w:szCs w:val="20"/>
                <w:color w:val="auto"/>
              </w:rPr>
            </w:pPr>
            <w:r>
              <w:rPr>
                <w:rFonts w:ascii="Arial" w:cs="Arial" w:eastAsia="Arial" w:hAnsi="Arial"/>
                <w:sz w:val="16"/>
                <w:szCs w:val="16"/>
                <w:color w:val="auto"/>
              </w:rPr>
              <w:t>2011 Significant Acquisitions and Disposition</w:t>
            </w:r>
          </w:p>
        </w:tc>
        <w:tc>
          <w:tcPr>
            <w:tcW w:w="35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6.</w:t>
            </w:r>
          </w:p>
        </w:tc>
        <w:tc>
          <w:tcPr>
            <w:tcW w:w="7540" w:type="dxa"/>
            <w:vAlign w:val="bottom"/>
          </w:tcPr>
          <w:p>
            <w:pPr>
              <w:ind w:left="60"/>
              <w:spacing w:after="0"/>
              <w:rPr>
                <w:sz w:val="20"/>
                <w:szCs w:val="20"/>
                <w:color w:val="auto"/>
              </w:rPr>
            </w:pPr>
            <w:r>
              <w:rPr>
                <w:rFonts w:ascii="Arial" w:cs="Arial" w:eastAsia="Arial" w:hAnsi="Arial"/>
                <w:sz w:val="16"/>
                <w:szCs w:val="16"/>
                <w:color w:val="auto"/>
              </w:rPr>
              <w:t>Real Estate Status Report</w:t>
            </w:r>
          </w:p>
        </w:tc>
        <w:tc>
          <w:tcPr>
            <w:tcW w:w="35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7.</w:t>
            </w:r>
          </w:p>
        </w:tc>
        <w:tc>
          <w:tcPr>
            <w:tcW w:w="7540" w:type="dxa"/>
            <w:vAlign w:val="bottom"/>
          </w:tcPr>
          <w:p>
            <w:pPr>
              <w:ind w:left="60"/>
              <w:spacing w:after="0"/>
              <w:rPr>
                <w:sz w:val="20"/>
                <w:szCs w:val="20"/>
                <w:color w:val="auto"/>
              </w:rPr>
            </w:pPr>
            <w:r>
              <w:rPr>
                <w:rFonts w:ascii="Arial" w:cs="Arial" w:eastAsia="Arial" w:hAnsi="Arial"/>
                <w:sz w:val="16"/>
                <w:szCs w:val="16"/>
                <w:color w:val="auto"/>
              </w:rPr>
              <w:t>Retail Leasing Summary</w:t>
            </w:r>
          </w:p>
        </w:tc>
        <w:tc>
          <w:tcPr>
            <w:tcW w:w="35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8.</w:t>
            </w:r>
          </w:p>
        </w:tc>
        <w:tc>
          <w:tcPr>
            <w:tcW w:w="7540" w:type="dxa"/>
            <w:vAlign w:val="bottom"/>
          </w:tcPr>
          <w:p>
            <w:pPr>
              <w:ind w:left="60"/>
              <w:spacing w:after="0"/>
              <w:rPr>
                <w:sz w:val="20"/>
                <w:szCs w:val="20"/>
                <w:color w:val="auto"/>
              </w:rPr>
            </w:pPr>
            <w:r>
              <w:rPr>
                <w:rFonts w:ascii="Arial" w:cs="Arial" w:eastAsia="Arial" w:hAnsi="Arial"/>
                <w:sz w:val="16"/>
                <w:szCs w:val="16"/>
                <w:color w:val="auto"/>
              </w:rPr>
              <w:t>Lease Expirations</w:t>
            </w:r>
          </w:p>
        </w:tc>
        <w:tc>
          <w:tcPr>
            <w:tcW w:w="35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9.</w:t>
            </w:r>
          </w:p>
        </w:tc>
        <w:tc>
          <w:tcPr>
            <w:tcW w:w="7540" w:type="dxa"/>
            <w:vAlign w:val="bottom"/>
          </w:tcPr>
          <w:p>
            <w:pPr>
              <w:ind w:left="60"/>
              <w:spacing w:after="0"/>
              <w:rPr>
                <w:sz w:val="20"/>
                <w:szCs w:val="20"/>
                <w:color w:val="auto"/>
              </w:rPr>
            </w:pPr>
            <w:r>
              <w:rPr>
                <w:rFonts w:ascii="Arial" w:cs="Arial" w:eastAsia="Arial" w:hAnsi="Arial"/>
                <w:sz w:val="16"/>
                <w:szCs w:val="16"/>
                <w:color w:val="auto"/>
              </w:rPr>
              <w:t>Portfolio Leased Statistics</w:t>
            </w:r>
          </w:p>
        </w:tc>
        <w:tc>
          <w:tcPr>
            <w:tcW w:w="3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10.</w:t>
            </w:r>
          </w:p>
        </w:tc>
        <w:tc>
          <w:tcPr>
            <w:tcW w:w="7540" w:type="dxa"/>
            <w:vAlign w:val="bottom"/>
          </w:tcPr>
          <w:p>
            <w:pPr>
              <w:ind w:left="60"/>
              <w:spacing w:after="0"/>
              <w:rPr>
                <w:sz w:val="20"/>
                <w:szCs w:val="20"/>
                <w:color w:val="auto"/>
              </w:rPr>
            </w:pPr>
            <w:r>
              <w:rPr>
                <w:rFonts w:ascii="Arial" w:cs="Arial" w:eastAsia="Arial" w:hAnsi="Arial"/>
                <w:sz w:val="16"/>
                <w:szCs w:val="16"/>
                <w:color w:val="auto"/>
              </w:rPr>
              <w:t>Summary of Top 25 Tenants</w:t>
            </w:r>
          </w:p>
        </w:tc>
        <w:tc>
          <w:tcPr>
            <w:tcW w:w="3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11.</w:t>
            </w:r>
          </w:p>
        </w:tc>
        <w:tc>
          <w:tcPr>
            <w:tcW w:w="7540" w:type="dxa"/>
            <w:vAlign w:val="bottom"/>
          </w:tcPr>
          <w:p>
            <w:pPr>
              <w:ind w:left="60"/>
              <w:spacing w:after="0"/>
              <w:rPr>
                <w:sz w:val="20"/>
                <w:szCs w:val="20"/>
                <w:color w:val="auto"/>
              </w:rPr>
            </w:pPr>
            <w:r>
              <w:rPr>
                <w:rFonts w:ascii="Arial" w:cs="Arial" w:eastAsia="Arial" w:hAnsi="Arial"/>
                <w:sz w:val="16"/>
                <w:szCs w:val="16"/>
                <w:color w:val="auto"/>
              </w:rPr>
              <w:t>Reconciliation of Net Income to FFO Guidance</w:t>
            </w:r>
          </w:p>
        </w:tc>
        <w:tc>
          <w:tcPr>
            <w:tcW w:w="35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89"/>
        </w:trPr>
        <w:tc>
          <w:tcPr>
            <w:tcW w:w="260" w:type="dxa"/>
            <w:vAlign w:val="bottom"/>
          </w:tcPr>
          <w:p>
            <w:pPr>
              <w:spacing w:after="0"/>
              <w:rPr>
                <w:sz w:val="20"/>
                <w:szCs w:val="20"/>
                <w:color w:val="auto"/>
              </w:rPr>
            </w:pPr>
            <w:r>
              <w:rPr>
                <w:rFonts w:ascii="Arial" w:cs="Arial" w:eastAsia="Arial" w:hAnsi="Arial"/>
                <w:sz w:val="16"/>
                <w:szCs w:val="16"/>
                <w:color w:val="auto"/>
              </w:rPr>
              <w:t>12.</w:t>
            </w:r>
          </w:p>
        </w:tc>
        <w:tc>
          <w:tcPr>
            <w:tcW w:w="7540" w:type="dxa"/>
            <w:vAlign w:val="bottom"/>
          </w:tcPr>
          <w:p>
            <w:pPr>
              <w:ind w:left="60"/>
              <w:spacing w:after="0"/>
              <w:rPr>
                <w:sz w:val="20"/>
                <w:szCs w:val="20"/>
                <w:color w:val="auto"/>
              </w:rPr>
            </w:pPr>
            <w:r>
              <w:rPr>
                <w:rFonts w:ascii="Arial" w:cs="Arial" w:eastAsia="Arial" w:hAnsi="Arial"/>
                <w:sz w:val="16"/>
                <w:szCs w:val="16"/>
                <w:color w:val="auto"/>
              </w:rPr>
              <w:t>30% Owned Joint Venture Disclosure</w:t>
            </w:r>
          </w:p>
        </w:tc>
        <w:tc>
          <w:tcPr>
            <w:tcW w:w="3540" w:type="dxa"/>
            <w:vAlign w:val="bottom"/>
          </w:tcPr>
          <w:p>
            <w:pPr>
              <w:spacing w:after="0"/>
              <w:rPr>
                <w:sz w:val="24"/>
                <w:szCs w:val="24"/>
                <w:color w:val="auto"/>
              </w:rPr>
            </w:pPr>
          </w:p>
        </w:tc>
      </w:tr>
      <w:tr>
        <w:trPr>
          <w:trHeight w:val="198"/>
        </w:trPr>
        <w:tc>
          <w:tcPr>
            <w:tcW w:w="260" w:type="dxa"/>
            <w:vAlign w:val="bottom"/>
          </w:tcPr>
          <w:p>
            <w:pPr>
              <w:spacing w:after="0"/>
              <w:rPr>
                <w:sz w:val="17"/>
                <w:szCs w:val="17"/>
                <w:color w:val="auto"/>
              </w:rPr>
            </w:pPr>
          </w:p>
        </w:tc>
        <w:tc>
          <w:tcPr>
            <w:tcW w:w="7540" w:type="dxa"/>
            <w:vAlign w:val="bottom"/>
          </w:tcPr>
          <w:p>
            <w:pPr>
              <w:ind w:left="220"/>
              <w:spacing w:after="0"/>
              <w:rPr>
                <w:sz w:val="20"/>
                <w:szCs w:val="20"/>
                <w:color w:val="auto"/>
              </w:rPr>
            </w:pPr>
            <w:r>
              <w:rPr>
                <w:rFonts w:ascii="Arial" w:cs="Arial" w:eastAsia="Arial" w:hAnsi="Arial"/>
                <w:sz w:val="16"/>
                <w:szCs w:val="16"/>
                <w:color w:val="auto"/>
              </w:rPr>
              <w:t>Summarized Income Statements and Balance Sheets</w:t>
            </w:r>
          </w:p>
        </w:tc>
        <w:tc>
          <w:tcPr>
            <w:tcW w:w="35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98"/>
        </w:trPr>
        <w:tc>
          <w:tcPr>
            <w:tcW w:w="260" w:type="dxa"/>
            <w:vAlign w:val="bottom"/>
          </w:tcPr>
          <w:p>
            <w:pPr>
              <w:spacing w:after="0"/>
              <w:rPr>
                <w:sz w:val="17"/>
                <w:szCs w:val="17"/>
                <w:color w:val="auto"/>
              </w:rPr>
            </w:pPr>
          </w:p>
        </w:tc>
        <w:tc>
          <w:tcPr>
            <w:tcW w:w="7540" w:type="dxa"/>
            <w:vAlign w:val="bottom"/>
          </w:tcPr>
          <w:p>
            <w:pPr>
              <w:ind w:left="220"/>
              <w:spacing w:after="0"/>
              <w:rPr>
                <w:sz w:val="20"/>
                <w:szCs w:val="20"/>
                <w:color w:val="auto"/>
              </w:rPr>
            </w:pPr>
            <w:r>
              <w:rPr>
                <w:rFonts w:ascii="Arial" w:cs="Arial" w:eastAsia="Arial" w:hAnsi="Arial"/>
                <w:sz w:val="16"/>
                <w:szCs w:val="16"/>
                <w:color w:val="auto"/>
              </w:rPr>
              <w:t>Summary of Outstanding Debt and Debt Maturities</w:t>
            </w:r>
          </w:p>
        </w:tc>
        <w:tc>
          <w:tcPr>
            <w:tcW w:w="35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5"/>
        </w:trPr>
        <w:tc>
          <w:tcPr>
            <w:tcW w:w="260" w:type="dxa"/>
            <w:vAlign w:val="bottom"/>
          </w:tcPr>
          <w:p>
            <w:pPr>
              <w:spacing w:after="0"/>
              <w:rPr>
                <w:sz w:val="17"/>
                <w:szCs w:val="17"/>
                <w:color w:val="auto"/>
              </w:rPr>
            </w:pPr>
          </w:p>
        </w:tc>
        <w:tc>
          <w:tcPr>
            <w:tcW w:w="7540" w:type="dxa"/>
            <w:vAlign w:val="bottom"/>
          </w:tcPr>
          <w:p>
            <w:pPr>
              <w:ind w:left="220"/>
              <w:spacing w:after="0"/>
              <w:rPr>
                <w:sz w:val="20"/>
                <w:szCs w:val="20"/>
                <w:color w:val="auto"/>
              </w:rPr>
            </w:pPr>
            <w:r>
              <w:rPr>
                <w:rFonts w:ascii="Arial" w:cs="Arial" w:eastAsia="Arial" w:hAnsi="Arial"/>
                <w:sz w:val="16"/>
                <w:szCs w:val="16"/>
                <w:color w:val="auto"/>
              </w:rPr>
              <w:t>Real Estate Status Report</w:t>
            </w:r>
          </w:p>
        </w:tc>
        <w:tc>
          <w:tcPr>
            <w:tcW w:w="35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6"/>
        </w:trPr>
        <w:tc>
          <w:tcPr>
            <w:tcW w:w="260" w:type="dxa"/>
            <w:vAlign w:val="bottom"/>
          </w:tcPr>
          <w:p>
            <w:pPr>
              <w:spacing w:after="0"/>
              <w:rPr>
                <w:sz w:val="20"/>
                <w:szCs w:val="20"/>
                <w:color w:val="auto"/>
              </w:rPr>
            </w:pPr>
            <w:r>
              <w:rPr>
                <w:rFonts w:ascii="Arial" w:cs="Arial" w:eastAsia="Arial" w:hAnsi="Arial"/>
                <w:sz w:val="16"/>
                <w:szCs w:val="16"/>
                <w:color w:val="auto"/>
              </w:rPr>
              <w:t>13.</w:t>
            </w:r>
          </w:p>
        </w:tc>
        <w:tc>
          <w:tcPr>
            <w:tcW w:w="7540" w:type="dxa"/>
            <w:vAlign w:val="bottom"/>
          </w:tcPr>
          <w:p>
            <w:pPr>
              <w:ind w:left="60"/>
              <w:spacing w:after="0"/>
              <w:rPr>
                <w:sz w:val="20"/>
                <w:szCs w:val="20"/>
                <w:color w:val="auto"/>
              </w:rPr>
            </w:pPr>
            <w:r>
              <w:rPr>
                <w:rFonts w:ascii="Arial" w:cs="Arial" w:eastAsia="Arial" w:hAnsi="Arial"/>
                <w:sz w:val="16"/>
                <w:szCs w:val="16"/>
                <w:color w:val="auto"/>
              </w:rPr>
              <w:t>Glossary of Terms</w:t>
            </w:r>
          </w:p>
        </w:tc>
        <w:tc>
          <w:tcPr>
            <w:tcW w:w="354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Rockville, Maryland 20852-4041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301/998-8100</w:t>
      </w:r>
    </w:p>
    <w:p>
      <w:pPr>
        <w:sectPr>
          <w:pgSz w:w="11900" w:h="16838" w:orient="portrait"/>
          <w:cols w:equalWidth="0" w:num="1">
            <w:col w:w="11421"/>
          </w:cols>
          <w:pgMar w:left="239" w:top="127"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36195"/>
                    </a:xfrm>
                    <a:prstGeom prst="rect">
                      <a:avLst/>
                    </a:prstGeom>
                    <a:noFill/>
                  </pic:spPr>
                </pic:pic>
              </a:graphicData>
            </a:graphic>
          </wp:anchor>
        </w:drawing>
        <w:t>Safe Harbor Language</w:t>
      </w:r>
    </w:p>
    <w:p>
      <w:pPr>
        <w:spacing w:after="0" w:line="92" w:lineRule="exact"/>
        <w:rPr>
          <w:sz w:val="20"/>
          <w:szCs w:val="20"/>
          <w:color w:val="auto"/>
        </w:rPr>
      </w:pPr>
    </w:p>
    <w:p>
      <w:pPr>
        <w:ind w:right="140"/>
        <w:spacing w:after="0" w:line="327" w:lineRule="auto"/>
        <w:rPr>
          <w:sz w:val="20"/>
          <w:szCs w:val="20"/>
          <w:color w:val="auto"/>
        </w:rPr>
      </w:pPr>
      <w:r>
        <w:rPr>
          <w:rFonts w:ascii="Arial" w:cs="Arial" w:eastAsia="Arial" w:hAnsi="Arial"/>
          <w:sz w:val="14"/>
          <w:szCs w:val="14"/>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9" w:lineRule="exact"/>
        <w:rPr>
          <w:sz w:val="20"/>
          <w:szCs w:val="20"/>
          <w:color w:val="auto"/>
        </w:rPr>
      </w:pPr>
    </w:p>
    <w:p>
      <w:pPr>
        <w:ind w:left="900" w:right="160" w:hanging="333"/>
        <w:spacing w:after="0" w:line="28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that our tenants will not pay rent, may vacate early or may file for bankruptcy or that we may be unable to renew leases or re-let space at favorable rents as leases expire;</w:t>
      </w:r>
    </w:p>
    <w:p>
      <w:pPr>
        <w:spacing w:after="0" w:line="32" w:lineRule="exact"/>
        <w:rPr>
          <w:rFonts w:ascii="Arial" w:cs="Arial" w:eastAsia="Arial" w:hAnsi="Arial"/>
          <w:sz w:val="16"/>
          <w:szCs w:val="16"/>
          <w:color w:val="auto"/>
        </w:rPr>
      </w:pPr>
    </w:p>
    <w:p>
      <w:pPr>
        <w:ind w:left="900" w:right="280" w:hanging="333"/>
        <w:spacing w:after="0" w:line="349" w:lineRule="auto"/>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00" w:right="340" w:hanging="333"/>
        <w:spacing w:after="0" w:line="28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that the number of properties we acquire for our own account, and therefore the amount of capital we invest in acquisitions, may be impacted by our real estate partnerships;</w:t>
      </w:r>
    </w:p>
    <w:p>
      <w:pPr>
        <w:spacing w:after="0" w:line="32" w:lineRule="exact"/>
        <w:rPr>
          <w:rFonts w:ascii="Arial" w:cs="Arial" w:eastAsia="Arial" w:hAnsi="Arial"/>
          <w:sz w:val="16"/>
          <w:szCs w:val="16"/>
          <w:color w:val="auto"/>
        </w:rPr>
      </w:pPr>
    </w:p>
    <w:p>
      <w:pPr>
        <w:ind w:left="900" w:right="80" w:hanging="333"/>
        <w:spacing w:after="0" w:line="26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49" w:lineRule="exact"/>
        <w:rPr>
          <w:rFonts w:ascii="Arial" w:cs="Arial" w:eastAsia="Arial" w:hAnsi="Arial"/>
          <w:sz w:val="16"/>
          <w:szCs w:val="16"/>
          <w:color w:val="auto"/>
        </w:rPr>
      </w:pPr>
    </w:p>
    <w:p>
      <w:pPr>
        <w:ind w:left="900" w:hanging="333"/>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that our growth will be limited if we cannot obtain additional capital;</w:t>
      </w:r>
    </w:p>
    <w:p>
      <w:pPr>
        <w:spacing w:after="0" w:line="87" w:lineRule="exact"/>
        <w:rPr>
          <w:rFonts w:ascii="Arial" w:cs="Arial" w:eastAsia="Arial" w:hAnsi="Arial"/>
          <w:sz w:val="16"/>
          <w:szCs w:val="16"/>
          <w:color w:val="auto"/>
        </w:rPr>
      </w:pPr>
    </w:p>
    <w:p>
      <w:pPr>
        <w:ind w:left="900" w:hanging="333"/>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associated with general economic conditions, including local economic conditions in our geographic markets;</w:t>
      </w:r>
    </w:p>
    <w:p>
      <w:pPr>
        <w:spacing w:after="0" w:line="87" w:lineRule="exact"/>
        <w:rPr>
          <w:rFonts w:ascii="Arial" w:cs="Arial" w:eastAsia="Arial" w:hAnsi="Arial"/>
          <w:sz w:val="16"/>
          <w:szCs w:val="16"/>
          <w:color w:val="auto"/>
        </w:rPr>
      </w:pPr>
    </w:p>
    <w:p>
      <w:pPr>
        <w:ind w:left="900" w:hanging="333"/>
        <w:spacing w:after="0" w:line="27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3" w:lineRule="exact"/>
        <w:rPr>
          <w:rFonts w:ascii="Arial" w:cs="Arial" w:eastAsia="Arial" w:hAnsi="Arial"/>
          <w:sz w:val="16"/>
          <w:szCs w:val="16"/>
          <w:color w:val="auto"/>
        </w:rPr>
      </w:pPr>
    </w:p>
    <w:p>
      <w:pPr>
        <w:jc w:val="both"/>
        <w:ind w:left="900" w:right="160" w:hanging="333"/>
        <w:spacing w:after="0" w:line="27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7"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62"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1254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25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Investor and Media Inquiries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Andrew Blocher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301/998-8166</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ablocher@federalrealty.com</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FEDERAL REALTY INVESTMENT TRUST ANNOUNCES SECOND QUARTER 2011 OPERATING RESULTS</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 Common dividend increased for 44</w:t>
      </w:r>
      <w:r>
        <w:rPr>
          <w:rFonts w:ascii="Arial" w:cs="Arial" w:eastAsia="Arial" w:hAnsi="Arial"/>
          <w:sz w:val="10"/>
          <w:szCs w:val="10"/>
          <w:i w:val="1"/>
          <w:iCs w:val="1"/>
          <w:color w:val="auto"/>
        </w:rPr>
        <w:t>th</w:t>
      </w:r>
      <w:r>
        <w:rPr>
          <w:rFonts w:ascii="Arial" w:cs="Arial" w:eastAsia="Arial" w:hAnsi="Arial"/>
          <w:sz w:val="16"/>
          <w:szCs w:val="16"/>
          <w:i w:val="1"/>
          <w:iCs w:val="1"/>
          <w:color w:val="auto"/>
        </w:rPr>
        <w:t xml:space="preserve"> consecutive year -</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ROCKVILLE, Md. (August 3, 2011) – Federal Realty Investment Trust (NYSE:FRT) today reported operating results for its second quarter ended June 30, 2011.</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Results</w:t>
      </w:r>
    </w:p>
    <w:p>
      <w:pPr>
        <w:spacing w:after="0" w:line="92" w:lineRule="exact"/>
        <w:rPr>
          <w:sz w:val="20"/>
          <w:szCs w:val="20"/>
          <w:color w:val="auto"/>
        </w:rPr>
      </w:pPr>
    </w:p>
    <w:p>
      <w:pPr>
        <w:ind w:right="80"/>
        <w:spacing w:after="0" w:line="327" w:lineRule="auto"/>
        <w:rPr>
          <w:sz w:val="20"/>
          <w:szCs w:val="20"/>
          <w:color w:val="auto"/>
        </w:rPr>
      </w:pPr>
      <w:r>
        <w:rPr>
          <w:rFonts w:ascii="Arial" w:cs="Arial" w:eastAsia="Arial" w:hAnsi="Arial"/>
          <w:sz w:val="14"/>
          <w:szCs w:val="14"/>
          <w:color w:val="auto"/>
        </w:rPr>
        <w:t>In the second quarter 2011, Federal Realty generated funds from operations available for common shareholders (FFO) of $64.3 million or $1.02 per diluted share, which are record quarterly FFO results for the Trust. This compares to FFO of $60.3 million, or $0.98 per diluted share, in second quarter 2010. For the six months ended June 30, 2011, Federal Realty reported FFO of $125.5 million, or $2.01 per diluted share, compared to $118.1 million, or $1.92 per diluted share for the same six-month period in 2010.</w:t>
      </w:r>
    </w:p>
    <w:p>
      <w:pPr>
        <w:spacing w:after="0" w:line="83" w:lineRule="exact"/>
        <w:rPr>
          <w:sz w:val="20"/>
          <w:szCs w:val="20"/>
          <w:color w:val="auto"/>
        </w:rPr>
      </w:pPr>
    </w:p>
    <w:p>
      <w:pPr>
        <w:spacing w:after="0" w:line="327" w:lineRule="auto"/>
        <w:rPr>
          <w:sz w:val="20"/>
          <w:szCs w:val="20"/>
          <w:color w:val="auto"/>
        </w:rPr>
      </w:pPr>
      <w:r>
        <w:rPr>
          <w:rFonts w:ascii="Arial" w:cs="Arial" w:eastAsia="Arial" w:hAnsi="Arial"/>
          <w:sz w:val="14"/>
          <w:szCs w:val="14"/>
          <w:color w:val="auto"/>
        </w:rPr>
        <w:t>Net income available for common shareholders was $34.6 million and earnings per diluted share was $0.55 for the quarter ended June 30, 2011 versus $31.0 million and $0.50, respectively, for second quarter 2010. Year-to-date, Federal Realty reported net income available for common shareholders of $65.7 million and earnings per diluted share of $1.05. This compares to net income available for common shareholders of $60.1 million and earnings per diluted share of $0.98 for the six months ended June 30, 2010.</w:t>
      </w:r>
    </w:p>
    <w:p>
      <w:pPr>
        <w:spacing w:after="0" w:line="83"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FFO is a non-GAAP supplemental earnings measure which the Trust considers meaningful in measuring its operating performance. A reconciliation of FFO to net income is attached to this press release.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Portfolio Results</w:t>
      </w:r>
    </w:p>
    <w:p>
      <w:pPr>
        <w:spacing w:after="0" w:line="92"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In second quarter 2011, same-center property operating income increased 1.6% over second quarter 2010. When redevelopment and expansion properties are excluded from same-center results, property operating income for second quarter 2011 increased 1.5% compared to second quarter 2010.</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240" w:top="1440" w:right="37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2011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August 3, 2011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142"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overall portfolio was 93.4% leased as of June 30, 2011, compared to 93.8% on March 31, 2011 and 94.2% on June 30, 2010. Federal Realty’s same-center portfolio was 93.7% leased on June 30, 2011, compared to 94.3% on March 31, 2011 and 94.7% on June 30, 2010.</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During the second quarter of 2011, Federal Realty signed 92 leases for 396,000 square feet of retail space. On a comparable space basis (i.e., spaces for which there was a former tenant), the Trust leased 370,000 square feet at an average cash-basis contractual rent increase per square foot (i.e., excluding the impact of straight-line rents) of 6%. The average contractual rent on this comparable space for the first year of the new leases is $28.21 per square foot, compared to the average contractual rent of $26.64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16% for second quarter 2011. As of June 30, 2011, Federal Realty’s average contractual, cash basis minimum rent for retail and commercial space in its portfolio was $22.88 per square foot.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Regular Quarterly Dividends</w:t>
      </w:r>
    </w:p>
    <w:p>
      <w:pPr>
        <w:spacing w:after="0" w:line="92" w:lineRule="exact"/>
        <w:rPr>
          <w:sz w:val="20"/>
          <w:szCs w:val="20"/>
          <w:color w:val="auto"/>
        </w:rPr>
      </w:pPr>
    </w:p>
    <w:p>
      <w:pPr>
        <w:ind w:right="120"/>
        <w:spacing w:after="0" w:line="289" w:lineRule="auto"/>
        <w:rPr>
          <w:sz w:val="20"/>
          <w:szCs w:val="20"/>
          <w:color w:val="auto"/>
        </w:rPr>
      </w:pPr>
      <w:r>
        <w:rPr>
          <w:rFonts w:ascii="Arial" w:cs="Arial" w:eastAsia="Arial" w:hAnsi="Arial"/>
          <w:sz w:val="15"/>
          <w:szCs w:val="15"/>
          <w:color w:val="auto"/>
        </w:rPr>
        <w:t>Federal Realty also announced today that its Board of Trustees increased the dividend rate on its common shares, declaring a regular quarterly cash dividend of $0.69 per share, resulting in an indicated annual rate of $2.76 per share, an increase of 3.0%. The regular common dividend will be payable on October 14, 2011, to common shareholders of record as of September 22, 2011. This increase represents the 44th consecutive year that Federal Realty has increased its common dividend, the longest record of consecutive annual dividend increases in the REIT sector, and amongst the longest such records for publicly traded companies in the US.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Guidance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Federal Realty increased its guidance for 2011 FFO per diluted share to a range of $3.99 to $4.04, and provided 2011 earnings per diluted share guidance of $2.27 to $2.32.</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produced record quarterly results, increased our annual guidance and extended our dividend record for the 44</w:t>
      </w:r>
      <w:r>
        <w:rPr>
          <w:rFonts w:ascii="Arial" w:cs="Arial" w:eastAsia="Arial" w:hAnsi="Arial"/>
          <w:sz w:val="10"/>
          <w:szCs w:val="10"/>
          <w:color w:val="auto"/>
        </w:rPr>
        <w:t>th</w:t>
      </w:r>
      <w:r>
        <w:rPr>
          <w:rFonts w:ascii="Arial" w:cs="Arial" w:eastAsia="Arial" w:hAnsi="Arial"/>
          <w:sz w:val="16"/>
          <w:szCs w:val="16"/>
          <w:color w:val="auto"/>
        </w:rPr>
        <w:t xml:space="preserve"> straight year, quite an accomplishment in these difficult times,” said Don Wood, president and chief executive officer. “The quality of our real estate and our disciplined management has been the constant throughout this downturn, and with development and acquisition opportunities we see on the horizon, the future looks very bright for the Trust.”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6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2011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August 3, 2011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Summary of Other Quarterly Activities and Recent Developments</w:t>
      </w:r>
    </w:p>
    <w:p>
      <w:pPr>
        <w:spacing w:after="0" w:line="92" w:lineRule="exact"/>
        <w:rPr>
          <w:sz w:val="20"/>
          <w:szCs w:val="20"/>
          <w:color w:val="auto"/>
        </w:rPr>
      </w:pPr>
    </w:p>
    <w:p>
      <w:pPr>
        <w:jc w:val="both"/>
        <w:ind w:left="900" w:hanging="333"/>
        <w:spacing w:after="0" w:line="327"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July 7, 2011 – Federal Realty completed a $400 million senior unsecured credit facility with 16 high quality financial institutions. The facility has a four year term with a one year extension option, and pricing (LIBOR plus 115 basis points at the Trust’s current Baa1/BBB+ rating) reflected a new standard in the current REIT bank market. Proceeds from the credit facility were used to retire the Trust’s previous $300 million credit facility and for general corporate purposes.</w:t>
      </w:r>
    </w:p>
    <w:p>
      <w:pPr>
        <w:spacing w:after="0" w:line="8" w:lineRule="exact"/>
        <w:rPr>
          <w:rFonts w:ascii="Arial" w:cs="Arial" w:eastAsia="Arial" w:hAnsi="Arial"/>
          <w:sz w:val="14"/>
          <w:szCs w:val="14"/>
          <w:color w:val="auto"/>
        </w:rPr>
      </w:pPr>
    </w:p>
    <w:p>
      <w:pPr>
        <w:ind w:left="900" w:right="240" w:hanging="333"/>
        <w:spacing w:after="0" w:line="28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July 12, 2011 – Federal Realty sold Feasterville Shopping Center in Feasterville, Pennsylvania for a sales price of $20.0 million. The Trust took advantage of a reverse 1031 exchange resulting from the acquisition of Tower Shops in January 2011.</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Information</w:t>
      </w:r>
    </w:p>
    <w:p>
      <w:pPr>
        <w:spacing w:after="0" w:line="92" w:lineRule="exact"/>
        <w:rPr>
          <w:sz w:val="20"/>
          <w:szCs w:val="20"/>
          <w:color w:val="auto"/>
        </w:rPr>
      </w:pPr>
    </w:p>
    <w:p>
      <w:pPr>
        <w:ind w:right="200"/>
        <w:spacing w:after="0" w:line="316" w:lineRule="auto"/>
        <w:rPr>
          <w:sz w:val="20"/>
          <w:szCs w:val="20"/>
          <w:color w:val="auto"/>
        </w:rPr>
      </w:pPr>
      <w:r>
        <w:rPr>
          <w:rFonts w:ascii="Arial" w:cs="Arial" w:eastAsia="Arial" w:hAnsi="Arial"/>
          <w:sz w:val="14"/>
          <w:szCs w:val="14"/>
          <w:color w:val="auto"/>
        </w:rPr>
        <w:t>Federal Realty’s management team will present an in-depth discussion of the Trust’s operating performance on its second quarter 2011 earnings conference call, which is scheduled for August 4, 2011, at 11 a.m. Eastern Daylight Time. To participate, please call (800) 299-7928 five to ten minutes prior to the call start time and use the passcode FRT EARNINGS (required). Federal Realty will also provide an online webcast on the Company’s website, www.federalrealty.com, which will remain available for 30 days following the call. A telephone recording of the call will also be available through September 4, 2011, by dialing (888) 286-8010 and using the passcode 58534568.</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Federal Realty</w:t>
      </w:r>
    </w:p>
    <w:p>
      <w:pPr>
        <w:spacing w:after="0" w:line="92"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Federal Realty Investment Trust is an equity real estate investment trust specializing in the ownership, management and redevelopment of high quality retail assets. Federal Realty’s portfolio (excluding joint venture properties) contains approximately 18.6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93.4% leased to national, regional, and local retailers as of June 30, 2011, with no single tenant accounting for more than approximately 2.6% of annualized base rent. Federal Realty has paid quarterly dividends to its shareholders continuously since its founding in 1962, and has increased its dividend rate for 44 consecutive years, the longest record in the REIT industry. Federal Realty is an S&amp;P MidCap 400 company and its shares are traded on the NYSE under the symbol FRT. For more information, please visit www.federalrealty.com.</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40"/>
          </w:cols>
          <w:pgMar w:left="240" w:top="266"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 ANNOUNCES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2011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August 3, 2011</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Page 4</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Safe Harbor Language</w:t>
      </w:r>
    </w:p>
    <w:p>
      <w:pPr>
        <w:spacing w:after="0" w:line="92" w:lineRule="exact"/>
        <w:rPr>
          <w:sz w:val="20"/>
          <w:szCs w:val="20"/>
          <w:color w:val="auto"/>
        </w:rPr>
      </w:pPr>
    </w:p>
    <w:p>
      <w:pPr>
        <w:ind w:right="140"/>
        <w:spacing w:after="0" w:line="327" w:lineRule="auto"/>
        <w:rPr>
          <w:sz w:val="20"/>
          <w:szCs w:val="20"/>
          <w:color w:val="auto"/>
        </w:rPr>
      </w:pPr>
      <w:r>
        <w:rPr>
          <w:rFonts w:ascii="Arial" w:cs="Arial" w:eastAsia="Arial" w:hAnsi="Arial"/>
          <w:sz w:val="14"/>
          <w:szCs w:val="14"/>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2011, and include the following:</w:t>
      </w:r>
    </w:p>
    <w:p>
      <w:pPr>
        <w:spacing w:after="0" w:line="9" w:lineRule="exact"/>
        <w:rPr>
          <w:sz w:val="20"/>
          <w:szCs w:val="20"/>
          <w:color w:val="auto"/>
        </w:rPr>
      </w:pPr>
    </w:p>
    <w:p>
      <w:pPr>
        <w:ind w:left="900" w:right="160" w:hanging="333"/>
        <w:spacing w:after="0" w:line="285" w:lineRule="auto"/>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our tenants will not pay rent, may vacate early or may file for bankruptcy or that we may be unable to renew leases or re-let space at favorable rents as leases expire;</w:t>
      </w:r>
    </w:p>
    <w:p>
      <w:pPr>
        <w:spacing w:after="0" w:line="32" w:lineRule="exact"/>
        <w:rPr>
          <w:rFonts w:ascii="Arial" w:cs="Arial" w:eastAsia="Arial" w:hAnsi="Arial"/>
          <w:sz w:val="16"/>
          <w:szCs w:val="16"/>
          <w:i w:val="1"/>
          <w:iCs w:val="1"/>
          <w:color w:val="auto"/>
        </w:rPr>
      </w:pPr>
    </w:p>
    <w:p>
      <w:pPr>
        <w:ind w:left="900" w:right="280" w:hanging="333"/>
        <w:spacing w:after="0" w:line="349" w:lineRule="auto"/>
        <w:tabs>
          <w:tab w:leader="none" w:pos="9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00" w:right="340" w:hanging="333"/>
        <w:spacing w:after="0" w:line="285" w:lineRule="auto"/>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the number of properties we acquire for our own account, and therefore the amount of capital we invest in acquisitions, may be impacted by our real estate partnerships;</w:t>
      </w:r>
    </w:p>
    <w:p>
      <w:pPr>
        <w:spacing w:after="0" w:line="32" w:lineRule="exact"/>
        <w:rPr>
          <w:rFonts w:ascii="Arial" w:cs="Arial" w:eastAsia="Arial" w:hAnsi="Arial"/>
          <w:sz w:val="16"/>
          <w:szCs w:val="16"/>
          <w:i w:val="1"/>
          <w:iCs w:val="1"/>
          <w:color w:val="auto"/>
        </w:rPr>
      </w:pPr>
    </w:p>
    <w:p>
      <w:pPr>
        <w:ind w:left="900" w:right="80" w:hanging="333"/>
        <w:spacing w:after="0" w:line="264" w:lineRule="auto"/>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49" w:lineRule="exact"/>
        <w:rPr>
          <w:rFonts w:ascii="Arial" w:cs="Arial" w:eastAsia="Arial" w:hAnsi="Arial"/>
          <w:sz w:val="16"/>
          <w:szCs w:val="16"/>
          <w:i w:val="1"/>
          <w:iCs w:val="1"/>
          <w:color w:val="auto"/>
        </w:rPr>
      </w:pPr>
    </w:p>
    <w:p>
      <w:pPr>
        <w:ind w:left="900" w:hanging="333"/>
        <w:spacing w:after="0"/>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our growth will be limited if we cannot obtain additional capital;</w:t>
      </w:r>
    </w:p>
    <w:p>
      <w:pPr>
        <w:spacing w:after="0" w:line="87" w:lineRule="exact"/>
        <w:rPr>
          <w:rFonts w:ascii="Arial" w:cs="Arial" w:eastAsia="Arial" w:hAnsi="Arial"/>
          <w:sz w:val="16"/>
          <w:szCs w:val="16"/>
          <w:i w:val="1"/>
          <w:iCs w:val="1"/>
          <w:color w:val="auto"/>
        </w:rPr>
      </w:pPr>
    </w:p>
    <w:p>
      <w:pPr>
        <w:ind w:left="900" w:hanging="333"/>
        <w:spacing w:after="0"/>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associated with general economic conditions, including local economic conditions in our geographic markets;</w:t>
      </w:r>
    </w:p>
    <w:p>
      <w:pPr>
        <w:spacing w:after="0" w:line="87" w:lineRule="exact"/>
        <w:rPr>
          <w:rFonts w:ascii="Arial" w:cs="Arial" w:eastAsia="Arial" w:hAnsi="Arial"/>
          <w:sz w:val="16"/>
          <w:szCs w:val="16"/>
          <w:i w:val="1"/>
          <w:iCs w:val="1"/>
          <w:color w:val="auto"/>
        </w:rPr>
      </w:pPr>
    </w:p>
    <w:p>
      <w:pPr>
        <w:ind w:left="900" w:hanging="333"/>
        <w:spacing w:after="0" w:line="271" w:lineRule="auto"/>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3" w:lineRule="exact"/>
        <w:rPr>
          <w:rFonts w:ascii="Arial" w:cs="Arial" w:eastAsia="Arial" w:hAnsi="Arial"/>
          <w:sz w:val="16"/>
          <w:szCs w:val="16"/>
          <w:i w:val="1"/>
          <w:iCs w:val="1"/>
          <w:color w:val="auto"/>
        </w:rPr>
      </w:pPr>
    </w:p>
    <w:p>
      <w:pPr>
        <w:jc w:val="both"/>
        <w:ind w:left="900" w:right="160" w:hanging="333"/>
        <w:spacing w:after="0" w:line="271" w:lineRule="auto"/>
        <w:tabs>
          <w:tab w:leader="none" w:pos="90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7"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6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Summarized Income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w w:val="90"/>
              </w:rPr>
              <w:t>Three months ended June 30,</w:t>
            </w:r>
          </w:p>
        </w:tc>
        <w:tc>
          <w:tcPr>
            <w:tcW w:w="80" w:type="dxa"/>
            <w:vAlign w:val="bottom"/>
          </w:tcPr>
          <w:p>
            <w:pPr>
              <w:spacing w:after="0"/>
              <w:rPr>
                <w:sz w:val="12"/>
                <w:szCs w:val="12"/>
                <w:color w:val="auto"/>
              </w:rPr>
            </w:pPr>
          </w:p>
        </w:tc>
        <w:tc>
          <w:tcPr>
            <w:tcW w:w="160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w w:val="90"/>
              </w:rPr>
              <w:t>Six months ended June 30,</w:t>
            </w:r>
          </w:p>
        </w:tc>
        <w:tc>
          <w:tcPr>
            <w:tcW w:w="0" w:type="dxa"/>
            <w:vAlign w:val="bottom"/>
          </w:tcPr>
          <w:p>
            <w:pPr>
              <w:spacing w:after="0"/>
              <w:rPr>
                <w:sz w:val="1"/>
                <w:szCs w:val="1"/>
                <w:color w:val="auto"/>
              </w:rPr>
            </w:pPr>
          </w:p>
        </w:tc>
      </w:tr>
      <w:tr>
        <w:trPr>
          <w:trHeight w:val="128"/>
        </w:trPr>
        <w:tc>
          <w:tcPr>
            <w:tcW w:w="49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1"/>
              <w:spacing w:after="0" w:line="128" w:lineRule="exact"/>
              <w:rPr>
                <w:sz w:val="20"/>
                <w:szCs w:val="20"/>
                <w:color w:val="auto"/>
              </w:rPr>
            </w:pPr>
            <w:r>
              <w:rPr>
                <w:rFonts w:ascii="Arial" w:cs="Arial" w:eastAsia="Arial" w:hAnsi="Arial"/>
                <w:sz w:val="12"/>
                <w:szCs w:val="12"/>
                <w:b w:val="1"/>
                <w:bCs w:val="1"/>
                <w:color w:val="auto"/>
              </w:rPr>
              <w:t>2011</w:t>
            </w:r>
          </w:p>
        </w:tc>
        <w:tc>
          <w:tcPr>
            <w:tcW w:w="1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1"/>
              <w:spacing w:after="0" w:line="128" w:lineRule="exact"/>
              <w:rPr>
                <w:sz w:val="20"/>
                <w:szCs w:val="20"/>
                <w:color w:val="auto"/>
              </w:rPr>
            </w:pPr>
            <w:r>
              <w:rPr>
                <w:rFonts w:ascii="Arial" w:cs="Arial" w:eastAsia="Arial" w:hAnsi="Arial"/>
                <w:sz w:val="12"/>
                <w:szCs w:val="12"/>
                <w:b w:val="1"/>
                <w:bCs w:val="1"/>
                <w:color w:val="auto"/>
              </w:rPr>
              <w:t>2010</w:t>
            </w:r>
          </w:p>
        </w:tc>
        <w:tc>
          <w:tcPr>
            <w:tcW w:w="3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1"/>
              <w:spacing w:after="0" w:line="128" w:lineRule="exact"/>
              <w:rPr>
                <w:sz w:val="20"/>
                <w:szCs w:val="20"/>
                <w:color w:val="auto"/>
              </w:rPr>
            </w:pPr>
            <w:r>
              <w:rPr>
                <w:rFonts w:ascii="Arial" w:cs="Arial" w:eastAsia="Arial" w:hAnsi="Arial"/>
                <w:sz w:val="12"/>
                <w:szCs w:val="12"/>
                <w:b w:val="1"/>
                <w:bCs w:val="1"/>
                <w:color w:val="auto"/>
              </w:rPr>
              <w:t>2011</w:t>
            </w: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0"/>
              <w:spacing w:after="0" w:line="128" w:lineRule="exact"/>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9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7"/>
          </w:tcPr>
          <w:p>
            <w:pPr>
              <w:jc w:val="right"/>
              <w:ind w:right="100"/>
              <w:spacing w:after="0" w:line="115" w:lineRule="exact"/>
              <w:rPr>
                <w:sz w:val="20"/>
                <w:szCs w:val="20"/>
                <w:color w:val="auto"/>
              </w:rPr>
            </w:pPr>
            <w:r>
              <w:rPr>
                <w:rFonts w:ascii="Arial" w:cs="Arial" w:eastAsia="Arial" w:hAnsi="Arial"/>
                <w:sz w:val="12"/>
                <w:szCs w:val="12"/>
                <w:b w:val="1"/>
                <w:bCs w:val="1"/>
                <w:color w:val="auto"/>
                <w:w w:val="93"/>
              </w:rPr>
              <w:t>(in thousands, except per share data)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(unaudited)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Rental income</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132,999</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w w:val="96"/>
              </w:rPr>
              <w:t>129,636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267,438</w:t>
            </w:r>
          </w:p>
        </w:tc>
        <w:tc>
          <w:tcPr>
            <w:tcW w:w="2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260,461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property income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2,509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Mortgage interest income</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1,134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1,071</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revenue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136,279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133,216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273,929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271,017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4900" w:type="dxa"/>
            <w:vAlign w:val="bottom"/>
          </w:tcPr>
          <w:p>
            <w:pPr>
              <w:spacing w:after="0"/>
              <w:rPr>
                <w:sz w:val="20"/>
                <w:szCs w:val="20"/>
                <w:color w:val="auto"/>
              </w:rPr>
            </w:pPr>
            <w:r>
              <w:rPr>
                <w:rFonts w:ascii="Arial" w:cs="Arial" w:eastAsia="Arial" w:hAnsi="Arial"/>
                <w:sz w:val="16"/>
                <w:szCs w:val="16"/>
                <w:color w:val="auto"/>
              </w:rPr>
              <w:t>Expenses</w:t>
            </w:r>
          </w:p>
        </w:tc>
        <w:tc>
          <w:tcPr>
            <w:tcW w:w="27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Rental expenses</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25,132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25,511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Real estate taxes</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15,547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14,828</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30,954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29,855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General and administrative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6,395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6,016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11,505</w:t>
            </w: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31,871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31,020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62,287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59,793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operating expenses</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78,945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77,375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160,222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156,457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color w:val="auto"/>
              </w:rPr>
              <w:t>Operating income</w:t>
            </w:r>
          </w:p>
        </w:tc>
        <w:tc>
          <w:tcPr>
            <w:tcW w:w="2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90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57,334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55,841</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113,707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114,560</w:t>
            </w:r>
          </w:p>
        </w:tc>
        <w:tc>
          <w:tcPr>
            <w:tcW w:w="0" w:type="dxa"/>
            <w:vAlign w:val="bottom"/>
          </w:tcPr>
          <w:p>
            <w:pPr>
              <w:spacing w:after="0"/>
              <w:rPr>
                <w:sz w:val="1"/>
                <w:szCs w:val="1"/>
                <w:color w:val="auto"/>
              </w:rPr>
            </w:pPr>
          </w:p>
        </w:tc>
      </w:tr>
      <w:tr>
        <w:trPr>
          <w:trHeight w:val="100"/>
        </w:trPr>
        <w:tc>
          <w:tcPr>
            <w:tcW w:w="49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interest income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(23,905)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(25,418)</w:t>
            </w: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(48,949)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(51,380)</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Early extinguishment of debt</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Income from real estate partnerships</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30,644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0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Discontinued operations - income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314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Discontinued operations - gain on deconsolidation of VIE</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Discontinued operations - gain on sale of real estate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780"/>
              <w:spacing w:after="0"/>
              <w:rPr>
                <w:sz w:val="20"/>
                <w:szCs w:val="20"/>
                <w:color w:val="auto"/>
              </w:rPr>
            </w:pPr>
            <w:r>
              <w:rPr>
                <w:rFonts w:ascii="Arial" w:cs="Arial" w:eastAsia="Arial" w:hAnsi="Arial"/>
                <w:sz w:val="16"/>
                <w:szCs w:val="16"/>
                <w:color w:val="auto"/>
              </w:rPr>
              <w:t>Results from discontinued operations</w:t>
            </w:r>
          </w:p>
        </w:tc>
        <w:tc>
          <w:tcPr>
            <w:tcW w:w="2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0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2,578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1,314</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Income before gain on sale of real estate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36,471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31,958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900" w:type="dxa"/>
            <w:vAlign w:val="bottom"/>
          </w:tcPr>
          <w:p>
            <w:pPr>
              <w:ind w:left="400"/>
              <w:spacing w:after="0"/>
              <w:rPr>
                <w:sz w:val="20"/>
                <w:szCs w:val="20"/>
                <w:color w:val="auto"/>
              </w:rPr>
            </w:pPr>
            <w:r>
              <w:rPr>
                <w:rFonts w:ascii="Arial" w:cs="Arial" w:eastAsia="Arial" w:hAnsi="Arial"/>
                <w:sz w:val="16"/>
                <w:szCs w:val="16"/>
                <w:color w:val="auto"/>
              </w:rPr>
              <w:t>Gain on sale of real estate</w:t>
            </w:r>
          </w:p>
        </w:tc>
        <w:tc>
          <w:tcPr>
            <w:tcW w:w="2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36,471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32,368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00" w:type="dxa"/>
            <w:vAlign w:val="bottom"/>
          </w:tcPr>
          <w:p>
            <w:pPr>
              <w:ind w:left="400"/>
              <w:spacing w:after="0"/>
              <w:rPr>
                <w:sz w:val="20"/>
                <w:szCs w:val="20"/>
                <w:color w:val="auto"/>
              </w:rPr>
            </w:pPr>
            <w:r>
              <w:rPr>
                <w:rFonts w:ascii="Arial" w:cs="Arial" w:eastAsia="Arial" w:hAnsi="Arial"/>
                <w:sz w:val="16"/>
                <w:szCs w:val="16"/>
                <w:color w:val="auto"/>
              </w:rPr>
              <w:t>Net income attributable to noncontrolling interests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(1,714)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(1,254)</w:t>
            </w: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the Trust</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34,757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31,114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65,943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900" w:type="dxa"/>
            <w:vAlign w:val="bottom"/>
          </w:tcPr>
          <w:p>
            <w:pPr>
              <w:ind w:left="400"/>
              <w:spacing w:after="0"/>
              <w:rPr>
                <w:sz w:val="20"/>
                <w:szCs w:val="20"/>
                <w:color w:val="auto"/>
              </w:rPr>
            </w:pPr>
            <w:r>
              <w:rPr>
                <w:rFonts w:ascii="Arial" w:cs="Arial" w:eastAsia="Arial" w:hAnsi="Arial"/>
                <w:sz w:val="16"/>
                <w:szCs w:val="16"/>
                <w:color w:val="auto"/>
              </w:rPr>
              <w:t>Dividends on preferred shares</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income available for common shareholders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34,622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30,979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65,672</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color w:val="auto"/>
              </w:rPr>
              <w:t>EARNINGS PER COMMON SHARE, BASIC</w:t>
            </w: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90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Continuing operations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Discontinued operations</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Gain on sale of real estate</w:t>
            </w:r>
          </w:p>
        </w:tc>
        <w:tc>
          <w:tcPr>
            <w:tcW w:w="2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0.55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9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Weighted average number of common shares, basic</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62,214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61,169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6"/>
                <w:szCs w:val="16"/>
                <w:color w:val="auto"/>
              </w:rPr>
              <w:t>EARNINGS PER COMMON SHARE, DILUTED</w:t>
            </w: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90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Continuing operations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400"/>
              <w:spacing w:after="0"/>
              <w:rPr>
                <w:sz w:val="20"/>
                <w:szCs w:val="20"/>
                <w:color w:val="auto"/>
              </w:rPr>
            </w:pPr>
            <w:r>
              <w:rPr>
                <w:rFonts w:ascii="Arial" w:cs="Arial" w:eastAsia="Arial" w:hAnsi="Arial"/>
                <w:sz w:val="16"/>
                <w:szCs w:val="16"/>
                <w:color w:val="auto"/>
              </w:rPr>
              <w:t>Discontinued operations</w:t>
            </w: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Gain on sale of real estate</w:t>
            </w:r>
          </w:p>
        </w:tc>
        <w:tc>
          <w:tcPr>
            <w:tcW w:w="2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0.55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9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Weighted average number of common shares, diluted</w:t>
            </w: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62,391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61,311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780" w:type="dxa"/>
            <w:vAlign w:val="bottom"/>
            <w:vMerge w:val="restart"/>
          </w:tcPr>
          <w:p>
            <w:pPr>
              <w:jc w:val="right"/>
              <w:ind w:right="1840"/>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9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2"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Summarized Balance Sheets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June 30,</w:t>
            </w:r>
          </w:p>
        </w:tc>
        <w:tc>
          <w:tcPr>
            <w:tcW w:w="180" w:type="dxa"/>
            <w:vAlign w:val="bottom"/>
          </w:tcPr>
          <w:p>
            <w:pPr>
              <w:spacing w:after="0"/>
              <w:rPr>
                <w:sz w:val="12"/>
                <w:szCs w:val="1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4"/>
              </w:rPr>
              <w:t>December 31,</w:t>
            </w:r>
          </w:p>
        </w:tc>
        <w:tc>
          <w:tcPr>
            <w:tcW w:w="0" w:type="dxa"/>
            <w:vAlign w:val="bottom"/>
          </w:tcPr>
          <w:p>
            <w:pPr>
              <w:spacing w:after="0"/>
              <w:rPr>
                <w:sz w:val="1"/>
                <w:szCs w:val="1"/>
                <w:color w:val="auto"/>
              </w:rPr>
            </w:pPr>
          </w:p>
        </w:tc>
      </w:tr>
      <w:tr>
        <w:trPr>
          <w:trHeight w:val="149"/>
        </w:trPr>
        <w:tc>
          <w:tcPr>
            <w:tcW w:w="9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2011</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5"/>
          </w:tcPr>
          <w:p>
            <w:pPr>
              <w:jc w:val="right"/>
              <w:ind w:right="561"/>
              <w:spacing w:after="0" w:line="115"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(unaudited)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120" w:type="dxa"/>
            <w:vAlign w:val="bottom"/>
          </w:tcPr>
          <w:p>
            <w:pPr>
              <w:spacing w:after="0"/>
              <w:rPr>
                <w:sz w:val="20"/>
                <w:szCs w:val="20"/>
                <w:color w:val="auto"/>
              </w:rPr>
            </w:pPr>
            <w:r>
              <w:rPr>
                <w:rFonts w:ascii="Arial" w:cs="Arial" w:eastAsia="Arial" w:hAnsi="Arial"/>
                <w:sz w:val="16"/>
                <w:szCs w:val="16"/>
                <w:color w:val="auto"/>
              </w:rPr>
              <w:t>Real estate, at cost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Operating (including $139,785 and $78,846 of consolidated variable interest entities,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3,795,754</w:t>
            </w:r>
          </w:p>
        </w:tc>
        <w:tc>
          <w:tcPr>
            <w:tcW w:w="2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3,695,848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tcPr>
          <w:p>
            <w:pPr>
              <w:ind w:left="400"/>
              <w:spacing w:after="0"/>
              <w:rPr>
                <w:sz w:val="20"/>
                <w:szCs w:val="20"/>
                <w:color w:val="auto"/>
              </w:rPr>
            </w:pPr>
            <w:r>
              <w:rPr>
                <w:rFonts w:ascii="Arial" w:cs="Arial" w:eastAsia="Arial" w:hAnsi="Arial"/>
                <w:sz w:val="16"/>
                <w:szCs w:val="16"/>
                <w:color w:val="auto"/>
              </w:rPr>
              <w:t>Construction-in-progress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180,740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Assets held for sale/disposal (discontinued operations) (including $0 and $18,311 of consolidated variable interest entities,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3,992,997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3,895,942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2"/>
              </w:rPr>
              <w:t>Less accumulated depreciation and amortization (including $5,329 and $4,431 of consolidated variable interest entities, respectively)</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(1,084,806)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(1,035,204)</w:t>
            </w:r>
          </w:p>
        </w:tc>
        <w:tc>
          <w:tcPr>
            <w:tcW w:w="0" w:type="dxa"/>
            <w:vAlign w:val="bottom"/>
          </w:tcPr>
          <w:p>
            <w:pPr>
              <w:spacing w:after="0"/>
              <w:rPr>
                <w:sz w:val="1"/>
                <w:szCs w:val="1"/>
                <w:color w:val="auto"/>
              </w:rPr>
            </w:pPr>
          </w:p>
        </w:tc>
      </w:tr>
      <w:tr>
        <w:trPr>
          <w:trHeight w:val="201"/>
        </w:trPr>
        <w:tc>
          <w:tcPr>
            <w:tcW w:w="9120" w:type="dxa"/>
            <w:vAlign w:val="bottom"/>
          </w:tcPr>
          <w:p>
            <w:pPr>
              <w:spacing w:after="0"/>
              <w:rPr>
                <w:sz w:val="20"/>
                <w:szCs w:val="20"/>
                <w:color w:val="auto"/>
              </w:rPr>
            </w:pPr>
            <w:r>
              <w:rPr>
                <w:rFonts w:ascii="Arial" w:cs="Arial" w:eastAsia="Arial" w:hAnsi="Arial"/>
                <w:sz w:val="16"/>
                <w:szCs w:val="16"/>
                <w:color w:val="auto"/>
              </w:rPr>
              <w:t>Net real estate</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2,908,191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2,860,738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9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tcPr>
          <w:p>
            <w:pPr>
              <w:spacing w:after="0"/>
              <w:rPr>
                <w:sz w:val="20"/>
                <w:szCs w:val="20"/>
                <w:color w:val="auto"/>
              </w:rPr>
            </w:pPr>
            <w:r>
              <w:rPr>
                <w:rFonts w:ascii="Arial" w:cs="Arial" w:eastAsia="Arial" w:hAnsi="Arial"/>
                <w:sz w:val="16"/>
                <w:szCs w:val="16"/>
                <w:color w:val="auto"/>
              </w:rPr>
              <w:t>Accounts and notes receivable, net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73,917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68,997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Mortgage notes receivable, net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tcPr>
          <w:p>
            <w:pPr>
              <w:spacing w:after="0"/>
              <w:rPr>
                <w:sz w:val="20"/>
                <w:szCs w:val="20"/>
                <w:color w:val="auto"/>
              </w:rPr>
            </w:pPr>
            <w:r>
              <w:rPr>
                <w:rFonts w:ascii="Arial" w:cs="Arial" w:eastAsia="Arial" w:hAnsi="Arial"/>
                <w:sz w:val="16"/>
                <w:szCs w:val="16"/>
                <w:color w:val="auto"/>
              </w:rPr>
              <w:t>Investment in real estate partnerships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57,864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51,606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104,229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2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3,220,668</w:t>
            </w:r>
          </w:p>
        </w:tc>
        <w:tc>
          <w:tcPr>
            <w:tcW w:w="2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3,159,553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SHAREHOLDERS’ EQUITY</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120" w:type="dxa"/>
            <w:vAlign w:val="bottom"/>
          </w:tcPr>
          <w:p>
            <w:pPr>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Mortgages payable and capital lease obligations (including $22,455 and $22,785 of consolidated variable interest entities,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546,253</w:t>
            </w:r>
          </w:p>
        </w:tc>
        <w:tc>
          <w:tcPr>
            <w:tcW w:w="2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589,441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tcPr>
          <w:p>
            <w:pPr>
              <w:ind w:left="40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209,302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97,881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Senior notes and debentures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1,004,737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1,079,827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20" w:type="dxa"/>
            <w:vAlign w:val="bottom"/>
          </w:tcPr>
          <w:p>
            <w:pPr>
              <w:ind w:left="400"/>
              <w:spacing w:after="0"/>
              <w:rPr>
                <w:sz w:val="20"/>
                <w:szCs w:val="20"/>
                <w:color w:val="auto"/>
              </w:rPr>
            </w:pPr>
            <w:r>
              <w:rPr>
                <w:rFonts w:ascii="Arial" w:cs="Arial" w:eastAsia="Arial" w:hAnsi="Arial"/>
                <w:sz w:val="16"/>
                <w:szCs w:val="16"/>
                <w:color w:val="auto"/>
              </w:rPr>
              <w:t>Accounts payable and other liabilities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196,480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211,274</w:t>
            </w: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1,956,772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1,978,423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120" w:type="dxa"/>
            <w:vAlign w:val="bottom"/>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Preferred shares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20" w:type="dxa"/>
            <w:vAlign w:val="bottom"/>
          </w:tcPr>
          <w:p>
            <w:pPr>
              <w:ind w:left="400"/>
              <w:spacing w:after="0"/>
              <w:rPr>
                <w:sz w:val="20"/>
                <w:szCs w:val="20"/>
                <w:color w:val="auto"/>
              </w:rPr>
            </w:pPr>
            <w:r>
              <w:rPr>
                <w:rFonts w:ascii="Arial" w:cs="Arial" w:eastAsia="Arial" w:hAnsi="Arial"/>
                <w:sz w:val="16"/>
                <w:szCs w:val="16"/>
                <w:color w:val="auto"/>
              </w:rPr>
              <w:t>Common shares and other shareholders’ equity</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1,222,568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1,139,836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 of the Trust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1,232,565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1,149,833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20" w:type="dxa"/>
            <w:vAlign w:val="bottom"/>
          </w:tcPr>
          <w:p>
            <w:pPr>
              <w:ind w:left="400"/>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1,263,896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1,181,130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tcPr>
          <w:p>
            <w:pPr>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3,220,668</w:t>
            </w:r>
          </w:p>
        </w:tc>
        <w:tc>
          <w:tcPr>
            <w:tcW w:w="2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3,159,553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ind w:left="568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2" w:right="239" w:bottom="1440" w:gutter="0" w:footer="0" w:header="0"/>
        </w:sectPr>
      </w:pPr>
    </w:p>
    <w:bookmarkStart w:id="11" w:name="page12"/>
    <w:bookmarkEnd w:id="11"/>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Funds From Operations / Summary of Capital Expenditures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w w:val="92"/>
              </w:rPr>
              <w:t>Three months ended June 30,</w:t>
            </w:r>
          </w:p>
        </w:tc>
        <w:tc>
          <w:tcPr>
            <w:tcW w:w="80" w:type="dxa"/>
            <w:vAlign w:val="bottom"/>
          </w:tcPr>
          <w:p>
            <w:pPr>
              <w:spacing w:after="0"/>
              <w:rPr>
                <w:sz w:val="12"/>
                <w:szCs w:val="12"/>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93"/>
              </w:rPr>
              <w:t>Six months ended June 30,</w:t>
            </w: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1"/>
              <w:spacing w:after="0" w:line="128" w:lineRule="exact"/>
              <w:rPr>
                <w:sz w:val="20"/>
                <w:szCs w:val="20"/>
                <w:color w:val="auto"/>
              </w:rPr>
            </w:pPr>
            <w:r>
              <w:rPr>
                <w:rFonts w:ascii="Arial" w:cs="Arial" w:eastAsia="Arial" w:hAnsi="Arial"/>
                <w:sz w:val="12"/>
                <w:szCs w:val="12"/>
                <w:b w:val="1"/>
                <w:bCs w:val="1"/>
                <w:color w:val="auto"/>
              </w:rPr>
              <w:t>2011</w:t>
            </w:r>
          </w:p>
        </w:tc>
        <w:tc>
          <w:tcPr>
            <w:tcW w:w="2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28" w:lineRule="exact"/>
              <w:rPr>
                <w:sz w:val="20"/>
                <w:szCs w:val="20"/>
                <w:color w:val="auto"/>
              </w:rPr>
            </w:pPr>
            <w:r>
              <w:rPr>
                <w:rFonts w:ascii="Arial" w:cs="Arial" w:eastAsia="Arial" w:hAnsi="Arial"/>
                <w:sz w:val="12"/>
                <w:szCs w:val="12"/>
                <w:b w:val="1"/>
                <w:bCs w:val="1"/>
                <w:color w:val="auto"/>
              </w:rPr>
              <w:t>2010</w:t>
            </w:r>
          </w:p>
        </w:tc>
        <w:tc>
          <w:tcPr>
            <w:tcW w:w="48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1"/>
              <w:spacing w:after="0" w:line="128" w:lineRule="exact"/>
              <w:rPr>
                <w:sz w:val="20"/>
                <w:szCs w:val="20"/>
                <w:color w:val="auto"/>
              </w:rPr>
            </w:pPr>
            <w:r>
              <w:rPr>
                <w:rFonts w:ascii="Arial" w:cs="Arial" w:eastAsia="Arial" w:hAnsi="Arial"/>
                <w:sz w:val="12"/>
                <w:szCs w:val="12"/>
                <w:b w:val="1"/>
                <w:bCs w:val="1"/>
                <w:color w:val="auto"/>
              </w:rPr>
              <w:t>2011</w:t>
            </w:r>
          </w:p>
        </w:tc>
        <w:tc>
          <w:tcPr>
            <w:tcW w:w="3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1"/>
              <w:spacing w:after="0" w:line="128" w:lineRule="exact"/>
              <w:rPr>
                <w:sz w:val="20"/>
                <w:szCs w:val="20"/>
                <w:color w:val="auto"/>
              </w:rPr>
            </w:pPr>
            <w:r>
              <w:rPr>
                <w:rFonts w:ascii="Arial" w:cs="Arial" w:eastAsia="Arial" w:hAnsi="Arial"/>
                <w:sz w:val="12"/>
                <w:szCs w:val="12"/>
                <w:b w:val="1"/>
                <w:bCs w:val="1"/>
                <w:color w:val="auto"/>
              </w:rPr>
              <w:t>2010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gridSpan w:val="7"/>
          </w:tcPr>
          <w:p>
            <w:pPr>
              <w:jc w:val="right"/>
              <w:ind w:right="240"/>
              <w:spacing w:after="0" w:line="128" w:lineRule="exact"/>
              <w:rPr>
                <w:sz w:val="20"/>
                <w:szCs w:val="20"/>
                <w:color w:val="auto"/>
              </w:rPr>
            </w:pPr>
            <w:r>
              <w:rPr>
                <w:rFonts w:ascii="Arial" w:cs="Arial" w:eastAsia="Arial" w:hAnsi="Arial"/>
                <w:sz w:val="12"/>
                <w:szCs w:val="12"/>
                <w:b w:val="1"/>
                <w:bCs w:val="1"/>
                <w:color w:val="auto"/>
                <w:w w:val="96"/>
              </w:rPr>
              <w:t>(in thousands, except per share data)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460" w:type="dxa"/>
            <w:vAlign w:val="bottom"/>
            <w:tcBorders>
              <w:bottom w:val="single" w:sz="8" w:color="auto"/>
            </w:tcBorders>
            <w:gridSpan w:val="3"/>
            <w:shd w:val="clear" w:color="auto" w:fill="CCEEFF"/>
          </w:tcPr>
          <w:p>
            <w:pPr>
              <w:spacing w:after="0" w:line="161" w:lineRule="exact"/>
              <w:rPr>
                <w:sz w:val="20"/>
                <w:szCs w:val="20"/>
                <w:color w:val="auto"/>
              </w:rPr>
            </w:pPr>
            <w:r>
              <w:rPr>
                <w:rFonts w:ascii="Arial" w:cs="Arial" w:eastAsia="Arial" w:hAnsi="Arial"/>
                <w:sz w:val="16"/>
                <w:szCs w:val="16"/>
                <w:color w:val="auto"/>
                <w:w w:val="90"/>
              </w:rPr>
              <w:t>Funds from Operations available for common shareholders (FFO) (1)</w:t>
            </w:r>
          </w:p>
        </w:tc>
        <w:tc>
          <w:tcPr>
            <w:tcW w:w="14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60" w:type="dxa"/>
            <w:vAlign w:val="bottom"/>
            <w:gridSpan w:val="4"/>
          </w:tcPr>
          <w:p>
            <w:pPr>
              <w:spacing w:after="0"/>
              <w:rPr>
                <w:sz w:val="20"/>
                <w:szCs w:val="20"/>
                <w:color w:val="auto"/>
              </w:rPr>
            </w:pPr>
            <w:r>
              <w:rPr>
                <w:rFonts w:ascii="Arial" w:cs="Arial" w:eastAsia="Arial" w:hAnsi="Arial"/>
                <w:sz w:val="16"/>
                <w:szCs w:val="16"/>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36,471</w:t>
            </w:r>
          </w:p>
        </w:tc>
        <w:tc>
          <w:tcPr>
            <w:tcW w:w="24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32,368</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68,855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62,922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(1,254)</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198"/>
        </w:trPr>
        <w:tc>
          <w:tcPr>
            <w:tcW w:w="5860" w:type="dxa"/>
            <w:vAlign w:val="bottom"/>
            <w:gridSpan w:val="4"/>
          </w:tcPr>
          <w:p>
            <w:pPr>
              <w:spacing w:after="0"/>
              <w:rPr>
                <w:sz w:val="20"/>
                <w:szCs w:val="20"/>
                <w:color w:val="auto"/>
              </w:rPr>
            </w:pPr>
            <w:r>
              <w:rPr>
                <w:rFonts w:ascii="Arial" w:cs="Arial" w:eastAsia="Arial" w:hAnsi="Arial"/>
                <w:sz w:val="16"/>
                <w:szCs w:val="16"/>
                <w:color w:val="auto"/>
              </w:rPr>
              <w:t>Gain on sale of real estate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(1,410)</w:t>
            </w: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Gain on deconsolidation of VIE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860" w:type="dxa"/>
            <w:vAlign w:val="bottom"/>
            <w:gridSpan w:val="4"/>
          </w:tcPr>
          <w:p>
            <w:pPr>
              <w:spacing w:after="0"/>
              <w:rPr>
                <w:sz w:val="20"/>
                <w:szCs w:val="20"/>
                <w:color w:val="auto"/>
              </w:rPr>
            </w:pPr>
            <w:r>
              <w:rPr>
                <w:rFonts w:ascii="Arial" w:cs="Arial" w:eastAsia="Arial" w:hAnsi="Arial"/>
                <w:sz w:val="16"/>
                <w:szCs w:val="16"/>
                <w:color w:val="auto"/>
              </w:rPr>
              <w:t>Depreciation and amortization of real estate assets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28,463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27,797</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56,052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53,884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Amortization of initial direct costs of leases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5,053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60" w:type="dxa"/>
            <w:vAlign w:val="bottom"/>
            <w:gridSpan w:val="4"/>
          </w:tcPr>
          <w:p>
            <w:pPr>
              <w:spacing w:after="0"/>
              <w:rPr>
                <w:sz w:val="20"/>
                <w:szCs w:val="20"/>
                <w:color w:val="auto"/>
              </w:rPr>
            </w:pPr>
            <w:r>
              <w:rPr>
                <w:rFonts w:ascii="Arial" w:cs="Arial" w:eastAsia="Arial" w:hAnsi="Arial"/>
                <w:sz w:val="16"/>
                <w:szCs w:val="16"/>
                <w:color w:val="auto"/>
              </w:rPr>
              <w:t>Depreciation of joint venture real estate assets</w:t>
            </w:r>
          </w:p>
        </w:tc>
        <w:tc>
          <w:tcPr>
            <w:tcW w:w="1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Funds from operations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64,395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125,837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118,301</w:t>
            </w:r>
          </w:p>
        </w:tc>
        <w:tc>
          <w:tcPr>
            <w:tcW w:w="0" w:type="dxa"/>
            <w:vAlign w:val="bottom"/>
          </w:tcPr>
          <w:p>
            <w:pPr>
              <w:spacing w:after="0"/>
              <w:rPr>
                <w:sz w:val="1"/>
                <w:szCs w:val="1"/>
                <w:color w:val="auto"/>
              </w:rPr>
            </w:pPr>
          </w:p>
        </w:tc>
      </w:tr>
      <w:tr>
        <w:trPr>
          <w:trHeight w:val="198"/>
        </w:trPr>
        <w:tc>
          <w:tcPr>
            <w:tcW w:w="5860" w:type="dxa"/>
            <w:vAlign w:val="bottom"/>
            <w:gridSpan w:val="4"/>
          </w:tcPr>
          <w:p>
            <w:pPr>
              <w:spacing w:after="0"/>
              <w:rPr>
                <w:sz w:val="20"/>
                <w:szCs w:val="20"/>
                <w:color w:val="auto"/>
              </w:rPr>
            </w:pPr>
            <w:r>
              <w:rPr>
                <w:rFonts w:ascii="Arial" w:cs="Arial" w:eastAsia="Arial" w:hAnsi="Arial"/>
                <w:sz w:val="16"/>
                <w:szCs w:val="16"/>
                <w:color w:val="auto"/>
              </w:rPr>
              <w:t>Dividends on preferred shares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(135)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Income attributable to operating partnership units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484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tcPr>
          <w:p>
            <w:pPr>
              <w:spacing w:after="0"/>
              <w:rPr>
                <w:sz w:val="20"/>
                <w:szCs w:val="20"/>
                <w:color w:val="auto"/>
              </w:rPr>
            </w:pPr>
            <w:r>
              <w:rPr>
                <w:rFonts w:ascii="Arial" w:cs="Arial" w:eastAsia="Arial" w:hAnsi="Arial"/>
                <w:sz w:val="16"/>
                <w:szCs w:val="16"/>
                <w:color w:val="auto"/>
              </w:rPr>
              <w:t>Income attributable to unvested shares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(508)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5"/>
        </w:trPr>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86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FFO</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64,273</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125,542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118,127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860" w:type="dxa"/>
            <w:vAlign w:val="bottom"/>
            <w:gridSpan w:val="4"/>
          </w:tcPr>
          <w:p>
            <w:pPr>
              <w:spacing w:after="0"/>
              <w:rPr>
                <w:sz w:val="20"/>
                <w:szCs w:val="20"/>
                <w:color w:val="auto"/>
              </w:rPr>
            </w:pPr>
            <w:r>
              <w:rPr>
                <w:rFonts w:ascii="Arial" w:cs="Arial" w:eastAsia="Arial" w:hAnsi="Arial"/>
                <w:sz w:val="16"/>
                <w:szCs w:val="16"/>
                <w:color w:val="auto"/>
              </w:rPr>
              <w:t>FFO per diluted share</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0.98</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2.01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60" w:type="dxa"/>
            <w:vAlign w:val="bottom"/>
            <w:gridSpan w:val="4"/>
            <w:shd w:val="clear" w:color="auto" w:fill="CCEEFF"/>
          </w:tcPr>
          <w:p>
            <w:pPr>
              <w:ind w:left="780"/>
              <w:spacing w:after="0"/>
              <w:rPr>
                <w:sz w:val="20"/>
                <w:szCs w:val="20"/>
                <w:color w:val="auto"/>
              </w:rPr>
            </w:pPr>
            <w:r>
              <w:rPr>
                <w:rFonts w:ascii="Arial" w:cs="Arial" w:eastAsia="Arial" w:hAnsi="Arial"/>
                <w:sz w:val="16"/>
                <w:szCs w:val="16"/>
                <w:color w:val="auto"/>
              </w:rPr>
              <w:t>Weighted average number of common shares, diluted</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62,752</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62,373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gridSpan w:val="4"/>
            <w:vMerge w:val="restart"/>
          </w:tcPr>
          <w:p>
            <w:pPr>
              <w:spacing w:after="0"/>
              <w:rPr>
                <w:sz w:val="20"/>
                <w:szCs w:val="20"/>
                <w:color w:val="auto"/>
              </w:rPr>
            </w:pPr>
            <w:r>
              <w:rPr>
                <w:rFonts w:ascii="Arial" w:cs="Arial" w:eastAsia="Arial" w:hAnsi="Arial"/>
                <w:sz w:val="16"/>
                <w:szCs w:val="16"/>
                <w:color w:val="auto"/>
              </w:rPr>
              <w:t>Summary of Capital Expenditures</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60" w:type="dxa"/>
            <w:vAlign w:val="bottom"/>
            <w:gridSpan w:val="4"/>
            <w:vMerge w:val="continue"/>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8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8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Non-maintenance capital expenditures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tcPr>
          <w:p>
            <w:pPr>
              <w:ind w:left="780"/>
              <w:spacing w:after="0"/>
              <w:rPr>
                <w:sz w:val="20"/>
                <w:szCs w:val="20"/>
                <w:color w:val="auto"/>
              </w:rPr>
            </w:pPr>
            <w:r>
              <w:rPr>
                <w:rFonts w:ascii="Arial" w:cs="Arial" w:eastAsia="Arial" w:hAnsi="Arial"/>
                <w:sz w:val="16"/>
                <w:szCs w:val="16"/>
                <w:color w:val="auto"/>
              </w:rPr>
              <w:t>Redevelopment and expansions</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16,491</w:t>
            </w:r>
          </w:p>
        </w:tc>
        <w:tc>
          <w:tcPr>
            <w:tcW w:w="24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14,332</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34,656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23,724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ind w:left="780"/>
              <w:spacing w:after="0"/>
              <w:rPr>
                <w:sz w:val="20"/>
                <w:szCs w:val="20"/>
                <w:color w:val="auto"/>
              </w:rPr>
            </w:pPr>
            <w:r>
              <w:rPr>
                <w:rFonts w:ascii="Arial" w:cs="Arial" w:eastAsia="Arial" w:hAnsi="Arial"/>
                <w:sz w:val="16"/>
                <w:szCs w:val="16"/>
                <w:color w:val="auto"/>
              </w:rPr>
              <w:t>Tenant improvements and incentives</w:t>
            </w:r>
          </w:p>
        </w:tc>
        <w:tc>
          <w:tcPr>
            <w:tcW w:w="1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w:t>
            </w:r>
          </w:p>
        </w:tc>
        <w:tc>
          <w:tcPr>
            <w:tcW w:w="4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60" w:type="dxa"/>
            <w:vAlign w:val="bottom"/>
            <w:gridSpan w:val="4"/>
          </w:tcPr>
          <w:p>
            <w:pPr>
              <w:spacing w:after="0"/>
              <w:rPr>
                <w:sz w:val="20"/>
                <w:szCs w:val="20"/>
                <w:color w:val="auto"/>
              </w:rPr>
            </w:pPr>
            <w:r>
              <w:rPr>
                <w:rFonts w:ascii="Arial" w:cs="Arial" w:eastAsia="Arial" w:hAnsi="Arial"/>
                <w:sz w:val="16"/>
                <w:szCs w:val="16"/>
                <w:color w:val="auto"/>
              </w:rPr>
              <w:t>Total non-maintenance capital expenditures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24,748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17,939</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48,774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29,719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ind w:left="400"/>
              <w:spacing w:after="0"/>
              <w:rPr>
                <w:sz w:val="20"/>
                <w:szCs w:val="20"/>
                <w:color w:val="auto"/>
              </w:rPr>
            </w:pPr>
            <w:r>
              <w:rPr>
                <w:rFonts w:ascii="Arial" w:cs="Arial" w:eastAsia="Arial" w:hAnsi="Arial"/>
                <w:sz w:val="16"/>
                <w:szCs w:val="16"/>
                <w:color w:val="auto"/>
              </w:rPr>
              <w:t>Maintenance capital expenditures</w:t>
            </w:r>
          </w:p>
        </w:tc>
        <w:tc>
          <w:tcPr>
            <w:tcW w:w="1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4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60" w:type="dxa"/>
            <w:vAlign w:val="bottom"/>
            <w:gridSpan w:val="4"/>
          </w:tcPr>
          <w:p>
            <w:pPr>
              <w:spacing w:after="0"/>
              <w:rPr>
                <w:sz w:val="20"/>
                <w:szCs w:val="20"/>
                <w:color w:val="auto"/>
              </w:rPr>
            </w:pPr>
            <w:r>
              <w:rPr>
                <w:rFonts w:ascii="Arial" w:cs="Arial" w:eastAsia="Arial" w:hAnsi="Arial"/>
                <w:sz w:val="16"/>
                <w:szCs w:val="16"/>
                <w:color w:val="auto"/>
              </w:rPr>
              <w:t>Total capital expenditures</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28,715</w:t>
            </w:r>
          </w:p>
        </w:tc>
        <w:tc>
          <w:tcPr>
            <w:tcW w:w="24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20,586</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55,342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33,612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5860" w:type="dxa"/>
            <w:vAlign w:val="bottom"/>
            <w:gridSpan w:val="4"/>
            <w:shd w:val="clear" w:color="auto" w:fill="CCEEFF"/>
          </w:tcPr>
          <w:p>
            <w:pPr>
              <w:spacing w:after="0" w:line="161" w:lineRule="exact"/>
              <w:rPr>
                <w:sz w:val="20"/>
                <w:szCs w:val="20"/>
                <w:color w:val="auto"/>
              </w:rPr>
            </w:pPr>
            <w:r>
              <w:rPr>
                <w:rFonts w:ascii="Arial" w:cs="Arial" w:eastAsia="Arial" w:hAnsi="Arial"/>
                <w:sz w:val="16"/>
                <w:szCs w:val="16"/>
                <w:color w:val="auto"/>
              </w:rPr>
              <w:t>Dividends and Payout Ratios</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86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860" w:type="dxa"/>
            <w:vAlign w:val="bottom"/>
            <w:gridSpan w:val="4"/>
          </w:tcPr>
          <w:p>
            <w:pPr>
              <w:spacing w:after="0"/>
              <w:rPr>
                <w:sz w:val="20"/>
                <w:szCs w:val="20"/>
                <w:color w:val="auto"/>
              </w:rPr>
            </w:pPr>
            <w:r>
              <w:rPr>
                <w:rFonts w:ascii="Arial" w:cs="Arial" w:eastAsia="Arial" w:hAnsi="Arial"/>
                <w:sz w:val="16"/>
                <w:szCs w:val="16"/>
                <w:color w:val="auto"/>
              </w:rPr>
              <w:t>Regular common dividends declared</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42,010</w:t>
            </w:r>
          </w:p>
        </w:tc>
        <w:tc>
          <w:tcPr>
            <w:tcW w:w="24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40,524</w:t>
            </w:r>
          </w:p>
        </w:tc>
        <w:tc>
          <w:tcPr>
            <w:tcW w:w="4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83,679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81,003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8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Dividend payout ratio as a percentage of FFO</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1"/>
          </w:cols>
          <w:pgMar w:left="239" w:top="262" w:right="239" w:bottom="1440" w:gutter="0" w:footer="0" w:header="0"/>
        </w:sectPr>
      </w:pPr>
    </w:p>
    <w:bookmarkStart w:id="12" w:name="page13"/>
    <w:bookmarkEnd w:id="12"/>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Market Data</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9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June 30,</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28"/>
        </w:trPr>
        <w:tc>
          <w:tcPr>
            <w:tcW w:w="9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2"/>
              <w:spacing w:after="0" w:line="128" w:lineRule="exact"/>
              <w:rPr>
                <w:sz w:val="20"/>
                <w:szCs w:val="20"/>
                <w:color w:val="auto"/>
              </w:rPr>
            </w:pPr>
            <w:r>
              <w:rPr>
                <w:rFonts w:ascii="Arial" w:cs="Arial" w:eastAsia="Arial" w:hAnsi="Arial"/>
                <w:sz w:val="12"/>
                <w:szCs w:val="12"/>
                <w:b w:val="1"/>
                <w:bCs w:val="1"/>
                <w:color w:val="auto"/>
              </w:rPr>
              <w:t>2011</w:t>
            </w: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1"/>
              <w:spacing w:after="0" w:line="128" w:lineRule="exact"/>
              <w:rPr>
                <w:sz w:val="20"/>
                <w:szCs w:val="20"/>
                <w:color w:val="auto"/>
              </w:rPr>
            </w:pPr>
            <w:r>
              <w:rPr>
                <w:rFonts w:ascii="Arial" w:cs="Arial" w:eastAsia="Arial" w:hAnsi="Arial"/>
                <w:sz w:val="12"/>
                <w:szCs w:val="12"/>
                <w:b w:val="1"/>
                <w:bCs w:val="1"/>
                <w:color w:val="auto"/>
              </w:rPr>
              <w:t>2010</w:t>
            </w:r>
          </w:p>
        </w:tc>
        <w:tc>
          <w:tcPr>
            <w:tcW w:w="180" w:type="dxa"/>
            <w:vAlign w:val="bottom"/>
          </w:tcPr>
          <w:p>
            <w:pPr>
              <w:spacing w:after="0"/>
              <w:rPr>
                <w:sz w:val="11"/>
                <w:szCs w:val="11"/>
                <w:color w:val="auto"/>
              </w:rPr>
            </w:pPr>
          </w:p>
        </w:tc>
      </w:tr>
      <w:tr>
        <w:trPr>
          <w:trHeight w:val="128"/>
        </w:trPr>
        <w:tc>
          <w:tcPr>
            <w:tcW w:w="9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4"/>
          </w:tcPr>
          <w:p>
            <w:pPr>
              <w:jc w:val="right"/>
              <w:ind w:right="61"/>
              <w:spacing w:after="0" w:line="128" w:lineRule="exact"/>
              <w:rPr>
                <w:sz w:val="20"/>
                <w:szCs w:val="20"/>
                <w:color w:val="auto"/>
              </w:rPr>
            </w:pPr>
            <w:r>
              <w:rPr>
                <w:rFonts w:ascii="Arial" w:cs="Arial" w:eastAsia="Arial" w:hAnsi="Arial"/>
                <w:sz w:val="12"/>
                <w:szCs w:val="12"/>
                <w:b w:val="1"/>
                <w:bCs w:val="1"/>
                <w:color w:val="auto"/>
                <w:w w:val="91"/>
              </w:rPr>
              <w:t>(in thousands, except per share data)</w:t>
            </w:r>
          </w:p>
        </w:tc>
        <w:tc>
          <w:tcPr>
            <w:tcW w:w="180" w:type="dxa"/>
            <w:vAlign w:val="bottom"/>
          </w:tcPr>
          <w:p>
            <w:pPr>
              <w:spacing w:after="0"/>
              <w:rPr>
                <w:sz w:val="11"/>
                <w:szCs w:val="11"/>
                <w:color w:val="auto"/>
              </w:rPr>
            </w:pPr>
          </w:p>
        </w:tc>
      </w:tr>
      <w:tr>
        <w:trPr>
          <w:trHeight w:val="198"/>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Market data</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8"/>
        </w:trPr>
        <w:tc>
          <w:tcPr>
            <w:tcW w:w="9040" w:type="dxa"/>
            <w:vAlign w:val="bottom"/>
          </w:tcPr>
          <w:p>
            <w:pPr>
              <w:ind w:left="400"/>
              <w:spacing w:after="0"/>
              <w:rPr>
                <w:sz w:val="20"/>
                <w:szCs w:val="20"/>
                <w:color w:val="auto"/>
              </w:rPr>
            </w:pPr>
            <w:r>
              <w:rPr>
                <w:rFonts w:ascii="Arial" w:cs="Arial" w:eastAsia="Arial" w:hAnsi="Arial"/>
                <w:sz w:val="16"/>
                <w:szCs w:val="16"/>
                <w:color w:val="auto"/>
              </w:rPr>
              <w:t>Common shares outstanding (1)</w:t>
            </w:r>
          </w:p>
        </w:tc>
        <w:tc>
          <w:tcPr>
            <w:tcW w:w="100" w:type="dxa"/>
            <w:vAlign w:val="bottom"/>
          </w:tcPr>
          <w:p>
            <w:pPr>
              <w:spacing w:after="0"/>
              <w:rPr>
                <w:sz w:val="17"/>
                <w:szCs w:val="17"/>
                <w:color w:val="auto"/>
              </w:rPr>
            </w:pPr>
          </w:p>
        </w:tc>
        <w:tc>
          <w:tcPr>
            <w:tcW w:w="1260" w:type="dxa"/>
            <w:vAlign w:val="bottom"/>
            <w:gridSpan w:val="2"/>
          </w:tcPr>
          <w:p>
            <w:pPr>
              <w:jc w:val="right"/>
              <w:ind w:right="458"/>
              <w:spacing w:after="0"/>
              <w:rPr>
                <w:sz w:val="20"/>
                <w:szCs w:val="20"/>
                <w:color w:val="auto"/>
              </w:rPr>
            </w:pPr>
            <w:r>
              <w:rPr>
                <w:rFonts w:ascii="Arial" w:cs="Arial" w:eastAsia="Arial" w:hAnsi="Arial"/>
                <w:sz w:val="16"/>
                <w:szCs w:val="16"/>
                <w:color w:val="auto"/>
              </w:rPr>
              <w:t>62,798</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61,408</w:t>
            </w:r>
          </w:p>
        </w:tc>
        <w:tc>
          <w:tcPr>
            <w:tcW w:w="180" w:type="dxa"/>
            <w:vAlign w:val="bottom"/>
          </w:tcPr>
          <w:p>
            <w:pPr>
              <w:spacing w:after="0"/>
              <w:rPr>
                <w:sz w:val="17"/>
                <w:szCs w:val="17"/>
                <w:color w:val="auto"/>
              </w:rPr>
            </w:pPr>
          </w:p>
        </w:tc>
      </w:tr>
      <w:tr>
        <w:trPr>
          <w:trHeight w:val="198"/>
        </w:trPr>
        <w:tc>
          <w:tcPr>
            <w:tcW w:w="9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Market price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85.18</w:t>
            </w:r>
          </w:p>
        </w:tc>
        <w:tc>
          <w:tcPr>
            <w:tcW w:w="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70.27</w:t>
            </w:r>
          </w:p>
        </w:tc>
        <w:tc>
          <w:tcPr>
            <w:tcW w:w="180" w:type="dxa"/>
            <w:vAlign w:val="bottom"/>
            <w:shd w:val="clear" w:color="auto" w:fill="CCEEFF"/>
          </w:tcPr>
          <w:p>
            <w:pPr>
              <w:spacing w:after="0"/>
              <w:rPr>
                <w:sz w:val="17"/>
                <w:szCs w:val="17"/>
                <w:color w:val="auto"/>
              </w:rPr>
            </w:pPr>
          </w:p>
        </w:tc>
      </w:tr>
      <w:tr>
        <w:trPr>
          <w:trHeight w:val="202"/>
        </w:trPr>
        <w:tc>
          <w:tcPr>
            <w:tcW w:w="9040" w:type="dxa"/>
            <w:vAlign w:val="bottom"/>
          </w:tcPr>
          <w:p>
            <w:pPr>
              <w:ind w:left="780"/>
              <w:spacing w:after="0"/>
              <w:rPr>
                <w:sz w:val="20"/>
                <w:szCs w:val="20"/>
                <w:color w:val="auto"/>
              </w:rPr>
            </w:pPr>
            <w:r>
              <w:rPr>
                <w:rFonts w:ascii="Arial" w:cs="Arial" w:eastAsia="Arial" w:hAnsi="Arial"/>
                <w:sz w:val="16"/>
                <w:szCs w:val="16"/>
                <w:color w:val="auto"/>
              </w:rPr>
              <w:t>Common equity market capitalization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58"/>
              <w:spacing w:after="0"/>
              <w:rPr>
                <w:sz w:val="20"/>
                <w:szCs w:val="20"/>
                <w:color w:val="auto"/>
              </w:rPr>
            </w:pPr>
            <w:r>
              <w:rPr>
                <w:rFonts w:ascii="Arial" w:cs="Arial" w:eastAsia="Arial" w:hAnsi="Arial"/>
                <w:sz w:val="16"/>
                <w:szCs w:val="16"/>
                <w:color w:val="auto"/>
              </w:rPr>
              <w:t>5,349,134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4,315,140</w:t>
            </w:r>
          </w:p>
        </w:tc>
        <w:tc>
          <w:tcPr>
            <w:tcW w:w="180" w:type="dxa"/>
            <w:vAlign w:val="bottom"/>
          </w:tcPr>
          <w:p>
            <w:pPr>
              <w:spacing w:after="0"/>
              <w:rPr>
                <w:sz w:val="17"/>
                <w:szCs w:val="17"/>
                <w:color w:val="auto"/>
              </w:rPr>
            </w:pPr>
          </w:p>
        </w:tc>
      </w:tr>
      <w:tr>
        <w:trPr>
          <w:trHeight w:val="104"/>
        </w:trPr>
        <w:tc>
          <w:tcPr>
            <w:tcW w:w="90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198"/>
        </w:trPr>
        <w:tc>
          <w:tcPr>
            <w:tcW w:w="9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Series 1 preferred shares outstanding (2)</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58"/>
              <w:spacing w:after="0"/>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80" w:type="dxa"/>
            <w:vAlign w:val="bottom"/>
            <w:shd w:val="clear" w:color="auto" w:fill="CCEEFF"/>
          </w:tcPr>
          <w:p>
            <w:pPr>
              <w:spacing w:after="0"/>
              <w:rPr>
                <w:sz w:val="17"/>
                <w:szCs w:val="17"/>
                <w:color w:val="auto"/>
              </w:rPr>
            </w:pPr>
          </w:p>
        </w:tc>
      </w:tr>
      <w:tr>
        <w:trPr>
          <w:trHeight w:val="202"/>
        </w:trPr>
        <w:tc>
          <w:tcPr>
            <w:tcW w:w="9040" w:type="dxa"/>
            <w:vAlign w:val="bottom"/>
          </w:tcPr>
          <w:p>
            <w:pPr>
              <w:ind w:left="400"/>
              <w:spacing w:after="0"/>
              <w:rPr>
                <w:sz w:val="20"/>
                <w:szCs w:val="20"/>
                <w:color w:val="auto"/>
              </w:rPr>
            </w:pPr>
            <w:r>
              <w:rPr>
                <w:rFonts w:ascii="Arial" w:cs="Arial" w:eastAsia="Arial" w:hAnsi="Arial"/>
                <w:sz w:val="16"/>
                <w:szCs w:val="16"/>
                <w:color w:val="auto"/>
              </w:rPr>
              <w:t>Liquidation price per Series 1 preferred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5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180" w:type="dxa"/>
            <w:vAlign w:val="bottom"/>
          </w:tcPr>
          <w:p>
            <w:pPr>
              <w:spacing w:after="0"/>
              <w:rPr>
                <w:sz w:val="17"/>
                <w:szCs w:val="17"/>
                <w:color w:val="auto"/>
              </w:rPr>
            </w:pPr>
          </w:p>
        </w:tc>
      </w:tr>
      <w:tr>
        <w:trPr>
          <w:trHeight w:val="198"/>
        </w:trPr>
        <w:tc>
          <w:tcPr>
            <w:tcW w:w="90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Series 1 preferred equity market capitalization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7"/>
                <w:szCs w:val="17"/>
                <w:color w:val="auto"/>
              </w:rPr>
            </w:pPr>
          </w:p>
        </w:tc>
      </w:tr>
      <w:tr>
        <w:trPr>
          <w:trHeight w:val="300"/>
        </w:trPr>
        <w:tc>
          <w:tcPr>
            <w:tcW w:w="9040" w:type="dxa"/>
            <w:vAlign w:val="bottom"/>
          </w:tcPr>
          <w:p>
            <w:pPr>
              <w:ind w:left="400"/>
              <w:spacing w:after="0"/>
              <w:rPr>
                <w:sz w:val="20"/>
                <w:szCs w:val="20"/>
                <w:color w:val="auto"/>
              </w:rPr>
            </w:pPr>
            <w:r>
              <w:rPr>
                <w:rFonts w:ascii="Arial" w:cs="Arial" w:eastAsia="Arial" w:hAnsi="Arial"/>
                <w:sz w:val="16"/>
                <w:szCs w:val="16"/>
                <w:color w:val="auto"/>
              </w:rPr>
              <w:t>Equity market capitalization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58"/>
              <w:spacing w:after="0"/>
              <w:rPr>
                <w:sz w:val="20"/>
                <w:szCs w:val="20"/>
                <w:color w:val="auto"/>
              </w:rPr>
            </w:pPr>
            <w:r>
              <w:rPr>
                <w:rFonts w:ascii="Arial" w:cs="Arial" w:eastAsia="Arial" w:hAnsi="Arial"/>
                <w:sz w:val="16"/>
                <w:szCs w:val="16"/>
                <w:color w:val="auto"/>
              </w:rPr>
              <w:t>5,359,134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4,325,140</w:t>
            </w:r>
          </w:p>
        </w:tc>
        <w:tc>
          <w:tcPr>
            <w:tcW w:w="180" w:type="dxa"/>
            <w:vAlign w:val="bottom"/>
          </w:tcPr>
          <w:p>
            <w:pPr>
              <w:spacing w:after="0"/>
              <w:rPr>
                <w:sz w:val="24"/>
                <w:szCs w:val="24"/>
                <w:color w:val="auto"/>
              </w:rPr>
            </w:pPr>
          </w:p>
        </w:tc>
      </w:tr>
      <w:tr>
        <w:trPr>
          <w:trHeight w:val="100"/>
        </w:trPr>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98"/>
        </w:trPr>
        <w:tc>
          <w:tcPr>
            <w:tcW w:w="9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debt (3)</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1,760,292</w:t>
            </w:r>
          </w:p>
        </w:tc>
        <w:tc>
          <w:tcPr>
            <w:tcW w:w="5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1,697,138</w:t>
            </w:r>
          </w:p>
        </w:tc>
        <w:tc>
          <w:tcPr>
            <w:tcW w:w="180" w:type="dxa"/>
            <w:vAlign w:val="bottom"/>
            <w:shd w:val="clear" w:color="auto" w:fill="CCEEFF"/>
          </w:tcPr>
          <w:p>
            <w:pPr>
              <w:spacing w:after="0"/>
              <w:rPr>
                <w:sz w:val="17"/>
                <w:szCs w:val="17"/>
                <w:color w:val="auto"/>
              </w:rPr>
            </w:pPr>
          </w:p>
        </w:tc>
      </w:tr>
      <w:tr>
        <w:trPr>
          <w:trHeight w:val="300"/>
        </w:trPr>
        <w:tc>
          <w:tcPr>
            <w:tcW w:w="9040" w:type="dxa"/>
            <w:vAlign w:val="bottom"/>
          </w:tcPr>
          <w:p>
            <w:pPr>
              <w:ind w:left="400"/>
              <w:spacing w:after="0"/>
              <w:rPr>
                <w:sz w:val="20"/>
                <w:szCs w:val="20"/>
                <w:color w:val="auto"/>
              </w:rPr>
            </w:pPr>
            <w:r>
              <w:rPr>
                <w:rFonts w:ascii="Arial" w:cs="Arial" w:eastAsia="Arial" w:hAnsi="Arial"/>
                <w:sz w:val="16"/>
                <w:szCs w:val="16"/>
                <w:color w:val="auto"/>
              </w:rPr>
              <w:t>Total market capitalization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58"/>
              <w:spacing w:after="0"/>
              <w:rPr>
                <w:sz w:val="20"/>
                <w:szCs w:val="20"/>
                <w:color w:val="auto"/>
              </w:rPr>
            </w:pPr>
            <w:r>
              <w:rPr>
                <w:rFonts w:ascii="Arial" w:cs="Arial" w:eastAsia="Arial" w:hAnsi="Arial"/>
                <w:sz w:val="16"/>
                <w:szCs w:val="16"/>
                <w:color w:val="auto"/>
              </w:rPr>
              <w:t>7,119,426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6,022,278</w:t>
            </w:r>
          </w:p>
        </w:tc>
        <w:tc>
          <w:tcPr>
            <w:tcW w:w="180" w:type="dxa"/>
            <w:vAlign w:val="bottom"/>
          </w:tcPr>
          <w:p>
            <w:pPr>
              <w:spacing w:after="0"/>
              <w:rPr>
                <w:sz w:val="24"/>
                <w:szCs w:val="24"/>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9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198"/>
        </w:trPr>
        <w:tc>
          <w:tcPr>
            <w:tcW w:w="9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debt to market capitalization at then current market price</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r>
      <w:tr>
        <w:trPr>
          <w:trHeight w:val="295"/>
        </w:trPr>
        <w:tc>
          <w:tcPr>
            <w:tcW w:w="9040" w:type="dxa"/>
            <w:vAlign w:val="bottom"/>
          </w:tcPr>
          <w:p>
            <w:pPr>
              <w:ind w:left="400"/>
              <w:spacing w:after="0"/>
              <w:rPr>
                <w:sz w:val="20"/>
                <w:szCs w:val="20"/>
                <w:color w:val="auto"/>
              </w:rPr>
            </w:pPr>
            <w:r>
              <w:rPr>
                <w:rFonts w:ascii="Arial" w:cs="Arial" w:eastAsia="Arial" w:hAnsi="Arial"/>
                <w:sz w:val="16"/>
                <w:szCs w:val="16"/>
                <w:color w:val="auto"/>
              </w:rPr>
              <w:t>Total debt to market capitalization at constant common share price of $70.27</w:t>
            </w:r>
          </w:p>
        </w:tc>
        <w:tc>
          <w:tcPr>
            <w:tcW w:w="100" w:type="dxa"/>
            <w:vAlign w:val="bottom"/>
          </w:tcPr>
          <w:p>
            <w:pPr>
              <w:spacing w:after="0"/>
              <w:rPr>
                <w:sz w:val="24"/>
                <w:szCs w:val="24"/>
                <w:color w:val="auto"/>
              </w:rPr>
            </w:pPr>
          </w:p>
        </w:tc>
        <w:tc>
          <w:tcPr>
            <w:tcW w:w="1260" w:type="dxa"/>
            <w:vAlign w:val="bottom"/>
            <w:gridSpan w:val="2"/>
          </w:tcPr>
          <w:p>
            <w:pPr>
              <w:jc w:val="right"/>
              <w:ind w:right="338"/>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r>
      <w:tr>
        <w:trPr>
          <w:trHeight w:val="100"/>
        </w:trPr>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98"/>
        </w:trPr>
        <w:tc>
          <w:tcPr>
            <w:tcW w:w="9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Fixed rate debt ratio:</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8"/>
        </w:trPr>
        <w:tc>
          <w:tcPr>
            <w:tcW w:w="9040" w:type="dxa"/>
            <w:vAlign w:val="bottom"/>
          </w:tcPr>
          <w:p>
            <w:pPr>
              <w:ind w:left="780"/>
              <w:spacing w:after="0"/>
              <w:rPr>
                <w:sz w:val="20"/>
                <w:szCs w:val="20"/>
                <w:color w:val="auto"/>
              </w:rPr>
            </w:pPr>
            <w:r>
              <w:rPr>
                <w:rFonts w:ascii="Arial" w:cs="Arial" w:eastAsia="Arial" w:hAnsi="Arial"/>
                <w:sz w:val="16"/>
                <w:szCs w:val="16"/>
                <w:color w:val="auto"/>
              </w:rPr>
              <w:t>Fixed rate debt and capital lease obligations</w:t>
            </w:r>
          </w:p>
        </w:tc>
        <w:tc>
          <w:tcPr>
            <w:tcW w:w="100" w:type="dxa"/>
            <w:vAlign w:val="bottom"/>
          </w:tcPr>
          <w:p>
            <w:pPr>
              <w:spacing w:after="0"/>
              <w:rPr>
                <w:sz w:val="17"/>
                <w:szCs w:val="17"/>
                <w:color w:val="auto"/>
              </w:rPr>
            </w:pPr>
          </w:p>
        </w:tc>
        <w:tc>
          <w:tcPr>
            <w:tcW w:w="1260" w:type="dxa"/>
            <w:vAlign w:val="bottom"/>
            <w:gridSpan w:val="2"/>
          </w:tcPr>
          <w:p>
            <w:pPr>
              <w:jc w:val="right"/>
              <w:ind w:right="338"/>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99%</w:t>
            </w:r>
          </w:p>
        </w:tc>
      </w:tr>
      <w:tr>
        <w:trPr>
          <w:trHeight w:val="198"/>
        </w:trPr>
        <w:tc>
          <w:tcPr>
            <w:tcW w:w="90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Variable rate debt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r>
      <w:tr>
        <w:trPr>
          <w:trHeight w:val="20"/>
        </w:trPr>
        <w:tc>
          <w:tcPr>
            <w:tcW w:w="9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2"/>
        </w:trPr>
        <w:tc>
          <w:tcPr>
            <w:tcW w:w="9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38"/>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do not include 360,314 and 369,260 Operating Partnership Units outstanding at June 30, 2011 and 2010, respectively.</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13" w:lineRule="exact"/>
        <w:rPr>
          <w:rFonts w:ascii="Arial" w:cs="Arial" w:eastAsia="Arial" w:hAnsi="Arial"/>
          <w:sz w:val="16"/>
          <w:szCs w:val="16"/>
          <w:color w:val="auto"/>
        </w:rPr>
      </w:pPr>
    </w:p>
    <w:p>
      <w:pPr>
        <w:ind w:left="461" w:right="160" w:hanging="461"/>
        <w:spacing w:after="0" w:line="286" w:lineRule="auto"/>
        <w:tabs>
          <w:tab w:leader="none" w:pos="461"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$17.2 million and $17.3 million which is the Trust’s 30% share of the total mortgages payable of $57.5 million and $57.7 million at June 30, 2011 and 2010, respectively, of the partnership with a discretionary fund created and advised by ING Clarion Partners. It also excludes $11.8 million and $8.8 million at June 30, 2011 and 2010, respectively, in mortgage loans on our Newbury Street Partnership for which we are the lender.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1"/>
          </w:cols>
          <w:pgMar w:left="239" w:top="262" w:right="239" w:bottom="1440" w:gutter="0" w:footer="0" w:header="0"/>
        </w:sectPr>
      </w:pPr>
    </w:p>
    <w:bookmarkStart w:id="13" w:name="page14"/>
    <w:bookmarkEnd w:id="13"/>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Components of Rental Income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46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center"/>
              <w:ind w:right="22"/>
              <w:spacing w:after="0"/>
              <w:rPr>
                <w:sz w:val="20"/>
                <w:szCs w:val="20"/>
                <w:color w:val="auto"/>
              </w:rPr>
            </w:pPr>
            <w:r>
              <w:rPr>
                <w:rFonts w:ascii="Arial" w:cs="Arial" w:eastAsia="Arial" w:hAnsi="Arial"/>
                <w:sz w:val="12"/>
                <w:szCs w:val="12"/>
                <w:b w:val="1"/>
                <w:bCs w:val="1"/>
                <w:color w:val="auto"/>
                <w:w w:val="91"/>
              </w:rPr>
              <w:t>Three months ended</w:t>
            </w:r>
          </w:p>
        </w:tc>
        <w:tc>
          <w:tcPr>
            <w:tcW w:w="400" w:type="dxa"/>
            <w:vAlign w:val="bottom"/>
          </w:tcPr>
          <w:p>
            <w:pPr>
              <w:spacing w:after="0"/>
              <w:rPr>
                <w:sz w:val="12"/>
                <w:szCs w:val="12"/>
                <w:color w:val="auto"/>
              </w:rPr>
            </w:pPr>
          </w:p>
        </w:tc>
        <w:tc>
          <w:tcPr>
            <w:tcW w:w="17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0"/>
              </w:rPr>
              <w:t>Six months ended</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left="367"/>
              <w:spacing w:after="0"/>
              <w:rPr>
                <w:sz w:val="20"/>
                <w:szCs w:val="20"/>
                <w:color w:val="auto"/>
              </w:rPr>
            </w:pPr>
            <w:r>
              <w:rPr>
                <w:rFonts w:ascii="Arial" w:cs="Arial" w:eastAsia="Arial" w:hAnsi="Arial"/>
                <w:sz w:val="12"/>
                <w:szCs w:val="12"/>
                <w:b w:val="1"/>
                <w:bCs w:val="1"/>
                <w:color w:val="auto"/>
                <w:w w:val="91"/>
              </w:rPr>
              <w:t>June 30,</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1"/>
              </w:rPr>
              <w:t>June 30,</w:t>
            </w:r>
          </w:p>
        </w:tc>
      </w:tr>
      <w:tr>
        <w:trPr>
          <w:trHeight w:val="128"/>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07"/>
              <w:spacing w:after="0" w:line="128" w:lineRule="exact"/>
              <w:rPr>
                <w:sz w:val="20"/>
                <w:szCs w:val="20"/>
                <w:color w:val="auto"/>
              </w:rPr>
            </w:pPr>
            <w:r>
              <w:rPr>
                <w:rFonts w:ascii="Arial" w:cs="Arial" w:eastAsia="Arial" w:hAnsi="Arial"/>
                <w:sz w:val="12"/>
                <w:szCs w:val="12"/>
                <w:b w:val="1"/>
                <w:bCs w:val="1"/>
                <w:color w:val="auto"/>
              </w:rPr>
              <w:t>2011</w:t>
            </w:r>
          </w:p>
        </w:tc>
        <w:tc>
          <w:tcPr>
            <w:tcW w:w="4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2"/>
              <w:spacing w:after="0" w:line="128" w:lineRule="exact"/>
              <w:rPr>
                <w:sz w:val="20"/>
                <w:szCs w:val="20"/>
                <w:color w:val="auto"/>
              </w:rPr>
            </w:pPr>
            <w:r>
              <w:rPr>
                <w:rFonts w:ascii="Arial" w:cs="Arial" w:eastAsia="Arial" w:hAnsi="Arial"/>
                <w:sz w:val="12"/>
                <w:szCs w:val="12"/>
                <w:b w:val="1"/>
                <w:bCs w:val="1"/>
                <w:color w:val="auto"/>
              </w:rPr>
              <w:t>2010</w:t>
            </w:r>
          </w:p>
        </w:tc>
        <w:tc>
          <w:tcPr>
            <w:tcW w:w="4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28" w:lineRule="exact"/>
              <w:rPr>
                <w:sz w:val="20"/>
                <w:szCs w:val="20"/>
                <w:color w:val="auto"/>
              </w:rPr>
            </w:pPr>
            <w:r>
              <w:rPr>
                <w:rFonts w:ascii="Arial" w:cs="Arial" w:eastAsia="Arial" w:hAnsi="Arial"/>
                <w:sz w:val="12"/>
                <w:szCs w:val="12"/>
                <w:b w:val="1"/>
                <w:bCs w:val="1"/>
                <w:color w:val="auto"/>
              </w:rPr>
              <w:t>2011</w:t>
            </w:r>
          </w:p>
        </w:tc>
        <w:tc>
          <w:tcPr>
            <w:tcW w:w="1000" w:type="dxa"/>
            <w:vAlign w:val="bottom"/>
            <w:tcBorders>
              <w:top w:val="single" w:sz="8" w:color="auto"/>
              <w:bottom w:val="single" w:sz="8" w:color="auto"/>
            </w:tcBorders>
            <w:gridSpan w:val="2"/>
          </w:tcPr>
          <w:p>
            <w:pPr>
              <w:jc w:val="right"/>
              <w:ind w:right="100"/>
              <w:spacing w:after="0" w:line="128" w:lineRule="exact"/>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jc w:val="center"/>
              <w:ind w:right="22"/>
              <w:spacing w:after="0" w:line="128" w:lineRule="exact"/>
              <w:rPr>
                <w:sz w:val="20"/>
                <w:szCs w:val="20"/>
                <w:color w:val="auto"/>
              </w:rPr>
            </w:pPr>
            <w:r>
              <w:rPr>
                <w:rFonts w:ascii="Arial" w:cs="Arial" w:eastAsia="Arial" w:hAnsi="Arial"/>
                <w:sz w:val="12"/>
                <w:szCs w:val="12"/>
                <w:b w:val="1"/>
                <w:bCs w:val="1"/>
                <w:color w:val="auto"/>
                <w:w w:val="91"/>
              </w:rPr>
              <w:t>(in thousands)</w:t>
            </w:r>
          </w:p>
        </w:tc>
        <w:tc>
          <w:tcPr>
            <w:tcW w:w="400" w:type="dxa"/>
            <w:vAlign w:val="bottom"/>
          </w:tcPr>
          <w:p>
            <w:pPr>
              <w:spacing w:after="0"/>
              <w:rPr>
                <w:sz w:val="11"/>
                <w:szCs w:val="11"/>
                <w:color w:val="auto"/>
              </w:rPr>
            </w:pPr>
          </w:p>
        </w:tc>
        <w:tc>
          <w:tcPr>
            <w:tcW w:w="162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91"/>
              </w:rPr>
              <w:t>(in thousands)</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Minimum rents</w:t>
            </w:r>
          </w:p>
        </w:tc>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400" w:type="dxa"/>
            <w:vAlign w:val="bottom"/>
          </w:tcPr>
          <w:p>
            <w:pPr>
              <w:ind w:left="380"/>
              <w:spacing w:after="0"/>
              <w:rPr>
                <w:sz w:val="20"/>
                <w:szCs w:val="20"/>
                <w:color w:val="auto"/>
              </w:rPr>
            </w:pPr>
            <w:r>
              <w:rPr>
                <w:rFonts w:ascii="Arial" w:cs="Arial" w:eastAsia="Arial" w:hAnsi="Arial"/>
                <w:sz w:val="16"/>
                <w:szCs w:val="16"/>
                <w:color w:val="auto"/>
              </w:rPr>
              <w:t>Retail and commercial (1)</w:t>
            </w:r>
          </w:p>
        </w:tc>
        <w:tc>
          <w:tcPr>
            <w:tcW w:w="2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98,232</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94,777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$194,968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$188,276</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Residential (2)</w:t>
            </w:r>
          </w:p>
        </w:tc>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Cost reimbursements</w:t>
            </w: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25,538</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26,089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54,369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54,839</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Percentage rents</w:t>
            </w:r>
          </w:p>
        </w:tc>
        <w:tc>
          <w:tcPr>
            <w:tcW w:w="2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Other</w:t>
            </w:r>
          </w:p>
        </w:tc>
        <w:tc>
          <w:tcPr>
            <w:tcW w:w="2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4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40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w:t>
            </w:r>
          </w:p>
        </w:tc>
        <w:tc>
          <w:tcPr>
            <w:tcW w:w="3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w:t>
            </w:r>
          </w:p>
        </w:tc>
        <w:tc>
          <w:tcPr>
            <w:tcW w:w="10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Total rental income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132,999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129,636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267,438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260,461</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line="257" w:lineRule="auto"/>
        <w:tabs>
          <w:tab w:leader="none" w:pos="461"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$1.3 million for each of the three months ended June 30, 2011 and 2010, and $2.3 million and $2.5 million for the six months ended June 30, 2011 and 2010, respectively, to recognize minimum rents on a straight-line basis. In addition, minimum rents include $0.4 million and $0.5 million for the three months ended June 30, 2011 and 2010, respectively, and $0.7 million and $0.9 million for the six months ended June 30, 2011 and 2010, respectively, to recognize income from the amortization of in-place leases.</w:t>
      </w:r>
    </w:p>
    <w:p>
      <w:pPr>
        <w:spacing w:after="0" w:line="1" w:lineRule="exact"/>
        <w:rPr>
          <w:rFonts w:ascii="Arial" w:cs="Arial" w:eastAsia="Arial" w:hAnsi="Arial"/>
          <w:sz w:val="16"/>
          <w:szCs w:val="16"/>
          <w:color w:val="auto"/>
        </w:rPr>
      </w:pPr>
    </w:p>
    <w:p>
      <w:pPr>
        <w:ind w:left="461" w:right="40" w:hanging="461"/>
        <w:spacing w:after="0" w:line="275" w:lineRule="auto"/>
        <w:tabs>
          <w:tab w:leader="none" w:pos="46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1"/>
          </w:cols>
          <w:pgMar w:left="239" w:top="262" w:right="259" w:bottom="1440" w:gutter="0" w:footer="0" w:header="0"/>
        </w:sectPr>
      </w:pPr>
    </w:p>
    <w:bookmarkStart w:id="14" w:name="page15"/>
    <w:bookmarkEnd w:id="14"/>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36195"/>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b w:val="1"/>
          <w:bCs w:val="1"/>
          <w:color w:val="auto"/>
        </w:rPr>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Stated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91"/>
              </w:rPr>
              <w:t>Weighted average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2"/>
              </w:rPr>
              <w:t>Stated</w:t>
            </w:r>
          </w:p>
        </w:tc>
        <w:tc>
          <w:tcPr>
            <w:tcW w:w="134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1"/>
              </w:rPr>
              <w:t>interest rate as of</w:t>
            </w:r>
          </w:p>
        </w:tc>
        <w:tc>
          <w:tcPr>
            <w:tcW w:w="120" w:type="dxa"/>
            <w:vAlign w:val="bottom"/>
          </w:tcPr>
          <w:p>
            <w:pPr>
              <w:spacing w:after="0"/>
              <w:rPr>
                <w:sz w:val="11"/>
                <w:szCs w:val="11"/>
                <w:color w:val="auto"/>
              </w:rPr>
            </w:pPr>
          </w:p>
        </w:tc>
        <w:tc>
          <w:tcPr>
            <w:tcW w:w="960" w:type="dxa"/>
            <w:vAlign w:val="bottom"/>
            <w:gridSpan w:val="6"/>
          </w:tcPr>
          <w:p>
            <w:pPr>
              <w:ind w:left="40"/>
              <w:spacing w:after="0" w:line="136" w:lineRule="exact"/>
              <w:rPr>
                <w:sz w:val="20"/>
                <w:szCs w:val="20"/>
                <w:color w:val="auto"/>
              </w:rPr>
            </w:pPr>
            <w:r>
              <w:rPr>
                <w:rFonts w:ascii="Arial" w:cs="Arial" w:eastAsia="Arial" w:hAnsi="Arial"/>
                <w:sz w:val="12"/>
                <w:szCs w:val="12"/>
                <w:b w:val="1"/>
                <w:bCs w:val="1"/>
                <w:color w:val="auto"/>
              </w:rPr>
              <w:t>Balance as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6"/>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effective rate at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maturity date</w:t>
            </w:r>
          </w:p>
        </w:tc>
        <w:tc>
          <w:tcPr>
            <w:tcW w:w="13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June 30, 2011</w:t>
            </w:r>
          </w:p>
        </w:tc>
        <w:tc>
          <w:tcPr>
            <w:tcW w:w="120" w:type="dxa"/>
            <w:vAlign w:val="bottom"/>
          </w:tcPr>
          <w:p>
            <w:pPr>
              <w:spacing w:after="0"/>
              <w:rPr>
                <w:sz w:val="12"/>
                <w:szCs w:val="12"/>
                <w:color w:val="auto"/>
              </w:rPr>
            </w:pPr>
          </w:p>
        </w:tc>
        <w:tc>
          <w:tcPr>
            <w:tcW w:w="960" w:type="dxa"/>
            <w:vAlign w:val="bottom"/>
            <w:gridSpan w:val="6"/>
          </w:tcPr>
          <w:p>
            <w:pPr>
              <w:ind w:left="20"/>
              <w:spacing w:after="0"/>
              <w:rPr>
                <w:sz w:val="20"/>
                <w:szCs w:val="20"/>
                <w:color w:val="auto"/>
              </w:rPr>
            </w:pPr>
            <w:r>
              <w:rPr>
                <w:rFonts w:ascii="Arial" w:cs="Arial" w:eastAsia="Arial" w:hAnsi="Arial"/>
                <w:sz w:val="12"/>
                <w:szCs w:val="12"/>
                <w:b w:val="1"/>
                <w:bCs w:val="1"/>
                <w:color w:val="auto"/>
              </w:rPr>
              <w:t>June 30, 2011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93"/>
              </w:rPr>
              <w:t>June 30, 2011 (h)</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top w:val="single" w:sz="8" w:color="auto"/>
            </w:tcBorders>
            <w:gridSpan w:val="4"/>
          </w:tcPr>
          <w:p>
            <w:pPr>
              <w:spacing w:after="0" w:line="128" w:lineRule="exact"/>
              <w:rPr>
                <w:sz w:val="20"/>
                <w:szCs w:val="20"/>
                <w:color w:val="auto"/>
              </w:rPr>
            </w:pPr>
            <w:r>
              <w:rPr>
                <w:rFonts w:ascii="Arial" w:cs="Arial" w:eastAsia="Arial" w:hAnsi="Arial"/>
                <w:sz w:val="12"/>
                <w:szCs w:val="12"/>
                <w:b w:val="1"/>
                <w:bCs w:val="1"/>
                <w:color w:val="auto"/>
                <w:w w:val="89"/>
              </w:rPr>
              <w:t>(in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gridSpan w:val="3"/>
            <w:shd w:val="clear" w:color="auto" w:fill="CCEEFF"/>
          </w:tcPr>
          <w:p>
            <w:pPr>
              <w:spacing w:after="0" w:line="161" w:lineRule="exact"/>
              <w:rPr>
                <w:sz w:val="20"/>
                <w:szCs w:val="20"/>
                <w:color w:val="auto"/>
              </w:rPr>
            </w:pPr>
            <w:r>
              <w:rPr>
                <w:rFonts w:ascii="Arial" w:cs="Arial" w:eastAsia="Arial" w:hAnsi="Arial"/>
                <w:sz w:val="16"/>
                <w:szCs w:val="16"/>
                <w:color w:val="auto"/>
                <w:w w:val="88"/>
              </w:rPr>
              <w:t>Mortgages Payable (a)</w:t>
            </w:r>
          </w:p>
        </w:tc>
        <w:tc>
          <w:tcPr>
            <w:tcW w:w="3360" w:type="dxa"/>
            <w:vAlign w:val="bottom"/>
            <w:tcBorders>
              <w:bottom w:val="single" w:sz="8" w:color="CCEEFF"/>
            </w:tcBorders>
            <w:gridSpan w:val="4"/>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i w:val="1"/>
                <w:iCs w:val="1"/>
                <w:color w:val="auto"/>
              </w:rPr>
              <w:t>Secured fixed rate</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Courtyard Shops</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07/01/12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Bethesda Row</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01/01/13</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19,994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Bethesda Row</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02/01/13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White Marsh Plaza (b)</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04/01/13</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9,434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Crow Canyon</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08/11/13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20,174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Idylwood Plaza</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06/05/14</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16,413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Leesburg Plaza</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06/05/14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28,558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Loehmann’s Plaza</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06/05/14</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36,928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Pentagon Row</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06/05/14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53,012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Melville Mall (c)</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09/01/14</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22,703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THE AVENUE at White Marsh</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01/01/15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57,211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Barracks Road</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11/01/15</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39,431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Hauppauge</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11/01/15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14,864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Lawrence Park</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11/01/15</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27,949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Wildwood</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11/01/15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24,566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Wynnewood</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11/01/15</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28,483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Brick Plaza</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11/01/15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29,099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Rollingwood Apartments</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05/01/19</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23,402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Shoppers’ World</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01/31/21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Mount Vernon (d)</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04/15/28</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10,749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Chelsea</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01/15/31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360" w:type="dxa"/>
            <w:vAlign w:val="bottom"/>
            <w:gridSpan w:val="6"/>
          </w:tcPr>
          <w:p>
            <w:pPr>
              <w:ind w:left="320"/>
              <w:spacing w:after="0"/>
              <w:rPr>
                <w:sz w:val="20"/>
                <w:szCs w:val="20"/>
                <w:color w:val="auto"/>
              </w:rPr>
            </w:pPr>
            <w:r>
              <w:rPr>
                <w:rFonts w:ascii="Arial" w:cs="Arial" w:eastAsia="Arial" w:hAnsi="Arial"/>
                <w:sz w:val="16"/>
                <w:szCs w:val="16"/>
                <w:color w:val="auto"/>
              </w:rPr>
              <w:t>Subtotal</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487,461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Net unamortized discount</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360" w:type="dxa"/>
            <w:vAlign w:val="bottom"/>
            <w:gridSpan w:val="6"/>
          </w:tcPr>
          <w:p>
            <w:pPr>
              <w:ind w:left="320"/>
              <w:spacing w:after="0"/>
              <w:rPr>
                <w:sz w:val="20"/>
                <w:szCs w:val="20"/>
                <w:color w:val="auto"/>
              </w:rPr>
            </w:pPr>
            <w:r>
              <w:rPr>
                <w:rFonts w:ascii="Arial" w:cs="Arial" w:eastAsia="Arial" w:hAnsi="Arial"/>
                <w:sz w:val="16"/>
                <w:szCs w:val="16"/>
                <w:color w:val="auto"/>
              </w:rPr>
              <w:t>Total mortgages payable</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487,001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spacing w:after="0"/>
              <w:rPr>
                <w:sz w:val="20"/>
                <w:szCs w:val="20"/>
                <w:color w:val="auto"/>
              </w:rPr>
            </w:pPr>
            <w:r>
              <w:rPr>
                <w:rFonts w:ascii="Arial" w:cs="Arial" w:eastAsia="Arial" w:hAnsi="Arial"/>
                <w:sz w:val="16"/>
                <w:szCs w:val="16"/>
                <w:color w:val="auto"/>
                <w:w w:val="96"/>
              </w:rPr>
              <w:t>6.99%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w w:val="87"/>
              </w:rPr>
              <w:t>Notes payable</w:t>
            </w:r>
          </w:p>
        </w:tc>
        <w:tc>
          <w:tcPr>
            <w:tcW w:w="3900" w:type="dxa"/>
            <w:vAlign w:val="bottom"/>
            <w:tcBorders>
              <w:bottom w:val="single" w:sz="8" w:color="CCEEFF"/>
            </w:tcBorders>
            <w:gridSpan w:val="5"/>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i w:val="1"/>
                <w:iCs w:val="1"/>
                <w:color w:val="auto"/>
              </w:rPr>
              <w:t>Unsecured fixed rate</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Various (e)</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2"/>
              </w:rPr>
              <w:t>Various through 2013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i w:val="1"/>
                <w:iCs w:val="1"/>
                <w:color w:val="auto"/>
              </w:rPr>
              <w:t>Unsecured variable rate</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Revolving credit facility (f)</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07/27/11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LIBOR + 0.425%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189,000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Escondido (Municipal bonds) (g)</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10/01/16</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rPr>
                <w:sz w:val="17"/>
                <w:szCs w:val="17"/>
                <w:color w:val="auto"/>
              </w:rPr>
            </w:pPr>
          </w:p>
        </w:tc>
        <w:tc>
          <w:tcPr>
            <w:tcW w:w="4360" w:type="dxa"/>
            <w:vAlign w:val="bottom"/>
            <w:gridSpan w:val="6"/>
            <w:shd w:val="clear" w:color="auto" w:fill="CCEEFF"/>
          </w:tcPr>
          <w:p>
            <w:pPr>
              <w:ind w:left="320"/>
              <w:spacing w:after="0"/>
              <w:rPr>
                <w:sz w:val="20"/>
                <w:szCs w:val="20"/>
                <w:color w:val="auto"/>
              </w:rPr>
            </w:pPr>
            <w:r>
              <w:rPr>
                <w:rFonts w:ascii="Arial" w:cs="Arial" w:eastAsia="Arial" w:hAnsi="Arial"/>
                <w:sz w:val="16"/>
                <w:szCs w:val="16"/>
                <w:color w:val="auto"/>
              </w:rPr>
              <w:t>Total notes payable</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209,302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0.78%</w:t>
            </w:r>
          </w:p>
        </w:tc>
        <w:tc>
          <w:tcPr>
            <w:tcW w:w="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72"/>
        </w:trPr>
        <w:tc>
          <w:tcPr>
            <w:tcW w:w="4820" w:type="dxa"/>
            <w:vAlign w:val="bottom"/>
            <w:gridSpan w:val="7"/>
          </w:tcPr>
          <w:p>
            <w:pPr>
              <w:spacing w:after="0"/>
              <w:rPr>
                <w:sz w:val="20"/>
                <w:szCs w:val="20"/>
                <w:color w:val="auto"/>
              </w:rPr>
            </w:pPr>
            <w:r>
              <w:rPr>
                <w:rFonts w:ascii="Arial" w:cs="Arial" w:eastAsia="Arial" w:hAnsi="Arial"/>
                <w:sz w:val="16"/>
                <w:szCs w:val="16"/>
                <w:color w:val="auto"/>
              </w:rPr>
              <w:t>Senior notes and debentures</w:t>
            </w:r>
          </w:p>
        </w:tc>
        <w:tc>
          <w:tcPr>
            <w:tcW w:w="1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00" w:type="dxa"/>
            <w:vAlign w:val="bottom"/>
            <w:tcBorders>
              <w:top w:val="single" w:sz="8" w:color="auto"/>
            </w:tcBorders>
            <w:gridSpan w:val="5"/>
            <w:shd w:val="clear" w:color="auto" w:fill="CCEEFF"/>
          </w:tcPr>
          <w:p>
            <w:pPr>
              <w:ind w:left="400"/>
              <w:spacing w:after="0"/>
              <w:rPr>
                <w:sz w:val="20"/>
                <w:szCs w:val="20"/>
                <w:color w:val="auto"/>
              </w:rPr>
            </w:pPr>
            <w:r>
              <w:rPr>
                <w:rFonts w:ascii="Arial" w:cs="Arial" w:eastAsia="Arial" w:hAnsi="Arial"/>
                <w:sz w:val="16"/>
                <w:szCs w:val="16"/>
                <w:i w:val="1"/>
                <w:iCs w:val="1"/>
                <w:color w:val="auto"/>
                <w:w w:val="93"/>
              </w:rPr>
              <w:t>Unsecured fixed rate</w:t>
            </w:r>
          </w:p>
        </w:tc>
        <w:tc>
          <w:tcPr>
            <w:tcW w:w="3020" w:type="dxa"/>
            <w:vAlign w:val="bottom"/>
            <w:gridSpan w:val="2"/>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6.00% notes</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07/15/12</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5.40% notes</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12/01/13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5.95% notes</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08/15/14</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5.65% notes</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06/01/16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6.20% notes</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01/15/17</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5.90% notes</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04/01/20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7.48% debentures</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rPr>
              <w:t>08/15/26</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29,200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6.82% medium term notes</w:t>
            </w:r>
          </w:p>
        </w:tc>
        <w:tc>
          <w:tcPr>
            <w:tcW w:w="18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08/01/27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360" w:type="dxa"/>
            <w:vAlign w:val="bottom"/>
            <w:gridSpan w:val="6"/>
          </w:tcPr>
          <w:p>
            <w:pPr>
              <w:ind w:left="320"/>
              <w:spacing w:after="0"/>
              <w:rPr>
                <w:sz w:val="20"/>
                <w:szCs w:val="20"/>
                <w:color w:val="auto"/>
              </w:rPr>
            </w:pPr>
            <w:r>
              <w:rPr>
                <w:rFonts w:ascii="Arial" w:cs="Arial" w:eastAsia="Arial" w:hAnsi="Arial"/>
                <w:sz w:val="16"/>
                <w:szCs w:val="16"/>
                <w:color w:val="auto"/>
              </w:rPr>
              <w:t>Subtotal</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w w:val="89"/>
              </w:rPr>
              <w:t>1,004,200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ind w:left="400"/>
              <w:spacing w:after="0"/>
              <w:rPr>
                <w:sz w:val="20"/>
                <w:szCs w:val="20"/>
                <w:color w:val="auto"/>
              </w:rPr>
            </w:pPr>
            <w:r>
              <w:rPr>
                <w:rFonts w:ascii="Arial" w:cs="Arial" w:eastAsia="Arial" w:hAnsi="Arial"/>
                <w:sz w:val="16"/>
                <w:szCs w:val="16"/>
                <w:color w:val="auto"/>
              </w:rPr>
              <w:t>Net unamortized premium</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360" w:type="dxa"/>
            <w:vAlign w:val="bottom"/>
            <w:gridSpan w:val="6"/>
          </w:tcPr>
          <w:p>
            <w:pPr>
              <w:ind w:left="320"/>
              <w:spacing w:after="0"/>
              <w:rPr>
                <w:sz w:val="20"/>
                <w:szCs w:val="20"/>
                <w:color w:val="auto"/>
              </w:rPr>
            </w:pPr>
            <w:r>
              <w:rPr>
                <w:rFonts w:ascii="Arial" w:cs="Arial" w:eastAsia="Arial" w:hAnsi="Arial"/>
                <w:sz w:val="16"/>
                <w:szCs w:val="16"/>
                <w:color w:val="auto"/>
              </w:rPr>
              <w:t>Total senior notes and debentures</w:t>
            </w: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1,004,737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spacing w:after="0"/>
              <w:rPr>
                <w:sz w:val="20"/>
                <w:szCs w:val="20"/>
                <w:color w:val="auto"/>
              </w:rPr>
            </w:pPr>
            <w:r>
              <w:rPr>
                <w:rFonts w:ascii="Arial" w:cs="Arial" w:eastAsia="Arial" w:hAnsi="Arial"/>
                <w:sz w:val="16"/>
                <w:szCs w:val="16"/>
                <w:color w:val="auto"/>
                <w:w w:val="96"/>
              </w:rPr>
              <w:t>6.04%</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gridSpan w:val="4"/>
            <w:shd w:val="clear" w:color="auto" w:fill="CCEEFF"/>
          </w:tcPr>
          <w:p>
            <w:pPr>
              <w:spacing w:after="0" w:line="161" w:lineRule="exact"/>
              <w:rPr>
                <w:sz w:val="20"/>
                <w:szCs w:val="20"/>
                <w:color w:val="auto"/>
              </w:rPr>
            </w:pPr>
            <w:r>
              <w:rPr>
                <w:rFonts w:ascii="Arial" w:cs="Arial" w:eastAsia="Arial" w:hAnsi="Arial"/>
                <w:sz w:val="16"/>
                <w:szCs w:val="16"/>
                <w:color w:val="auto"/>
                <w:w w:val="89"/>
              </w:rPr>
              <w:t>Capital lease obligations</w:t>
            </w:r>
          </w:p>
        </w:tc>
        <w:tc>
          <w:tcPr>
            <w:tcW w:w="3240" w:type="dxa"/>
            <w:vAlign w:val="bottom"/>
            <w:tcBorders>
              <w:bottom w:val="single" w:sz="8" w:color="CCEEFF"/>
            </w:tcBorders>
            <w:gridSpan w:val="3"/>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20" w:type="dxa"/>
            <w:vAlign w:val="bottom"/>
            <w:gridSpan w:val="7"/>
          </w:tcPr>
          <w:p>
            <w:pPr>
              <w:ind w:left="400"/>
              <w:spacing w:after="0"/>
              <w:rPr>
                <w:sz w:val="20"/>
                <w:szCs w:val="20"/>
                <w:color w:val="auto"/>
              </w:rPr>
            </w:pPr>
            <w:r>
              <w:rPr>
                <w:rFonts w:ascii="Arial" w:cs="Arial" w:eastAsia="Arial" w:hAnsi="Arial"/>
                <w:sz w:val="16"/>
                <w:szCs w:val="16"/>
                <w:color w:val="auto"/>
              </w:rPr>
              <w:t>Various</w:t>
            </w:r>
          </w:p>
        </w:tc>
        <w:tc>
          <w:tcPr>
            <w:tcW w:w="1840" w:type="dxa"/>
            <w:vAlign w:val="bottom"/>
            <w:gridSpan w:val="2"/>
          </w:tcPr>
          <w:p>
            <w:pPr>
              <w:jc w:val="right"/>
              <w:ind w:right="400"/>
              <w:spacing w:after="0"/>
              <w:rPr>
                <w:sz w:val="20"/>
                <w:szCs w:val="20"/>
                <w:color w:val="auto"/>
              </w:rPr>
            </w:pPr>
            <w:r>
              <w:rPr>
                <w:rFonts w:ascii="Arial" w:cs="Arial" w:eastAsia="Arial" w:hAnsi="Arial"/>
                <w:sz w:val="16"/>
                <w:szCs w:val="16"/>
                <w:color w:val="auto"/>
                <w:w w:val="92"/>
              </w:rPr>
              <w:t>Various through 2106</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Various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59,252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spacing w:after="0"/>
              <w:rPr>
                <w:sz w:val="20"/>
                <w:szCs w:val="20"/>
                <w:color w:val="auto"/>
              </w:rPr>
            </w:pPr>
            <w:r>
              <w:rPr>
                <w:rFonts w:ascii="Arial" w:cs="Arial" w:eastAsia="Arial" w:hAnsi="Arial"/>
                <w:sz w:val="16"/>
                <w:szCs w:val="16"/>
                <w:color w:val="auto"/>
                <w:w w:val="96"/>
              </w:rPr>
              <w:t>6.91%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Total debt and capital lease obligations</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1,760,292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820" w:type="dxa"/>
            <w:vAlign w:val="bottom"/>
            <w:gridSpan w:val="7"/>
          </w:tcPr>
          <w:p>
            <w:pPr>
              <w:spacing w:after="0"/>
              <w:rPr>
                <w:sz w:val="20"/>
                <w:szCs w:val="20"/>
                <w:color w:val="auto"/>
              </w:rPr>
            </w:pPr>
            <w:r>
              <w:rPr>
                <w:rFonts w:ascii="Arial" w:cs="Arial" w:eastAsia="Arial" w:hAnsi="Arial"/>
                <w:sz w:val="16"/>
                <w:szCs w:val="16"/>
                <w:color w:val="auto"/>
              </w:rPr>
              <w:t>Total fixed rate debt and capital lease obligations</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w w:val="89"/>
              </w:rPr>
              <w:t>1,561,892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3"/>
          </w:tcPr>
          <w:p>
            <w:pPr>
              <w:spacing w:after="0"/>
              <w:rPr>
                <w:sz w:val="20"/>
                <w:szCs w:val="20"/>
                <w:color w:val="auto"/>
              </w:rPr>
            </w:pPr>
            <w:r>
              <w:rPr>
                <w:rFonts w:ascii="Arial" w:cs="Arial" w:eastAsia="Arial" w:hAnsi="Arial"/>
                <w:sz w:val="16"/>
                <w:szCs w:val="16"/>
                <w:color w:val="auto"/>
                <w:w w:val="96"/>
              </w:rPr>
              <w:t>6.35%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82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Total variable rate debt</w:t>
            </w: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198,400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0.63%</w:t>
            </w:r>
          </w:p>
        </w:tc>
        <w:tc>
          <w:tcPr>
            <w:tcW w:w="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0"/>
        </w:trPr>
        <w:tc>
          <w:tcPr>
            <w:tcW w:w="4820" w:type="dxa"/>
            <w:vAlign w:val="bottom"/>
            <w:gridSpan w:val="7"/>
            <w:vMerge w:val="restart"/>
          </w:tcPr>
          <w:p>
            <w:pPr>
              <w:spacing w:after="0"/>
              <w:rPr>
                <w:sz w:val="20"/>
                <w:szCs w:val="20"/>
                <w:color w:val="auto"/>
              </w:rPr>
            </w:pPr>
            <w:r>
              <w:rPr>
                <w:rFonts w:ascii="Arial" w:cs="Arial" w:eastAsia="Arial" w:hAnsi="Arial"/>
                <w:sz w:val="16"/>
                <w:szCs w:val="16"/>
                <w:color w:val="auto"/>
              </w:rPr>
              <w:t>TOTAL DEBT AND CAPITAL LEASES OBLIGATIONS</w:t>
            </w: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ind w:left="260"/>
              <w:spacing w:after="0"/>
              <w:rPr>
                <w:sz w:val="20"/>
                <w:szCs w:val="20"/>
                <w:color w:val="auto"/>
              </w:rPr>
            </w:pPr>
            <w:r>
              <w:rPr>
                <w:rFonts w:ascii="Arial" w:cs="Arial" w:eastAsia="Arial" w:hAnsi="Arial"/>
                <w:sz w:val="16"/>
                <w:szCs w:val="16"/>
                <w:color w:val="auto"/>
              </w:rPr>
              <w:t>(i)</w:t>
            </w:r>
          </w:p>
        </w:tc>
        <w:tc>
          <w:tcPr>
            <w:tcW w:w="0" w:type="dxa"/>
            <w:vAlign w:val="bottom"/>
          </w:tcPr>
          <w:p>
            <w:pPr>
              <w:spacing w:after="0" w:line="20" w:lineRule="exact"/>
              <w:rPr>
                <w:sz w:val="1"/>
                <w:szCs w:val="1"/>
                <w:color w:val="auto"/>
              </w:rPr>
            </w:pPr>
          </w:p>
        </w:tc>
      </w:tr>
      <w:tr>
        <w:trPr>
          <w:trHeight w:val="202"/>
        </w:trPr>
        <w:tc>
          <w:tcPr>
            <w:tcW w:w="4820" w:type="dxa"/>
            <w:vAlign w:val="bottom"/>
            <w:gridSpan w:val="7"/>
            <w:vMerge w:val="continue"/>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w w:val="89"/>
              </w:rPr>
              <w:t>1,760,292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100%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spacing w:after="0"/>
              <w:rPr>
                <w:sz w:val="20"/>
                <w:szCs w:val="20"/>
                <w:color w:val="auto"/>
              </w:rPr>
            </w:pPr>
            <w:r>
              <w:rPr>
                <w:rFonts w:ascii="Arial" w:cs="Arial" w:eastAsia="Arial" w:hAnsi="Arial"/>
                <w:sz w:val="16"/>
                <w:szCs w:val="16"/>
                <w:color w:val="auto"/>
                <w:w w:val="96"/>
              </w:rPr>
              <w:t>5.71%</w:t>
            </w: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7"/>
          </w:tcPr>
          <w:p>
            <w:pPr>
              <w:ind w:left="60"/>
              <w:spacing w:after="0"/>
              <w:rPr>
                <w:sz w:val="20"/>
                <w:szCs w:val="20"/>
                <w:color w:val="auto"/>
              </w:rPr>
            </w:pPr>
            <w:r>
              <w:rPr>
                <w:rFonts w:ascii="Arial" w:cs="Arial" w:eastAsia="Arial" w:hAnsi="Arial"/>
                <w:sz w:val="12"/>
                <w:szCs w:val="12"/>
                <w:color w:val="auto"/>
              </w:rPr>
              <w:t>Three months ended</w:t>
            </w:r>
          </w:p>
        </w:tc>
        <w:tc>
          <w:tcPr>
            <w:tcW w:w="80" w:type="dxa"/>
            <w:vAlign w:val="bottom"/>
          </w:tcPr>
          <w:p>
            <w:pPr>
              <w:spacing w:after="0"/>
              <w:rPr>
                <w:sz w:val="24"/>
                <w:szCs w:val="24"/>
                <w:color w:val="auto"/>
              </w:rPr>
            </w:pPr>
          </w:p>
        </w:tc>
        <w:tc>
          <w:tcPr>
            <w:tcW w:w="1140" w:type="dxa"/>
            <w:vAlign w:val="bottom"/>
            <w:gridSpan w:val="6"/>
          </w:tcPr>
          <w:p>
            <w:pPr>
              <w:jc w:val="center"/>
              <w:ind w:right="200"/>
              <w:spacing w:after="0"/>
              <w:rPr>
                <w:sz w:val="20"/>
                <w:szCs w:val="20"/>
                <w:color w:val="auto"/>
              </w:rPr>
            </w:pPr>
            <w:r>
              <w:rPr>
                <w:rFonts w:ascii="Arial" w:cs="Arial" w:eastAsia="Arial" w:hAnsi="Arial"/>
                <w:sz w:val="12"/>
                <w:szCs w:val="12"/>
                <w:color w:val="auto"/>
                <w:w w:val="93"/>
              </w:rPr>
              <w:t>Six months ended</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gridSpan w:val="4"/>
          </w:tcPr>
          <w:p>
            <w:pPr>
              <w:ind w:left="360"/>
              <w:spacing w:after="0"/>
              <w:rPr>
                <w:sz w:val="20"/>
                <w:szCs w:val="20"/>
                <w:color w:val="auto"/>
              </w:rPr>
            </w:pPr>
            <w:r>
              <w:rPr>
                <w:rFonts w:ascii="Arial" w:cs="Arial" w:eastAsia="Arial" w:hAnsi="Arial"/>
                <w:sz w:val="12"/>
                <w:szCs w:val="12"/>
                <w:color w:val="auto"/>
                <w:w w:val="86"/>
              </w:rPr>
              <w:t>June 30,</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left="198"/>
              <w:spacing w:after="0"/>
              <w:rPr>
                <w:sz w:val="20"/>
                <w:szCs w:val="20"/>
                <w:color w:val="auto"/>
              </w:rPr>
            </w:pPr>
            <w:r>
              <w:rPr>
                <w:rFonts w:ascii="Arial" w:cs="Arial" w:eastAsia="Arial" w:hAnsi="Arial"/>
                <w:sz w:val="12"/>
                <w:szCs w:val="12"/>
                <w:color w:val="auto"/>
                <w:w w:val="91"/>
              </w:rPr>
              <w:t>June 30,</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0" w:type="dxa"/>
            <w:vAlign w:val="bottom"/>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980" w:type="dxa"/>
            <w:vAlign w:val="bottom"/>
            <w:tcBorders>
              <w:bottom w:val="single" w:sz="8" w:color="CCEEFF"/>
            </w:tcBorders>
          </w:tcPr>
          <w:p>
            <w:pPr>
              <w:spacing w:after="0"/>
              <w:rPr>
                <w:sz w:val="11"/>
                <w:szCs w:val="11"/>
                <w:color w:val="auto"/>
              </w:rPr>
            </w:pPr>
          </w:p>
        </w:tc>
        <w:tc>
          <w:tcPr>
            <w:tcW w:w="14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ind w:left="80"/>
              <w:spacing w:after="0" w:line="128" w:lineRule="exact"/>
              <w:rPr>
                <w:sz w:val="20"/>
                <w:szCs w:val="20"/>
                <w:color w:val="auto"/>
              </w:rPr>
            </w:pPr>
            <w:r>
              <w:rPr>
                <w:rFonts w:ascii="Arial" w:cs="Arial" w:eastAsia="Arial" w:hAnsi="Arial"/>
                <w:sz w:val="12"/>
                <w:szCs w:val="12"/>
                <w:color w:val="auto"/>
              </w:rPr>
              <w:t>2011</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40"/>
              <w:spacing w:after="0" w:line="128" w:lineRule="exact"/>
              <w:rPr>
                <w:sz w:val="20"/>
                <w:szCs w:val="20"/>
                <w:color w:val="auto"/>
              </w:rPr>
            </w:pPr>
            <w:r>
              <w:rPr>
                <w:rFonts w:ascii="Arial" w:cs="Arial" w:eastAsia="Arial" w:hAnsi="Arial"/>
                <w:sz w:val="12"/>
                <w:szCs w:val="12"/>
                <w:color w:val="auto"/>
                <w:w w:val="89"/>
              </w:rPr>
              <w:t>2010</w:t>
            </w: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gridSpan w:val="2"/>
          </w:tcPr>
          <w:p>
            <w:pPr>
              <w:jc w:val="right"/>
              <w:ind w:right="38"/>
              <w:spacing w:after="0" w:line="128" w:lineRule="exact"/>
              <w:rPr>
                <w:sz w:val="20"/>
                <w:szCs w:val="20"/>
                <w:color w:val="auto"/>
              </w:rPr>
            </w:pPr>
            <w:r>
              <w:rPr>
                <w:rFonts w:ascii="Arial" w:cs="Arial" w:eastAsia="Arial" w:hAnsi="Arial"/>
                <w:sz w:val="12"/>
                <w:szCs w:val="12"/>
                <w:color w:val="auto"/>
              </w:rPr>
              <w:t>2011</w:t>
            </w:r>
          </w:p>
        </w:tc>
        <w:tc>
          <w:tcPr>
            <w:tcW w:w="2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ind w:left="20"/>
              <w:spacing w:after="0" w:line="128" w:lineRule="exact"/>
              <w:rPr>
                <w:sz w:val="20"/>
                <w:szCs w:val="20"/>
                <w:color w:val="auto"/>
              </w:rPr>
            </w:pPr>
            <w:r>
              <w:rPr>
                <w:rFonts w:ascii="Arial" w:cs="Arial" w:eastAsia="Arial" w:hAnsi="Arial"/>
                <w:sz w:val="12"/>
                <w:szCs w:val="12"/>
                <w:color w:val="auto"/>
                <w:w w:val="89"/>
              </w:rPr>
              <w:t>2010</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1380" w:type="dxa"/>
            <w:vAlign w:val="bottom"/>
            <w:tcBorders>
              <w:bottom w:val="single" w:sz="8" w:color="auto"/>
            </w:tcBorders>
            <w:gridSpan w:val="5"/>
            <w:shd w:val="clear" w:color="auto" w:fill="CCEEFF"/>
          </w:tcPr>
          <w:p>
            <w:pPr>
              <w:spacing w:after="0" w:line="141" w:lineRule="exact"/>
              <w:rPr>
                <w:sz w:val="20"/>
                <w:szCs w:val="20"/>
                <w:color w:val="auto"/>
              </w:rPr>
            </w:pPr>
            <w:r>
              <w:rPr>
                <w:rFonts w:ascii="Arial" w:cs="Arial" w:eastAsia="Arial" w:hAnsi="Arial"/>
                <w:sz w:val="16"/>
                <w:szCs w:val="16"/>
                <w:color w:val="auto"/>
                <w:w w:val="89"/>
              </w:rPr>
              <w:t>Operational Statistics</w:t>
            </w:r>
          </w:p>
        </w:tc>
        <w:tc>
          <w:tcPr>
            <w:tcW w:w="29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6200" w:type="dxa"/>
            <w:vAlign w:val="bottom"/>
            <w:gridSpan w:val="8"/>
          </w:tcPr>
          <w:p>
            <w:pPr>
              <w:ind w:left="400"/>
              <w:spacing w:after="0"/>
              <w:rPr>
                <w:sz w:val="20"/>
                <w:szCs w:val="20"/>
                <w:color w:val="auto"/>
              </w:rPr>
            </w:pPr>
            <w:r>
              <w:rPr>
                <w:rFonts w:ascii="Arial" w:cs="Arial" w:eastAsia="Arial" w:hAnsi="Arial"/>
                <w:sz w:val="16"/>
                <w:szCs w:val="16"/>
                <w:color w:val="auto"/>
              </w:rPr>
              <w:t>Ratio of EBITDA to combined fixed charges and preferred share dividends (j)</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ind w:left="40"/>
              <w:spacing w:after="0"/>
              <w:rPr>
                <w:sz w:val="20"/>
                <w:szCs w:val="20"/>
                <w:color w:val="auto"/>
              </w:rPr>
            </w:pPr>
            <w:r>
              <w:rPr>
                <w:rFonts w:ascii="Arial" w:cs="Arial" w:eastAsia="Arial" w:hAnsi="Arial"/>
                <w:sz w:val="16"/>
                <w:szCs w:val="16"/>
                <w:color w:val="auto"/>
              </w:rPr>
              <w:t>3.54x</w:t>
            </w:r>
          </w:p>
        </w:tc>
        <w:tc>
          <w:tcPr>
            <w:tcW w:w="680" w:type="dxa"/>
            <w:vAlign w:val="bottom"/>
            <w:gridSpan w:val="3"/>
          </w:tcPr>
          <w:p>
            <w:pPr>
              <w:jc w:val="right"/>
              <w:ind w:right="320"/>
              <w:spacing w:after="0"/>
              <w:rPr>
                <w:sz w:val="20"/>
                <w:szCs w:val="20"/>
                <w:color w:val="auto"/>
              </w:rPr>
            </w:pPr>
            <w:r>
              <w:rPr>
                <w:rFonts w:ascii="Arial" w:cs="Arial" w:eastAsia="Arial" w:hAnsi="Arial"/>
                <w:sz w:val="16"/>
                <w:szCs w:val="16"/>
                <w:color w:val="auto"/>
                <w:w w:val="86"/>
              </w:rPr>
              <w:t>3.25x</w:t>
            </w:r>
          </w:p>
        </w:tc>
        <w:tc>
          <w:tcPr>
            <w:tcW w:w="760" w:type="dxa"/>
            <w:vAlign w:val="bottom"/>
            <w:gridSpan w:val="4"/>
          </w:tcPr>
          <w:p>
            <w:pPr>
              <w:ind w:left="40"/>
              <w:spacing w:after="0"/>
              <w:rPr>
                <w:sz w:val="20"/>
                <w:szCs w:val="20"/>
                <w:color w:val="auto"/>
              </w:rPr>
            </w:pPr>
            <w:r>
              <w:rPr>
                <w:rFonts w:ascii="Arial" w:cs="Arial" w:eastAsia="Arial" w:hAnsi="Arial"/>
                <w:sz w:val="16"/>
                <w:szCs w:val="16"/>
                <w:color w:val="auto"/>
              </w:rPr>
              <w:t>3.41x</w:t>
            </w:r>
          </w:p>
        </w:tc>
        <w:tc>
          <w:tcPr>
            <w:tcW w:w="460" w:type="dxa"/>
            <w:vAlign w:val="bottom"/>
            <w:gridSpan w:val="3"/>
          </w:tcPr>
          <w:p>
            <w:pPr>
              <w:spacing w:after="0"/>
              <w:rPr>
                <w:sz w:val="20"/>
                <w:szCs w:val="20"/>
                <w:color w:val="auto"/>
              </w:rPr>
            </w:pPr>
            <w:r>
              <w:rPr>
                <w:rFonts w:ascii="Arial" w:cs="Arial" w:eastAsia="Arial" w:hAnsi="Arial"/>
                <w:sz w:val="16"/>
                <w:szCs w:val="16"/>
                <w:color w:val="auto"/>
              </w:rPr>
              <w:t>3.04x</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6200" w:type="dxa"/>
            <w:vAlign w:val="bottom"/>
            <w:gridSpan w:val="8"/>
            <w:shd w:val="clear" w:color="auto" w:fill="CCEEFF"/>
          </w:tcPr>
          <w:p>
            <w:pPr>
              <w:ind w:left="400"/>
              <w:spacing w:after="0"/>
              <w:rPr>
                <w:sz w:val="20"/>
                <w:szCs w:val="20"/>
                <w:color w:val="auto"/>
              </w:rPr>
            </w:pPr>
            <w:r>
              <w:rPr>
                <w:rFonts w:ascii="Arial" w:cs="Arial" w:eastAsia="Arial" w:hAnsi="Arial"/>
                <w:sz w:val="16"/>
                <w:szCs w:val="16"/>
                <w:color w:val="auto"/>
                <w:w w:val="94"/>
              </w:rPr>
              <w:t>Ratio of adjusted EBITDA to combined fixed charges and preferred share dividends (j)</w:t>
            </w: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3.46x</w:t>
            </w:r>
          </w:p>
        </w:tc>
        <w:tc>
          <w:tcPr>
            <w:tcW w:w="6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w w:val="86"/>
              </w:rPr>
              <w:t>3.20x</w:t>
            </w:r>
          </w:p>
        </w:tc>
        <w:tc>
          <w:tcPr>
            <w:tcW w:w="7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3.37x</w:t>
            </w:r>
          </w:p>
        </w:tc>
        <w:tc>
          <w:tcPr>
            <w:tcW w:w="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3.02x</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right="220" w:hanging="461"/>
        <w:spacing w:after="0" w:line="257" w:lineRule="auto"/>
        <w:tabs>
          <w:tab w:leader="none" w:pos="4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Mortgage loans do not include our 30% share ($17.2 million) of the $57.5 million debt of the partnership with a discretionary fund created and advised by ING Clarion Partners. It also excludes the $11.8 million mortgage loans on our Newbury Street Partnership for which we are the lender.</w:t>
      </w:r>
    </w:p>
    <w:p>
      <w:pPr>
        <w:ind w:left="461" w:right="80" w:hanging="461"/>
        <w:spacing w:after="0" w:line="257" w:lineRule="auto"/>
        <w:tabs>
          <w:tab w:leader="none" w:pos="4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ind w:left="461" w:right="340" w:hanging="461"/>
        <w:spacing w:after="0" w:line="257" w:lineRule="auto"/>
        <w:tabs>
          <w:tab w:leader="none" w:pos="4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6"/>
          <w:szCs w:val="16"/>
          <w:color w:val="auto"/>
        </w:rPr>
      </w:pPr>
    </w:p>
    <w:p>
      <w:pPr>
        <w:ind w:left="461" w:right="380" w:hanging="461"/>
        <w:spacing w:after="0" w:line="257" w:lineRule="auto"/>
        <w:tabs>
          <w:tab w:leader="none" w:pos="4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interest rate is fixed at 5.66% for the first ten years and then will be reset to a market rate in 2013. The lender has the option to call the loan on April 15, 2013 or anytime thereafter.</w:t>
      </w:r>
    </w:p>
    <w:p>
      <w:pPr>
        <w:ind w:left="461" w:right="480" w:hanging="461"/>
        <w:spacing w:after="0" w:line="275" w:lineRule="auto"/>
        <w:tabs>
          <w:tab w:leader="none" w:pos="4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interest rate of 3.37% represents the weighted average interest rate for three unsecured fixed rate notes payable. These notes mature between April 1, 2012 and January 31, 2013.</w:t>
      </w:r>
    </w:p>
    <w:p>
      <w:pPr>
        <w:sectPr>
          <w:pgSz w:w="11900" w:h="16894" w:orient="portrait"/>
          <w:cols w:equalWidth="0" w:num="1">
            <w:col w:w="11421"/>
          </w:cols>
          <w:pgMar w:left="239" w:top="262" w:right="239" w:bottom="0" w:gutter="0" w:footer="0" w:header="0"/>
        </w:sectPr>
      </w:pPr>
    </w:p>
    <w:bookmarkStart w:id="15" w:name="page16"/>
    <w:bookmarkEnd w:id="15"/>
    <w:p>
      <w:pPr>
        <w:ind w:left="461" w:right="20" w:hanging="461"/>
        <w:spacing w:after="0" w:line="260" w:lineRule="auto"/>
        <w:tabs>
          <w:tab w:leader="none" w:pos="4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for the three and six months ended June 30, 2011 was $265.0 million, and the weighted average effective interest rate on borrowings under our revolving credit facility, before amortization of debt fees, was 0.66% and 0.68% for the three and six months ended June 30, 2011, respectively. On July 7, 2011, we replaced our existing revolving credit facility with a new $400.0 million unsecured revolving credit facility that matures on July 6, 2015, subject to a one-year extension at our option, and bears interest at LIBOR plus 115 basis points.</w:t>
      </w:r>
    </w:p>
    <w:p>
      <w:pPr>
        <w:ind w:left="461" w:right="320" w:hanging="461"/>
        <w:spacing w:after="0" w:line="257" w:lineRule="auto"/>
        <w:tabs>
          <w:tab w:leader="none" w:pos="4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1" w:hanging="461"/>
        <w:spacing w:after="0"/>
        <w:tabs>
          <w:tab w:leader="none" w:pos="4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i.</w:t>
      </w:r>
    </w:p>
    <w:p>
      <w:pPr>
        <w:spacing w:after="0" w:line="36" w:lineRule="exact"/>
        <w:rPr>
          <w:rFonts w:ascii="Arial" w:cs="Arial" w:eastAsia="Arial" w:hAnsi="Arial"/>
          <w:sz w:val="14"/>
          <w:szCs w:val="14"/>
          <w:color w:val="auto"/>
        </w:rPr>
      </w:pPr>
    </w:p>
    <w:p>
      <w:pPr>
        <w:ind w:left="461" w:hanging="461"/>
        <w:spacing w:after="0" w:line="257" w:lineRule="auto"/>
        <w:tabs>
          <w:tab w:leader="none" w:pos="4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effective interest rate excludes $0.2 million in quarterly financing fees and quarterly debt fee amortization on our revolving credit facility which had a $189.0 million balance on June 30, 2011.</w:t>
      </w:r>
    </w:p>
    <w:p>
      <w:pPr>
        <w:ind w:left="461" w:hanging="461"/>
        <w:spacing w:after="0" w:line="261" w:lineRule="auto"/>
        <w:tabs>
          <w:tab w:leader="none" w:pos="4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discount/premium and debt costs and the portion of rent expense representing an interest factor. Fixed charges for the six months ended June 30, 2011 include $0.3 million of income from early extinguishment of debt due to the write-off of the unamortized debt premium net of a 3% prepayment premium and unamortized debt fees related to the payoff of our mortgage loan on Tower Shops prior to its contractual prepayment date. Fixed charges for the six months ended June 30, 2010 include $2.8 million of early extinguishment of debt expense due to the write-off of unamortized debt fees related to the $250 million payoff of the term loan prior to its maturity date. Adjusted EBITDA is reconciled to net income in the Glossary of Terms.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1"/>
          </w:cols>
          <w:pgMar w:left="239" w:top="131" w:right="239" w:bottom="1440" w:gutter="0" w:footer="0" w:header="0"/>
        </w:sectPr>
      </w:pPr>
    </w:p>
    <w:bookmarkStart w:id="16" w:name="page17"/>
    <w:bookmarkEnd w:id="16"/>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of Debt Maturities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4" w:lineRule="exact"/>
        <w:rPr>
          <w:sz w:val="20"/>
          <w:szCs w:val="20"/>
          <w:color w:val="auto"/>
        </w:rPr>
      </w:pPr>
    </w:p>
    <w:p>
      <w:pPr>
        <w:ind w:left="1"/>
        <w:spacing w:after="0"/>
        <w:rPr>
          <w:sz w:val="20"/>
          <w:szCs w:val="20"/>
          <w:color w:val="auto"/>
        </w:rPr>
      </w:pPr>
      <w:r>
        <w:rPr>
          <w:rFonts w:ascii="Arial" w:cs="Arial" w:eastAsia="Arial" w:hAnsi="Arial"/>
          <w:sz w:val="16"/>
          <w:szCs w:val="16"/>
          <w:color w:val="auto"/>
        </w:rPr>
        <w:t>DEBT MATURITIES</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thousands)</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0"/>
              </w:rPr>
              <w:t>Percent</w:t>
            </w:r>
          </w:p>
        </w:tc>
        <w:tc>
          <w:tcPr>
            <w:tcW w:w="168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5"/>
              </w:rPr>
              <w:t>Cumulative</w:t>
            </w:r>
          </w:p>
        </w:tc>
        <w:tc>
          <w:tcPr>
            <w:tcW w:w="8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8"/>
              </w:rPr>
              <w:t>Weighted</w:t>
            </w:r>
          </w:p>
        </w:tc>
        <w:tc>
          <w:tcPr>
            <w:tcW w:w="0" w:type="dxa"/>
            <w:vAlign w:val="bottom"/>
          </w:tcPr>
          <w:p>
            <w:pPr>
              <w:spacing w:after="0"/>
              <w:rPr>
                <w:sz w:val="1"/>
                <w:szCs w:val="1"/>
                <w:color w:val="auto"/>
              </w:rPr>
            </w:pPr>
          </w:p>
        </w:tc>
      </w:tr>
      <w:tr>
        <w:trPr>
          <w:trHeight w:val="136"/>
        </w:trPr>
        <w:tc>
          <w:tcPr>
            <w:tcW w:w="900" w:type="dxa"/>
            <w:vAlign w:val="bottom"/>
          </w:tcPr>
          <w:p>
            <w:pPr>
              <w:spacing w:after="0"/>
              <w:rPr>
                <w:sz w:val="11"/>
                <w:szCs w:val="11"/>
                <w:color w:val="auto"/>
              </w:rPr>
            </w:pPr>
          </w:p>
        </w:tc>
        <w:tc>
          <w:tcPr>
            <w:tcW w:w="2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Year</w:t>
            </w:r>
          </w:p>
        </w:tc>
        <w:tc>
          <w:tcPr>
            <w:tcW w:w="15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1"/>
              <w:spacing w:after="0" w:line="136" w:lineRule="exact"/>
              <w:rPr>
                <w:sz w:val="20"/>
                <w:szCs w:val="20"/>
                <w:color w:val="auto"/>
              </w:rPr>
            </w:pPr>
            <w:r>
              <w:rPr>
                <w:rFonts w:ascii="Arial" w:cs="Arial" w:eastAsia="Arial" w:hAnsi="Arial"/>
                <w:sz w:val="12"/>
                <w:szCs w:val="12"/>
                <w:b w:val="1"/>
                <w:bCs w:val="1"/>
                <w:color w:val="auto"/>
                <w:w w:val="85"/>
              </w:rPr>
              <w:t>Scheduled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gridSpan w:val="2"/>
          </w:tcPr>
          <w:p>
            <w:pPr>
              <w:jc w:val="center"/>
              <w:ind w:right="860"/>
              <w:spacing w:after="0" w:line="136" w:lineRule="exact"/>
              <w:rPr>
                <w:sz w:val="20"/>
                <w:szCs w:val="20"/>
                <w:color w:val="auto"/>
              </w:rPr>
            </w:pPr>
            <w:r>
              <w:rPr>
                <w:rFonts w:ascii="Arial" w:cs="Arial" w:eastAsia="Arial" w:hAnsi="Arial"/>
                <w:sz w:val="12"/>
                <w:szCs w:val="12"/>
                <w:b w:val="1"/>
                <w:bCs w:val="1"/>
                <w:color w:val="auto"/>
                <w:w w:val="96"/>
              </w:rPr>
              <w:t>of Debt</w:t>
            </w:r>
          </w:p>
        </w:tc>
        <w:tc>
          <w:tcPr>
            <w:tcW w:w="1680" w:type="dxa"/>
            <w:vAlign w:val="bottom"/>
            <w:gridSpan w:val="2"/>
          </w:tcPr>
          <w:p>
            <w:pPr>
              <w:jc w:val="center"/>
              <w:ind w:right="860"/>
              <w:spacing w:after="0" w:line="136" w:lineRule="exact"/>
              <w:rPr>
                <w:sz w:val="20"/>
                <w:szCs w:val="20"/>
                <w:color w:val="auto"/>
              </w:rPr>
            </w:pPr>
            <w:r>
              <w:rPr>
                <w:rFonts w:ascii="Arial" w:cs="Arial" w:eastAsia="Arial" w:hAnsi="Arial"/>
                <w:sz w:val="12"/>
                <w:szCs w:val="12"/>
                <w:b w:val="1"/>
                <w:bCs w:val="1"/>
                <w:color w:val="auto"/>
                <w:w w:val="91"/>
              </w:rPr>
              <w:t>Percent of</w:t>
            </w:r>
          </w:p>
        </w:tc>
        <w:tc>
          <w:tcPr>
            <w:tcW w:w="860" w:type="dxa"/>
            <w:vAlign w:val="bottom"/>
            <w:gridSpan w:val="2"/>
          </w:tcPr>
          <w:p>
            <w:pPr>
              <w:jc w:val="right"/>
              <w:ind w:right="320"/>
              <w:spacing w:after="0" w:line="136"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41"/>
        </w:trPr>
        <w:tc>
          <w:tcPr>
            <w:tcW w:w="900" w:type="dxa"/>
            <w:vAlign w:val="bottom"/>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72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w w:val="95"/>
              </w:rPr>
              <w:t>Amortization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right"/>
              <w:ind w:right="1000"/>
              <w:spacing w:after="0" w:line="137" w:lineRule="exact"/>
              <w:rPr>
                <w:sz w:val="20"/>
                <w:szCs w:val="20"/>
                <w:color w:val="auto"/>
              </w:rPr>
            </w:pPr>
            <w:r>
              <w:rPr>
                <w:rFonts w:ascii="Arial" w:cs="Arial" w:eastAsia="Arial" w:hAnsi="Arial"/>
                <w:sz w:val="12"/>
                <w:szCs w:val="12"/>
                <w:b w:val="1"/>
                <w:bCs w:val="1"/>
                <w:color w:val="auto"/>
                <w:w w:val="95"/>
              </w:rPr>
              <w:t>Maturities</w:t>
            </w:r>
          </w:p>
        </w:tc>
        <w:tc>
          <w:tcPr>
            <w:tcW w:w="80" w:type="dxa"/>
            <w:vAlign w:val="bottom"/>
          </w:tcPr>
          <w:p>
            <w:pPr>
              <w:spacing w:after="0"/>
              <w:rPr>
                <w:sz w:val="11"/>
                <w:szCs w:val="11"/>
                <w:color w:val="auto"/>
              </w:rPr>
            </w:pPr>
          </w:p>
        </w:tc>
        <w:tc>
          <w:tcPr>
            <w:tcW w:w="1560" w:type="dxa"/>
            <w:vAlign w:val="bottom"/>
            <w:gridSpan w:val="2"/>
          </w:tcPr>
          <w:p>
            <w:pPr>
              <w:jc w:val="right"/>
              <w:ind w:right="1140"/>
              <w:spacing w:after="0" w:line="137" w:lineRule="exact"/>
              <w:rPr>
                <w:sz w:val="20"/>
                <w:szCs w:val="20"/>
                <w:color w:val="auto"/>
              </w:rPr>
            </w:pPr>
            <w:r>
              <w:rPr>
                <w:rFonts w:ascii="Arial" w:cs="Arial" w:eastAsia="Arial" w:hAnsi="Arial"/>
                <w:sz w:val="12"/>
                <w:szCs w:val="12"/>
                <w:b w:val="1"/>
                <w:bCs w:val="1"/>
                <w:color w:val="auto"/>
              </w:rPr>
              <w:t>Total</w:t>
            </w:r>
          </w:p>
        </w:tc>
        <w:tc>
          <w:tcPr>
            <w:tcW w:w="1380" w:type="dxa"/>
            <w:vAlign w:val="bottom"/>
            <w:gridSpan w:val="2"/>
          </w:tcPr>
          <w:p>
            <w:pPr>
              <w:jc w:val="center"/>
              <w:ind w:right="860"/>
              <w:spacing w:after="0" w:line="137" w:lineRule="exact"/>
              <w:rPr>
                <w:sz w:val="20"/>
                <w:szCs w:val="20"/>
                <w:color w:val="auto"/>
              </w:rPr>
            </w:pPr>
            <w:r>
              <w:rPr>
                <w:rFonts w:ascii="Arial" w:cs="Arial" w:eastAsia="Arial" w:hAnsi="Arial"/>
                <w:sz w:val="12"/>
                <w:szCs w:val="12"/>
                <w:b w:val="1"/>
                <w:bCs w:val="1"/>
                <w:color w:val="auto"/>
              </w:rPr>
              <w:t>Maturing</w:t>
            </w:r>
          </w:p>
        </w:tc>
        <w:tc>
          <w:tcPr>
            <w:tcW w:w="1680" w:type="dxa"/>
            <w:vAlign w:val="bottom"/>
            <w:gridSpan w:val="2"/>
          </w:tcPr>
          <w:p>
            <w:pPr>
              <w:jc w:val="center"/>
              <w:ind w:right="860"/>
              <w:spacing w:after="0" w:line="137" w:lineRule="exact"/>
              <w:rPr>
                <w:sz w:val="20"/>
                <w:szCs w:val="20"/>
                <w:color w:val="auto"/>
              </w:rPr>
            </w:pPr>
            <w:r>
              <w:rPr>
                <w:rFonts w:ascii="Arial" w:cs="Arial" w:eastAsia="Arial" w:hAnsi="Arial"/>
                <w:sz w:val="12"/>
                <w:szCs w:val="12"/>
                <w:b w:val="1"/>
                <w:bCs w:val="1"/>
                <w:color w:val="auto"/>
                <w:w w:val="96"/>
              </w:rPr>
              <w:t>Debt Maturing</w:t>
            </w:r>
          </w:p>
        </w:tc>
        <w:tc>
          <w:tcPr>
            <w:tcW w:w="860" w:type="dxa"/>
            <w:vAlign w:val="bottom"/>
            <w:gridSpan w:val="2"/>
          </w:tcPr>
          <w:p>
            <w:pPr>
              <w:jc w:val="right"/>
              <w:ind w:right="320"/>
              <w:spacing w:after="0" w:line="137" w:lineRule="exact"/>
              <w:rPr>
                <w:sz w:val="20"/>
                <w:szCs w:val="20"/>
                <w:color w:val="auto"/>
              </w:rPr>
            </w:pPr>
            <w:r>
              <w:rPr>
                <w:rFonts w:ascii="Arial" w:cs="Arial" w:eastAsia="Arial" w:hAnsi="Arial"/>
                <w:sz w:val="12"/>
                <w:szCs w:val="12"/>
                <w:b w:val="1"/>
                <w:bCs w:val="1"/>
                <w:color w:val="auto"/>
                <w:w w:val="99"/>
              </w:rPr>
              <w:t>Rate (3)</w:t>
            </w:r>
          </w:p>
        </w:tc>
        <w:tc>
          <w:tcPr>
            <w:tcW w:w="0" w:type="dxa"/>
            <w:vAlign w:val="bottom"/>
          </w:tcPr>
          <w:p>
            <w:pPr>
              <w:spacing w:after="0"/>
              <w:rPr>
                <w:sz w:val="1"/>
                <w:szCs w:val="1"/>
                <w:color w:val="auto"/>
              </w:rPr>
            </w:pPr>
          </w:p>
        </w:tc>
      </w:tr>
      <w:tr>
        <w:trPr>
          <w:trHeight w:val="20"/>
        </w:trPr>
        <w:tc>
          <w:tcPr>
            <w:tcW w:w="2740" w:type="dxa"/>
            <w:vAlign w:val="bottom"/>
            <w:gridSpan w:val="3"/>
            <w:vMerge w:val="restart"/>
            <w:shd w:val="clear" w:color="auto" w:fill="CCEEFF"/>
          </w:tcPr>
          <w:p>
            <w:pPr>
              <w:jc w:val="center"/>
              <w:ind w:right="600"/>
              <w:spacing w:after="0"/>
              <w:rPr>
                <w:sz w:val="20"/>
                <w:szCs w:val="20"/>
                <w:color w:val="auto"/>
              </w:rPr>
            </w:pPr>
            <w:r>
              <w:rPr>
                <w:rFonts w:ascii="Arial" w:cs="Arial" w:eastAsia="Arial" w:hAnsi="Arial"/>
                <w:sz w:val="16"/>
                <w:szCs w:val="16"/>
                <w:color w:val="auto"/>
                <w:w w:val="84"/>
              </w:rPr>
              <w:t>2011</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0"/>
              </w:rPr>
              <w:t>6%(4)</w:t>
            </w:r>
          </w:p>
        </w:tc>
        <w:tc>
          <w:tcPr>
            <w:tcW w:w="0" w:type="dxa"/>
            <w:vAlign w:val="bottom"/>
          </w:tcPr>
          <w:p>
            <w:pPr>
              <w:spacing w:after="0" w:line="20" w:lineRule="exact"/>
              <w:rPr>
                <w:sz w:val="1"/>
                <w:szCs w:val="1"/>
                <w:color w:val="auto"/>
              </w:rPr>
            </w:pPr>
          </w:p>
        </w:tc>
      </w:tr>
      <w:tr>
        <w:trPr>
          <w:trHeight w:val="182"/>
        </w:trPr>
        <w:tc>
          <w:tcPr>
            <w:tcW w:w="274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5,717</w:t>
            </w: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20"/>
              <w:spacing w:after="0" w:line="182" w:lineRule="exact"/>
              <w:rPr>
                <w:sz w:val="20"/>
                <w:szCs w:val="20"/>
                <w:color w:val="auto"/>
              </w:rPr>
            </w:pPr>
            <w:r>
              <w:rPr>
                <w:rFonts w:ascii="Arial" w:cs="Arial" w:eastAsia="Arial" w:hAnsi="Arial"/>
                <w:sz w:val="16"/>
                <w:szCs w:val="16"/>
                <w:color w:val="auto"/>
              </w:rPr>
              <w:t>189,000(1)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194,717</w:t>
            </w:r>
          </w:p>
        </w:tc>
        <w:tc>
          <w:tcPr>
            <w:tcW w:w="9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720"/>
              <w:spacing w:after="0" w:line="182" w:lineRule="exact"/>
              <w:rPr>
                <w:sz w:val="20"/>
                <w:szCs w:val="20"/>
                <w:color w:val="auto"/>
              </w:rPr>
            </w:pPr>
            <w:r>
              <w:rPr>
                <w:rFonts w:ascii="Arial" w:cs="Arial" w:eastAsia="Arial" w:hAnsi="Arial"/>
                <w:sz w:val="16"/>
                <w:szCs w:val="16"/>
                <w:color w:val="auto"/>
              </w:rPr>
              <w:t>11.1%</w:t>
            </w:r>
          </w:p>
        </w:tc>
        <w:tc>
          <w:tcPr>
            <w:tcW w:w="1680" w:type="dxa"/>
            <w:vAlign w:val="bottom"/>
            <w:gridSpan w:val="2"/>
            <w:shd w:val="clear" w:color="auto" w:fill="CCEEFF"/>
          </w:tcPr>
          <w:p>
            <w:pPr>
              <w:jc w:val="right"/>
              <w:ind w:right="740"/>
              <w:spacing w:after="0" w:line="182" w:lineRule="exact"/>
              <w:rPr>
                <w:sz w:val="20"/>
                <w:szCs w:val="20"/>
                <w:color w:val="auto"/>
              </w:rPr>
            </w:pPr>
            <w:r>
              <w:rPr>
                <w:rFonts w:ascii="Arial" w:cs="Arial" w:eastAsia="Arial" w:hAnsi="Arial"/>
                <w:sz w:val="16"/>
                <w:szCs w:val="16"/>
                <w:color w:val="auto"/>
              </w:rPr>
              <w:t>11.1%</w:t>
            </w:r>
          </w:p>
        </w:tc>
        <w:tc>
          <w:tcPr>
            <w:tcW w:w="500" w:type="dxa"/>
            <w:vAlign w:val="bottom"/>
            <w:shd w:val="clear" w:color="auto" w:fill="CCEEFF"/>
          </w:tcPr>
          <w:p>
            <w:pPr>
              <w:jc w:val="right"/>
              <w:ind w:right="4"/>
              <w:spacing w:after="0" w:line="182" w:lineRule="exact"/>
              <w:rPr>
                <w:sz w:val="20"/>
                <w:szCs w:val="20"/>
                <w:color w:val="auto"/>
              </w:rPr>
            </w:pPr>
            <w:r>
              <w:rPr>
                <w:rFonts w:ascii="Arial" w:cs="Arial" w:eastAsia="Arial" w:hAnsi="Arial"/>
                <w:sz w:val="16"/>
                <w:szCs w:val="16"/>
                <w:color w:val="auto"/>
              </w:rPr>
              <w:t>0.</w:t>
            </w:r>
          </w:p>
        </w:tc>
        <w:tc>
          <w:tcPr>
            <w:tcW w:w="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gridSpan w:val="3"/>
          </w:tcPr>
          <w:p>
            <w:pPr>
              <w:jc w:val="center"/>
              <w:ind w:right="600"/>
              <w:spacing w:after="0"/>
              <w:rPr>
                <w:sz w:val="20"/>
                <w:szCs w:val="20"/>
                <w:color w:val="auto"/>
              </w:rPr>
            </w:pPr>
            <w:r>
              <w:rPr>
                <w:rFonts w:ascii="Arial" w:cs="Arial" w:eastAsia="Arial" w:hAnsi="Arial"/>
                <w:sz w:val="16"/>
                <w:szCs w:val="16"/>
                <w:color w:val="auto"/>
                <w:w w:val="95"/>
              </w:rPr>
              <w:t>2012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12,691</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191,916</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204,607</w:t>
            </w:r>
          </w:p>
        </w:tc>
        <w:tc>
          <w:tcPr>
            <w:tcW w:w="900" w:type="dxa"/>
            <w:vAlign w:val="bottom"/>
          </w:tcPr>
          <w:p>
            <w:pPr>
              <w:spacing w:after="0"/>
              <w:rPr>
                <w:sz w:val="17"/>
                <w:szCs w:val="17"/>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6"/>
                <w:szCs w:val="16"/>
                <w:color w:val="auto"/>
              </w:rPr>
              <w:t>11.6%</w:t>
            </w:r>
          </w:p>
        </w:tc>
        <w:tc>
          <w:tcPr>
            <w:tcW w:w="1680" w:type="dxa"/>
            <w:vAlign w:val="bottom"/>
            <w:gridSpan w:val="2"/>
          </w:tcPr>
          <w:p>
            <w:pPr>
              <w:jc w:val="right"/>
              <w:ind w:right="740"/>
              <w:spacing w:after="0"/>
              <w:rPr>
                <w:sz w:val="20"/>
                <w:szCs w:val="20"/>
                <w:color w:val="auto"/>
              </w:rPr>
            </w:pPr>
            <w:r>
              <w:rPr>
                <w:rFonts w:ascii="Arial" w:cs="Arial" w:eastAsia="Arial" w:hAnsi="Arial"/>
                <w:sz w:val="16"/>
                <w:szCs w:val="16"/>
                <w:color w:val="auto"/>
              </w:rPr>
              <w:t>22.7%</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8"/>
        </w:trPr>
        <w:tc>
          <w:tcPr>
            <w:tcW w:w="2740" w:type="dxa"/>
            <w:vAlign w:val="bottom"/>
            <w:gridSpan w:val="3"/>
            <w:shd w:val="clear" w:color="auto" w:fill="CCEEFF"/>
          </w:tcPr>
          <w:p>
            <w:pPr>
              <w:jc w:val="center"/>
              <w:ind w:right="600"/>
              <w:spacing w:after="0"/>
              <w:rPr>
                <w:sz w:val="20"/>
                <w:szCs w:val="20"/>
                <w:color w:val="auto"/>
              </w:rPr>
            </w:pPr>
            <w:r>
              <w:rPr>
                <w:rFonts w:ascii="Arial" w:cs="Arial" w:eastAsia="Arial" w:hAnsi="Arial"/>
                <w:sz w:val="16"/>
                <w:szCs w:val="16"/>
                <w:color w:val="auto"/>
                <w:w w:val="95"/>
              </w:rPr>
              <w:t>2013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11,853</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196,893</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208,746</w:t>
            </w:r>
          </w:p>
        </w:tc>
        <w:tc>
          <w:tcPr>
            <w:tcW w:w="9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11.9%</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34.6%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8"/>
        </w:trPr>
        <w:tc>
          <w:tcPr>
            <w:tcW w:w="2740" w:type="dxa"/>
            <w:vAlign w:val="bottom"/>
            <w:gridSpan w:val="3"/>
          </w:tcPr>
          <w:p>
            <w:pPr>
              <w:jc w:val="center"/>
              <w:ind w:right="600"/>
              <w:spacing w:after="0"/>
              <w:rPr>
                <w:sz w:val="20"/>
                <w:szCs w:val="20"/>
                <w:color w:val="auto"/>
              </w:rPr>
            </w:pPr>
            <w:r>
              <w:rPr>
                <w:rFonts w:ascii="Arial" w:cs="Arial" w:eastAsia="Arial" w:hAnsi="Arial"/>
                <w:sz w:val="16"/>
                <w:szCs w:val="16"/>
                <w:color w:val="auto"/>
                <w:w w:val="95"/>
              </w:rPr>
              <w:t>2014</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10,225</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297,864</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308,089</w:t>
            </w:r>
          </w:p>
        </w:tc>
        <w:tc>
          <w:tcPr>
            <w:tcW w:w="900" w:type="dxa"/>
            <w:vAlign w:val="bottom"/>
          </w:tcPr>
          <w:p>
            <w:pPr>
              <w:spacing w:after="0"/>
              <w:rPr>
                <w:sz w:val="17"/>
                <w:szCs w:val="17"/>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6"/>
                <w:szCs w:val="16"/>
                <w:color w:val="auto"/>
              </w:rPr>
              <w:t>17.5%</w:t>
            </w:r>
          </w:p>
        </w:tc>
        <w:tc>
          <w:tcPr>
            <w:tcW w:w="1680" w:type="dxa"/>
            <w:vAlign w:val="bottom"/>
            <w:gridSpan w:val="2"/>
          </w:tcPr>
          <w:p>
            <w:pPr>
              <w:jc w:val="right"/>
              <w:ind w:right="740"/>
              <w:spacing w:after="0"/>
              <w:rPr>
                <w:sz w:val="20"/>
                <w:szCs w:val="20"/>
                <w:color w:val="auto"/>
              </w:rPr>
            </w:pPr>
            <w:r>
              <w:rPr>
                <w:rFonts w:ascii="Arial" w:cs="Arial" w:eastAsia="Arial" w:hAnsi="Arial"/>
                <w:sz w:val="16"/>
                <w:szCs w:val="16"/>
                <w:color w:val="auto"/>
              </w:rPr>
              <w:t>52.1%</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8"/>
        </w:trPr>
        <w:tc>
          <w:tcPr>
            <w:tcW w:w="2740" w:type="dxa"/>
            <w:vAlign w:val="bottom"/>
            <w:gridSpan w:val="3"/>
            <w:shd w:val="clear" w:color="auto" w:fill="CCEEFF"/>
          </w:tcPr>
          <w:p>
            <w:pPr>
              <w:jc w:val="center"/>
              <w:ind w:right="600"/>
              <w:spacing w:after="0"/>
              <w:rPr>
                <w:sz w:val="20"/>
                <w:szCs w:val="20"/>
                <w:color w:val="auto"/>
              </w:rPr>
            </w:pPr>
            <w:r>
              <w:rPr>
                <w:rFonts w:ascii="Arial" w:cs="Arial" w:eastAsia="Arial" w:hAnsi="Arial"/>
                <w:sz w:val="16"/>
                <w:szCs w:val="16"/>
                <w:color w:val="auto"/>
                <w:w w:val="95"/>
              </w:rPr>
              <w:t>2015</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6,858</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198,391</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205,249</w:t>
            </w:r>
          </w:p>
        </w:tc>
        <w:tc>
          <w:tcPr>
            <w:tcW w:w="9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11.7%</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63.8%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8"/>
        </w:trPr>
        <w:tc>
          <w:tcPr>
            <w:tcW w:w="2740" w:type="dxa"/>
            <w:vAlign w:val="bottom"/>
            <w:gridSpan w:val="3"/>
          </w:tcPr>
          <w:p>
            <w:pPr>
              <w:jc w:val="center"/>
              <w:ind w:right="600"/>
              <w:spacing w:after="0"/>
              <w:rPr>
                <w:sz w:val="20"/>
                <w:szCs w:val="20"/>
                <w:color w:val="auto"/>
              </w:rPr>
            </w:pPr>
            <w:r>
              <w:rPr>
                <w:rFonts w:ascii="Arial" w:cs="Arial" w:eastAsia="Arial" w:hAnsi="Arial"/>
                <w:sz w:val="16"/>
                <w:szCs w:val="16"/>
                <w:color w:val="auto"/>
                <w:w w:val="95"/>
              </w:rPr>
              <w:t>2016</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2,902</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134,400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137,302</w:t>
            </w:r>
          </w:p>
        </w:tc>
        <w:tc>
          <w:tcPr>
            <w:tcW w:w="900" w:type="dxa"/>
            <w:vAlign w:val="bottom"/>
          </w:tcPr>
          <w:p>
            <w:pPr>
              <w:spacing w:after="0"/>
              <w:rPr>
                <w:sz w:val="17"/>
                <w:szCs w:val="17"/>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6"/>
                <w:szCs w:val="16"/>
                <w:color w:val="auto"/>
              </w:rPr>
              <w:t>7.8%</w:t>
            </w:r>
          </w:p>
        </w:tc>
        <w:tc>
          <w:tcPr>
            <w:tcW w:w="1680" w:type="dxa"/>
            <w:vAlign w:val="bottom"/>
            <w:gridSpan w:val="2"/>
          </w:tcPr>
          <w:p>
            <w:pPr>
              <w:jc w:val="right"/>
              <w:ind w:right="740"/>
              <w:spacing w:after="0"/>
              <w:rPr>
                <w:sz w:val="20"/>
                <w:szCs w:val="20"/>
                <w:color w:val="auto"/>
              </w:rPr>
            </w:pPr>
            <w:r>
              <w:rPr>
                <w:rFonts w:ascii="Arial" w:cs="Arial" w:eastAsia="Arial" w:hAnsi="Arial"/>
                <w:sz w:val="16"/>
                <w:szCs w:val="16"/>
                <w:color w:val="auto"/>
              </w:rPr>
              <w:t>71.6%</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8"/>
        </w:trPr>
        <w:tc>
          <w:tcPr>
            <w:tcW w:w="2740" w:type="dxa"/>
            <w:vAlign w:val="bottom"/>
            <w:gridSpan w:val="3"/>
            <w:shd w:val="clear" w:color="auto" w:fill="CCEEFF"/>
          </w:tcPr>
          <w:p>
            <w:pPr>
              <w:jc w:val="center"/>
              <w:ind w:right="600"/>
              <w:spacing w:after="0"/>
              <w:rPr>
                <w:sz w:val="20"/>
                <w:szCs w:val="20"/>
                <w:color w:val="auto"/>
              </w:rPr>
            </w:pPr>
            <w:r>
              <w:rPr>
                <w:rFonts w:ascii="Arial" w:cs="Arial" w:eastAsia="Arial" w:hAnsi="Arial"/>
                <w:sz w:val="16"/>
                <w:szCs w:val="16"/>
                <w:color w:val="auto"/>
                <w:w w:val="95"/>
              </w:rPr>
              <w:t>2017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203,110</w:t>
            </w:r>
          </w:p>
        </w:tc>
        <w:tc>
          <w:tcPr>
            <w:tcW w:w="9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11.5%</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83.1%</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8"/>
        </w:trPr>
        <w:tc>
          <w:tcPr>
            <w:tcW w:w="2740" w:type="dxa"/>
            <w:vAlign w:val="bottom"/>
            <w:gridSpan w:val="3"/>
          </w:tcPr>
          <w:p>
            <w:pPr>
              <w:jc w:val="center"/>
              <w:ind w:right="600"/>
              <w:spacing w:after="0"/>
              <w:rPr>
                <w:sz w:val="20"/>
                <w:szCs w:val="20"/>
                <w:color w:val="auto"/>
              </w:rPr>
            </w:pPr>
            <w:r>
              <w:rPr>
                <w:rFonts w:ascii="Arial" w:cs="Arial" w:eastAsia="Arial" w:hAnsi="Arial"/>
                <w:sz w:val="16"/>
                <w:szCs w:val="16"/>
                <w:color w:val="auto"/>
                <w:w w:val="95"/>
              </w:rPr>
              <w:t>2018</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3,321</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3,321</w:t>
            </w:r>
          </w:p>
        </w:tc>
        <w:tc>
          <w:tcPr>
            <w:tcW w:w="900" w:type="dxa"/>
            <w:vAlign w:val="bottom"/>
          </w:tcPr>
          <w:p>
            <w:pPr>
              <w:spacing w:after="0"/>
              <w:rPr>
                <w:sz w:val="17"/>
                <w:szCs w:val="17"/>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6"/>
                <w:szCs w:val="16"/>
                <w:color w:val="auto"/>
              </w:rPr>
              <w:t>0.2%</w:t>
            </w:r>
          </w:p>
        </w:tc>
        <w:tc>
          <w:tcPr>
            <w:tcW w:w="1680" w:type="dxa"/>
            <w:vAlign w:val="bottom"/>
            <w:gridSpan w:val="2"/>
          </w:tcPr>
          <w:p>
            <w:pPr>
              <w:jc w:val="right"/>
              <w:ind w:right="740"/>
              <w:spacing w:after="0"/>
              <w:rPr>
                <w:sz w:val="20"/>
                <w:szCs w:val="20"/>
                <w:color w:val="auto"/>
              </w:rPr>
            </w:pPr>
            <w:r>
              <w:rPr>
                <w:rFonts w:ascii="Arial" w:cs="Arial" w:eastAsia="Arial" w:hAnsi="Arial"/>
                <w:sz w:val="16"/>
                <w:szCs w:val="16"/>
                <w:color w:val="auto"/>
              </w:rPr>
              <w:t>83.3%</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8"/>
        </w:trPr>
        <w:tc>
          <w:tcPr>
            <w:tcW w:w="2740" w:type="dxa"/>
            <w:vAlign w:val="bottom"/>
            <w:gridSpan w:val="3"/>
            <w:shd w:val="clear" w:color="auto" w:fill="CCEEFF"/>
          </w:tcPr>
          <w:p>
            <w:pPr>
              <w:jc w:val="center"/>
              <w:ind w:right="600"/>
              <w:spacing w:after="0"/>
              <w:rPr>
                <w:sz w:val="20"/>
                <w:szCs w:val="20"/>
                <w:color w:val="auto"/>
              </w:rPr>
            </w:pPr>
            <w:r>
              <w:rPr>
                <w:rFonts w:ascii="Arial" w:cs="Arial" w:eastAsia="Arial" w:hAnsi="Arial"/>
                <w:sz w:val="16"/>
                <w:szCs w:val="16"/>
                <w:color w:val="auto"/>
                <w:w w:val="95"/>
              </w:rPr>
              <w:t>2019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23,360</w:t>
            </w:r>
          </w:p>
        </w:tc>
        <w:tc>
          <w:tcPr>
            <w:tcW w:w="9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1.3%</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84.6%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8"/>
        </w:trPr>
        <w:tc>
          <w:tcPr>
            <w:tcW w:w="2740" w:type="dxa"/>
            <w:vAlign w:val="bottom"/>
            <w:gridSpan w:val="3"/>
          </w:tcPr>
          <w:p>
            <w:pPr>
              <w:jc w:val="center"/>
              <w:ind w:right="600"/>
              <w:spacing w:after="0"/>
              <w:rPr>
                <w:sz w:val="20"/>
                <w:szCs w:val="20"/>
                <w:color w:val="auto"/>
              </w:rPr>
            </w:pPr>
            <w:r>
              <w:rPr>
                <w:rFonts w:ascii="Arial" w:cs="Arial" w:eastAsia="Arial" w:hAnsi="Arial"/>
                <w:sz w:val="16"/>
                <w:szCs w:val="16"/>
                <w:color w:val="auto"/>
                <w:w w:val="95"/>
              </w:rPr>
              <w:t>2020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3,239</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150,000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153,239</w:t>
            </w:r>
          </w:p>
        </w:tc>
        <w:tc>
          <w:tcPr>
            <w:tcW w:w="900" w:type="dxa"/>
            <w:vAlign w:val="bottom"/>
          </w:tcPr>
          <w:p>
            <w:pPr>
              <w:spacing w:after="0"/>
              <w:rPr>
                <w:sz w:val="17"/>
                <w:szCs w:val="17"/>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6"/>
                <w:szCs w:val="16"/>
                <w:color w:val="auto"/>
              </w:rPr>
              <w:t>8.7%</w:t>
            </w:r>
          </w:p>
        </w:tc>
        <w:tc>
          <w:tcPr>
            <w:tcW w:w="1680" w:type="dxa"/>
            <w:vAlign w:val="bottom"/>
            <w:gridSpan w:val="2"/>
          </w:tcPr>
          <w:p>
            <w:pPr>
              <w:jc w:val="right"/>
              <w:ind w:right="740"/>
              <w:spacing w:after="0"/>
              <w:rPr>
                <w:sz w:val="20"/>
                <w:szCs w:val="20"/>
                <w:color w:val="auto"/>
              </w:rPr>
            </w:pPr>
            <w:r>
              <w:rPr>
                <w:rFonts w:ascii="Arial" w:cs="Arial" w:eastAsia="Arial" w:hAnsi="Arial"/>
                <w:sz w:val="16"/>
                <w:szCs w:val="16"/>
                <w:color w:val="auto"/>
              </w:rPr>
              <w:t>93.3%</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8"/>
        </w:trPr>
        <w:tc>
          <w:tcPr>
            <w:tcW w:w="2740" w:type="dxa"/>
            <w:vAlign w:val="bottom"/>
            <w:gridSpan w:val="3"/>
            <w:shd w:val="clear" w:color="auto" w:fill="CCEEFF"/>
          </w:tcPr>
          <w:p>
            <w:pPr>
              <w:jc w:val="center"/>
              <w:ind w:right="600"/>
              <w:spacing w:after="0"/>
              <w:rPr>
                <w:sz w:val="20"/>
                <w:szCs w:val="20"/>
                <w:color w:val="auto"/>
              </w:rPr>
            </w:pPr>
            <w:r>
              <w:rPr>
                <w:rFonts w:ascii="Arial" w:cs="Arial" w:eastAsia="Arial" w:hAnsi="Arial"/>
                <w:sz w:val="16"/>
                <w:szCs w:val="16"/>
                <w:color w:val="auto"/>
                <w:w w:val="89"/>
              </w:rPr>
              <w:t>Thereafter</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45,597</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72,878</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118,475</w:t>
            </w:r>
          </w:p>
        </w:tc>
        <w:tc>
          <w:tcPr>
            <w:tcW w:w="9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6.7%</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100.0%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ind w:left="5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108,713</w:t>
            </w:r>
          </w:p>
        </w:tc>
        <w:tc>
          <w:tcPr>
            <w:tcW w:w="7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1,651,502</w:t>
            </w:r>
          </w:p>
        </w:tc>
        <w:tc>
          <w:tcPr>
            <w:tcW w:w="9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560" w:type="dxa"/>
            <w:vAlign w:val="bottom"/>
            <w:gridSpan w:val="2"/>
          </w:tcPr>
          <w:p>
            <w:pPr>
              <w:jc w:val="right"/>
              <w:ind w:right="720"/>
              <w:spacing w:after="0"/>
              <w:rPr>
                <w:sz w:val="20"/>
                <w:szCs w:val="20"/>
                <w:color w:val="auto"/>
              </w:rPr>
            </w:pPr>
            <w:r>
              <w:rPr>
                <w:rFonts w:ascii="Arial" w:cs="Arial" w:eastAsia="Arial" w:hAnsi="Arial"/>
                <w:sz w:val="16"/>
                <w:szCs w:val="16"/>
                <w:color w:val="auto"/>
                <w:w w:val="90"/>
              </w:rPr>
              <w:t>1,760,215(2)</w:t>
            </w:r>
          </w:p>
        </w:tc>
        <w:tc>
          <w:tcPr>
            <w:tcW w:w="1380" w:type="dxa"/>
            <w:vAlign w:val="bottom"/>
            <w:gridSpan w:val="2"/>
          </w:tcPr>
          <w:p>
            <w:pPr>
              <w:jc w:val="right"/>
              <w:ind w:right="720"/>
              <w:spacing w:after="0"/>
              <w:rPr>
                <w:sz w:val="20"/>
                <w:szCs w:val="20"/>
                <w:color w:val="auto"/>
              </w:rPr>
            </w:pPr>
            <w:r>
              <w:rPr>
                <w:rFonts w:ascii="Arial" w:cs="Arial" w:eastAsia="Arial" w:hAnsi="Arial"/>
                <w:sz w:val="16"/>
                <w:szCs w:val="16"/>
                <w:color w:val="auto"/>
              </w:rPr>
              <w:t>100.0%</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right="220" w:hanging="461"/>
        <w:spacing w:after="0" w:line="257" w:lineRule="auto"/>
        <w:tabs>
          <w:tab w:leader="none" w:pos="4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$300 million revolving credit facility was scheduled to mature on July 27, 2011. As of June 30, 2011, there was $189.0 million outstanding on our revolving credit facility. On July 7, 2011, we replaced our existing revolving credit facility with a new $400.0 million unsecured revolving credit facility that matures on July 6, 2015, subject to a one-year extension at our option.</w:t>
      </w:r>
    </w:p>
    <w:p>
      <w:pPr>
        <w:spacing w:after="0" w:line="1" w:lineRule="exact"/>
        <w:rPr>
          <w:rFonts w:ascii="Arial" w:cs="Arial" w:eastAsia="Arial" w:hAnsi="Arial"/>
          <w:sz w:val="16"/>
          <w:szCs w:val="16"/>
          <w:color w:val="auto"/>
        </w:rPr>
      </w:pPr>
    </w:p>
    <w:p>
      <w:pPr>
        <w:ind w:left="461" w:right="380" w:hanging="461"/>
        <w:spacing w:after="0" w:line="257" w:lineRule="auto"/>
        <w:tabs>
          <w:tab w:leader="none" w:pos="4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June 30, 2011.</w:t>
      </w:r>
    </w:p>
    <w:p>
      <w:pPr>
        <w:ind w:left="461" w:hanging="461"/>
        <w:spacing w:after="0"/>
        <w:tabs>
          <w:tab w:leader="none" w:pos="4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$0.2 million in quarterly financing fees and quarterly debt fee amortization on our revolving credit facility.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1"/>
          </w:cols>
          <w:pgMar w:left="239" w:top="262"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Redevelopment Opportunities (1) ($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Cost</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jc w:val="center"/>
              <w:ind w:right="640"/>
              <w:spacing w:after="0" w:line="136" w:lineRule="exact"/>
              <w:rPr>
                <w:sz w:val="20"/>
                <w:szCs w:val="20"/>
                <w:color w:val="auto"/>
              </w:rPr>
            </w:pPr>
            <w:r>
              <w:rPr>
                <w:rFonts w:ascii="Arial" w:cs="Arial" w:eastAsia="Arial" w:hAnsi="Arial"/>
                <w:sz w:val="12"/>
                <w:szCs w:val="12"/>
                <w:b w:val="1"/>
                <w:bCs w:val="1"/>
                <w:color w:val="auto"/>
                <w:w w:val="91"/>
              </w:rPr>
              <w:t>Projected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center"/>
              <w:ind w:right="820"/>
              <w:spacing w:after="0" w:line="136" w:lineRule="exact"/>
              <w:rPr>
                <w:sz w:val="20"/>
                <w:szCs w:val="20"/>
                <w:color w:val="auto"/>
              </w:rPr>
            </w:pPr>
            <w:r>
              <w:rPr>
                <w:rFonts w:ascii="Arial" w:cs="Arial" w:eastAsia="Arial" w:hAnsi="Arial"/>
                <w:sz w:val="12"/>
                <w:szCs w:val="12"/>
                <w:b w:val="1"/>
                <w:bCs w:val="1"/>
                <w:color w:val="auto"/>
                <w:w w:val="91"/>
              </w:rPr>
              <w:t>Projected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w w:val="87"/>
              </w:rPr>
              <w:t>to</w:t>
            </w: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Property</w:t>
            </w:r>
          </w:p>
        </w:tc>
        <w:tc>
          <w:tcPr>
            <w:tcW w:w="9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Location</w:t>
            </w:r>
          </w:p>
        </w:tc>
        <w:tc>
          <w:tcPr>
            <w:tcW w:w="1060" w:type="dxa"/>
            <w:vAlign w:val="bottom"/>
          </w:tcPr>
          <w:p>
            <w:pPr>
              <w:spacing w:after="0"/>
              <w:rPr>
                <w:sz w:val="13"/>
                <w:szCs w:val="13"/>
                <w:color w:val="auto"/>
              </w:rPr>
            </w:pPr>
          </w:p>
        </w:tc>
        <w:tc>
          <w:tcPr>
            <w:tcW w:w="1960" w:type="dxa"/>
            <w:vAlign w:val="bottom"/>
            <w:gridSpan w:val="2"/>
          </w:tcPr>
          <w:p>
            <w:pPr>
              <w:ind w:left="40"/>
              <w:spacing w:after="0"/>
              <w:rPr>
                <w:sz w:val="20"/>
                <w:szCs w:val="20"/>
                <w:color w:val="auto"/>
              </w:rPr>
            </w:pPr>
            <w:r>
              <w:rPr>
                <w:rFonts w:ascii="Arial" w:cs="Arial" w:eastAsia="Arial" w:hAnsi="Arial"/>
                <w:sz w:val="12"/>
                <w:szCs w:val="12"/>
                <w:b w:val="1"/>
                <w:bCs w:val="1"/>
                <w:color w:val="auto"/>
              </w:rPr>
              <w:t>Opportunity</w:t>
            </w:r>
          </w:p>
        </w:tc>
        <w:tc>
          <w:tcPr>
            <w:tcW w:w="160" w:type="dxa"/>
            <w:vAlign w:val="bottom"/>
          </w:tcPr>
          <w:p>
            <w:pPr>
              <w:spacing w:after="0"/>
              <w:rPr>
                <w:sz w:val="13"/>
                <w:szCs w:val="13"/>
                <w:color w:val="auto"/>
              </w:rPr>
            </w:pPr>
          </w:p>
        </w:tc>
        <w:tc>
          <w:tcPr>
            <w:tcW w:w="1180" w:type="dxa"/>
            <w:vAlign w:val="bottom"/>
            <w:gridSpan w:val="3"/>
          </w:tcPr>
          <w:p>
            <w:pPr>
              <w:jc w:val="center"/>
              <w:ind w:right="620"/>
              <w:spacing w:after="0"/>
              <w:rPr>
                <w:sz w:val="20"/>
                <w:szCs w:val="20"/>
                <w:color w:val="auto"/>
              </w:rPr>
            </w:pPr>
            <w:r>
              <w:rPr>
                <w:rFonts w:ascii="Arial" w:cs="Arial" w:eastAsia="Arial" w:hAnsi="Arial"/>
                <w:sz w:val="12"/>
                <w:szCs w:val="12"/>
                <w:b w:val="1"/>
                <w:bCs w:val="1"/>
                <w:color w:val="auto"/>
              </w:rPr>
              <w:t>ROI (2)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93"/>
              </w:rPr>
              <w:t>Cost (1)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99"/>
        </w:trPr>
        <w:tc>
          <w:tcPr>
            <w:tcW w:w="10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0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rPr>
              <w:t>Projects Anticipated to Stabilize in 2011 (3)</w:t>
            </w: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tcPr>
          <w:p>
            <w:pPr>
              <w:spacing w:after="0"/>
              <w:rPr>
                <w:sz w:val="20"/>
                <w:szCs w:val="20"/>
                <w:color w:val="auto"/>
              </w:rPr>
            </w:pPr>
            <w:r>
              <w:rPr>
                <w:rFonts w:ascii="Arial" w:cs="Arial" w:eastAsia="Arial" w:hAnsi="Arial"/>
                <w:sz w:val="16"/>
                <w:szCs w:val="16"/>
                <w:color w:val="auto"/>
              </w:rPr>
              <w:t>Santana Row</w:t>
            </w:r>
          </w:p>
        </w:tc>
        <w:tc>
          <w:tcPr>
            <w:tcW w:w="2040" w:type="dxa"/>
            <w:vAlign w:val="bottom"/>
            <w:gridSpan w:val="3"/>
          </w:tcPr>
          <w:p>
            <w:pPr>
              <w:ind w:left="480"/>
              <w:spacing w:after="0"/>
              <w:rPr>
                <w:sz w:val="20"/>
                <w:szCs w:val="20"/>
                <w:color w:val="auto"/>
              </w:rPr>
            </w:pPr>
            <w:r>
              <w:rPr>
                <w:rFonts w:ascii="Arial" w:cs="Arial" w:eastAsia="Arial" w:hAnsi="Arial"/>
                <w:sz w:val="16"/>
                <w:szCs w:val="16"/>
                <w:color w:val="auto"/>
              </w:rPr>
              <w:t>San Jose, CA</w:t>
            </w: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Five-story building with 15,000</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square feet of ground level retail and</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65,000 square feet of office space</w:t>
            </w:r>
          </w:p>
        </w:tc>
        <w:tc>
          <w:tcPr>
            <w:tcW w:w="1340" w:type="dxa"/>
            <w:vAlign w:val="bottom"/>
            <w:gridSpan w:val="4"/>
          </w:tcPr>
          <w:p>
            <w:pPr>
              <w:jc w:val="right"/>
              <w:ind w:right="480"/>
              <w:spacing w:after="0"/>
              <w:rPr>
                <w:sz w:val="20"/>
                <w:szCs w:val="20"/>
                <w:color w:val="auto"/>
              </w:rPr>
            </w:pPr>
            <w:r>
              <w:rPr>
                <w:rFonts w:ascii="Arial" w:cs="Arial" w:eastAsia="Arial" w:hAnsi="Arial"/>
                <w:sz w:val="16"/>
                <w:szCs w:val="16"/>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44</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Crossroads</w:t>
            </w:r>
          </w:p>
        </w:tc>
        <w:tc>
          <w:tcPr>
            <w:tcW w:w="20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Highland Park, IL</w:t>
            </w: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Combine four spaces in preparation</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for new fitness operator, replacing</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vacant anchor and small shop space.</w:t>
            </w:r>
          </w:p>
        </w:tc>
        <w:tc>
          <w:tcPr>
            <w:tcW w:w="1340" w:type="dxa"/>
            <w:vAlign w:val="bottom"/>
            <w:gridSpan w:val="4"/>
            <w:shd w:val="clear" w:color="auto" w:fill="CCEEFF"/>
          </w:tcPr>
          <w:p>
            <w:pPr>
              <w:jc w:val="right"/>
              <w:ind w:right="4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tcPr>
          <w:p>
            <w:pPr>
              <w:spacing w:after="0"/>
              <w:rPr>
                <w:sz w:val="20"/>
                <w:szCs w:val="20"/>
                <w:color w:val="auto"/>
              </w:rPr>
            </w:pPr>
            <w:r>
              <w:rPr>
                <w:rFonts w:ascii="Arial" w:cs="Arial" w:eastAsia="Arial" w:hAnsi="Arial"/>
                <w:sz w:val="16"/>
                <w:szCs w:val="16"/>
                <w:color w:val="auto"/>
              </w:rPr>
              <w:t>Brick</w:t>
            </w:r>
          </w:p>
        </w:tc>
        <w:tc>
          <w:tcPr>
            <w:tcW w:w="2040" w:type="dxa"/>
            <w:vAlign w:val="bottom"/>
            <w:gridSpan w:val="3"/>
          </w:tcPr>
          <w:p>
            <w:pPr>
              <w:ind w:left="480"/>
              <w:spacing w:after="0"/>
              <w:rPr>
                <w:sz w:val="20"/>
                <w:szCs w:val="20"/>
                <w:color w:val="auto"/>
              </w:rPr>
            </w:pPr>
            <w:r>
              <w:rPr>
                <w:rFonts w:ascii="Arial" w:cs="Arial" w:eastAsia="Arial" w:hAnsi="Arial"/>
                <w:sz w:val="16"/>
                <w:szCs w:val="16"/>
                <w:color w:val="auto"/>
              </w:rPr>
              <w:t>Brick, NJ</w:t>
            </w: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Redevelopment and expansion of</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existing pad site</w:t>
            </w:r>
          </w:p>
        </w:tc>
        <w:tc>
          <w:tcPr>
            <w:tcW w:w="1340" w:type="dxa"/>
            <w:vAlign w:val="bottom"/>
            <w:gridSpan w:val="4"/>
          </w:tcPr>
          <w:p>
            <w:pPr>
              <w:jc w:val="right"/>
              <w:ind w:right="480"/>
              <w:spacing w:after="0"/>
              <w:rPr>
                <w:sz w:val="20"/>
                <w:szCs w:val="20"/>
                <w:color w:val="auto"/>
              </w:rPr>
            </w:pPr>
            <w:r>
              <w:rPr>
                <w:rFonts w:ascii="Arial" w:cs="Arial" w:eastAsia="Arial" w:hAnsi="Arial"/>
                <w:sz w:val="16"/>
                <w:szCs w:val="16"/>
                <w:color w:val="auto"/>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00" w:type="dxa"/>
            <w:vAlign w:val="bottom"/>
            <w:gridSpan w:val="6"/>
            <w:shd w:val="clear" w:color="auto" w:fill="CCEEFF"/>
          </w:tcPr>
          <w:p>
            <w:pPr>
              <w:ind w:left="400"/>
              <w:spacing w:after="0"/>
              <w:rPr>
                <w:sz w:val="20"/>
                <w:szCs w:val="20"/>
                <w:color w:val="auto"/>
              </w:rPr>
            </w:pPr>
            <w:r>
              <w:rPr>
                <w:rFonts w:ascii="Arial" w:cs="Arial" w:eastAsia="Arial" w:hAnsi="Arial"/>
                <w:sz w:val="16"/>
                <w:szCs w:val="16"/>
                <w:b w:val="1"/>
                <w:bCs w:val="1"/>
                <w:color w:val="auto"/>
                <w:w w:val="96"/>
              </w:rPr>
              <w:t>Subtotal: Projects Anticipated to Stabilize in 2011 (3) (4)</w:t>
            </w: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4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gridSpan w:val="6"/>
            <w:vMerge w:val="restart"/>
          </w:tcPr>
          <w:p>
            <w:pPr>
              <w:spacing w:after="0"/>
              <w:rPr>
                <w:sz w:val="20"/>
                <w:szCs w:val="20"/>
                <w:color w:val="auto"/>
              </w:rPr>
            </w:pPr>
            <w:r>
              <w:rPr>
                <w:rFonts w:ascii="Arial" w:cs="Arial" w:eastAsia="Arial" w:hAnsi="Arial"/>
                <w:sz w:val="16"/>
                <w:szCs w:val="16"/>
                <w:b w:val="1"/>
                <w:bCs w:val="1"/>
                <w:color w:val="auto"/>
              </w:rPr>
              <w:t>Projects Anticipated to Stabilize in 2012 (3)</w:t>
            </w: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500" w:type="dxa"/>
            <w:vAlign w:val="bottom"/>
            <w:gridSpan w:val="6"/>
            <w:vMerge w:val="continue"/>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Santana Row</w:t>
            </w:r>
          </w:p>
        </w:tc>
        <w:tc>
          <w:tcPr>
            <w:tcW w:w="20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San Jose, CA</w:t>
            </w: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108 unit residential building</w:t>
            </w:r>
          </w:p>
        </w:tc>
        <w:tc>
          <w:tcPr>
            <w:tcW w:w="1340" w:type="dxa"/>
            <w:vAlign w:val="bottom"/>
            <w:gridSpan w:val="4"/>
            <w:shd w:val="clear" w:color="auto" w:fill="CCEEFF"/>
          </w:tcPr>
          <w:p>
            <w:pPr>
              <w:jc w:val="right"/>
              <w:ind w:right="48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tcPr>
          <w:p>
            <w:pPr>
              <w:spacing w:after="0"/>
              <w:rPr>
                <w:sz w:val="20"/>
                <w:szCs w:val="20"/>
                <w:color w:val="auto"/>
              </w:rPr>
            </w:pPr>
            <w:r>
              <w:rPr>
                <w:rFonts w:ascii="Arial" w:cs="Arial" w:eastAsia="Arial" w:hAnsi="Arial"/>
                <w:sz w:val="16"/>
                <w:szCs w:val="16"/>
                <w:color w:val="auto"/>
              </w:rPr>
              <w:t>Shops at Willow Lawn</w:t>
            </w:r>
          </w:p>
        </w:tc>
        <w:tc>
          <w:tcPr>
            <w:tcW w:w="2040" w:type="dxa"/>
            <w:vAlign w:val="bottom"/>
            <w:gridSpan w:val="3"/>
          </w:tcPr>
          <w:p>
            <w:pPr>
              <w:ind w:left="480"/>
              <w:spacing w:after="0"/>
              <w:rPr>
                <w:sz w:val="20"/>
                <w:szCs w:val="20"/>
                <w:color w:val="auto"/>
              </w:rPr>
            </w:pPr>
            <w:r>
              <w:rPr>
                <w:rFonts w:ascii="Arial" w:cs="Arial" w:eastAsia="Arial" w:hAnsi="Arial"/>
                <w:sz w:val="16"/>
                <w:szCs w:val="16"/>
                <w:color w:val="auto"/>
              </w:rPr>
              <w:t>Richmond, VA</w:t>
            </w: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Demo interior mall, relocate mall</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tenants, construct new exterior GLA,</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new pad buildings, and gas station</w:t>
            </w:r>
          </w:p>
        </w:tc>
        <w:tc>
          <w:tcPr>
            <w:tcW w:w="1340" w:type="dxa"/>
            <w:vAlign w:val="bottom"/>
            <w:gridSpan w:val="4"/>
          </w:tcPr>
          <w:p>
            <w:pPr>
              <w:jc w:val="right"/>
              <w:ind w:right="480"/>
              <w:spacing w:after="0"/>
              <w:rPr>
                <w:sz w:val="20"/>
                <w:szCs w:val="20"/>
                <w:color w:val="auto"/>
              </w:rPr>
            </w:pPr>
            <w:r>
              <w:rPr>
                <w:rFonts w:ascii="Arial" w:cs="Arial" w:eastAsia="Arial" w:hAnsi="Arial"/>
                <w:sz w:val="16"/>
                <w:szCs w:val="16"/>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Bala Cynwyd</w:t>
            </w:r>
          </w:p>
        </w:tc>
        <w:tc>
          <w:tcPr>
            <w:tcW w:w="20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Bala Cynwyd, PA</w:t>
            </w: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Construction of two retail pad</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buildings</w:t>
            </w:r>
          </w:p>
        </w:tc>
        <w:tc>
          <w:tcPr>
            <w:tcW w:w="1340" w:type="dxa"/>
            <w:vAlign w:val="bottom"/>
            <w:gridSpan w:val="4"/>
            <w:shd w:val="clear" w:color="auto" w:fill="CCEEFF"/>
          </w:tcPr>
          <w:p>
            <w:pPr>
              <w:jc w:val="right"/>
              <w:ind w:right="48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tcPr>
          <w:p>
            <w:pPr>
              <w:spacing w:after="0"/>
              <w:rPr>
                <w:sz w:val="20"/>
                <w:szCs w:val="20"/>
                <w:color w:val="auto"/>
              </w:rPr>
            </w:pPr>
            <w:r>
              <w:rPr>
                <w:rFonts w:ascii="Arial" w:cs="Arial" w:eastAsia="Arial" w:hAnsi="Arial"/>
                <w:sz w:val="16"/>
                <w:szCs w:val="16"/>
                <w:color w:val="auto"/>
              </w:rPr>
              <w:t>Fresh Meadows</w:t>
            </w:r>
          </w:p>
        </w:tc>
        <w:tc>
          <w:tcPr>
            <w:tcW w:w="2040" w:type="dxa"/>
            <w:vAlign w:val="bottom"/>
            <w:gridSpan w:val="3"/>
          </w:tcPr>
          <w:p>
            <w:pPr>
              <w:ind w:left="480"/>
              <w:spacing w:after="0"/>
              <w:rPr>
                <w:sz w:val="20"/>
                <w:szCs w:val="20"/>
                <w:color w:val="auto"/>
              </w:rPr>
            </w:pPr>
            <w:r>
              <w:rPr>
                <w:rFonts w:ascii="Arial" w:cs="Arial" w:eastAsia="Arial" w:hAnsi="Arial"/>
                <w:sz w:val="16"/>
                <w:szCs w:val="16"/>
                <w:color w:val="auto"/>
              </w:rPr>
              <w:t>Queens, NY</w:t>
            </w: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Conversion of 2nd floor office space</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for new sporting goods retailer.</w:t>
            </w:r>
          </w:p>
        </w:tc>
        <w:tc>
          <w:tcPr>
            <w:tcW w:w="1340" w:type="dxa"/>
            <w:vAlign w:val="bottom"/>
            <w:gridSpan w:val="4"/>
          </w:tcPr>
          <w:p>
            <w:pPr>
              <w:jc w:val="right"/>
              <w:ind w:right="480"/>
              <w:spacing w:after="0"/>
              <w:rPr>
                <w:sz w:val="20"/>
                <w:szCs w:val="20"/>
                <w:color w:val="auto"/>
              </w:rPr>
            </w:pPr>
            <w:r>
              <w:rPr>
                <w:rFonts w:ascii="Arial" w:cs="Arial" w:eastAsia="Arial" w:hAnsi="Arial"/>
                <w:sz w:val="16"/>
                <w:szCs w:val="16"/>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Assembly Square Marketplace</w:t>
            </w:r>
          </w:p>
        </w:tc>
        <w:tc>
          <w:tcPr>
            <w:tcW w:w="20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Somerville, MA</w:t>
            </w: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Restaurant pad site</w:t>
            </w:r>
          </w:p>
        </w:tc>
        <w:tc>
          <w:tcPr>
            <w:tcW w:w="1340" w:type="dxa"/>
            <w:vAlign w:val="bottom"/>
            <w:gridSpan w:val="4"/>
            <w:shd w:val="clear" w:color="auto" w:fill="CCEEFF"/>
          </w:tcPr>
          <w:p>
            <w:pPr>
              <w:jc w:val="right"/>
              <w:ind w:right="48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4500" w:type="dxa"/>
            <w:vAlign w:val="bottom"/>
            <w:gridSpan w:val="6"/>
          </w:tcPr>
          <w:p>
            <w:pPr>
              <w:ind w:left="400"/>
              <w:spacing w:after="0"/>
              <w:rPr>
                <w:sz w:val="20"/>
                <w:szCs w:val="20"/>
                <w:color w:val="auto"/>
              </w:rPr>
            </w:pPr>
            <w:r>
              <w:rPr>
                <w:rFonts w:ascii="Arial" w:cs="Arial" w:eastAsia="Arial" w:hAnsi="Arial"/>
                <w:sz w:val="16"/>
                <w:szCs w:val="16"/>
                <w:b w:val="1"/>
                <w:bCs w:val="1"/>
                <w:color w:val="auto"/>
                <w:w w:val="96"/>
              </w:rPr>
              <w:t>Subtotal: Projects Anticipated to Stabilize in 2012 (3) (4)</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9%</w:t>
            </w:r>
          </w:p>
        </w:tc>
        <w:tc>
          <w:tcPr>
            <w:tcW w:w="48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59</w:t>
            </w:r>
          </w:p>
        </w:tc>
        <w:tc>
          <w:tcPr>
            <w:tcW w:w="5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500" w:type="dxa"/>
            <w:vAlign w:val="bottom"/>
            <w:gridSpan w:val="6"/>
            <w:shd w:val="clear" w:color="auto" w:fill="CCEEFF"/>
          </w:tcPr>
          <w:p>
            <w:pPr>
              <w:spacing w:after="0"/>
              <w:rPr>
                <w:sz w:val="20"/>
                <w:szCs w:val="20"/>
                <w:color w:val="auto"/>
              </w:rPr>
            </w:pPr>
            <w:r>
              <w:rPr>
                <w:rFonts w:ascii="Arial" w:cs="Arial" w:eastAsia="Arial" w:hAnsi="Arial"/>
                <w:sz w:val="16"/>
                <w:szCs w:val="16"/>
                <w:b w:val="1"/>
                <w:bCs w:val="1"/>
                <w:color w:val="auto"/>
                <w:w w:val="95"/>
              </w:rPr>
              <w:t>Total: Projects Anticipated to Stabilize in 2011 and 2012 (3) (4)</w:t>
            </w: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4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1"/>
              </w:rPr>
              <w:t>Projected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91"/>
              </w:rPr>
              <w:t>Projected</w:t>
            </w:r>
          </w:p>
        </w:tc>
        <w:tc>
          <w:tcPr>
            <w:tcW w:w="120" w:type="dxa"/>
            <w:vAlign w:val="bottom"/>
          </w:tcPr>
          <w:p>
            <w:pPr>
              <w:spacing w:after="0"/>
              <w:rPr>
                <w:sz w:val="24"/>
                <w:szCs w:val="2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1"/>
              </w:rPr>
              <w:t>Projected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620"/>
              <w:spacing w:after="0"/>
              <w:rPr>
                <w:sz w:val="20"/>
                <w:szCs w:val="20"/>
                <w:color w:val="auto"/>
              </w:rPr>
            </w:pPr>
            <w:r>
              <w:rPr>
                <w:rFonts w:ascii="Arial" w:cs="Arial" w:eastAsia="Arial" w:hAnsi="Arial"/>
                <w:sz w:val="12"/>
                <w:szCs w:val="12"/>
                <w:b w:val="1"/>
                <w:bCs w:val="1"/>
                <w:color w:val="auto"/>
              </w:rPr>
              <w:t>ROI (2)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w w:val="93"/>
              </w:rPr>
              <w:t>Cost (1)</w:t>
            </w:r>
          </w:p>
        </w:tc>
        <w:tc>
          <w:tcPr>
            <w:tcW w:w="920" w:type="dxa"/>
            <w:vAlign w:val="bottom"/>
            <w:gridSpan w:val="5"/>
          </w:tcPr>
          <w:p>
            <w:pPr>
              <w:spacing w:after="0"/>
              <w:rPr>
                <w:sz w:val="20"/>
                <w:szCs w:val="20"/>
                <w:color w:val="auto"/>
              </w:rPr>
            </w:pPr>
            <w:r>
              <w:rPr>
                <w:rFonts w:ascii="Arial" w:cs="Arial" w:eastAsia="Arial" w:hAnsi="Arial"/>
                <w:sz w:val="12"/>
                <w:szCs w:val="12"/>
                <w:b w:val="1"/>
                <w:bCs w:val="1"/>
                <w:color w:val="auto"/>
              </w:rPr>
              <w:t>Stabilization (3)</w:t>
            </w:r>
          </w:p>
        </w:tc>
        <w:tc>
          <w:tcPr>
            <w:tcW w:w="0" w:type="dxa"/>
            <w:vAlign w:val="bottom"/>
          </w:tcPr>
          <w:p>
            <w:pPr>
              <w:spacing w:after="0"/>
              <w:rPr>
                <w:sz w:val="1"/>
                <w:szCs w:val="1"/>
                <w:color w:val="auto"/>
              </w:rPr>
            </w:pPr>
          </w:p>
        </w:tc>
      </w:tr>
      <w:tr>
        <w:trPr>
          <w:trHeight w:val="79"/>
        </w:trPr>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7520" w:type="dxa"/>
            <w:vAlign w:val="bottom"/>
            <w:gridSpan w:val="9"/>
            <w:shd w:val="clear" w:color="auto" w:fill="CCEEFF"/>
          </w:tcPr>
          <w:p>
            <w:pPr>
              <w:spacing w:after="0"/>
              <w:rPr>
                <w:sz w:val="20"/>
                <w:szCs w:val="20"/>
                <w:color w:val="auto"/>
              </w:rPr>
            </w:pPr>
            <w:r>
              <w:rPr>
                <w:rFonts w:ascii="Arial" w:cs="Arial" w:eastAsia="Arial" w:hAnsi="Arial"/>
                <w:sz w:val="16"/>
                <w:szCs w:val="16"/>
                <w:b w:val="1"/>
                <w:bCs w:val="1"/>
                <w:color w:val="auto"/>
                <w:w w:val="99"/>
              </w:rPr>
              <w:t>Projects with internal approvals that are being actively pursued with anticipated stabilization dates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gridSpan w:val="3"/>
            <w:shd w:val="clear" w:color="auto" w:fill="CCEEFF"/>
          </w:tcPr>
          <w:p>
            <w:pPr>
              <w:ind w:left="200"/>
              <w:spacing w:after="0"/>
              <w:rPr>
                <w:sz w:val="20"/>
                <w:szCs w:val="20"/>
                <w:color w:val="auto"/>
              </w:rPr>
            </w:pPr>
            <w:r>
              <w:rPr>
                <w:rFonts w:ascii="Arial" w:cs="Arial" w:eastAsia="Arial" w:hAnsi="Arial"/>
                <w:sz w:val="16"/>
                <w:szCs w:val="16"/>
                <w:b w:val="1"/>
                <w:bCs w:val="1"/>
                <w:color w:val="auto"/>
              </w:rPr>
              <w:t>beyond 2012</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gridSpan w:val="3"/>
          </w:tcPr>
          <w:p>
            <w:pPr>
              <w:spacing w:after="0"/>
              <w:rPr>
                <w:sz w:val="20"/>
                <w:szCs w:val="20"/>
                <w:color w:val="auto"/>
              </w:rPr>
            </w:pPr>
            <w:r>
              <w:rPr>
                <w:rFonts w:ascii="Arial" w:cs="Arial" w:eastAsia="Arial" w:hAnsi="Arial"/>
                <w:sz w:val="16"/>
                <w:szCs w:val="16"/>
                <w:color w:val="auto"/>
              </w:rPr>
              <w:t>Santana Row</w:t>
            </w:r>
          </w:p>
        </w:tc>
        <w:tc>
          <w:tcPr>
            <w:tcW w:w="2040" w:type="dxa"/>
            <w:vAlign w:val="bottom"/>
            <w:gridSpan w:val="3"/>
          </w:tcPr>
          <w:p>
            <w:pPr>
              <w:ind w:left="480"/>
              <w:spacing w:after="0"/>
              <w:rPr>
                <w:sz w:val="20"/>
                <w:szCs w:val="20"/>
                <w:color w:val="auto"/>
              </w:rPr>
            </w:pPr>
            <w:r>
              <w:rPr>
                <w:rFonts w:ascii="Arial" w:cs="Arial" w:eastAsia="Arial" w:hAnsi="Arial"/>
                <w:sz w:val="16"/>
                <w:szCs w:val="16"/>
                <w:color w:val="auto"/>
              </w:rPr>
              <w:t>San Jose, CA</w:t>
            </w:r>
          </w:p>
        </w:tc>
        <w:tc>
          <w:tcPr>
            <w:tcW w:w="3020" w:type="dxa"/>
            <w:vAlign w:val="bottom"/>
            <w:gridSpan w:val="3"/>
          </w:tcPr>
          <w:p>
            <w:pPr>
              <w:ind w:left="220"/>
              <w:spacing w:after="0"/>
              <w:rPr>
                <w:sz w:val="20"/>
                <w:szCs w:val="20"/>
                <w:color w:val="auto"/>
              </w:rPr>
            </w:pPr>
            <w:r>
              <w:rPr>
                <w:rFonts w:ascii="Arial" w:cs="Arial" w:eastAsia="Arial" w:hAnsi="Arial"/>
                <w:sz w:val="16"/>
                <w:szCs w:val="16"/>
                <w:color w:val="auto"/>
              </w:rPr>
              <w:t>216 unit residential building</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w w:val="96"/>
              </w:rPr>
              <w:t>6.5% - 7.5%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right"/>
              <w:ind w:right="500"/>
              <w:spacing w:after="0"/>
              <w:rPr>
                <w:sz w:val="20"/>
                <w:szCs w:val="20"/>
                <w:color w:val="auto"/>
              </w:rPr>
            </w:pPr>
            <w:r>
              <w:rPr>
                <w:rFonts w:ascii="Arial" w:cs="Arial" w:eastAsia="Arial" w:hAnsi="Arial"/>
                <w:sz w:val="16"/>
                <w:szCs w:val="16"/>
                <w:color w:val="auto"/>
              </w:rPr>
              <w:t>$68M - $73M</w:t>
            </w: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xml:space="preserve">Assembly Row </w:t>
            </w:r>
            <w:r>
              <w:rPr>
                <w:rFonts w:ascii="Arial" w:cs="Arial" w:eastAsia="Arial" w:hAnsi="Arial"/>
                <w:sz w:val="16"/>
                <w:szCs w:val="16"/>
                <w:b w:val="1"/>
                <w:bCs w:val="1"/>
                <w:color w:val="auto"/>
              </w:rPr>
              <w:t>(5)</w:t>
            </w:r>
          </w:p>
        </w:tc>
        <w:tc>
          <w:tcPr>
            <w:tcW w:w="20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Somerville, MA</w:t>
            </w: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First Phase of approximately 280,000</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sf of retail space and 419 apartments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(to be built by AVB), plus new 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stop; anticipated construction start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2011/2012.</w:t>
            </w: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 - 7%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right"/>
              <w:ind w:right="500"/>
              <w:spacing w:after="0"/>
              <w:rPr>
                <w:sz w:val="20"/>
                <w:szCs w:val="20"/>
                <w:color w:val="auto"/>
              </w:rPr>
            </w:pPr>
            <w:r>
              <w:rPr>
                <w:rFonts w:ascii="Arial" w:cs="Arial" w:eastAsia="Arial" w:hAnsi="Arial"/>
                <w:sz w:val="16"/>
                <w:szCs w:val="16"/>
                <w:color w:val="auto"/>
                <w:w w:val="92"/>
              </w:rPr>
              <w:t>$120M - $130M</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60"/>
        <w:spacing w:after="0" w:line="318" w:lineRule="auto"/>
        <w:rPr>
          <w:sz w:val="20"/>
          <w:szCs w:val="20"/>
          <w:color w:val="auto"/>
        </w:rPr>
      </w:pPr>
      <w:r>
        <w:rPr>
          <w:rFonts w:ascii="Arial" w:cs="Arial" w:eastAsia="Arial" w:hAnsi="Arial"/>
          <w:sz w:val="14"/>
          <w:szCs w:val="14"/>
          <w:b w:val="1"/>
          <w:bCs w:val="1"/>
          <w:color w:val="auto"/>
        </w:rPr>
        <w:t>A recent review of our portfolio has generated numerous potential opportunities to create future shareholder value, many of which were previously disclosed as future redevelopment opportunities on this schedule. Executing these opportunities could be subject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8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b w:val="1"/>
          <w:bCs w:val="1"/>
          <w:color w:val="auto"/>
        </w:rPr>
        <w:t>Pad Site Opportunities - Opportunity to invest a total of up to $15-$20 million to add both single tenant and multi-tenant stand alone pad buildings at existing retail properties. Many of these opportunities are “by right” and construction is awaiting appropriate retailer demand.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Brick Plaza</w:t>
            </w:r>
          </w:p>
        </w:tc>
        <w:tc>
          <w:tcPr>
            <w:tcW w:w="25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Brick, NJ</w:t>
            </w:r>
          </w:p>
        </w:tc>
        <w:tc>
          <w:tcPr>
            <w:tcW w:w="20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Melville Mall</w:t>
            </w:r>
          </w:p>
        </w:tc>
        <w:tc>
          <w:tcPr>
            <w:tcW w:w="44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Huntington, NY</w:t>
            </w:r>
          </w:p>
        </w:tc>
      </w:tr>
      <w:tr>
        <w:trPr>
          <w:trHeight w:val="198"/>
        </w:trPr>
        <w:tc>
          <w:tcPr>
            <w:tcW w:w="2360" w:type="dxa"/>
            <w:vAlign w:val="bottom"/>
          </w:tcPr>
          <w:p>
            <w:pPr>
              <w:ind w:left="160"/>
              <w:spacing w:after="0"/>
              <w:rPr>
                <w:sz w:val="20"/>
                <w:szCs w:val="20"/>
                <w:color w:val="auto"/>
              </w:rPr>
            </w:pPr>
            <w:r>
              <w:rPr>
                <w:rFonts w:ascii="Arial" w:cs="Arial" w:eastAsia="Arial" w:hAnsi="Arial"/>
                <w:sz w:val="16"/>
                <w:szCs w:val="16"/>
                <w:b w:val="1"/>
                <w:bCs w:val="1"/>
                <w:color w:val="auto"/>
              </w:rPr>
              <w:t>Dedham Plaza</w:t>
            </w:r>
          </w:p>
        </w:tc>
        <w:tc>
          <w:tcPr>
            <w:tcW w:w="2540" w:type="dxa"/>
            <w:vAlign w:val="bottom"/>
          </w:tcPr>
          <w:p>
            <w:pPr>
              <w:ind w:left="1200"/>
              <w:spacing w:after="0"/>
              <w:rPr>
                <w:sz w:val="20"/>
                <w:szCs w:val="20"/>
                <w:color w:val="auto"/>
              </w:rPr>
            </w:pPr>
            <w:r>
              <w:rPr>
                <w:rFonts w:ascii="Arial" w:cs="Arial" w:eastAsia="Arial" w:hAnsi="Arial"/>
                <w:sz w:val="16"/>
                <w:szCs w:val="16"/>
                <w:color w:val="auto"/>
              </w:rPr>
              <w:t>Dedham, MA</w:t>
            </w:r>
          </w:p>
        </w:tc>
        <w:tc>
          <w:tcPr>
            <w:tcW w:w="2040" w:type="dxa"/>
            <w:vAlign w:val="bottom"/>
          </w:tcPr>
          <w:p>
            <w:pPr>
              <w:ind w:left="380"/>
              <w:spacing w:after="0"/>
              <w:rPr>
                <w:sz w:val="20"/>
                <w:szCs w:val="20"/>
                <w:color w:val="auto"/>
              </w:rPr>
            </w:pPr>
            <w:r>
              <w:rPr>
                <w:rFonts w:ascii="Arial" w:cs="Arial" w:eastAsia="Arial" w:hAnsi="Arial"/>
                <w:sz w:val="16"/>
                <w:szCs w:val="16"/>
                <w:b w:val="1"/>
                <w:bCs w:val="1"/>
                <w:color w:val="auto"/>
              </w:rPr>
              <w:t>Mercer Mall</w:t>
            </w:r>
          </w:p>
        </w:tc>
        <w:tc>
          <w:tcPr>
            <w:tcW w:w="4480" w:type="dxa"/>
            <w:vAlign w:val="bottom"/>
          </w:tcPr>
          <w:p>
            <w:pPr>
              <w:ind w:left="740"/>
              <w:spacing w:after="0"/>
              <w:rPr>
                <w:sz w:val="20"/>
                <w:szCs w:val="20"/>
                <w:color w:val="auto"/>
              </w:rPr>
            </w:pPr>
            <w:r>
              <w:rPr>
                <w:rFonts w:ascii="Arial" w:cs="Arial" w:eastAsia="Arial" w:hAnsi="Arial"/>
                <w:sz w:val="16"/>
                <w:szCs w:val="16"/>
                <w:color w:val="auto"/>
              </w:rPr>
              <w:t>Lawrenceville, NJ</w:t>
            </w:r>
          </w:p>
        </w:tc>
      </w:tr>
      <w:tr>
        <w:trPr>
          <w:trHeight w:val="198"/>
        </w:trPr>
        <w:tc>
          <w:tcPr>
            <w:tcW w:w="23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Escondido</w:t>
            </w:r>
          </w:p>
        </w:tc>
        <w:tc>
          <w:tcPr>
            <w:tcW w:w="25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Escondido, CA</w:t>
            </w:r>
          </w:p>
        </w:tc>
        <w:tc>
          <w:tcPr>
            <w:tcW w:w="20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Troy</w:t>
            </w:r>
          </w:p>
        </w:tc>
        <w:tc>
          <w:tcPr>
            <w:tcW w:w="44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Parsippany, NJ</w:t>
            </w:r>
          </w:p>
        </w:tc>
      </w:tr>
      <w:tr>
        <w:trPr>
          <w:trHeight w:val="198"/>
        </w:trPr>
        <w:tc>
          <w:tcPr>
            <w:tcW w:w="2360" w:type="dxa"/>
            <w:vAlign w:val="bottom"/>
          </w:tcPr>
          <w:p>
            <w:pPr>
              <w:ind w:left="160"/>
              <w:spacing w:after="0"/>
              <w:rPr>
                <w:sz w:val="20"/>
                <w:szCs w:val="20"/>
                <w:color w:val="auto"/>
              </w:rPr>
            </w:pPr>
            <w:r>
              <w:rPr>
                <w:rFonts w:ascii="Arial" w:cs="Arial" w:eastAsia="Arial" w:hAnsi="Arial"/>
                <w:sz w:val="16"/>
                <w:szCs w:val="16"/>
                <w:b w:val="1"/>
                <w:bCs w:val="1"/>
                <w:color w:val="auto"/>
              </w:rPr>
              <w:t>Federal Plaza</w:t>
            </w:r>
          </w:p>
        </w:tc>
        <w:tc>
          <w:tcPr>
            <w:tcW w:w="2540" w:type="dxa"/>
            <w:vAlign w:val="bottom"/>
          </w:tcPr>
          <w:p>
            <w:pPr>
              <w:ind w:left="1200"/>
              <w:spacing w:after="0"/>
              <w:rPr>
                <w:sz w:val="20"/>
                <w:szCs w:val="20"/>
                <w:color w:val="auto"/>
              </w:rPr>
            </w:pPr>
            <w:r>
              <w:rPr>
                <w:rFonts w:ascii="Arial" w:cs="Arial" w:eastAsia="Arial" w:hAnsi="Arial"/>
                <w:sz w:val="16"/>
                <w:szCs w:val="16"/>
                <w:color w:val="auto"/>
              </w:rPr>
              <w:t>Rockville, MD</w:t>
            </w:r>
          </w:p>
        </w:tc>
        <w:tc>
          <w:tcPr>
            <w:tcW w:w="2040" w:type="dxa"/>
            <w:vAlign w:val="bottom"/>
          </w:tcPr>
          <w:p>
            <w:pPr>
              <w:ind w:left="380"/>
              <w:spacing w:after="0"/>
              <w:rPr>
                <w:sz w:val="20"/>
                <w:szCs w:val="20"/>
                <w:color w:val="auto"/>
              </w:rPr>
            </w:pPr>
            <w:r>
              <w:rPr>
                <w:rFonts w:ascii="Arial" w:cs="Arial" w:eastAsia="Arial" w:hAnsi="Arial"/>
                <w:sz w:val="16"/>
                <w:szCs w:val="16"/>
                <w:b w:val="1"/>
                <w:bCs w:val="1"/>
                <w:color w:val="auto"/>
              </w:rPr>
              <w:t>Westgate</w:t>
            </w:r>
          </w:p>
        </w:tc>
        <w:tc>
          <w:tcPr>
            <w:tcW w:w="4480" w:type="dxa"/>
            <w:vAlign w:val="bottom"/>
          </w:tcPr>
          <w:p>
            <w:pPr>
              <w:ind w:left="740"/>
              <w:spacing w:after="0"/>
              <w:rPr>
                <w:sz w:val="20"/>
                <w:szCs w:val="20"/>
                <w:color w:val="auto"/>
              </w:rPr>
            </w:pPr>
            <w:r>
              <w:rPr>
                <w:rFonts w:ascii="Arial" w:cs="Arial" w:eastAsia="Arial" w:hAnsi="Arial"/>
                <w:sz w:val="16"/>
                <w:szCs w:val="16"/>
                <w:color w:val="auto"/>
              </w:rPr>
              <w:t>San Jose, CA</w:t>
            </w:r>
          </w:p>
        </w:tc>
      </w:tr>
      <w:tr>
        <w:trPr>
          <w:trHeight w:val="198"/>
        </w:trPr>
        <w:tc>
          <w:tcPr>
            <w:tcW w:w="23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Flourtown</w:t>
            </w:r>
          </w:p>
        </w:tc>
        <w:tc>
          <w:tcPr>
            <w:tcW w:w="25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Flourtown, PA</w:t>
            </w:r>
          </w:p>
        </w:tc>
        <w:tc>
          <w:tcPr>
            <w:tcW w:w="20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Wildwood</w:t>
            </w:r>
          </w:p>
        </w:tc>
        <w:tc>
          <w:tcPr>
            <w:tcW w:w="44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Bethesda, MD</w:t>
            </w:r>
          </w:p>
        </w:tc>
      </w:tr>
    </w:tbl>
    <w:p>
      <w:pPr>
        <w:spacing w:after="0" w:line="13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Property Expansion or Conversion - Opportunity to invest a total of up to $15-$20 million at successful retail properties to convert previously unusable space into new GLA and to convert other existing uses into additional retail GLA.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Fresh Meadows</w:t>
            </w:r>
          </w:p>
        </w:tc>
        <w:tc>
          <w:tcPr>
            <w:tcW w:w="25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Queens, NY</w:t>
            </w:r>
          </w:p>
        </w:tc>
        <w:tc>
          <w:tcPr>
            <w:tcW w:w="23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Shoppers’ World</w:t>
            </w:r>
          </w:p>
        </w:tc>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Charlottesville, VA</w:t>
            </w:r>
          </w:p>
        </w:tc>
      </w:tr>
      <w:tr>
        <w:trPr>
          <w:trHeight w:val="198"/>
        </w:trPr>
        <w:tc>
          <w:tcPr>
            <w:tcW w:w="2400" w:type="dxa"/>
            <w:vAlign w:val="bottom"/>
          </w:tcPr>
          <w:p>
            <w:pPr>
              <w:ind w:left="160"/>
              <w:spacing w:after="0"/>
              <w:rPr>
                <w:sz w:val="20"/>
                <w:szCs w:val="20"/>
                <w:color w:val="auto"/>
              </w:rPr>
            </w:pPr>
            <w:r>
              <w:rPr>
                <w:rFonts w:ascii="Arial" w:cs="Arial" w:eastAsia="Arial" w:hAnsi="Arial"/>
                <w:sz w:val="16"/>
                <w:szCs w:val="16"/>
                <w:b w:val="1"/>
                <w:bCs w:val="1"/>
                <w:color w:val="auto"/>
              </w:rPr>
              <w:t>Hollywood Blvd</w:t>
            </w:r>
          </w:p>
        </w:tc>
        <w:tc>
          <w:tcPr>
            <w:tcW w:w="2520" w:type="dxa"/>
            <w:vAlign w:val="bottom"/>
          </w:tcPr>
          <w:p>
            <w:pPr>
              <w:ind w:left="1160"/>
              <w:spacing w:after="0"/>
              <w:rPr>
                <w:sz w:val="20"/>
                <w:szCs w:val="20"/>
                <w:color w:val="auto"/>
              </w:rPr>
            </w:pPr>
            <w:r>
              <w:rPr>
                <w:rFonts w:ascii="Arial" w:cs="Arial" w:eastAsia="Arial" w:hAnsi="Arial"/>
                <w:sz w:val="16"/>
                <w:szCs w:val="16"/>
                <w:color w:val="auto"/>
              </w:rPr>
              <w:t>Hollywood, CA</w:t>
            </w:r>
          </w:p>
        </w:tc>
        <w:tc>
          <w:tcPr>
            <w:tcW w:w="2380" w:type="dxa"/>
            <w:vAlign w:val="bottom"/>
          </w:tcPr>
          <w:p>
            <w:pPr>
              <w:ind w:left="340"/>
              <w:spacing w:after="0"/>
              <w:rPr>
                <w:sz w:val="20"/>
                <w:szCs w:val="20"/>
                <w:color w:val="auto"/>
              </w:rPr>
            </w:pPr>
            <w:r>
              <w:rPr>
                <w:rFonts w:ascii="Arial" w:cs="Arial" w:eastAsia="Arial" w:hAnsi="Arial"/>
                <w:sz w:val="16"/>
                <w:szCs w:val="16"/>
                <w:b w:val="1"/>
                <w:bCs w:val="1"/>
                <w:color w:val="auto"/>
              </w:rPr>
              <w:t>Third Street Promenade</w:t>
            </w:r>
          </w:p>
        </w:tc>
        <w:tc>
          <w:tcPr>
            <w:tcW w:w="4120" w:type="dxa"/>
            <w:vAlign w:val="bottom"/>
          </w:tcPr>
          <w:p>
            <w:pPr>
              <w:ind w:left="360"/>
              <w:spacing w:after="0"/>
              <w:rPr>
                <w:sz w:val="20"/>
                <w:szCs w:val="20"/>
                <w:color w:val="auto"/>
              </w:rPr>
            </w:pPr>
            <w:r>
              <w:rPr>
                <w:rFonts w:ascii="Arial" w:cs="Arial" w:eastAsia="Arial" w:hAnsi="Arial"/>
                <w:sz w:val="16"/>
                <w:szCs w:val="16"/>
                <w:color w:val="auto"/>
              </w:rPr>
              <w:t>Santa Monica, CA</w:t>
            </w:r>
          </w:p>
        </w:tc>
      </w:tr>
      <w:tr>
        <w:trPr>
          <w:trHeight w:val="198"/>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Pentagon Row</w:t>
            </w:r>
          </w:p>
        </w:tc>
        <w:tc>
          <w:tcPr>
            <w:tcW w:w="252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Arlington, VA</w:t>
            </w:r>
          </w:p>
        </w:tc>
        <w:tc>
          <w:tcPr>
            <w:tcW w:w="238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Wildwood</w:t>
            </w:r>
          </w:p>
        </w:tc>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Bethesda, MD</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Residential Opportunities - Opportunity to invest $75-$125 million to add more than 275 residential units to existing retail and mixed-use properties.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Charlottesville, VA</w:t>
            </w:r>
          </w:p>
        </w:tc>
        <w:tc>
          <w:tcPr>
            <w:tcW w:w="262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Village of Shirlington</w:t>
            </w:r>
          </w:p>
        </w:tc>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Arlington, VA</w:t>
            </w:r>
          </w:p>
        </w:tc>
      </w:tr>
      <w:tr>
        <w:trPr>
          <w:trHeight w:val="209"/>
        </w:trPr>
        <w:tc>
          <w:tcPr>
            <w:tcW w:w="3120" w:type="dxa"/>
            <w:vAlign w:val="bottom"/>
          </w:tcPr>
          <w:p>
            <w:pPr>
              <w:ind w:left="160"/>
              <w:spacing w:after="0"/>
              <w:rPr>
                <w:sz w:val="20"/>
                <w:szCs w:val="20"/>
                <w:color w:val="auto"/>
              </w:rPr>
            </w:pPr>
            <w:r>
              <w:rPr>
                <w:rFonts w:ascii="Arial" w:cs="Arial" w:eastAsia="Arial" w:hAnsi="Arial"/>
                <w:sz w:val="16"/>
                <w:szCs w:val="16"/>
                <w:b w:val="1"/>
                <w:bCs w:val="1"/>
                <w:color w:val="auto"/>
              </w:rPr>
              <w:t>Congressional Plaza</w:t>
            </w:r>
          </w:p>
        </w:tc>
        <w:tc>
          <w:tcPr>
            <w:tcW w:w="1900" w:type="dxa"/>
            <w:vAlign w:val="bottom"/>
          </w:tcPr>
          <w:p>
            <w:pPr>
              <w:ind w:left="440"/>
              <w:spacing w:after="0"/>
              <w:rPr>
                <w:sz w:val="20"/>
                <w:szCs w:val="20"/>
                <w:color w:val="auto"/>
              </w:rPr>
            </w:pPr>
            <w:r>
              <w:rPr>
                <w:rFonts w:ascii="Arial" w:cs="Arial" w:eastAsia="Arial" w:hAnsi="Arial"/>
                <w:sz w:val="16"/>
                <w:szCs w:val="16"/>
                <w:color w:val="auto"/>
              </w:rPr>
              <w:t>Rockville, MD</w:t>
            </w:r>
          </w:p>
        </w:tc>
        <w:tc>
          <w:tcPr>
            <w:tcW w:w="262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333"/>
        </w:trPr>
        <w:tc>
          <w:tcPr>
            <w:tcW w:w="3120" w:type="dxa"/>
            <w:vAlign w:val="bottom"/>
          </w:tcPr>
          <w:p>
            <w:pPr>
              <w:spacing w:after="0"/>
              <w:rPr>
                <w:sz w:val="20"/>
                <w:szCs w:val="20"/>
                <w:color w:val="auto"/>
              </w:rPr>
            </w:pPr>
            <w:r>
              <w:rPr>
                <w:rFonts w:ascii="Arial" w:cs="Arial" w:eastAsia="Arial" w:hAnsi="Arial"/>
                <w:sz w:val="16"/>
                <w:szCs w:val="16"/>
                <w:b w:val="1"/>
                <w:bCs w:val="1"/>
                <w:color w:val="auto"/>
              </w:rPr>
              <w:t>Near Term Mixed-Use Opportunities</w:t>
            </w:r>
          </w:p>
        </w:tc>
        <w:tc>
          <w:tcPr>
            <w:tcW w:w="1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87"/>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400" w:type="dxa"/>
            <w:vAlign w:val="bottom"/>
            <w:gridSpan w:val="2"/>
          </w:tcPr>
          <w:p>
            <w:pPr>
              <w:spacing w:after="0"/>
              <w:rPr>
                <w:sz w:val="16"/>
                <w:szCs w:val="16"/>
                <w:color w:val="auto"/>
              </w:rPr>
            </w:pPr>
          </w:p>
        </w:tc>
      </w:tr>
      <w:tr>
        <w:trPr>
          <w:trHeight w:val="189"/>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Mid-Pike Plaza</w:t>
            </w:r>
          </w:p>
        </w:tc>
        <w:tc>
          <w:tcPr>
            <w:tcW w:w="1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Rockville, MD</w:t>
            </w:r>
          </w:p>
        </w:tc>
        <w:tc>
          <w:tcPr>
            <w:tcW w:w="64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92"/>
              </w:rPr>
              <w:t>First phase of approximately 230,000 sf of retail and office space and 400 residential units;</w:t>
            </w:r>
          </w:p>
        </w:tc>
      </w:tr>
      <w:tr>
        <w:trPr>
          <w:trHeight w:val="198"/>
        </w:trPr>
        <w:tc>
          <w:tcPr>
            <w:tcW w:w="3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4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94"/>
              </w:rPr>
              <w:t>anticipated construction start 2012 and anticipated stabilization 2014/2015. Approximate</w:t>
            </w:r>
          </w:p>
        </w:tc>
      </w:tr>
      <w:tr>
        <w:trPr>
          <w:trHeight w:val="206"/>
        </w:trPr>
        <w:tc>
          <w:tcPr>
            <w:tcW w:w="3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0"/>
              </w:rPr>
              <w:t>Phase 1cost - $200-$225 million.</w:t>
            </w:r>
          </w:p>
        </w:tc>
        <w:tc>
          <w:tcPr>
            <w:tcW w:w="3780" w:type="dxa"/>
            <w:vAlign w:val="bottom"/>
            <w:shd w:val="clear" w:color="auto" w:fill="CCEEFF"/>
          </w:tcPr>
          <w:p>
            <w:pPr>
              <w:spacing w:after="0"/>
              <w:rPr>
                <w:sz w:val="17"/>
                <w:szCs w:val="17"/>
                <w:color w:val="auto"/>
              </w:rPr>
            </w:pPr>
          </w:p>
        </w:tc>
      </w:tr>
      <w:tr>
        <w:trPr>
          <w:trHeight w:val="344"/>
        </w:trPr>
        <w:tc>
          <w:tcPr>
            <w:tcW w:w="3120" w:type="dxa"/>
            <w:vAlign w:val="bottom"/>
          </w:tcPr>
          <w:p>
            <w:pPr>
              <w:spacing w:after="0"/>
              <w:rPr>
                <w:sz w:val="20"/>
                <w:szCs w:val="20"/>
                <w:color w:val="auto"/>
              </w:rPr>
            </w:pPr>
            <w:r>
              <w:rPr>
                <w:rFonts w:ascii="Arial" w:cs="Arial" w:eastAsia="Arial" w:hAnsi="Arial"/>
                <w:sz w:val="16"/>
                <w:szCs w:val="16"/>
                <w:b w:val="1"/>
                <w:bCs w:val="1"/>
                <w:color w:val="auto"/>
              </w:rPr>
              <w:t>Longer Term Mixed-Use Opportunities</w:t>
            </w:r>
          </w:p>
        </w:tc>
        <w:tc>
          <w:tcPr>
            <w:tcW w:w="1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87"/>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198"/>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Assembly Row</w:t>
            </w:r>
          </w:p>
        </w:tc>
        <w:tc>
          <w:tcPr>
            <w:tcW w:w="1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Somerville, MA</w:t>
            </w:r>
          </w:p>
        </w:tc>
        <w:tc>
          <w:tcPr>
            <w:tcW w:w="262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Pike 7</w:t>
            </w:r>
          </w:p>
        </w:tc>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Vienna, VA</w:t>
            </w:r>
          </w:p>
        </w:tc>
      </w:tr>
      <w:tr>
        <w:trPr>
          <w:trHeight w:val="198"/>
        </w:trPr>
        <w:tc>
          <w:tcPr>
            <w:tcW w:w="3120" w:type="dxa"/>
            <w:vAlign w:val="bottom"/>
          </w:tcPr>
          <w:p>
            <w:pPr>
              <w:ind w:left="16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440"/>
              <w:spacing w:after="0"/>
              <w:rPr>
                <w:sz w:val="20"/>
                <w:szCs w:val="20"/>
                <w:color w:val="auto"/>
              </w:rPr>
            </w:pPr>
            <w:r>
              <w:rPr>
                <w:rFonts w:ascii="Arial" w:cs="Arial" w:eastAsia="Arial" w:hAnsi="Arial"/>
                <w:sz w:val="16"/>
                <w:szCs w:val="16"/>
                <w:color w:val="auto"/>
              </w:rPr>
              <w:t>Bala Cynwyd, PA</w:t>
            </w:r>
          </w:p>
        </w:tc>
        <w:tc>
          <w:tcPr>
            <w:tcW w:w="2620" w:type="dxa"/>
            <w:vAlign w:val="bottom"/>
          </w:tcPr>
          <w:p>
            <w:pPr>
              <w:ind w:left="260"/>
              <w:spacing w:after="0"/>
              <w:rPr>
                <w:sz w:val="20"/>
                <w:szCs w:val="20"/>
                <w:color w:val="auto"/>
              </w:rPr>
            </w:pPr>
            <w:r>
              <w:rPr>
                <w:rFonts w:ascii="Arial" w:cs="Arial" w:eastAsia="Arial" w:hAnsi="Arial"/>
                <w:sz w:val="16"/>
                <w:szCs w:val="16"/>
                <w:b w:val="1"/>
                <w:bCs w:val="1"/>
                <w:color w:val="auto"/>
              </w:rPr>
              <w:t>Santana Row</w:t>
            </w:r>
          </w:p>
        </w:tc>
        <w:tc>
          <w:tcPr>
            <w:tcW w:w="3780" w:type="dxa"/>
            <w:vAlign w:val="bottom"/>
          </w:tcPr>
          <w:p>
            <w:pPr>
              <w:ind w:left="40"/>
              <w:spacing w:after="0"/>
              <w:rPr>
                <w:sz w:val="20"/>
                <w:szCs w:val="20"/>
                <w:color w:val="auto"/>
              </w:rPr>
            </w:pPr>
            <w:r>
              <w:rPr>
                <w:rFonts w:ascii="Arial" w:cs="Arial" w:eastAsia="Arial" w:hAnsi="Arial"/>
                <w:sz w:val="16"/>
                <w:szCs w:val="16"/>
                <w:color w:val="auto"/>
              </w:rPr>
              <w:t>San Jose, CA</w:t>
            </w:r>
          </w:p>
        </w:tc>
      </w:tr>
      <w:tr>
        <w:trPr>
          <w:trHeight w:val="198"/>
        </w:trPr>
        <w:tc>
          <w:tcPr>
            <w:tcW w:w="31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Forest Hills</w:t>
            </w:r>
          </w:p>
        </w:tc>
        <w:tc>
          <w:tcPr>
            <w:tcW w:w="19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Forest Hills, NY</w:t>
            </w:r>
          </w:p>
        </w:tc>
        <w:tc>
          <w:tcPr>
            <w:tcW w:w="26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ectPr>
          <w:pgSz w:w="11900" w:h="16838" w:orient="portrait"/>
          <w:cols w:equalWidth="0" w:num="1">
            <w:col w:w="11420"/>
          </w:cols>
          <w:pgMar w:left="240" w:top="262" w:right="239" w:bottom="0" w:gutter="0" w:footer="0" w:header="0"/>
        </w:sectPr>
      </w:pPr>
    </w:p>
    <w:bookmarkStart w:id="18" w:name="page19"/>
    <w:bookmarkEnd w:id="18"/>
    <w:p>
      <w:pPr>
        <w:ind w:left="461" w:right="120" w:hanging="461"/>
        <w:spacing w:after="0" w:line="260" w:lineRule="auto"/>
        <w:tabs>
          <w:tab w:leader="none" w:pos="4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Arial" w:cs="Arial" w:eastAsia="Arial" w:hAnsi="Arial"/>
          <w:sz w:val="16"/>
          <w:szCs w:val="16"/>
          <w:color w:val="auto"/>
        </w:rPr>
      </w:pPr>
    </w:p>
    <w:p>
      <w:pPr>
        <w:ind w:left="461" w:hanging="461"/>
        <w:spacing w:after="0" w:line="274" w:lineRule="auto"/>
        <w:tabs>
          <w:tab w:leader="none" w:pos="461"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5"/>
          <w:szCs w:val="15"/>
          <w:color w:val="auto"/>
        </w:rPr>
      </w:pPr>
    </w:p>
    <w:p>
      <w:pPr>
        <w:ind w:left="461" w:hanging="461"/>
        <w:spacing w:after="0"/>
        <w:tabs>
          <w:tab w:leader="none" w:pos="4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Stabilization is the year in which 95% occupancy of the redeveloped space is achieved.</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subtotals and totals reflect cost weighted-average ROIs.</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Projected costs for Assembly Row include an allocation of infrastructure costs for future phases.</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41"/>
          </w:cols>
          <w:pgMar w:left="239" w:top="131" w:right="319" w:bottom="1440" w:gutter="0" w:footer="0" w:header="0"/>
        </w:sectPr>
      </w:pPr>
    </w:p>
    <w:bookmarkStart w:id="19" w:name="page20"/>
    <w:bookmarkEnd w:id="19"/>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2011 Significant Acquisitions and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4"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Significant Acquisitions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53"/>
        </w:trPr>
        <w:tc>
          <w:tcPr>
            <w:tcW w:w="260" w:type="dxa"/>
            <w:vAlign w:val="bottom"/>
          </w:tcPr>
          <w:p>
            <w:pPr>
              <w:spacing w:after="0"/>
              <w:rPr>
                <w:sz w:val="20"/>
                <w:szCs w:val="20"/>
                <w:color w:val="auto"/>
              </w:rPr>
            </w:pPr>
            <w:r>
              <w:rPr>
                <w:rFonts w:ascii="Arial" w:cs="Arial" w:eastAsia="Arial" w:hAnsi="Arial"/>
                <w:sz w:val="12"/>
                <w:szCs w:val="12"/>
                <w:b w:val="1"/>
                <w:bCs w:val="1"/>
                <w:color w:val="auto"/>
                <w:w w:val="92"/>
              </w:rPr>
              <w:t>Date</w:t>
            </w:r>
          </w:p>
        </w:tc>
        <w:tc>
          <w:tcPr>
            <w:tcW w:w="2140" w:type="dxa"/>
            <w:vAlign w:val="bottom"/>
          </w:tcPr>
          <w:p>
            <w:pPr>
              <w:spacing w:after="0"/>
              <w:rPr>
                <w:sz w:val="13"/>
                <w:szCs w:val="13"/>
                <w:color w:val="auto"/>
              </w:rPr>
            </w:pPr>
          </w:p>
        </w:tc>
        <w:tc>
          <w:tcPr>
            <w:tcW w:w="2320" w:type="dxa"/>
            <w:vAlign w:val="bottom"/>
            <w:gridSpan w:val="2"/>
          </w:tcPr>
          <w:p>
            <w:pPr>
              <w:ind w:left="780"/>
              <w:spacing w:after="0"/>
              <w:rPr>
                <w:sz w:val="20"/>
                <w:szCs w:val="20"/>
                <w:color w:val="auto"/>
              </w:rPr>
            </w:pPr>
            <w:r>
              <w:rPr>
                <w:rFonts w:ascii="Arial" w:cs="Arial" w:eastAsia="Arial" w:hAnsi="Arial"/>
                <w:sz w:val="12"/>
                <w:szCs w:val="12"/>
                <w:b w:val="1"/>
                <w:bCs w:val="1"/>
                <w:color w:val="auto"/>
              </w:rPr>
              <w:t>Property</w:t>
            </w:r>
          </w:p>
        </w:tc>
        <w:tc>
          <w:tcPr>
            <w:tcW w:w="2100" w:type="dxa"/>
            <w:vAlign w:val="bottom"/>
            <w:gridSpan w:val="2"/>
          </w:tcPr>
          <w:p>
            <w:pPr>
              <w:ind w:left="600"/>
              <w:spacing w:after="0"/>
              <w:rPr>
                <w:sz w:val="20"/>
                <w:szCs w:val="20"/>
                <w:color w:val="auto"/>
              </w:rPr>
            </w:pPr>
            <w:r>
              <w:rPr>
                <w:rFonts w:ascii="Arial" w:cs="Arial" w:eastAsia="Arial" w:hAnsi="Arial"/>
                <w:sz w:val="12"/>
                <w:szCs w:val="12"/>
                <w:b w:val="1"/>
                <w:bCs w:val="1"/>
                <w:color w:val="auto"/>
              </w:rPr>
              <w:t>City / State</w:t>
            </w:r>
          </w:p>
        </w:tc>
        <w:tc>
          <w:tcPr>
            <w:tcW w:w="13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GLA</w:t>
            </w: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Purchase price</w:t>
            </w:r>
          </w:p>
        </w:tc>
        <w:tc>
          <w:tcPr>
            <w:tcW w:w="2020" w:type="dxa"/>
            <w:vAlign w:val="bottom"/>
          </w:tcPr>
          <w:p>
            <w:pPr>
              <w:ind w:left="600"/>
              <w:spacing w:after="0"/>
              <w:rPr>
                <w:sz w:val="20"/>
                <w:szCs w:val="20"/>
                <w:color w:val="auto"/>
              </w:rPr>
            </w:pPr>
            <w:r>
              <w:rPr>
                <w:rFonts w:ascii="Arial" w:cs="Arial" w:eastAsia="Arial" w:hAnsi="Arial"/>
                <w:sz w:val="12"/>
                <w:szCs w:val="12"/>
                <w:b w:val="1"/>
                <w:bCs w:val="1"/>
                <w:color w:val="auto"/>
              </w:rPr>
              <w:t>Anchor tenants</w:t>
            </w:r>
          </w:p>
        </w:tc>
      </w:tr>
      <w:tr>
        <w:trPr>
          <w:trHeight w:val="160"/>
        </w:trPr>
        <w:tc>
          <w:tcPr>
            <w:tcW w:w="260" w:type="dxa"/>
            <w:vAlign w:val="bottom"/>
            <w:tcBorders>
              <w:top w:val="single" w:sz="8" w:color="auto"/>
            </w:tcBorders>
          </w:tcPr>
          <w:p>
            <w:pPr>
              <w:spacing w:after="0"/>
              <w:rPr>
                <w:sz w:val="13"/>
                <w:szCs w:val="13"/>
                <w:color w:val="auto"/>
              </w:rPr>
            </w:pPr>
          </w:p>
        </w:tc>
        <w:tc>
          <w:tcPr>
            <w:tcW w:w="21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 square feet)</w:t>
            </w:r>
          </w:p>
        </w:tc>
        <w:tc>
          <w:tcPr>
            <w:tcW w:w="52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(in millions)</w:t>
            </w:r>
          </w:p>
        </w:tc>
        <w:tc>
          <w:tcPr>
            <w:tcW w:w="38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r>
    </w:tbl>
    <w:p>
      <w:pPr>
        <w:spacing w:after="0" w:line="75"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1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January 19, 2011</w:t>
            </w:r>
          </w:p>
        </w:tc>
        <w:tc>
          <w:tcPr>
            <w:tcW w:w="278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Tower Shops</w:t>
            </w: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Davie, FL</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372,000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66.1</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Best Buy /DSW /Old Navy /</w:t>
            </w:r>
          </w:p>
        </w:tc>
      </w:tr>
      <w:tr>
        <w:trPr>
          <w:trHeight w:val="219"/>
        </w:trPr>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Ross Dress For Less /TJ Maxx</w:t>
            </w:r>
          </w:p>
        </w:tc>
      </w:tr>
      <w:tr>
        <w:trPr>
          <w:trHeight w:val="205"/>
        </w:trPr>
        <w:tc>
          <w:tcPr>
            <w:tcW w:w="1940" w:type="dxa"/>
            <w:vAlign w:val="bottom"/>
            <w:gridSpan w:val="3"/>
          </w:tcPr>
          <w:p>
            <w:pPr>
              <w:spacing w:after="0"/>
              <w:rPr>
                <w:sz w:val="20"/>
                <w:szCs w:val="20"/>
                <w:color w:val="auto"/>
              </w:rPr>
            </w:pPr>
            <w:r>
              <w:rPr>
                <w:rFonts w:ascii="Arial" w:cs="Arial" w:eastAsia="Arial" w:hAnsi="Arial"/>
                <w:sz w:val="16"/>
                <w:szCs w:val="16"/>
                <w:color w:val="auto"/>
              </w:rPr>
              <w:t>May 26, 2011</w:t>
            </w:r>
          </w:p>
        </w:tc>
        <w:tc>
          <w:tcPr>
            <w:tcW w:w="2780" w:type="dxa"/>
            <w:vAlign w:val="bottom"/>
            <w:gridSpan w:val="3"/>
          </w:tcPr>
          <w:p>
            <w:pPr>
              <w:ind w:left="460"/>
              <w:spacing w:after="0"/>
              <w:rPr>
                <w:sz w:val="20"/>
                <w:szCs w:val="20"/>
                <w:color w:val="auto"/>
              </w:rPr>
            </w:pPr>
            <w:r>
              <w:rPr>
                <w:rFonts w:ascii="Arial" w:cs="Arial" w:eastAsia="Arial" w:hAnsi="Arial"/>
                <w:sz w:val="16"/>
                <w:szCs w:val="16"/>
                <w:color w:val="auto"/>
              </w:rPr>
              <w:t>Newbury Street (2)</w:t>
            </w:r>
          </w:p>
        </w:tc>
        <w:tc>
          <w:tcPr>
            <w:tcW w:w="2100" w:type="dxa"/>
            <w:vAlign w:val="bottom"/>
            <w:gridSpan w:val="2"/>
          </w:tcPr>
          <w:p>
            <w:pPr>
              <w:spacing w:after="0"/>
              <w:rPr>
                <w:sz w:val="20"/>
                <w:szCs w:val="20"/>
                <w:color w:val="auto"/>
              </w:rPr>
            </w:pPr>
            <w:r>
              <w:rPr>
                <w:rFonts w:ascii="Arial" w:cs="Arial" w:eastAsia="Arial" w:hAnsi="Arial"/>
                <w:sz w:val="16"/>
                <w:szCs w:val="16"/>
                <w:color w:val="auto"/>
              </w:rPr>
              <w:t>Boston, MA</w:t>
            </w:r>
          </w:p>
        </w:tc>
        <w:tc>
          <w:tcPr>
            <w:tcW w:w="1320" w:type="dxa"/>
            <w:vAlign w:val="bottom"/>
            <w:gridSpan w:val="2"/>
          </w:tcPr>
          <w:p>
            <w:pPr>
              <w:jc w:val="right"/>
              <w:ind w:right="520"/>
              <w:spacing w:after="0"/>
              <w:rPr>
                <w:sz w:val="20"/>
                <w:szCs w:val="20"/>
                <w:color w:val="auto"/>
              </w:rPr>
            </w:pPr>
            <w:r>
              <w:rPr>
                <w:rFonts w:ascii="Arial" w:cs="Arial" w:eastAsia="Arial" w:hAnsi="Arial"/>
                <w:sz w:val="16"/>
                <w:szCs w:val="16"/>
                <w:color w:val="auto"/>
              </w:rPr>
              <w:t>6,700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6.2</w:t>
            </w:r>
          </w:p>
        </w:tc>
        <w:tc>
          <w:tcPr>
            <w:tcW w:w="2260" w:type="dxa"/>
            <w:vAlign w:val="bottom"/>
          </w:tcPr>
          <w:p>
            <w:pPr>
              <w:spacing w:after="0"/>
              <w:rPr>
                <w:sz w:val="17"/>
                <w:szCs w:val="17"/>
                <w:color w:val="auto"/>
              </w:rPr>
            </w:pPr>
          </w:p>
        </w:tc>
      </w:tr>
      <w:tr>
        <w:trPr>
          <w:trHeight w:val="412"/>
        </w:trPr>
        <w:tc>
          <w:tcPr>
            <w:tcW w:w="1940" w:type="dxa"/>
            <w:vAlign w:val="bottom"/>
            <w:gridSpan w:val="3"/>
          </w:tcPr>
          <w:p>
            <w:pPr>
              <w:spacing w:after="0"/>
              <w:rPr>
                <w:sz w:val="20"/>
                <w:szCs w:val="20"/>
                <w:color w:val="auto"/>
              </w:rPr>
            </w:pPr>
            <w:r>
              <w:rPr>
                <w:rFonts w:ascii="Arial" w:cs="Arial" w:eastAsia="Arial" w:hAnsi="Arial"/>
                <w:sz w:val="16"/>
                <w:szCs w:val="16"/>
                <w:color w:val="auto"/>
              </w:rPr>
              <w:t>Significant Disposition</w:t>
            </w: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06"/>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2"/>
          </w:tcPr>
          <w:p>
            <w:pPr>
              <w:ind w:left="780"/>
              <w:spacing w:after="0"/>
              <w:rPr>
                <w:sz w:val="20"/>
                <w:szCs w:val="20"/>
                <w:color w:val="auto"/>
              </w:rPr>
            </w:pPr>
            <w:r>
              <w:rPr>
                <w:rFonts w:ascii="Arial" w:cs="Arial" w:eastAsia="Arial" w:hAnsi="Arial"/>
                <w:sz w:val="12"/>
                <w:szCs w:val="12"/>
                <w:b w:val="1"/>
                <w:bCs w:val="1"/>
                <w:color w:val="auto"/>
              </w:rPr>
              <w:t>Property</w:t>
            </w:r>
          </w:p>
        </w:tc>
        <w:tc>
          <w:tcPr>
            <w:tcW w:w="2100" w:type="dxa"/>
            <w:vAlign w:val="bottom"/>
            <w:gridSpan w:val="2"/>
          </w:tcPr>
          <w:p>
            <w:pPr>
              <w:ind w:left="600"/>
              <w:spacing w:after="0"/>
              <w:rPr>
                <w:sz w:val="20"/>
                <w:szCs w:val="20"/>
                <w:color w:val="auto"/>
              </w:rPr>
            </w:pPr>
            <w:r>
              <w:rPr>
                <w:rFonts w:ascii="Arial" w:cs="Arial" w:eastAsia="Arial" w:hAnsi="Arial"/>
                <w:sz w:val="12"/>
                <w:szCs w:val="12"/>
                <w:b w:val="1"/>
                <w:bCs w:val="1"/>
                <w:color w:val="auto"/>
              </w:rPr>
              <w:t>City / State</w:t>
            </w:r>
          </w:p>
        </w:tc>
        <w:tc>
          <w:tcPr>
            <w:tcW w:w="132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GLA</w:t>
            </w:r>
          </w:p>
        </w:tc>
        <w:tc>
          <w:tcPr>
            <w:tcW w:w="10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Sales price</w:t>
            </w:r>
          </w:p>
        </w:tc>
        <w:tc>
          <w:tcPr>
            <w:tcW w:w="2260" w:type="dxa"/>
            <w:vAlign w:val="bottom"/>
          </w:tcPr>
          <w:p>
            <w:pPr>
              <w:spacing w:after="0"/>
              <w:rPr>
                <w:sz w:val="24"/>
                <w:szCs w:val="24"/>
                <w:color w:val="auto"/>
              </w:rPr>
            </w:pPr>
          </w:p>
        </w:tc>
      </w:tr>
      <w:tr>
        <w:trPr>
          <w:trHeight w:val="160"/>
        </w:trPr>
        <w:tc>
          <w:tcPr>
            <w:tcW w:w="260" w:type="dxa"/>
            <w:vAlign w:val="bottom"/>
            <w:tcBorders>
              <w:top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(in square feet)</w:t>
            </w:r>
          </w:p>
        </w:tc>
        <w:tc>
          <w:tcPr>
            <w:tcW w:w="520" w:type="dxa"/>
            <w:vAlign w:val="bottom"/>
          </w:tcPr>
          <w:p>
            <w:pPr>
              <w:spacing w:after="0"/>
              <w:rPr>
                <w:sz w:val="13"/>
                <w:szCs w:val="13"/>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4"/>
              </w:rPr>
              <w:t>(in millions)</w:t>
            </w:r>
          </w:p>
        </w:tc>
        <w:tc>
          <w:tcPr>
            <w:tcW w:w="2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75"/>
        </w:trPr>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60" w:type="dxa"/>
            <w:vAlign w:val="bottom"/>
          </w:tcPr>
          <w:p>
            <w:pPr>
              <w:spacing w:after="0"/>
              <w:rPr>
                <w:sz w:val="6"/>
                <w:szCs w:val="6"/>
                <w:color w:val="auto"/>
              </w:rPr>
            </w:pPr>
          </w:p>
        </w:tc>
      </w:tr>
      <w:tr>
        <w:trPr>
          <w:trHeight w:val="198"/>
        </w:trPr>
        <w:tc>
          <w:tcPr>
            <w:tcW w:w="1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July 12, 2011</w:t>
            </w:r>
          </w:p>
        </w:tc>
        <w:tc>
          <w:tcPr>
            <w:tcW w:w="278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Feasterville Shopping Center</w:t>
            </w:r>
          </w:p>
        </w:tc>
        <w:tc>
          <w:tcPr>
            <w:tcW w:w="2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Feasterville, PA</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111,000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w:t>
            </w:r>
          </w:p>
        </w:tc>
        <w:tc>
          <w:tcPr>
            <w:tcW w:w="2260" w:type="dxa"/>
            <w:vAlign w:val="bottom"/>
            <w:shd w:val="clear" w:color="auto" w:fill="CCEEFF"/>
          </w:tcPr>
          <w:p>
            <w:pPr>
              <w:spacing w:after="0"/>
              <w:rPr>
                <w:sz w:val="17"/>
                <w:szCs w:val="17"/>
                <w:color w:val="auto"/>
              </w:rPr>
            </w:pPr>
          </w:p>
        </w:tc>
      </w:tr>
    </w:tbl>
    <w:p>
      <w:pPr>
        <w:spacing w:after="0" w:line="13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property is on 67 acres and is shadow-anchored by Costco and Home Depot.</w:t>
      </w:r>
    </w:p>
    <w:p>
      <w:pPr>
        <w:spacing w:after="0" w:line="13" w:lineRule="exact"/>
        <w:rPr>
          <w:rFonts w:ascii="Arial" w:cs="Arial" w:eastAsia="Arial" w:hAnsi="Arial"/>
          <w:sz w:val="16"/>
          <w:szCs w:val="16"/>
          <w:color w:val="auto"/>
        </w:rPr>
      </w:pPr>
    </w:p>
    <w:p>
      <w:pPr>
        <w:ind w:left="461" w:right="100" w:hanging="461"/>
        <w:spacing w:after="0" w:line="309" w:lineRule="auto"/>
        <w:tabs>
          <w:tab w:leader="none" w:pos="461"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One building was acquired by our Taurus Newbury Street JV II Limited Partnership in which we hold an 85% limited partnership interest and account for our investment under the equity method. We contributed $2.8 million towards this acquisition and provided a $3.1 million interest-only loan secured by the building.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1"/>
          </w:cols>
          <w:pgMar w:left="239" w:top="262"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Real Estate Status Report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Mortgage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8"/>
              </w:rPr>
              <w:t>and/or</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4"/>
              </w:rPr>
              <w:t>Real</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9"/>
              </w:rPr>
              <w:t>Capital</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2"/>
                <w:szCs w:val="12"/>
                <w:b w:val="1"/>
                <w:bCs w:val="1"/>
                <w:color w:val="auto"/>
                <w:w w:val="91"/>
              </w:rPr>
              <w:t>Grocery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Other Principal</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60"/>
              <w:spacing w:after="0" w:line="124" w:lineRule="exact"/>
              <w:rPr>
                <w:sz w:val="20"/>
                <w:szCs w:val="20"/>
                <w:color w:val="auto"/>
              </w:rPr>
            </w:pPr>
            <w:r>
              <w:rPr>
                <w:rFonts w:ascii="Arial" w:cs="Arial" w:eastAsia="Arial" w:hAnsi="Arial"/>
                <w:sz w:val="12"/>
                <w:szCs w:val="12"/>
                <w:b w:val="1"/>
                <w:bCs w:val="1"/>
                <w:color w:val="auto"/>
              </w:rPr>
              <w:t>Year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280"/>
              <w:spacing w:after="0" w:line="124" w:lineRule="exact"/>
              <w:rPr>
                <w:sz w:val="20"/>
                <w:szCs w:val="20"/>
                <w:color w:val="auto"/>
              </w:rPr>
            </w:pPr>
            <w:r>
              <w:rPr>
                <w:rFonts w:ascii="Arial" w:cs="Arial" w:eastAsia="Arial" w:hAnsi="Arial"/>
                <w:sz w:val="12"/>
                <w:szCs w:val="12"/>
                <w:b w:val="1"/>
                <w:bCs w:val="1"/>
                <w:color w:val="auto"/>
                <w:w w:val="88"/>
              </w:rPr>
              <w:t>Estate</w:t>
            </w:r>
          </w:p>
        </w:tc>
        <w:tc>
          <w:tcPr>
            <w:tcW w:w="8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8"/>
              </w:rPr>
              <w:t>Lease</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jc w:val="right"/>
              <w:ind w:right="58"/>
              <w:spacing w:after="0" w:line="124"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0"/>
                <w:szCs w:val="10"/>
                <w:color w:val="auto"/>
              </w:rPr>
            </w:pPr>
          </w:p>
        </w:tc>
        <w:tc>
          <w:tcPr>
            <w:tcW w:w="54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95"/>
              </w:rPr>
              <w:t>Anchor</w:t>
            </w:r>
          </w:p>
        </w:tc>
        <w:tc>
          <w:tcPr>
            <w:tcW w:w="80" w:type="dxa"/>
            <w:vAlign w:val="bottom"/>
          </w:tcPr>
          <w:p>
            <w:pPr>
              <w:spacing w:after="0"/>
              <w:rPr>
                <w:sz w:val="10"/>
                <w:szCs w:val="10"/>
                <w:color w:val="auto"/>
              </w:rPr>
            </w:pPr>
          </w:p>
        </w:tc>
        <w:tc>
          <w:tcPr>
            <w:tcW w:w="780" w:type="dxa"/>
            <w:vAlign w:val="bottom"/>
            <w:gridSpan w:val="2"/>
          </w:tcPr>
          <w:p>
            <w:pPr>
              <w:jc w:val="center"/>
              <w:ind w:right="100"/>
              <w:spacing w:after="0" w:line="124" w:lineRule="exact"/>
              <w:rPr>
                <w:sz w:val="20"/>
                <w:szCs w:val="20"/>
                <w:color w:val="auto"/>
              </w:rPr>
            </w:pPr>
            <w:r>
              <w:rPr>
                <w:rFonts w:ascii="Arial" w:cs="Arial" w:eastAsia="Arial" w:hAnsi="Arial"/>
                <w:sz w:val="12"/>
                <w:szCs w:val="12"/>
                <w:b w:val="1"/>
                <w:bCs w:val="1"/>
                <w:color w:val="auto"/>
                <w:w w:val="95"/>
              </w:rPr>
              <w:t>Grocery</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00" w:type="dxa"/>
            <w:vAlign w:val="bottom"/>
            <w:gridSpan w:val="6"/>
          </w:tcPr>
          <w:p>
            <w:pPr>
              <w:spacing w:after="0"/>
              <w:rPr>
                <w:sz w:val="20"/>
                <w:szCs w:val="20"/>
                <w:color w:val="auto"/>
              </w:rPr>
            </w:pPr>
            <w:r>
              <w:rPr>
                <w:rFonts w:ascii="Arial" w:cs="Arial" w:eastAsia="Arial" w:hAnsi="Arial"/>
                <w:sz w:val="12"/>
                <w:szCs w:val="12"/>
                <w:b w:val="1"/>
                <w:bCs w:val="1"/>
                <w:color w:val="auto"/>
              </w:rPr>
              <w:t>Property Name</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2"/>
          </w:tcPr>
          <w:p>
            <w:pPr>
              <w:ind w:left="400"/>
              <w:spacing w:after="0"/>
              <w:rPr>
                <w:sz w:val="20"/>
                <w:szCs w:val="20"/>
                <w:color w:val="auto"/>
              </w:rPr>
            </w:pPr>
            <w:r>
              <w:rPr>
                <w:rFonts w:ascii="Arial" w:cs="Arial" w:eastAsia="Arial" w:hAnsi="Arial"/>
                <w:sz w:val="12"/>
                <w:szCs w:val="12"/>
                <w:b w:val="1"/>
                <w:bCs w:val="1"/>
                <w:color w:val="auto"/>
              </w:rPr>
              <w:t>MSA Description</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9"/>
              </w:rPr>
              <w:t>Acquired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at Cost</w:t>
            </w:r>
          </w:p>
        </w:tc>
        <w:tc>
          <w:tcPr>
            <w:tcW w:w="9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5"/>
              </w:rPr>
              <w:t>Obligation (1)</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GLA (2)</w:t>
            </w: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Leased</w:t>
            </w:r>
          </w:p>
        </w:tc>
        <w:tc>
          <w:tcPr>
            <w:tcW w:w="5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GLA</w:t>
            </w:r>
          </w:p>
        </w:tc>
        <w:tc>
          <w:tcPr>
            <w:tcW w:w="8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Anchor</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Tenants</w:t>
            </w:r>
          </w:p>
        </w:tc>
        <w:tc>
          <w:tcPr>
            <w:tcW w:w="0" w:type="dxa"/>
            <w:vAlign w:val="bottom"/>
          </w:tcPr>
          <w:p>
            <w:pPr>
              <w:spacing w:after="0"/>
              <w:rPr>
                <w:sz w:val="1"/>
                <w:szCs w:val="1"/>
                <w:color w:val="auto"/>
              </w:rPr>
            </w:pPr>
          </w:p>
        </w:tc>
      </w:tr>
      <w:tr>
        <w:trPr>
          <w:trHeight w:val="156"/>
        </w:trPr>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w w:val="94"/>
              </w:rPr>
              <w:t>(in thousands)</w:t>
            </w:r>
          </w:p>
        </w:tc>
        <w:tc>
          <w:tcPr>
            <w:tcW w:w="16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w w:val="92"/>
              </w:rPr>
              <w:t>(in thousands)</w:t>
            </w:r>
          </w:p>
        </w:tc>
        <w:tc>
          <w:tcPr>
            <w:tcW w:w="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0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auto"/>
              <w:right w:val="single" w:sz="8" w:color="CCEEFF"/>
            </w:tcBorders>
            <w:gridSpan w:val="4"/>
            <w:shd w:val="clear" w:color="auto" w:fill="CCEEFF"/>
          </w:tcPr>
          <w:p>
            <w:pPr>
              <w:spacing w:after="0" w:line="124" w:lineRule="exact"/>
              <w:rPr>
                <w:sz w:val="20"/>
                <w:szCs w:val="20"/>
                <w:color w:val="auto"/>
              </w:rPr>
            </w:pPr>
            <w:r>
              <w:rPr>
                <w:rFonts w:ascii="Arial" w:cs="Arial" w:eastAsia="Arial" w:hAnsi="Arial"/>
                <w:sz w:val="12"/>
                <w:szCs w:val="12"/>
                <w:b w:val="1"/>
                <w:bCs w:val="1"/>
                <w:color w:val="auto"/>
                <w:w w:val="93"/>
              </w:rPr>
              <w:t>Washington Metropolitan Area</w:t>
            </w:r>
          </w:p>
        </w:tc>
        <w:tc>
          <w:tcPr>
            <w:tcW w:w="1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7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200" w:type="dxa"/>
            <w:vAlign w:val="bottom"/>
            <w:gridSpan w:val="6"/>
          </w:tcPr>
          <w:p>
            <w:pPr>
              <w:spacing w:after="0" w:line="120" w:lineRule="exact"/>
              <w:rPr>
                <w:sz w:val="20"/>
                <w:szCs w:val="20"/>
                <w:color w:val="auto"/>
              </w:rPr>
            </w:pPr>
            <w:r>
              <w:rPr>
                <w:rFonts w:ascii="Arial" w:cs="Arial" w:eastAsia="Arial" w:hAnsi="Arial"/>
                <w:sz w:val="12"/>
                <w:szCs w:val="12"/>
                <w:color w:val="auto"/>
              </w:rPr>
              <w:t>Bethesda Row</w:t>
            </w:r>
          </w:p>
        </w:tc>
        <w:tc>
          <w:tcPr>
            <w:tcW w:w="360" w:type="dxa"/>
            <w:vAlign w:val="bottom"/>
          </w:tcPr>
          <w:p>
            <w:pPr>
              <w:spacing w:after="0"/>
              <w:rPr>
                <w:sz w:val="10"/>
                <w:szCs w:val="10"/>
                <w:color w:val="auto"/>
              </w:rPr>
            </w:pPr>
          </w:p>
        </w:tc>
        <w:tc>
          <w:tcPr>
            <w:tcW w:w="1880" w:type="dxa"/>
            <w:vAlign w:val="bottom"/>
            <w:gridSpan w:val="3"/>
          </w:tcPr>
          <w:p>
            <w:pPr>
              <w:ind w:left="60"/>
              <w:spacing w:after="0" w:line="120" w:lineRule="exact"/>
              <w:rPr>
                <w:sz w:val="20"/>
                <w:szCs w:val="20"/>
                <w:color w:val="auto"/>
              </w:rPr>
            </w:pPr>
            <w:r>
              <w:rPr>
                <w:rFonts w:ascii="Arial" w:cs="Arial" w:eastAsia="Arial" w:hAnsi="Arial"/>
                <w:sz w:val="12"/>
                <w:szCs w:val="12"/>
                <w:color w:val="auto"/>
              </w:rPr>
              <w:t>Washington, DC-MD-VA</w:t>
            </w:r>
          </w:p>
        </w:tc>
        <w:tc>
          <w:tcPr>
            <w:tcW w:w="68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w w:val="95"/>
              </w:rPr>
              <w:t>1993-2006/</w:t>
            </w:r>
          </w:p>
        </w:tc>
        <w:tc>
          <w:tcPr>
            <w:tcW w:w="20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209,067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24,084</w:t>
            </w:r>
          </w:p>
        </w:tc>
        <w:tc>
          <w:tcPr>
            <w:tcW w:w="16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rPr>
              <w:t>534,000</w:t>
            </w:r>
          </w:p>
        </w:tc>
        <w:tc>
          <w:tcPr>
            <w:tcW w:w="160" w:type="dxa"/>
            <w:vAlign w:val="bottom"/>
          </w:tcPr>
          <w:p>
            <w:pPr>
              <w:spacing w:after="0"/>
              <w:rPr>
                <w:sz w:val="10"/>
                <w:szCs w:val="10"/>
                <w:color w:val="auto"/>
              </w:rPr>
            </w:pPr>
          </w:p>
        </w:tc>
        <w:tc>
          <w:tcPr>
            <w:tcW w:w="6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93%</w:t>
            </w:r>
          </w:p>
        </w:tc>
        <w:tc>
          <w:tcPr>
            <w:tcW w:w="54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40,000</w:t>
            </w:r>
          </w:p>
        </w:tc>
        <w:tc>
          <w:tcPr>
            <w:tcW w:w="860" w:type="dxa"/>
            <w:vAlign w:val="bottom"/>
            <w:gridSpan w:val="3"/>
          </w:tcPr>
          <w:p>
            <w:pPr>
              <w:ind w:left="80"/>
              <w:spacing w:after="0" w:line="120" w:lineRule="exact"/>
              <w:rPr>
                <w:sz w:val="20"/>
                <w:szCs w:val="20"/>
                <w:color w:val="auto"/>
              </w:rPr>
            </w:pPr>
            <w:r>
              <w:rPr>
                <w:rFonts w:ascii="Arial" w:cs="Arial" w:eastAsia="Arial" w:hAnsi="Arial"/>
                <w:sz w:val="12"/>
                <w:szCs w:val="12"/>
                <w:color w:val="auto"/>
              </w:rPr>
              <w:t>Giant Food</w:t>
            </w:r>
          </w:p>
        </w:tc>
        <w:tc>
          <w:tcPr>
            <w:tcW w:w="1760" w:type="dxa"/>
            <w:vAlign w:val="bottom"/>
          </w:tcPr>
          <w:p>
            <w:pPr>
              <w:spacing w:after="0" w:line="120" w:lineRule="exact"/>
              <w:rPr>
                <w:sz w:val="20"/>
                <w:szCs w:val="20"/>
                <w:color w:val="auto"/>
              </w:rPr>
            </w:pPr>
            <w:r>
              <w:rPr>
                <w:rFonts w:ascii="Arial" w:cs="Arial" w:eastAsia="Arial" w:hAnsi="Arial"/>
                <w:sz w:val="12"/>
                <w:szCs w:val="12"/>
                <w:color w:val="auto"/>
              </w:rPr>
              <w:t>Barnes &amp; Noble / Landmark</w:t>
            </w: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2008/2010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Theater / Apple Computer</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8" w:lineRule="exact"/>
              <w:rPr>
                <w:sz w:val="20"/>
                <w:szCs w:val="20"/>
                <w:color w:val="auto"/>
              </w:rPr>
            </w:pPr>
            <w:r>
              <w:rPr>
                <w:rFonts w:ascii="Arial" w:cs="Arial" w:eastAsia="Arial" w:hAnsi="Arial"/>
                <w:sz w:val="12"/>
                <w:szCs w:val="12"/>
                <w:color w:val="auto"/>
              </w:rPr>
              <w:t>Congressional Plaza</w:t>
            </w: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w:t>
            </w:r>
          </w:p>
        </w:tc>
        <w:tc>
          <w:tcPr>
            <w:tcW w:w="1880" w:type="dxa"/>
            <w:vAlign w:val="bottom"/>
            <w:gridSpan w:val="3"/>
            <w:shd w:val="clear" w:color="auto" w:fill="CCEEFF"/>
          </w:tcPr>
          <w:p>
            <w:pPr>
              <w:ind w:left="60"/>
              <w:spacing w:after="0" w:line="128"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1965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72,571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330,000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8" w:lineRule="exact"/>
              <w:rPr>
                <w:sz w:val="20"/>
                <w:szCs w:val="20"/>
                <w:color w:val="auto"/>
              </w:rPr>
            </w:pPr>
            <w:r>
              <w:rPr>
                <w:rFonts w:ascii="Arial" w:cs="Arial" w:eastAsia="Arial" w:hAnsi="Arial"/>
                <w:sz w:val="12"/>
                <w:szCs w:val="12"/>
                <w:color w:val="auto"/>
              </w:rPr>
              <w:t>100%</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8"/>
              </w:rPr>
              <w:t>Buy Buy Baby / Container Store /</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Last Call Studio by Neiman</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Marcus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Courthouse Center</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4,399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36,000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Falls Plaza/Falls Plaza-East</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1967-1972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12,348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144,000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51,000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Giant Food</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CVS / Staples</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Federal Plaza</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62,615</w:t>
            </w:r>
          </w:p>
        </w:tc>
        <w:tc>
          <w:tcPr>
            <w:tcW w:w="80" w:type="dxa"/>
            <w:vAlign w:val="bottom"/>
          </w:tcPr>
          <w:p>
            <w:pPr>
              <w:spacing w:after="0"/>
              <w:rPr>
                <w:sz w:val="11"/>
                <w:szCs w:val="11"/>
                <w:color w:val="auto"/>
              </w:rPr>
            </w:pPr>
          </w:p>
        </w:tc>
        <w:tc>
          <w:tcPr>
            <w:tcW w:w="820" w:type="dxa"/>
            <w:vAlign w:val="bottom"/>
            <w:gridSpan w:val="2"/>
          </w:tcPr>
          <w:p>
            <w:pPr>
              <w:ind w:left="460"/>
              <w:spacing w:after="0" w:line="127"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248,000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85%</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10,000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Trader Joe’s</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TJ Maxx / Micro Center / Ross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Dress For Less</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Friendship Center</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35,219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119,000</w:t>
            </w: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80%</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Maggiano’s / Nordstrom Rack</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Gaithersburg Square</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24,929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207,000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78%</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7" w:lineRule="exact"/>
              <w:rPr>
                <w:sz w:val="20"/>
                <w:szCs w:val="20"/>
                <w:color w:val="auto"/>
              </w:rPr>
            </w:pPr>
            <w:r>
              <w:rPr>
                <w:rFonts w:ascii="Arial" w:cs="Arial" w:eastAsia="Arial" w:hAnsi="Arial"/>
                <w:sz w:val="12"/>
                <w:szCs w:val="12"/>
                <w:color w:val="auto"/>
                <w:w w:val="96"/>
              </w:rPr>
              <w:t>Bed, Bath &amp; Beyond / Ross Dress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For Less</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Idylwood Plaza</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16,002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16,413</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73,000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96%</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30,000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Whole Foods</w:t>
            </w: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Laurel</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47,577</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388,000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86%</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61,000</w:t>
            </w: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Giant Food</w:t>
            </w: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Marshalls</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Leesburg Plaza</w:t>
            </w:r>
          </w:p>
        </w:tc>
        <w:tc>
          <w:tcPr>
            <w:tcW w:w="3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w:t>
            </w: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34,701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28,558</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236,000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98%</w:t>
            </w:r>
          </w:p>
        </w:tc>
        <w:tc>
          <w:tcPr>
            <w:tcW w:w="54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55,000</w:t>
            </w:r>
          </w:p>
        </w:tc>
        <w:tc>
          <w:tcPr>
            <w:tcW w:w="860" w:type="dxa"/>
            <w:vAlign w:val="bottom"/>
            <w:gridSpan w:val="3"/>
            <w:shd w:val="clear" w:color="auto" w:fill="CCEEFF"/>
          </w:tcPr>
          <w:p>
            <w:pPr>
              <w:ind w:left="80"/>
              <w:spacing w:after="0" w:line="127" w:lineRule="exact"/>
              <w:rPr>
                <w:sz w:val="20"/>
                <w:szCs w:val="20"/>
                <w:color w:val="auto"/>
              </w:rPr>
            </w:pPr>
            <w:r>
              <w:rPr>
                <w:rFonts w:ascii="Arial" w:cs="Arial" w:eastAsia="Arial" w:hAnsi="Arial"/>
                <w:sz w:val="12"/>
                <w:szCs w:val="12"/>
                <w:color w:val="auto"/>
              </w:rPr>
              <w:t>Giant Food</w:t>
            </w: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w w:val="99"/>
              </w:rPr>
              <w:t>Petsmart / Pier 1 Imports / Office</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Depot</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Loehmann’s Plaza</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32,742</w:t>
            </w:r>
          </w:p>
        </w:tc>
        <w:tc>
          <w:tcPr>
            <w:tcW w:w="8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auto"/>
              </w:rPr>
              <w:t>36,928</w:t>
            </w: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268,000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95%</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58,000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Giant Food</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Bally Total Fitness / Loehmann’s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Dress Shop</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Mid-Pike Plaza</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8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1982/2007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49,890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271,000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83%</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Toys R Us / Bally Total Fitness /</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AC Moore</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Mount Vernon/South Valley/7770</w:t>
            </w:r>
          </w:p>
        </w:tc>
        <w:tc>
          <w:tcPr>
            <w:tcW w:w="360" w:type="dxa"/>
            <w:vAlign w:val="bottom"/>
          </w:tcPr>
          <w:p>
            <w:pPr>
              <w:jc w:val="right"/>
              <w:spacing w:after="0" w:line="127" w:lineRule="exact"/>
              <w:rPr>
                <w:sz w:val="20"/>
                <w:szCs w:val="20"/>
                <w:color w:val="auto"/>
              </w:rPr>
            </w:pPr>
            <w:r>
              <w:rPr>
                <w:rFonts w:ascii="Arial" w:cs="Arial" w:eastAsia="Arial" w:hAnsi="Arial"/>
                <w:sz w:val="12"/>
                <w:szCs w:val="12"/>
                <w:color w:val="auto"/>
              </w:rPr>
              <w:t>(5)</w:t>
            </w: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2003-2006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78,289</w:t>
            </w:r>
          </w:p>
        </w:tc>
        <w:tc>
          <w:tcPr>
            <w:tcW w:w="8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auto"/>
              </w:rPr>
              <w:t>10,749</w:t>
            </w: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571,000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93%</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62,000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Shoppers</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Bed, Bath &amp; Beyond / Michaels /</w:t>
            </w:r>
          </w:p>
        </w:tc>
        <w:tc>
          <w:tcPr>
            <w:tcW w:w="0" w:type="dxa"/>
            <w:vAlign w:val="bottom"/>
          </w:tcPr>
          <w:p>
            <w:pPr>
              <w:spacing w:after="0"/>
              <w:rPr>
                <w:sz w:val="1"/>
                <w:szCs w:val="1"/>
                <w:color w:val="auto"/>
              </w:rPr>
            </w:pPr>
          </w:p>
        </w:tc>
      </w:tr>
      <w:tr>
        <w:trPr>
          <w:trHeight w:val="136"/>
        </w:trPr>
        <w:tc>
          <w:tcPr>
            <w:tcW w:w="2200" w:type="dxa"/>
            <w:vAlign w:val="bottom"/>
            <w:gridSpan w:val="6"/>
          </w:tcPr>
          <w:p>
            <w:pPr>
              <w:ind w:left="200"/>
              <w:spacing w:after="0" w:line="136" w:lineRule="exact"/>
              <w:rPr>
                <w:sz w:val="20"/>
                <w:szCs w:val="20"/>
                <w:color w:val="auto"/>
              </w:rPr>
            </w:pPr>
            <w:r>
              <w:rPr>
                <w:rFonts w:ascii="Arial" w:cs="Arial" w:eastAsia="Arial" w:hAnsi="Arial"/>
                <w:sz w:val="12"/>
                <w:szCs w:val="12"/>
                <w:color w:val="auto"/>
              </w:rPr>
              <w:t>Richmond Hwy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Food</w:t>
            </w: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Home Depot / TJ Maxx / Gold’s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color w:val="auto"/>
              </w:rPr>
              <w:t>Warehouse</w:t>
            </w:r>
          </w:p>
        </w:tc>
        <w:tc>
          <w:tcPr>
            <w:tcW w:w="1760" w:type="dxa"/>
            <w:vAlign w:val="bottom"/>
          </w:tcPr>
          <w:p>
            <w:pPr>
              <w:spacing w:after="0"/>
              <w:rPr>
                <w:sz w:val="20"/>
                <w:szCs w:val="20"/>
                <w:color w:val="auto"/>
              </w:rPr>
            </w:pPr>
            <w:r>
              <w:rPr>
                <w:rFonts w:ascii="Arial" w:cs="Arial" w:eastAsia="Arial" w:hAnsi="Arial"/>
                <w:sz w:val="12"/>
                <w:szCs w:val="12"/>
                <w:color w:val="auto"/>
              </w:rPr>
              <w:t>Gym</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Old Keene Mill</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6,232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97%</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Whole Foods</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Walgreens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Pan Am</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28,525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227,000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63,000</w:t>
            </w: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Safeway</w:t>
            </w: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Micro Center / Michaels</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Pentagon Row</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Washington, DC-MD-VA</w:t>
            </w:r>
          </w:p>
        </w:tc>
        <w:tc>
          <w:tcPr>
            <w:tcW w:w="68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1998/2010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88,778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53,012</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297,000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99%</w:t>
            </w:r>
          </w:p>
        </w:tc>
        <w:tc>
          <w:tcPr>
            <w:tcW w:w="54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45,000</w:t>
            </w:r>
          </w:p>
        </w:tc>
        <w:tc>
          <w:tcPr>
            <w:tcW w:w="860" w:type="dxa"/>
            <w:vAlign w:val="bottom"/>
            <w:gridSpan w:val="3"/>
            <w:shd w:val="clear" w:color="auto" w:fill="CCEEFF"/>
          </w:tcPr>
          <w:p>
            <w:pPr>
              <w:ind w:left="80"/>
              <w:spacing w:after="0" w:line="127" w:lineRule="exact"/>
              <w:rPr>
                <w:sz w:val="20"/>
                <w:szCs w:val="20"/>
                <w:color w:val="auto"/>
              </w:rPr>
            </w:pPr>
            <w:r>
              <w:rPr>
                <w:rFonts w:ascii="Arial" w:cs="Arial" w:eastAsia="Arial" w:hAnsi="Arial"/>
                <w:sz w:val="12"/>
                <w:szCs w:val="12"/>
                <w:color w:val="auto"/>
              </w:rPr>
              <w:t>Harris Teeter</w:t>
            </w: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Bally Total Fitness / Bed, Bath &amp;</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Beyond / DSW</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Pike 7</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35,515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164,000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DSW / Staples / TJ Maxx</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Quince Orchard</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22,370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248,000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74%</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Magruders</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Staples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Rockville Town Square</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2006-2007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37,234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182,000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77%</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CVS / Gold’s Gym</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Rollingwood Apartments</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8,201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23,402</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N/A</w:t>
            </w: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98%</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Sam’s Park &amp; Shop</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12,650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49,000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Petco</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Tower</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20,532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112,000</w:t>
            </w: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88%</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Talbots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Tyson’s Station</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3,996</w:t>
            </w:r>
          </w:p>
        </w:tc>
        <w:tc>
          <w:tcPr>
            <w:tcW w:w="80" w:type="dxa"/>
            <w:vAlign w:val="bottom"/>
          </w:tcPr>
          <w:p>
            <w:pPr>
              <w:spacing w:after="0"/>
              <w:rPr>
                <w:sz w:val="11"/>
                <w:szCs w:val="11"/>
                <w:color w:val="auto"/>
              </w:rPr>
            </w:pPr>
          </w:p>
        </w:tc>
        <w:tc>
          <w:tcPr>
            <w:tcW w:w="820" w:type="dxa"/>
            <w:vAlign w:val="bottom"/>
            <w:gridSpan w:val="2"/>
          </w:tcPr>
          <w:p>
            <w:pPr>
              <w:ind w:left="460"/>
              <w:spacing w:after="0" w:line="13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49,000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96%</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11,000</w:t>
            </w: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Trader Joe’s</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Village at Shirlington</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w:t>
            </w: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55,339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6,345</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258,000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98%</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28,000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Harris Teeter</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8"/>
              </w:rPr>
              <w:t>AMC Loews / Carlyle Grand Café</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Wildwood</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Washington, DC-MD-VA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18,275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24,566</w:t>
            </w: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84,000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96%</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20,000</w:t>
            </w: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Balducci’s</w:t>
            </w: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CVS</w:t>
            </w: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80" w:type="dxa"/>
            <w:vAlign w:val="bottom"/>
            <w:gridSpan w:val="3"/>
            <w:shd w:val="clear" w:color="auto" w:fill="CCEEFF"/>
          </w:tcPr>
          <w:p>
            <w:pPr>
              <w:ind w:left="60"/>
              <w:spacing w:after="0" w:line="123" w:lineRule="exact"/>
              <w:rPr>
                <w:sz w:val="20"/>
                <w:szCs w:val="20"/>
                <w:color w:val="auto"/>
              </w:rPr>
            </w:pPr>
            <w:r>
              <w:rPr>
                <w:rFonts w:ascii="Arial" w:cs="Arial" w:eastAsia="Arial" w:hAnsi="Arial"/>
                <w:sz w:val="12"/>
                <w:szCs w:val="12"/>
                <w:b w:val="1"/>
                <w:bCs w:val="1"/>
                <w:color w:val="auto"/>
              </w:rPr>
              <w:t>Total Washington Metropolitan</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2"/>
                <w:szCs w:val="12"/>
                <w:color w:val="auto"/>
              </w:rPr>
              <w:t>1,017,996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2"/>
                <w:szCs w:val="12"/>
                <w:color w:val="auto"/>
                <w:w w:val="93"/>
              </w:rPr>
              <w:t>5,187,000</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3" w:lineRule="exact"/>
              <w:rPr>
                <w:sz w:val="20"/>
                <w:szCs w:val="20"/>
                <w:color w:val="auto"/>
              </w:rPr>
            </w:pPr>
            <w:r>
              <w:rPr>
                <w:rFonts w:ascii="Arial" w:cs="Arial" w:eastAsia="Arial" w:hAnsi="Arial"/>
                <w:sz w:val="12"/>
                <w:szCs w:val="12"/>
                <w:color w:val="auto"/>
              </w:rPr>
              <w:t>91%</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80" w:type="dxa"/>
            <w:vAlign w:val="bottom"/>
            <w:gridSpan w:val="3"/>
            <w:shd w:val="clear" w:color="auto" w:fill="CCEEFF"/>
          </w:tcPr>
          <w:p>
            <w:pPr>
              <w:ind w:left="60"/>
              <w:spacing w:after="0"/>
              <w:rPr>
                <w:sz w:val="20"/>
                <w:szCs w:val="20"/>
                <w:color w:val="auto"/>
              </w:rPr>
            </w:pPr>
            <w:r>
              <w:rPr>
                <w:rFonts w:ascii="Arial" w:cs="Arial" w:eastAsia="Arial" w:hAnsi="Arial"/>
                <w:sz w:val="12"/>
                <w:szCs w:val="12"/>
                <w:b w:val="1"/>
                <w:bCs w:val="1"/>
                <w:color w:val="auto"/>
              </w:rPr>
              <w:t>Area</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800" w:type="dxa"/>
            <w:vAlign w:val="bottom"/>
            <w:gridSpan w:val="5"/>
          </w:tcPr>
          <w:p>
            <w:pPr>
              <w:spacing w:after="0"/>
              <w:rPr>
                <w:sz w:val="20"/>
                <w:szCs w:val="20"/>
                <w:color w:val="auto"/>
              </w:rPr>
            </w:pPr>
            <w:r>
              <w:rPr>
                <w:rFonts w:ascii="Arial" w:cs="Arial" w:eastAsia="Arial" w:hAnsi="Arial"/>
                <w:sz w:val="12"/>
                <w:szCs w:val="12"/>
                <w:b w:val="1"/>
                <w:bCs w:val="1"/>
                <w:color w:val="auto"/>
              </w:rPr>
              <w:t>Philadelphia Metropolitan Area</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00" w:type="dxa"/>
            <w:vAlign w:val="bottom"/>
            <w:gridSpan w:val="6"/>
            <w:shd w:val="clear" w:color="auto" w:fill="CCEEFF"/>
          </w:tcPr>
          <w:p>
            <w:pPr>
              <w:spacing w:after="0" w:line="120" w:lineRule="exact"/>
              <w:rPr>
                <w:sz w:val="20"/>
                <w:szCs w:val="20"/>
                <w:color w:val="auto"/>
              </w:rPr>
            </w:pPr>
            <w:r>
              <w:rPr>
                <w:rFonts w:ascii="Arial" w:cs="Arial" w:eastAsia="Arial" w:hAnsi="Arial"/>
                <w:sz w:val="12"/>
                <w:szCs w:val="12"/>
                <w:color w:val="auto"/>
              </w:rPr>
              <w:t>Andorra</w:t>
            </w:r>
          </w:p>
        </w:tc>
        <w:tc>
          <w:tcPr>
            <w:tcW w:w="360" w:type="dxa"/>
            <w:vAlign w:val="bottom"/>
            <w:shd w:val="clear" w:color="auto" w:fill="CCEEFF"/>
          </w:tcPr>
          <w:p>
            <w:pPr>
              <w:spacing w:after="0"/>
              <w:rPr>
                <w:sz w:val="10"/>
                <w:szCs w:val="10"/>
                <w:color w:val="auto"/>
              </w:rPr>
            </w:pPr>
          </w:p>
        </w:tc>
        <w:tc>
          <w:tcPr>
            <w:tcW w:w="1880" w:type="dxa"/>
            <w:vAlign w:val="bottom"/>
            <w:gridSpan w:val="3"/>
            <w:shd w:val="clear" w:color="auto" w:fill="CCEEFF"/>
          </w:tcPr>
          <w:p>
            <w:pPr>
              <w:ind w:left="60"/>
              <w:spacing w:after="0" w:line="120" w:lineRule="exact"/>
              <w:rPr>
                <w:sz w:val="20"/>
                <w:szCs w:val="20"/>
                <w:color w:val="auto"/>
              </w:rPr>
            </w:pPr>
            <w:r>
              <w:rPr>
                <w:rFonts w:ascii="Arial" w:cs="Arial" w:eastAsia="Arial" w:hAnsi="Arial"/>
                <w:sz w:val="12"/>
                <w:szCs w:val="12"/>
                <w:color w:val="auto"/>
              </w:rPr>
              <w:t>Philadelphia, PA-NJ</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1988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23,788</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267,000</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93%</w:t>
            </w:r>
          </w:p>
        </w:tc>
        <w:tc>
          <w:tcPr>
            <w:tcW w:w="54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24,000</w:t>
            </w:r>
          </w:p>
        </w:tc>
        <w:tc>
          <w:tcPr>
            <w:tcW w:w="860" w:type="dxa"/>
            <w:vAlign w:val="bottom"/>
            <w:gridSpan w:val="3"/>
            <w:shd w:val="clear" w:color="auto" w:fill="CCEEFF"/>
          </w:tcPr>
          <w:p>
            <w:pPr>
              <w:ind w:left="80"/>
              <w:spacing w:after="0" w:line="120" w:lineRule="exact"/>
              <w:rPr>
                <w:sz w:val="20"/>
                <w:szCs w:val="20"/>
                <w:color w:val="auto"/>
              </w:rPr>
            </w:pPr>
            <w:r>
              <w:rPr>
                <w:rFonts w:ascii="Arial" w:cs="Arial" w:eastAsia="Arial" w:hAnsi="Arial"/>
                <w:sz w:val="12"/>
                <w:szCs w:val="12"/>
                <w:color w:val="auto"/>
              </w:rPr>
              <w:t>Acme</w:t>
            </w:r>
          </w:p>
        </w:tc>
        <w:tc>
          <w:tcPr>
            <w:tcW w:w="17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Kohl’s / Staples / L.A. Fitness</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Markets</w:t>
            </w: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Bala Cynwyd</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Philadelphia, PA-NJ</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34,607</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282,000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98%</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45,000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Acme</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Lord &amp; Taylor / L.A. Fitness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color w:val="auto"/>
              </w:rPr>
              <w:t>Markets</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Ellisburg Circle</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Philadelphia, PA-NJ</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27,979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267,000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94%</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47,000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Genuardi’s</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Buy Buy Baby / Stein Mart</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Feasterville</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(13)</w:t>
            </w: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Philadelphia, PA-NJ</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12,320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111,000</w:t>
            </w: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53,000</w:t>
            </w: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Giant Food</w:t>
            </w: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OfficeMax</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Flourtown</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Philadelphia, PA-NJ</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1980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15,867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166,000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48%</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42,000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Genuardi’s</w:t>
            </w: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Langhorne Square</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Philadelphia, PA-NJ</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20,313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219,000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95%</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55,000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Redner’s</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Marshalls</w:t>
            </w: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Warehouse</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color w:val="auto"/>
              </w:rPr>
              <w:t>Mkts.</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Lawrence Park</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Philadelphia, PA-NJ</w:t>
            </w:r>
          </w:p>
        </w:tc>
        <w:tc>
          <w:tcPr>
            <w:tcW w:w="6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1980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30,589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27,949</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353,000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97%</w:t>
            </w:r>
          </w:p>
        </w:tc>
        <w:tc>
          <w:tcPr>
            <w:tcW w:w="54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53,000</w:t>
            </w:r>
          </w:p>
        </w:tc>
        <w:tc>
          <w:tcPr>
            <w:tcW w:w="860" w:type="dxa"/>
            <w:vAlign w:val="bottom"/>
            <w:gridSpan w:val="3"/>
            <w:shd w:val="clear" w:color="auto" w:fill="CCEEFF"/>
          </w:tcPr>
          <w:p>
            <w:pPr>
              <w:ind w:left="80"/>
              <w:spacing w:after="0" w:line="127" w:lineRule="exact"/>
              <w:rPr>
                <w:sz w:val="20"/>
                <w:szCs w:val="20"/>
                <w:color w:val="auto"/>
              </w:rPr>
            </w:pPr>
            <w:r>
              <w:rPr>
                <w:rFonts w:ascii="Arial" w:cs="Arial" w:eastAsia="Arial" w:hAnsi="Arial"/>
                <w:sz w:val="12"/>
                <w:szCs w:val="12"/>
                <w:color w:val="auto"/>
              </w:rPr>
              <w:t>Acme</w:t>
            </w: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CHI / TJ Maxx / HomeGoods</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Markets</w:t>
            </w: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Northeast</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Philadelphia, PA-NJ</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1983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23,265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285,000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89%</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Burlington Coat Factory /</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Marshalls</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Town Center of New Britain</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Philadelphia, PA-NJ</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14,423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124,000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86%</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36,000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Giant Food</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Rite Aid</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Willow Grove</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Philadelphia, PA-NJ</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27,986</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216,000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Barnes &amp; Noble / HomeGoods /</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Marshalls</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Wynnewood</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Philadelphia, PA-NJ</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37,640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28,483</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256,000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96%</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98,000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Genuardi’s</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Bed, Bath &amp; Beyond / Old Navy</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Total Philadelphia Metropolitan</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268,777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auto"/>
                <w:w w:val="93"/>
              </w:rPr>
              <w:t>2,546,000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91%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Area</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w w:val="93"/>
              </w:rPr>
              <w:t>California</w:t>
            </w:r>
          </w:p>
        </w:tc>
        <w:tc>
          <w:tcPr>
            <w:tcW w:w="1260" w:type="dxa"/>
            <w:vAlign w:val="bottom"/>
            <w:tcBorders>
              <w:bottom w:val="single" w:sz="8" w:color="CCEEFF"/>
            </w:tcBorders>
            <w:gridSpan w:val="3"/>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7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200" w:type="dxa"/>
            <w:vAlign w:val="bottom"/>
            <w:gridSpan w:val="6"/>
          </w:tcPr>
          <w:p>
            <w:pPr>
              <w:spacing w:after="0" w:line="128" w:lineRule="exact"/>
              <w:rPr>
                <w:sz w:val="20"/>
                <w:szCs w:val="20"/>
                <w:color w:val="auto"/>
              </w:rPr>
            </w:pPr>
            <w:r>
              <w:rPr>
                <w:rFonts w:ascii="Arial" w:cs="Arial" w:eastAsia="Arial" w:hAnsi="Arial"/>
                <w:sz w:val="12"/>
                <w:szCs w:val="12"/>
                <w:color w:val="auto"/>
              </w:rPr>
              <w:t>Colorado Blvd</w:t>
            </w:r>
          </w:p>
        </w:tc>
        <w:tc>
          <w:tcPr>
            <w:tcW w:w="360" w:type="dxa"/>
            <w:vAlign w:val="bottom"/>
          </w:tcPr>
          <w:p>
            <w:pPr>
              <w:spacing w:after="0"/>
              <w:rPr>
                <w:sz w:val="11"/>
                <w:szCs w:val="11"/>
                <w:color w:val="auto"/>
              </w:rPr>
            </w:pPr>
          </w:p>
        </w:tc>
        <w:tc>
          <w:tcPr>
            <w:tcW w:w="1880" w:type="dxa"/>
            <w:vAlign w:val="bottom"/>
            <w:gridSpan w:val="3"/>
          </w:tcPr>
          <w:p>
            <w:pPr>
              <w:ind w:left="60"/>
              <w:spacing w:after="0" w:line="128" w:lineRule="exact"/>
              <w:rPr>
                <w:sz w:val="20"/>
                <w:szCs w:val="20"/>
                <w:color w:val="auto"/>
              </w:rPr>
            </w:pPr>
            <w:r>
              <w:rPr>
                <w:rFonts w:ascii="Arial" w:cs="Arial" w:eastAsia="Arial" w:hAnsi="Arial"/>
                <w:sz w:val="12"/>
                <w:szCs w:val="12"/>
                <w:color w:val="auto"/>
              </w:rPr>
              <w:t>Los Angeles-Long Beach, CA</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1996-1998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rPr>
              <w:t>16,744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auto"/>
              </w:rPr>
              <w:t>69,000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8" w:lineRule="exact"/>
              <w:rPr>
                <w:sz w:val="20"/>
                <w:szCs w:val="20"/>
                <w:color w:val="auto"/>
              </w:rPr>
            </w:pPr>
            <w:r>
              <w:rPr>
                <w:rFonts w:ascii="Arial" w:cs="Arial" w:eastAsia="Arial" w:hAnsi="Arial"/>
                <w:sz w:val="12"/>
                <w:szCs w:val="12"/>
                <w:color w:val="auto"/>
              </w:rPr>
              <w:t>83%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8" w:lineRule="exact"/>
              <w:rPr>
                <w:sz w:val="20"/>
                <w:szCs w:val="20"/>
                <w:color w:val="auto"/>
              </w:rPr>
            </w:pPr>
            <w:r>
              <w:rPr>
                <w:rFonts w:ascii="Arial" w:cs="Arial" w:eastAsia="Arial" w:hAnsi="Arial"/>
                <w:sz w:val="12"/>
                <w:szCs w:val="12"/>
                <w:color w:val="auto"/>
              </w:rPr>
              <w:t>Pottery Barn / Banana Republic</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Crow Canyon</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San Ramon, CA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2005-2007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65,404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20,174</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242,000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90%</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58,000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Lucky</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4"/>
              </w:rPr>
              <w:t>Loehmann’s Dress Shop / Rite Aid</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Escondido</w:t>
            </w:r>
          </w:p>
        </w:tc>
        <w:tc>
          <w:tcPr>
            <w:tcW w:w="360" w:type="dxa"/>
            <w:vAlign w:val="bottom"/>
          </w:tcPr>
          <w:p>
            <w:pPr>
              <w:jc w:val="right"/>
              <w:spacing w:after="0" w:line="127" w:lineRule="exact"/>
              <w:rPr>
                <w:sz w:val="20"/>
                <w:szCs w:val="20"/>
                <w:color w:val="auto"/>
              </w:rPr>
            </w:pPr>
            <w:r>
              <w:rPr>
                <w:rFonts w:ascii="Arial" w:cs="Arial" w:eastAsia="Arial" w:hAnsi="Arial"/>
                <w:sz w:val="12"/>
                <w:szCs w:val="12"/>
                <w:color w:val="auto"/>
              </w:rPr>
              <w:t>(6)</w:t>
            </w: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San Diego, CA</w:t>
            </w:r>
          </w:p>
        </w:tc>
        <w:tc>
          <w:tcPr>
            <w:tcW w:w="68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1996/2010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44,350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267,000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98%</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TJ Maxx / Toys R Us / Dick’s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Sporting Goods</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Fifth Ave</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San Diego, CA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1996-1997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10,238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95%</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Urban Outfitters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Hermosa Ave</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Los Angeles-Long Beach, CA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5,448</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23,000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94%</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Hollywood Blvd</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w:t>
            </w: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Los Angeles-Long Beach, CA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37,701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153,000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75%</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15,000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Fresh &amp; Easy</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DSW / L.A. Fitness</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Kings Court</w:t>
            </w:r>
          </w:p>
        </w:tc>
        <w:tc>
          <w:tcPr>
            <w:tcW w:w="360" w:type="dxa"/>
            <w:vAlign w:val="bottom"/>
          </w:tcPr>
          <w:p>
            <w:pPr>
              <w:jc w:val="right"/>
              <w:spacing w:after="0" w:line="127" w:lineRule="exact"/>
              <w:rPr>
                <w:sz w:val="20"/>
                <w:szCs w:val="20"/>
                <w:color w:val="auto"/>
              </w:rPr>
            </w:pPr>
            <w:r>
              <w:rPr>
                <w:rFonts w:ascii="Arial" w:cs="Arial" w:eastAsia="Arial" w:hAnsi="Arial"/>
                <w:sz w:val="12"/>
                <w:szCs w:val="12"/>
                <w:color w:val="auto"/>
              </w:rPr>
              <w:t>(5)</w:t>
            </w: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San Jose, CA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11,600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79,000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100%</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25,000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Lunardi’s</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CVS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color w:val="auto"/>
              </w:rPr>
              <w:t>Super Market</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Old Town Center</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San Jose, CA</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34,327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98,000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72%</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Gap / Banana Republic</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Santana Row</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San Jose, CA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567,276</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624,000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95%</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7" w:lineRule="exact"/>
              <w:rPr>
                <w:sz w:val="20"/>
                <w:szCs w:val="20"/>
                <w:color w:val="auto"/>
              </w:rPr>
            </w:pPr>
            <w:r>
              <w:rPr>
                <w:rFonts w:ascii="Arial" w:cs="Arial" w:eastAsia="Arial" w:hAnsi="Arial"/>
                <w:sz w:val="12"/>
                <w:szCs w:val="12"/>
                <w:color w:val="auto"/>
                <w:w w:val="98"/>
              </w:rPr>
              <w:t>Crate &amp; Barrel / Container Store /</w:t>
            </w: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w w:val="93"/>
              </w:rPr>
              <w:t>Best Buy / CineArts Theatre / Hotel</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Valencia</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Third St Promenade</w:t>
            </w:r>
          </w:p>
        </w:tc>
        <w:tc>
          <w:tcPr>
            <w:tcW w:w="360" w:type="dxa"/>
            <w:vAlign w:val="bottom"/>
          </w:tcPr>
          <w:p>
            <w:pPr>
              <w:spacing w:after="0"/>
              <w:rPr>
                <w:sz w:val="11"/>
                <w:szCs w:val="11"/>
                <w:color w:val="auto"/>
              </w:rPr>
            </w:pP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Los Angeles-Long Beach, CA</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1996-2000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78,289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209,000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97%</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J. Crew / Banana Republic / Old</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Navy / Abercrombie &amp; Fitch</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Westgate</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San Jose, CA</w:t>
            </w:r>
          </w:p>
        </w:tc>
        <w:tc>
          <w:tcPr>
            <w:tcW w:w="6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117,648</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641,000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95%</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w w:val="98"/>
              </w:rPr>
              <w:t>Target / Burlington Coat Factory /</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8"/>
              </w:rPr>
              <w:t>Barnes &amp; Noble / Ross Dress For</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Less / Michaels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150 Post Street</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San Francisco, CA</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37,799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102,000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Brooks Brothers / H &amp; M</w:t>
            </w: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b w:val="1"/>
                <w:bCs w:val="1"/>
                <w:color w:val="auto"/>
              </w:rPr>
              <w:t>Total California</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1,026,824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3"/>
              </w:rPr>
              <w:t>2,542,000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93%</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1"/>
              </w:rPr>
              <w:t>New York / New Jersey</w:t>
            </w:r>
          </w:p>
        </w:tc>
        <w:tc>
          <w:tcPr>
            <w:tcW w:w="5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200" w:type="dxa"/>
            <w:vAlign w:val="bottom"/>
            <w:gridSpan w:val="6"/>
            <w:shd w:val="clear" w:color="auto" w:fill="CCEEFF"/>
          </w:tcPr>
          <w:p>
            <w:pPr>
              <w:spacing w:after="0" w:line="120" w:lineRule="exact"/>
              <w:rPr>
                <w:sz w:val="20"/>
                <w:szCs w:val="20"/>
                <w:color w:val="auto"/>
              </w:rPr>
            </w:pPr>
            <w:r>
              <w:rPr>
                <w:rFonts w:ascii="Arial" w:cs="Arial" w:eastAsia="Arial" w:hAnsi="Arial"/>
                <w:sz w:val="12"/>
                <w:szCs w:val="12"/>
                <w:color w:val="auto"/>
              </w:rPr>
              <w:t>Brick Plaza</w:t>
            </w:r>
          </w:p>
        </w:tc>
        <w:tc>
          <w:tcPr>
            <w:tcW w:w="360" w:type="dxa"/>
            <w:vAlign w:val="bottom"/>
            <w:shd w:val="clear" w:color="auto" w:fill="CCEEFF"/>
          </w:tcPr>
          <w:p>
            <w:pPr>
              <w:spacing w:after="0"/>
              <w:rPr>
                <w:sz w:val="10"/>
                <w:szCs w:val="10"/>
                <w:color w:val="auto"/>
              </w:rPr>
            </w:pPr>
          </w:p>
        </w:tc>
        <w:tc>
          <w:tcPr>
            <w:tcW w:w="1880" w:type="dxa"/>
            <w:vAlign w:val="bottom"/>
            <w:gridSpan w:val="3"/>
            <w:shd w:val="clear" w:color="auto" w:fill="CCEEFF"/>
          </w:tcPr>
          <w:p>
            <w:pPr>
              <w:ind w:left="60"/>
              <w:spacing w:after="0" w:line="120" w:lineRule="exact"/>
              <w:rPr>
                <w:sz w:val="20"/>
                <w:szCs w:val="20"/>
                <w:color w:val="auto"/>
              </w:rPr>
            </w:pPr>
            <w:r>
              <w:rPr>
                <w:rFonts w:ascii="Arial" w:cs="Arial" w:eastAsia="Arial" w:hAnsi="Arial"/>
                <w:sz w:val="12"/>
                <w:szCs w:val="12"/>
                <w:color w:val="auto"/>
              </w:rPr>
              <w:t>Monmouth-Ocean, NJ</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1989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58,144</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29,099</w:t>
            </w: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409,000</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95%</w:t>
            </w:r>
          </w:p>
        </w:tc>
        <w:tc>
          <w:tcPr>
            <w:tcW w:w="54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66,000</w:t>
            </w:r>
          </w:p>
        </w:tc>
        <w:tc>
          <w:tcPr>
            <w:tcW w:w="860" w:type="dxa"/>
            <w:vAlign w:val="bottom"/>
            <w:gridSpan w:val="3"/>
            <w:shd w:val="clear" w:color="auto" w:fill="CCEEFF"/>
          </w:tcPr>
          <w:p>
            <w:pPr>
              <w:ind w:left="80"/>
              <w:spacing w:after="0" w:line="120" w:lineRule="exact"/>
              <w:rPr>
                <w:sz w:val="20"/>
                <w:szCs w:val="20"/>
                <w:color w:val="auto"/>
              </w:rPr>
            </w:pPr>
            <w:r>
              <w:rPr>
                <w:rFonts w:ascii="Arial" w:cs="Arial" w:eastAsia="Arial" w:hAnsi="Arial"/>
                <w:sz w:val="12"/>
                <w:szCs w:val="12"/>
                <w:color w:val="auto"/>
              </w:rPr>
              <w:t>A&amp;P</w:t>
            </w:r>
          </w:p>
        </w:tc>
        <w:tc>
          <w:tcPr>
            <w:tcW w:w="17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AMC Loews / Barnes &amp; Noble /</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Sports Authority</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Forest Hills</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New York, NY</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8,142</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48,000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97%</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Midway Theatre</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Fresh Meadows</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New York, NY</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72,019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405,000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97%</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Kohl’s / AMC Loews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Hauppauge</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Nassau-Suffolk, NY</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1998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28,016</w:t>
            </w:r>
          </w:p>
        </w:tc>
        <w:tc>
          <w:tcPr>
            <w:tcW w:w="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14,864</w:t>
            </w: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133,000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w:t>
            </w:r>
          </w:p>
        </w:tc>
        <w:tc>
          <w:tcPr>
            <w:tcW w:w="5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61,000</w:t>
            </w:r>
          </w:p>
        </w:tc>
        <w:tc>
          <w:tcPr>
            <w:tcW w:w="860" w:type="dxa"/>
            <w:vAlign w:val="bottom"/>
            <w:gridSpan w:val="3"/>
          </w:tcPr>
          <w:p>
            <w:pPr>
              <w:ind w:left="80"/>
              <w:spacing w:after="0" w:line="136" w:lineRule="exact"/>
              <w:rPr>
                <w:sz w:val="20"/>
                <w:szCs w:val="20"/>
                <w:color w:val="auto"/>
              </w:rPr>
            </w:pPr>
            <w:r>
              <w:rPr>
                <w:rFonts w:ascii="Arial" w:cs="Arial" w:eastAsia="Arial" w:hAnsi="Arial"/>
                <w:sz w:val="12"/>
                <w:szCs w:val="12"/>
                <w:color w:val="auto"/>
              </w:rPr>
              <w:t>Shop Rite</w:t>
            </w: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AC Moore</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Huntington</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Nassau-Suffolk, NY</w:t>
            </w:r>
          </w:p>
        </w:tc>
        <w:tc>
          <w:tcPr>
            <w:tcW w:w="68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1988/2007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38,782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292,000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100%</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w w:val="98"/>
              </w:rPr>
              <w:t>Buy Buy Baby / Toys R Us / Bed,</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6"/>
              </w:rPr>
              <w:t>Bath &amp; Beyond / Barnes &amp; Noble /</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Michaels</w:t>
            </w:r>
          </w:p>
        </w:tc>
        <w:tc>
          <w:tcPr>
            <w:tcW w:w="0" w:type="dxa"/>
            <w:vAlign w:val="bottom"/>
          </w:tcPr>
          <w:p>
            <w:pPr>
              <w:spacing w:after="0"/>
              <w:rPr>
                <w:sz w:val="1"/>
                <w:szCs w:val="1"/>
                <w:color w:val="auto"/>
              </w:rPr>
            </w:pPr>
          </w:p>
        </w:tc>
      </w:tr>
      <w:tr>
        <w:trPr>
          <w:trHeight w:val="136"/>
        </w:trPr>
        <w:tc>
          <w:tcPr>
            <w:tcW w:w="2200" w:type="dxa"/>
            <w:vAlign w:val="bottom"/>
            <w:gridSpan w:val="6"/>
          </w:tcPr>
          <w:p>
            <w:pPr>
              <w:spacing w:after="0" w:line="136" w:lineRule="exact"/>
              <w:rPr>
                <w:sz w:val="20"/>
                <w:szCs w:val="20"/>
                <w:color w:val="auto"/>
              </w:rPr>
            </w:pPr>
            <w:r>
              <w:rPr>
                <w:rFonts w:ascii="Arial" w:cs="Arial" w:eastAsia="Arial" w:hAnsi="Arial"/>
                <w:sz w:val="12"/>
                <w:szCs w:val="12"/>
                <w:color w:val="auto"/>
              </w:rPr>
              <w:t>Huntington Square</w:t>
            </w:r>
          </w:p>
        </w:tc>
        <w:tc>
          <w:tcPr>
            <w:tcW w:w="360" w:type="dxa"/>
            <w:vAlign w:val="bottom"/>
          </w:tcPr>
          <w:p>
            <w:pPr>
              <w:spacing w:after="0"/>
              <w:rPr>
                <w:sz w:val="11"/>
                <w:szCs w:val="11"/>
                <w:color w:val="auto"/>
              </w:rPr>
            </w:pPr>
          </w:p>
        </w:tc>
        <w:tc>
          <w:tcPr>
            <w:tcW w:w="188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Nassau-Suffolk, NY</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2010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10,083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74,000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89%</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line="136" w:lineRule="exact"/>
              <w:rPr>
                <w:sz w:val="20"/>
                <w:szCs w:val="20"/>
                <w:color w:val="auto"/>
              </w:rPr>
            </w:pPr>
            <w:r>
              <w:rPr>
                <w:rFonts w:ascii="Arial" w:cs="Arial" w:eastAsia="Arial" w:hAnsi="Arial"/>
                <w:sz w:val="12"/>
                <w:szCs w:val="12"/>
                <w:color w:val="auto"/>
              </w:rPr>
              <w:t>Barnes &amp; Noble</w:t>
            </w:r>
          </w:p>
        </w:tc>
        <w:tc>
          <w:tcPr>
            <w:tcW w:w="0" w:type="dxa"/>
            <w:vAlign w:val="bottom"/>
          </w:tcPr>
          <w:p>
            <w:pPr>
              <w:spacing w:after="0"/>
              <w:rPr>
                <w:sz w:val="1"/>
                <w:szCs w:val="1"/>
                <w:color w:val="auto"/>
              </w:rPr>
            </w:pPr>
          </w:p>
        </w:tc>
      </w:tr>
      <w:tr>
        <w:trPr>
          <w:trHeight w:val="127"/>
        </w:trPr>
        <w:tc>
          <w:tcPr>
            <w:tcW w:w="2200" w:type="dxa"/>
            <w:vAlign w:val="bottom"/>
            <w:gridSpan w:val="6"/>
            <w:shd w:val="clear" w:color="auto" w:fill="CCEEFF"/>
          </w:tcPr>
          <w:p>
            <w:pPr>
              <w:spacing w:after="0" w:line="127" w:lineRule="exact"/>
              <w:rPr>
                <w:sz w:val="20"/>
                <w:szCs w:val="20"/>
                <w:color w:val="auto"/>
              </w:rPr>
            </w:pPr>
            <w:r>
              <w:rPr>
                <w:rFonts w:ascii="Arial" w:cs="Arial" w:eastAsia="Arial" w:hAnsi="Arial"/>
                <w:sz w:val="12"/>
                <w:szCs w:val="12"/>
                <w:color w:val="auto"/>
              </w:rPr>
              <w:t>Melville Mall</w:t>
            </w:r>
          </w:p>
        </w:tc>
        <w:tc>
          <w:tcPr>
            <w:tcW w:w="3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w:t>
            </w:r>
          </w:p>
        </w:tc>
        <w:tc>
          <w:tcPr>
            <w:tcW w:w="1880" w:type="dxa"/>
            <w:vAlign w:val="bottom"/>
            <w:gridSpan w:val="3"/>
            <w:shd w:val="clear" w:color="auto" w:fill="CCEEFF"/>
          </w:tcPr>
          <w:p>
            <w:pPr>
              <w:ind w:left="60"/>
              <w:spacing w:after="0" w:line="127" w:lineRule="exact"/>
              <w:rPr>
                <w:sz w:val="20"/>
                <w:szCs w:val="20"/>
                <w:color w:val="auto"/>
              </w:rPr>
            </w:pPr>
            <w:r>
              <w:rPr>
                <w:rFonts w:ascii="Arial" w:cs="Arial" w:eastAsia="Arial" w:hAnsi="Arial"/>
                <w:sz w:val="12"/>
                <w:szCs w:val="12"/>
                <w:color w:val="auto"/>
              </w:rPr>
              <w:t>Nassau-Suffolk, NY</w:t>
            </w:r>
          </w:p>
        </w:tc>
        <w:tc>
          <w:tcPr>
            <w:tcW w:w="6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68,773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22,703</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247,000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100%</w:t>
            </w:r>
          </w:p>
        </w:tc>
        <w:tc>
          <w:tcPr>
            <w:tcW w:w="54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54,000</w:t>
            </w:r>
          </w:p>
        </w:tc>
        <w:tc>
          <w:tcPr>
            <w:tcW w:w="860" w:type="dxa"/>
            <w:vAlign w:val="bottom"/>
            <w:gridSpan w:val="3"/>
            <w:shd w:val="clear" w:color="auto" w:fill="CCEEFF"/>
          </w:tcPr>
          <w:p>
            <w:pPr>
              <w:ind w:left="80"/>
              <w:spacing w:after="0" w:line="127" w:lineRule="exact"/>
              <w:rPr>
                <w:sz w:val="20"/>
                <w:szCs w:val="20"/>
                <w:color w:val="auto"/>
              </w:rPr>
            </w:pPr>
            <w:r>
              <w:rPr>
                <w:rFonts w:ascii="Arial" w:cs="Arial" w:eastAsia="Arial" w:hAnsi="Arial"/>
                <w:sz w:val="12"/>
                <w:szCs w:val="12"/>
                <w:color w:val="auto"/>
              </w:rPr>
              <w:t>Waldbaum’s</w:t>
            </w:r>
          </w:p>
        </w:tc>
        <w:tc>
          <w:tcPr>
            <w:tcW w:w="17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Dick’s Sporting Goods / Kohl’s /</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2"/>
                <w:szCs w:val="12"/>
                <w:color w:val="auto"/>
              </w:rPr>
              <w:t>Marshalls</w:t>
            </w:r>
          </w:p>
        </w:tc>
        <w:tc>
          <w:tcPr>
            <w:tcW w:w="0" w:type="dxa"/>
            <w:vAlign w:val="bottom"/>
          </w:tcPr>
          <w:p>
            <w:pPr>
              <w:spacing w:after="0"/>
              <w:rPr>
                <w:sz w:val="1"/>
                <w:szCs w:val="1"/>
                <w:color w:val="auto"/>
              </w:rPr>
            </w:pPr>
          </w:p>
        </w:tc>
      </w:tr>
      <w:tr>
        <w:trPr>
          <w:trHeight w:val="127"/>
        </w:trPr>
        <w:tc>
          <w:tcPr>
            <w:tcW w:w="2200" w:type="dxa"/>
            <w:vAlign w:val="bottom"/>
            <w:gridSpan w:val="6"/>
          </w:tcPr>
          <w:p>
            <w:pPr>
              <w:spacing w:after="0" w:line="127" w:lineRule="exact"/>
              <w:rPr>
                <w:sz w:val="20"/>
                <w:szCs w:val="20"/>
                <w:color w:val="auto"/>
              </w:rPr>
            </w:pPr>
            <w:r>
              <w:rPr>
                <w:rFonts w:ascii="Arial" w:cs="Arial" w:eastAsia="Arial" w:hAnsi="Arial"/>
                <w:sz w:val="12"/>
                <w:szCs w:val="12"/>
                <w:color w:val="auto"/>
              </w:rPr>
              <w:t>Mercer Mall</w:t>
            </w:r>
          </w:p>
        </w:tc>
        <w:tc>
          <w:tcPr>
            <w:tcW w:w="360" w:type="dxa"/>
            <w:vAlign w:val="bottom"/>
          </w:tcPr>
          <w:p>
            <w:pPr>
              <w:jc w:val="right"/>
              <w:spacing w:after="0" w:line="127" w:lineRule="exact"/>
              <w:rPr>
                <w:sz w:val="20"/>
                <w:szCs w:val="20"/>
                <w:color w:val="auto"/>
              </w:rPr>
            </w:pPr>
            <w:r>
              <w:rPr>
                <w:rFonts w:ascii="Arial" w:cs="Arial" w:eastAsia="Arial" w:hAnsi="Arial"/>
                <w:sz w:val="12"/>
                <w:szCs w:val="12"/>
                <w:color w:val="auto"/>
              </w:rPr>
              <w:t>(3)</w:t>
            </w:r>
          </w:p>
        </w:tc>
        <w:tc>
          <w:tcPr>
            <w:tcW w:w="1880" w:type="dxa"/>
            <w:vAlign w:val="bottom"/>
            <w:gridSpan w:val="3"/>
          </w:tcPr>
          <w:p>
            <w:pPr>
              <w:ind w:left="60"/>
              <w:spacing w:after="0" w:line="127" w:lineRule="exact"/>
              <w:rPr>
                <w:sz w:val="20"/>
                <w:szCs w:val="20"/>
                <w:color w:val="auto"/>
              </w:rPr>
            </w:pPr>
            <w:r>
              <w:rPr>
                <w:rFonts w:ascii="Arial" w:cs="Arial" w:eastAsia="Arial" w:hAnsi="Arial"/>
                <w:sz w:val="12"/>
                <w:szCs w:val="12"/>
                <w:color w:val="auto"/>
              </w:rPr>
              <w:t>Trenton, NJ</w:t>
            </w:r>
          </w:p>
        </w:tc>
        <w:tc>
          <w:tcPr>
            <w:tcW w:w="600" w:type="dxa"/>
            <w:vAlign w:val="bottom"/>
          </w:tcPr>
          <w:p>
            <w:pPr>
              <w:jc w:val="right"/>
              <w:spacing w:after="0" w:line="127" w:lineRule="exact"/>
              <w:rPr>
                <w:sz w:val="20"/>
                <w:szCs w:val="20"/>
                <w:color w:val="auto"/>
              </w:rPr>
            </w:pPr>
            <w:r>
              <w:rPr>
                <w:rFonts w:ascii="Arial" w:cs="Arial" w:eastAsia="Arial" w:hAnsi="Arial"/>
                <w:sz w:val="12"/>
                <w:szCs w:val="12"/>
                <w:color w:val="auto"/>
              </w:rPr>
              <w:t>2003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105,055</w:t>
            </w:r>
          </w:p>
        </w:tc>
        <w:tc>
          <w:tcPr>
            <w:tcW w:w="8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Arial" w:cs="Arial" w:eastAsia="Arial" w:hAnsi="Arial"/>
                <w:sz w:val="12"/>
                <w:szCs w:val="12"/>
                <w:color w:val="auto"/>
              </w:rPr>
              <w:t>48,000</w:t>
            </w:r>
          </w:p>
        </w:tc>
        <w:tc>
          <w:tcPr>
            <w:tcW w:w="160" w:type="dxa"/>
            <w:vAlign w:val="bottom"/>
          </w:tcPr>
          <w:p>
            <w:pPr>
              <w:spacing w:after="0"/>
              <w:rPr>
                <w:sz w:val="11"/>
                <w:szCs w:val="11"/>
                <w:color w:val="auto"/>
              </w:rPr>
            </w:pPr>
          </w:p>
        </w:tc>
        <w:tc>
          <w:tcPr>
            <w:tcW w:w="520" w:type="dxa"/>
            <w:vAlign w:val="bottom"/>
          </w:tcPr>
          <w:p>
            <w:pPr>
              <w:jc w:val="right"/>
              <w:spacing w:after="0" w:line="127" w:lineRule="exact"/>
              <w:rPr>
                <w:sz w:val="20"/>
                <w:szCs w:val="20"/>
                <w:color w:val="auto"/>
              </w:rPr>
            </w:pPr>
            <w:r>
              <w:rPr>
                <w:rFonts w:ascii="Arial" w:cs="Arial" w:eastAsia="Arial" w:hAnsi="Arial"/>
                <w:sz w:val="12"/>
                <w:szCs w:val="12"/>
                <w:color w:val="auto"/>
              </w:rPr>
              <w:t>500,000</w:t>
            </w:r>
          </w:p>
        </w:tc>
        <w:tc>
          <w:tcPr>
            <w:tcW w:w="160" w:type="dxa"/>
            <w:vAlign w:val="bottom"/>
          </w:tcPr>
          <w:p>
            <w:pPr>
              <w:spacing w:after="0"/>
              <w:rPr>
                <w:sz w:val="11"/>
                <w:szCs w:val="11"/>
                <w:color w:val="auto"/>
              </w:rPr>
            </w:pPr>
          </w:p>
        </w:tc>
        <w:tc>
          <w:tcPr>
            <w:tcW w:w="600" w:type="dxa"/>
            <w:vAlign w:val="bottom"/>
            <w:gridSpan w:val="2"/>
          </w:tcPr>
          <w:p>
            <w:pPr>
              <w:jc w:val="right"/>
              <w:ind w:right="120"/>
              <w:spacing w:after="0" w:line="127" w:lineRule="exact"/>
              <w:rPr>
                <w:sz w:val="20"/>
                <w:szCs w:val="20"/>
                <w:color w:val="auto"/>
              </w:rPr>
            </w:pPr>
            <w:r>
              <w:rPr>
                <w:rFonts w:ascii="Arial" w:cs="Arial" w:eastAsia="Arial" w:hAnsi="Arial"/>
                <w:sz w:val="12"/>
                <w:szCs w:val="12"/>
                <w:color w:val="auto"/>
              </w:rPr>
              <w:t>98%</w:t>
            </w:r>
          </w:p>
        </w:tc>
        <w:tc>
          <w:tcPr>
            <w:tcW w:w="54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75,000</w:t>
            </w:r>
          </w:p>
        </w:tc>
        <w:tc>
          <w:tcPr>
            <w:tcW w:w="860" w:type="dxa"/>
            <w:vAlign w:val="bottom"/>
            <w:gridSpan w:val="3"/>
          </w:tcPr>
          <w:p>
            <w:pPr>
              <w:ind w:left="80"/>
              <w:spacing w:after="0" w:line="127" w:lineRule="exact"/>
              <w:rPr>
                <w:sz w:val="20"/>
                <w:szCs w:val="20"/>
                <w:color w:val="auto"/>
              </w:rPr>
            </w:pPr>
            <w:r>
              <w:rPr>
                <w:rFonts w:ascii="Arial" w:cs="Arial" w:eastAsia="Arial" w:hAnsi="Arial"/>
                <w:sz w:val="12"/>
                <w:szCs w:val="12"/>
                <w:color w:val="auto"/>
              </w:rPr>
              <w:t>Shop Rite</w:t>
            </w:r>
          </w:p>
        </w:tc>
        <w:tc>
          <w:tcPr>
            <w:tcW w:w="1760" w:type="dxa"/>
            <w:vAlign w:val="bottom"/>
          </w:tcPr>
          <w:p>
            <w:pPr>
              <w:spacing w:after="0" w:line="127" w:lineRule="exact"/>
              <w:rPr>
                <w:sz w:val="20"/>
                <w:szCs w:val="20"/>
                <w:color w:val="auto"/>
              </w:rPr>
            </w:pPr>
            <w:r>
              <w:rPr>
                <w:rFonts w:ascii="Arial" w:cs="Arial" w:eastAsia="Arial" w:hAnsi="Arial"/>
                <w:sz w:val="12"/>
                <w:szCs w:val="12"/>
                <w:color w:val="auto"/>
              </w:rPr>
              <w:t>Bed, Bath &amp; Beyond / DSW / TJ</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Maxx / Raymour &amp; Flanigan</w:t>
            </w:r>
          </w:p>
        </w:tc>
        <w:tc>
          <w:tcPr>
            <w:tcW w:w="0" w:type="dxa"/>
            <w:vAlign w:val="bottom"/>
          </w:tcPr>
          <w:p>
            <w:pPr>
              <w:spacing w:after="0"/>
              <w:rPr>
                <w:sz w:val="1"/>
                <w:szCs w:val="1"/>
                <w:color w:val="auto"/>
              </w:rPr>
            </w:pPr>
          </w:p>
        </w:tc>
      </w:tr>
      <w:tr>
        <w:trPr>
          <w:trHeight w:val="136"/>
        </w:trPr>
        <w:tc>
          <w:tcPr>
            <w:tcW w:w="2200" w:type="dxa"/>
            <w:vAlign w:val="bottom"/>
            <w:gridSpan w:val="6"/>
            <w:shd w:val="clear" w:color="auto" w:fill="CCEEFF"/>
          </w:tcPr>
          <w:p>
            <w:pPr>
              <w:spacing w:after="0" w:line="136" w:lineRule="exact"/>
              <w:rPr>
                <w:sz w:val="20"/>
                <w:szCs w:val="20"/>
                <w:color w:val="auto"/>
              </w:rPr>
            </w:pPr>
            <w:r>
              <w:rPr>
                <w:rFonts w:ascii="Arial" w:cs="Arial" w:eastAsia="Arial" w:hAnsi="Arial"/>
                <w:sz w:val="12"/>
                <w:szCs w:val="12"/>
                <w:color w:val="auto"/>
              </w:rPr>
              <w:t>Troy</w:t>
            </w:r>
          </w:p>
        </w:tc>
        <w:tc>
          <w:tcPr>
            <w:tcW w:w="36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60"/>
              <w:spacing w:after="0" w:line="136" w:lineRule="exact"/>
              <w:rPr>
                <w:sz w:val="20"/>
                <w:szCs w:val="20"/>
                <w:color w:val="auto"/>
              </w:rPr>
            </w:pPr>
            <w:r>
              <w:rPr>
                <w:rFonts w:ascii="Arial" w:cs="Arial" w:eastAsia="Arial" w:hAnsi="Arial"/>
                <w:sz w:val="12"/>
                <w:szCs w:val="12"/>
                <w:color w:val="auto"/>
              </w:rPr>
              <w:t>Newark, NJ</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1980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26,421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207,000</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99%</w:t>
            </w:r>
          </w:p>
        </w:tc>
        <w:tc>
          <w:tcPr>
            <w:tcW w:w="5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64,000</w:t>
            </w:r>
          </w:p>
        </w:tc>
        <w:tc>
          <w:tcPr>
            <w:tcW w:w="860" w:type="dxa"/>
            <w:vAlign w:val="bottom"/>
            <w:gridSpan w:val="3"/>
            <w:shd w:val="clear" w:color="auto" w:fill="CCEEFF"/>
          </w:tcPr>
          <w:p>
            <w:pPr>
              <w:ind w:left="80"/>
              <w:spacing w:after="0" w:line="136" w:lineRule="exact"/>
              <w:rPr>
                <w:sz w:val="20"/>
                <w:szCs w:val="20"/>
                <w:color w:val="auto"/>
              </w:rPr>
            </w:pPr>
            <w:r>
              <w:rPr>
                <w:rFonts w:ascii="Arial" w:cs="Arial" w:eastAsia="Arial" w:hAnsi="Arial"/>
                <w:sz w:val="12"/>
                <w:szCs w:val="12"/>
                <w:color w:val="auto"/>
              </w:rPr>
              <w:t>Pathmark</w:t>
            </w: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L.A. Fitness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Total New York / New Jersey</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415,435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2,315,000</w:t>
            </w:r>
          </w:p>
        </w:tc>
        <w:tc>
          <w:tcPr>
            <w:tcW w:w="1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98%</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11420"/>
          </w:cols>
          <w:pgMar w:left="240" w:top="262" w:right="239" w:bottom="58" w:gutter="0" w:footer="0" w:header="0"/>
        </w:sect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262" w:right="239" w:bottom="58" w:gutter="0" w:footer="0" w:header="0"/>
          <w:type w:val="continuous"/>
        </w:sectPr>
      </w:pPr>
    </w:p>
    <w:bookmarkStart w:id="21" w:name="page22"/>
    <w:bookmarkEnd w:id="21"/>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Real Estate Status Report</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Mortgage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8"/>
              </w:rPr>
              <w:t>and/or</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Real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9"/>
              </w:rPr>
              <w:t>Capital</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w w:val="91"/>
              </w:rPr>
              <w:t>Grocery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Other Principal</w:t>
            </w:r>
          </w:p>
        </w:tc>
        <w:tc>
          <w:tcPr>
            <w:tcW w:w="0" w:type="dxa"/>
            <w:vAlign w:val="bottom"/>
          </w:tcPr>
          <w:p>
            <w:pPr>
              <w:spacing w:after="0"/>
              <w:rPr>
                <w:sz w:val="1"/>
                <w:szCs w:val="1"/>
                <w:color w:val="auto"/>
              </w:rPr>
            </w:pPr>
          </w:p>
        </w:tc>
      </w:tr>
      <w:tr>
        <w:trPr>
          <w:trHeight w:val="124"/>
        </w:trPr>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98"/>
              <w:spacing w:after="0" w:line="124" w:lineRule="exact"/>
              <w:rPr>
                <w:sz w:val="20"/>
                <w:szCs w:val="20"/>
                <w:color w:val="auto"/>
              </w:rPr>
            </w:pPr>
            <w:r>
              <w:rPr>
                <w:rFonts w:ascii="Arial" w:cs="Arial" w:eastAsia="Arial" w:hAnsi="Arial"/>
                <w:sz w:val="12"/>
                <w:szCs w:val="12"/>
                <w:b w:val="1"/>
                <w:bCs w:val="1"/>
                <w:color w:val="auto"/>
              </w:rPr>
              <w:t>Year</w:t>
            </w:r>
          </w:p>
        </w:tc>
        <w:tc>
          <w:tcPr>
            <w:tcW w:w="160" w:type="dxa"/>
            <w:vAlign w:val="bottom"/>
          </w:tcPr>
          <w:p>
            <w:pPr>
              <w:spacing w:after="0"/>
              <w:rPr>
                <w:sz w:val="10"/>
                <w:szCs w:val="10"/>
                <w:color w:val="auto"/>
              </w:rPr>
            </w:pPr>
          </w:p>
        </w:tc>
        <w:tc>
          <w:tcPr>
            <w:tcW w:w="72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Estate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8"/>
              </w:rPr>
              <w:t>Lease</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20"/>
              <w:spacing w:after="0" w:line="124" w:lineRule="exact"/>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0"/>
                <w:szCs w:val="10"/>
                <w:color w:val="auto"/>
              </w:rPr>
            </w:pPr>
          </w:p>
        </w:tc>
        <w:tc>
          <w:tcPr>
            <w:tcW w:w="60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95"/>
              </w:rPr>
              <w:t>Anchor</w:t>
            </w:r>
          </w:p>
        </w:tc>
        <w:tc>
          <w:tcPr>
            <w:tcW w:w="800" w:type="dxa"/>
            <w:vAlign w:val="bottom"/>
            <w:gridSpan w:val="2"/>
          </w:tcPr>
          <w:p>
            <w:pPr>
              <w:ind w:left="140"/>
              <w:spacing w:after="0" w:line="124" w:lineRule="exact"/>
              <w:rPr>
                <w:sz w:val="20"/>
                <w:szCs w:val="20"/>
                <w:color w:val="auto"/>
              </w:rPr>
            </w:pPr>
            <w:r>
              <w:rPr>
                <w:rFonts w:ascii="Arial" w:cs="Arial" w:eastAsia="Arial" w:hAnsi="Arial"/>
                <w:sz w:val="12"/>
                <w:szCs w:val="12"/>
                <w:b w:val="1"/>
                <w:bCs w:val="1"/>
                <w:color w:val="auto"/>
              </w:rPr>
              <w:t>Grocery</w:t>
            </w:r>
          </w:p>
        </w:tc>
        <w:tc>
          <w:tcPr>
            <w:tcW w:w="8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Property Name</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gridSpan w:val="2"/>
          </w:tcPr>
          <w:p>
            <w:pPr>
              <w:ind w:left="520"/>
              <w:spacing w:after="0"/>
              <w:rPr>
                <w:sz w:val="20"/>
                <w:szCs w:val="20"/>
                <w:color w:val="auto"/>
              </w:rPr>
            </w:pPr>
            <w:r>
              <w:rPr>
                <w:rFonts w:ascii="Arial" w:cs="Arial" w:eastAsia="Arial" w:hAnsi="Arial"/>
                <w:sz w:val="12"/>
                <w:szCs w:val="12"/>
                <w:b w:val="1"/>
                <w:bCs w:val="1"/>
                <w:color w:val="auto"/>
              </w:rPr>
              <w:t>MSA Description</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88"/>
              </w:rPr>
              <w:t>at Cost</w:t>
            </w:r>
          </w:p>
        </w:tc>
        <w:tc>
          <w:tcPr>
            <w:tcW w:w="160" w:type="dxa"/>
            <w:vAlign w:val="bottom"/>
          </w:tcPr>
          <w:p>
            <w:pPr>
              <w:spacing w:after="0"/>
              <w:rPr>
                <w:sz w:val="13"/>
                <w:szCs w:val="13"/>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3"/>
              </w:rPr>
              <w:t>Obligation (1)</w:t>
            </w:r>
          </w:p>
        </w:tc>
        <w:tc>
          <w:tcPr>
            <w:tcW w:w="6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GLA (2)</w:t>
            </w:r>
          </w:p>
        </w:tc>
        <w:tc>
          <w:tcPr>
            <w:tcW w:w="7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1"/>
              </w:rPr>
              <w:t>Leased</w:t>
            </w: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GLA</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Anchor</w:t>
            </w:r>
          </w:p>
        </w:tc>
        <w:tc>
          <w:tcPr>
            <w:tcW w:w="8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1"/>
              </w:rPr>
              <w:t>Tenants</w:t>
            </w:r>
          </w:p>
        </w:tc>
        <w:tc>
          <w:tcPr>
            <w:tcW w:w="0" w:type="dxa"/>
            <w:vAlign w:val="bottom"/>
          </w:tcPr>
          <w:p>
            <w:pPr>
              <w:spacing w:after="0"/>
              <w:rPr>
                <w:sz w:val="1"/>
                <w:szCs w:val="1"/>
                <w:color w:val="auto"/>
              </w:rPr>
            </w:pPr>
          </w:p>
        </w:tc>
      </w:tr>
      <w:tr>
        <w:trPr>
          <w:trHeight w:val="156"/>
        </w:trPr>
        <w:tc>
          <w:tcPr>
            <w:tcW w:w="4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2"/>
              </w:rPr>
              <w:t>(in thousands)</w:t>
            </w:r>
          </w:p>
        </w:tc>
        <w:tc>
          <w:tcPr>
            <w:tcW w:w="16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w w:val="94"/>
              </w:rPr>
              <w:t>(in thousands)</w:t>
            </w: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00" w:type="dxa"/>
            <w:vAlign w:val="bottom"/>
            <w:shd w:val="clear" w:color="auto" w:fill="CCEEFF"/>
          </w:tcPr>
          <w:p>
            <w:pPr>
              <w:spacing w:after="0"/>
              <w:rPr>
                <w:sz w:val="10"/>
                <w:szCs w:val="10"/>
                <w:color w:val="auto"/>
              </w:rPr>
            </w:pPr>
          </w:p>
        </w:tc>
        <w:tc>
          <w:tcPr>
            <w:tcW w:w="110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New England</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00" w:type="dxa"/>
            <w:vAlign w:val="bottom"/>
            <w:gridSpan w:val="5"/>
          </w:tcPr>
          <w:p>
            <w:pPr>
              <w:spacing w:after="0" w:line="120" w:lineRule="exact"/>
              <w:rPr>
                <w:sz w:val="20"/>
                <w:szCs w:val="20"/>
                <w:color w:val="auto"/>
              </w:rPr>
            </w:pPr>
            <w:r>
              <w:rPr>
                <w:rFonts w:ascii="Arial" w:cs="Arial" w:eastAsia="Arial" w:hAnsi="Arial"/>
                <w:sz w:val="12"/>
                <w:szCs w:val="12"/>
                <w:color w:val="auto"/>
              </w:rPr>
              <w:t>Assembly Square</w:t>
            </w:r>
          </w:p>
        </w:tc>
        <w:tc>
          <w:tcPr>
            <w:tcW w:w="380" w:type="dxa"/>
            <w:vAlign w:val="bottom"/>
          </w:tcPr>
          <w:p>
            <w:pPr>
              <w:spacing w:after="0"/>
              <w:rPr>
                <w:sz w:val="10"/>
                <w:szCs w:val="10"/>
                <w:color w:val="auto"/>
              </w:rPr>
            </w:pPr>
          </w:p>
        </w:tc>
        <w:tc>
          <w:tcPr>
            <w:tcW w:w="2100" w:type="dxa"/>
            <w:vAlign w:val="bottom"/>
            <w:gridSpan w:val="3"/>
          </w:tcPr>
          <w:p>
            <w:pPr>
              <w:ind w:left="40"/>
              <w:spacing w:after="0" w:line="120" w:lineRule="exact"/>
              <w:rPr>
                <w:sz w:val="20"/>
                <w:szCs w:val="20"/>
                <w:color w:val="auto"/>
              </w:rPr>
            </w:pPr>
            <w:r>
              <w:rPr>
                <w:rFonts w:ascii="Arial" w:cs="Arial" w:eastAsia="Arial" w:hAnsi="Arial"/>
                <w:sz w:val="12"/>
                <w:szCs w:val="12"/>
                <w:color w:val="auto"/>
              </w:rPr>
              <w:t>Boston-Cambridge-Quincy, MA-NH</w:t>
            </w:r>
          </w:p>
        </w:tc>
        <w:tc>
          <w:tcPr>
            <w:tcW w:w="580" w:type="dxa"/>
            <w:vAlign w:val="bottom"/>
          </w:tcPr>
          <w:p>
            <w:pPr>
              <w:jc w:val="right"/>
              <w:spacing w:after="0" w:line="120" w:lineRule="exact"/>
              <w:rPr>
                <w:sz w:val="20"/>
                <w:szCs w:val="20"/>
                <w:color w:val="auto"/>
              </w:rPr>
            </w:pPr>
            <w:r>
              <w:rPr>
                <w:rFonts w:ascii="Arial" w:cs="Arial" w:eastAsia="Arial" w:hAnsi="Arial"/>
                <w:sz w:val="12"/>
                <w:szCs w:val="12"/>
                <w:color w:val="auto"/>
                <w:w w:val="97"/>
              </w:rPr>
              <w:t>2005-2010</w:t>
            </w:r>
          </w:p>
        </w:tc>
        <w:tc>
          <w:tcPr>
            <w:tcW w:w="88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202,903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332,000</w:t>
            </w:r>
          </w:p>
        </w:tc>
        <w:tc>
          <w:tcPr>
            <w:tcW w:w="720" w:type="dxa"/>
            <w:vAlign w:val="bottom"/>
            <w:gridSpan w:val="3"/>
          </w:tcPr>
          <w:p>
            <w:pPr>
              <w:jc w:val="right"/>
              <w:ind w:right="160"/>
              <w:spacing w:after="0" w:line="120" w:lineRule="exact"/>
              <w:rPr>
                <w:sz w:val="20"/>
                <w:szCs w:val="20"/>
                <w:color w:val="auto"/>
              </w:rPr>
            </w:pPr>
            <w:r>
              <w:rPr>
                <w:rFonts w:ascii="Arial" w:cs="Arial" w:eastAsia="Arial" w:hAnsi="Arial"/>
                <w:sz w:val="12"/>
                <w:szCs w:val="12"/>
                <w:color w:val="auto"/>
              </w:rPr>
              <w:t>100%</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2"/>
          </w:tcPr>
          <w:p>
            <w:pPr>
              <w:ind w:left="80"/>
              <w:spacing w:after="0" w:line="120" w:lineRule="exact"/>
              <w:rPr>
                <w:sz w:val="20"/>
                <w:szCs w:val="20"/>
                <w:color w:val="auto"/>
              </w:rPr>
            </w:pPr>
            <w:r>
              <w:rPr>
                <w:rFonts w:ascii="Arial" w:cs="Arial" w:eastAsia="Arial" w:hAnsi="Arial"/>
                <w:sz w:val="12"/>
                <w:szCs w:val="12"/>
                <w:color w:val="auto"/>
              </w:rPr>
              <w:t>AC Moore / Bed, Bath &amp; Beyond /</w:t>
            </w:r>
          </w:p>
        </w:tc>
        <w:tc>
          <w:tcPr>
            <w:tcW w:w="0" w:type="dxa"/>
            <w:vAlign w:val="bottom"/>
          </w:tcPr>
          <w:p>
            <w:pPr>
              <w:spacing w:after="0"/>
              <w:rPr>
                <w:sz w:val="1"/>
                <w:szCs w:val="1"/>
                <w:color w:val="auto"/>
              </w:rPr>
            </w:pPr>
          </w:p>
        </w:tc>
      </w:tr>
      <w:tr>
        <w:trPr>
          <w:trHeight w:val="136"/>
        </w:trPr>
        <w:tc>
          <w:tcPr>
            <w:tcW w:w="1500" w:type="dxa"/>
            <w:vAlign w:val="bottom"/>
            <w:gridSpan w:val="5"/>
          </w:tcPr>
          <w:p>
            <w:pPr>
              <w:ind w:left="200"/>
              <w:spacing w:after="0" w:line="136" w:lineRule="exact"/>
              <w:rPr>
                <w:sz w:val="20"/>
                <w:szCs w:val="20"/>
                <w:color w:val="auto"/>
              </w:rPr>
            </w:pPr>
            <w:r>
              <w:rPr>
                <w:rFonts w:ascii="Arial" w:cs="Arial" w:eastAsia="Arial" w:hAnsi="Arial"/>
                <w:sz w:val="12"/>
                <w:szCs w:val="12"/>
                <w:color w:val="auto"/>
              </w:rPr>
              <w:t>Marketplace/Assembly</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w w:val="93"/>
              </w:rPr>
              <w:t>Christmas Tree Shops / Kmart / Staples /</w:t>
            </w:r>
          </w:p>
        </w:tc>
        <w:tc>
          <w:tcPr>
            <w:tcW w:w="0" w:type="dxa"/>
            <w:vAlign w:val="bottom"/>
          </w:tcPr>
          <w:p>
            <w:pPr>
              <w:spacing w:after="0"/>
              <w:rPr>
                <w:sz w:val="1"/>
                <w:szCs w:val="1"/>
                <w:color w:val="auto"/>
              </w:rPr>
            </w:pPr>
          </w:p>
        </w:tc>
      </w:tr>
      <w:tr>
        <w:trPr>
          <w:trHeight w:val="145"/>
        </w:trPr>
        <w:tc>
          <w:tcPr>
            <w:tcW w:w="1500" w:type="dxa"/>
            <w:vAlign w:val="bottom"/>
            <w:gridSpan w:val="5"/>
          </w:tcPr>
          <w:p>
            <w:pPr>
              <w:ind w:left="200"/>
              <w:spacing w:after="0"/>
              <w:rPr>
                <w:sz w:val="20"/>
                <w:szCs w:val="20"/>
                <w:color w:val="auto"/>
              </w:rPr>
            </w:pPr>
            <w:r>
              <w:rPr>
                <w:rFonts w:ascii="Arial" w:cs="Arial" w:eastAsia="Arial" w:hAnsi="Arial"/>
                <w:sz w:val="12"/>
                <w:szCs w:val="12"/>
                <w:color w:val="auto"/>
              </w:rPr>
              <w:t>Row</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80"/>
              <w:spacing w:after="0"/>
              <w:rPr>
                <w:sz w:val="20"/>
                <w:szCs w:val="20"/>
                <w:color w:val="auto"/>
              </w:rPr>
            </w:pPr>
            <w:r>
              <w:rPr>
                <w:rFonts w:ascii="Arial" w:cs="Arial" w:eastAsia="Arial" w:hAnsi="Arial"/>
                <w:sz w:val="12"/>
                <w:szCs w:val="12"/>
                <w:color w:val="auto"/>
              </w:rPr>
              <w:t>Sports Authority / TJ Maxx</w:t>
            </w: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Chelsea Commons</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Boston-Cambridge-Quincy, MA-NH</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7"/>
              </w:rPr>
              <w:t>2006-2008</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30,284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7,712</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222,000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99%</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16,000</w:t>
            </w: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Sav-A-Lot</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Home Depot / Planet Fitness</w:t>
            </w: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Dedham Plaza</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Boston-Cambridge-Quincy, MA-NH</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1993</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33,196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244,000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94%</w:t>
            </w: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80,000</w:t>
            </w:r>
          </w:p>
        </w:tc>
        <w:tc>
          <w:tcPr>
            <w:tcW w:w="80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Star Market</w:t>
            </w: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00" w:type="dxa"/>
            <w:vAlign w:val="bottom"/>
            <w:gridSpan w:val="5"/>
            <w:shd w:val="clear" w:color="auto" w:fill="CCEEFF"/>
          </w:tcPr>
          <w:p>
            <w:pPr>
              <w:spacing w:after="0" w:line="127" w:lineRule="exact"/>
              <w:rPr>
                <w:sz w:val="20"/>
                <w:szCs w:val="20"/>
                <w:color w:val="auto"/>
              </w:rPr>
            </w:pPr>
            <w:r>
              <w:rPr>
                <w:rFonts w:ascii="Arial" w:cs="Arial" w:eastAsia="Arial" w:hAnsi="Arial"/>
                <w:sz w:val="12"/>
                <w:szCs w:val="12"/>
                <w:color w:val="auto"/>
              </w:rPr>
              <w:t>Linden Square</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2"/>
                <w:szCs w:val="12"/>
                <w:color w:val="auto"/>
              </w:rPr>
              <w:t>Boston-Cambridge-Quincy, MA-NH</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2006</w:t>
            </w: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145,821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221,000</w:t>
            </w:r>
          </w:p>
        </w:tc>
        <w:tc>
          <w:tcPr>
            <w:tcW w:w="72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95%</w:t>
            </w:r>
          </w:p>
        </w:tc>
        <w:tc>
          <w:tcPr>
            <w:tcW w:w="6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50,000</w:t>
            </w:r>
          </w:p>
        </w:tc>
        <w:tc>
          <w:tcPr>
            <w:tcW w:w="80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2"/>
                <w:szCs w:val="12"/>
                <w:color w:val="auto"/>
              </w:rPr>
              <w:t>Roche</w:t>
            </w:r>
          </w:p>
        </w:tc>
        <w:tc>
          <w:tcPr>
            <w:tcW w:w="2140" w:type="dxa"/>
            <w:vAlign w:val="bottom"/>
            <w:gridSpan w:val="2"/>
            <w:shd w:val="clear" w:color="auto" w:fill="CCEEFF"/>
          </w:tcPr>
          <w:p>
            <w:pPr>
              <w:ind w:left="80"/>
              <w:spacing w:after="0" w:line="127" w:lineRule="exact"/>
              <w:rPr>
                <w:sz w:val="20"/>
                <w:szCs w:val="20"/>
                <w:color w:val="auto"/>
              </w:rPr>
            </w:pPr>
            <w:r>
              <w:rPr>
                <w:rFonts w:ascii="Arial" w:cs="Arial" w:eastAsia="Arial" w:hAnsi="Arial"/>
                <w:sz w:val="12"/>
                <w:szCs w:val="12"/>
                <w:color w:val="auto"/>
              </w:rPr>
              <w:t>CVS</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Brothers</w:t>
            </w: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9"/>
              </w:rPr>
              <w:t>Supermarkets</w:t>
            </w: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Newbury Street</w:t>
            </w: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(9)</w:t>
            </w: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Boston-Cambridge-Quincy, MA-NH</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w w:val="97"/>
              </w:rPr>
              <w:t>2010-2011</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23,861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39,000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62%</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Pierre Deux / Jonathan Adler</w:t>
            </w: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North Dartmouth</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Boston-Cambridge-Quincy, MA-NH</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2006</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9,368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100%</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48,000</w:t>
            </w: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Stop &amp; Shop</w:t>
            </w: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Queen Anne Plaza</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Boston-Cambridge-Quincy, MA-NH</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1994</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15,690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149,000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94%</w:t>
            </w: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50,000</w:t>
            </w:r>
          </w:p>
        </w:tc>
        <w:tc>
          <w:tcPr>
            <w:tcW w:w="80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Hannaford</w:t>
            </w: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TJ Maxx</w:t>
            </w:r>
          </w:p>
        </w:tc>
        <w:tc>
          <w:tcPr>
            <w:tcW w:w="0" w:type="dxa"/>
            <w:vAlign w:val="bottom"/>
          </w:tcPr>
          <w:p>
            <w:pPr>
              <w:spacing w:after="0"/>
              <w:rPr>
                <w:sz w:val="1"/>
                <w:szCs w:val="1"/>
                <w:color w:val="auto"/>
              </w:rPr>
            </w:pPr>
          </w:p>
        </w:tc>
      </w:tr>
      <w:tr>
        <w:trPr>
          <w:trHeight w:val="127"/>
        </w:trPr>
        <w:tc>
          <w:tcPr>
            <w:tcW w:w="1500" w:type="dxa"/>
            <w:vAlign w:val="bottom"/>
            <w:gridSpan w:val="5"/>
            <w:shd w:val="clear" w:color="auto" w:fill="CCEEFF"/>
          </w:tcPr>
          <w:p>
            <w:pPr>
              <w:spacing w:after="0" w:line="127" w:lineRule="exact"/>
              <w:rPr>
                <w:sz w:val="20"/>
                <w:szCs w:val="20"/>
                <w:color w:val="auto"/>
              </w:rPr>
            </w:pPr>
            <w:r>
              <w:rPr>
                <w:rFonts w:ascii="Arial" w:cs="Arial" w:eastAsia="Arial" w:hAnsi="Arial"/>
                <w:sz w:val="12"/>
                <w:szCs w:val="12"/>
                <w:color w:val="auto"/>
              </w:rPr>
              <w:t>Saugus Plaza</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2"/>
                <w:szCs w:val="12"/>
                <w:color w:val="auto"/>
              </w:rPr>
              <w:t>Boston-Cambridge-Quincy, MA-NH</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1996</w:t>
            </w: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14,559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170,000</w:t>
            </w:r>
          </w:p>
        </w:tc>
        <w:tc>
          <w:tcPr>
            <w:tcW w:w="72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96%</w:t>
            </w:r>
          </w:p>
        </w:tc>
        <w:tc>
          <w:tcPr>
            <w:tcW w:w="6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55,000</w:t>
            </w:r>
          </w:p>
        </w:tc>
        <w:tc>
          <w:tcPr>
            <w:tcW w:w="80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2"/>
                <w:szCs w:val="12"/>
                <w:color w:val="auto"/>
              </w:rPr>
              <w:t>Super Stop &amp;</w:t>
            </w:r>
          </w:p>
        </w:tc>
        <w:tc>
          <w:tcPr>
            <w:tcW w:w="2140" w:type="dxa"/>
            <w:vAlign w:val="bottom"/>
            <w:gridSpan w:val="2"/>
            <w:shd w:val="clear" w:color="auto" w:fill="CCEEFF"/>
          </w:tcPr>
          <w:p>
            <w:pPr>
              <w:ind w:left="80"/>
              <w:spacing w:after="0" w:line="127" w:lineRule="exact"/>
              <w:rPr>
                <w:sz w:val="20"/>
                <w:szCs w:val="20"/>
                <w:color w:val="auto"/>
              </w:rPr>
            </w:pPr>
            <w:r>
              <w:rPr>
                <w:rFonts w:ascii="Arial" w:cs="Arial" w:eastAsia="Arial" w:hAnsi="Arial"/>
                <w:sz w:val="12"/>
                <w:szCs w:val="12"/>
                <w:color w:val="auto"/>
              </w:rPr>
              <w:t>Kmart</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Shop</w:t>
            </w: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w:t>
            </w:r>
          </w:p>
        </w:tc>
        <w:tc>
          <w:tcPr>
            <w:tcW w:w="210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 New England</w:t>
            </w:r>
          </w:p>
        </w:tc>
        <w:tc>
          <w:tcPr>
            <w:tcW w:w="58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451,821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1,386,000</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97%</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right w:val="single" w:sz="8" w:color="CCEEFF"/>
            </w:tcBorders>
            <w:gridSpan w:val="2"/>
            <w:shd w:val="clear" w:color="auto" w:fill="CCEEFF"/>
          </w:tcPr>
          <w:p>
            <w:pPr>
              <w:spacing w:after="0" w:line="124" w:lineRule="exact"/>
              <w:rPr>
                <w:sz w:val="20"/>
                <w:szCs w:val="20"/>
                <w:color w:val="auto"/>
              </w:rPr>
            </w:pPr>
            <w:r>
              <w:rPr>
                <w:rFonts w:ascii="Arial" w:cs="Arial" w:eastAsia="Arial" w:hAnsi="Arial"/>
                <w:sz w:val="12"/>
                <w:szCs w:val="12"/>
                <w:b w:val="1"/>
                <w:bCs w:val="1"/>
                <w:color w:val="auto"/>
                <w:w w:val="86"/>
              </w:rPr>
              <w:t>Baltimore</w:t>
            </w:r>
          </w:p>
        </w:tc>
        <w:tc>
          <w:tcPr>
            <w:tcW w:w="580" w:type="dxa"/>
            <w:vAlign w:val="bottom"/>
            <w:tcBorders>
              <w:bottom w:val="single" w:sz="8" w:color="CCEEFF"/>
            </w:tcBorders>
            <w:gridSpan w:val="2"/>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00" w:type="dxa"/>
            <w:vAlign w:val="bottom"/>
            <w:gridSpan w:val="5"/>
          </w:tcPr>
          <w:p>
            <w:pPr>
              <w:spacing w:after="0" w:line="120" w:lineRule="exact"/>
              <w:rPr>
                <w:sz w:val="20"/>
                <w:szCs w:val="20"/>
                <w:color w:val="auto"/>
              </w:rPr>
            </w:pPr>
            <w:r>
              <w:rPr>
                <w:rFonts w:ascii="Arial" w:cs="Arial" w:eastAsia="Arial" w:hAnsi="Arial"/>
                <w:sz w:val="12"/>
                <w:szCs w:val="12"/>
                <w:color w:val="auto"/>
              </w:rPr>
              <w:t>Governor Plaza</w:t>
            </w:r>
          </w:p>
        </w:tc>
        <w:tc>
          <w:tcPr>
            <w:tcW w:w="380" w:type="dxa"/>
            <w:vAlign w:val="bottom"/>
          </w:tcPr>
          <w:p>
            <w:pPr>
              <w:spacing w:after="0"/>
              <w:rPr>
                <w:sz w:val="10"/>
                <w:szCs w:val="10"/>
                <w:color w:val="auto"/>
              </w:rPr>
            </w:pPr>
          </w:p>
        </w:tc>
        <w:tc>
          <w:tcPr>
            <w:tcW w:w="2100" w:type="dxa"/>
            <w:vAlign w:val="bottom"/>
            <w:gridSpan w:val="3"/>
          </w:tcPr>
          <w:p>
            <w:pPr>
              <w:ind w:left="40"/>
              <w:spacing w:after="0" w:line="120" w:lineRule="exact"/>
              <w:rPr>
                <w:sz w:val="20"/>
                <w:szCs w:val="20"/>
                <w:color w:val="auto"/>
              </w:rPr>
            </w:pPr>
            <w:r>
              <w:rPr>
                <w:rFonts w:ascii="Arial" w:cs="Arial" w:eastAsia="Arial" w:hAnsi="Arial"/>
                <w:sz w:val="12"/>
                <w:szCs w:val="12"/>
                <w:color w:val="auto"/>
              </w:rPr>
              <w:t>Baltimore, MD</w:t>
            </w:r>
          </w:p>
        </w:tc>
        <w:tc>
          <w:tcPr>
            <w:tcW w:w="580" w:type="dxa"/>
            <w:vAlign w:val="bottom"/>
          </w:tcPr>
          <w:p>
            <w:pPr>
              <w:jc w:val="right"/>
              <w:spacing w:after="0" w:line="120" w:lineRule="exact"/>
              <w:rPr>
                <w:sz w:val="20"/>
                <w:szCs w:val="20"/>
                <w:color w:val="auto"/>
              </w:rPr>
            </w:pPr>
            <w:r>
              <w:rPr>
                <w:rFonts w:ascii="Arial" w:cs="Arial" w:eastAsia="Arial" w:hAnsi="Arial"/>
                <w:sz w:val="12"/>
                <w:szCs w:val="12"/>
                <w:color w:val="auto"/>
              </w:rPr>
              <w:t>1985</w:t>
            </w:r>
          </w:p>
        </w:tc>
        <w:tc>
          <w:tcPr>
            <w:tcW w:w="88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25,882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267,000</w:t>
            </w:r>
          </w:p>
        </w:tc>
        <w:tc>
          <w:tcPr>
            <w:tcW w:w="720" w:type="dxa"/>
            <w:vAlign w:val="bottom"/>
            <w:gridSpan w:val="3"/>
          </w:tcPr>
          <w:p>
            <w:pPr>
              <w:jc w:val="right"/>
              <w:ind w:right="160"/>
              <w:spacing w:after="0" w:line="120" w:lineRule="exact"/>
              <w:rPr>
                <w:sz w:val="20"/>
                <w:szCs w:val="20"/>
                <w:color w:val="auto"/>
              </w:rPr>
            </w:pPr>
            <w:r>
              <w:rPr>
                <w:rFonts w:ascii="Arial" w:cs="Arial" w:eastAsia="Arial" w:hAnsi="Arial"/>
                <w:sz w:val="12"/>
                <w:szCs w:val="12"/>
                <w:color w:val="auto"/>
              </w:rPr>
              <w:t>87%</w:t>
            </w:r>
          </w:p>
        </w:tc>
        <w:tc>
          <w:tcPr>
            <w:tcW w:w="60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16,500</w:t>
            </w:r>
          </w:p>
        </w:tc>
        <w:tc>
          <w:tcPr>
            <w:tcW w:w="800" w:type="dxa"/>
            <w:vAlign w:val="bottom"/>
            <w:gridSpan w:val="2"/>
          </w:tcPr>
          <w:p>
            <w:pPr>
              <w:ind w:left="40"/>
              <w:spacing w:after="0" w:line="120" w:lineRule="exact"/>
              <w:rPr>
                <w:sz w:val="20"/>
                <w:szCs w:val="20"/>
                <w:color w:val="auto"/>
              </w:rPr>
            </w:pPr>
            <w:r>
              <w:rPr>
                <w:rFonts w:ascii="Arial" w:cs="Arial" w:eastAsia="Arial" w:hAnsi="Arial"/>
                <w:sz w:val="12"/>
                <w:szCs w:val="12"/>
                <w:color w:val="auto"/>
              </w:rPr>
              <w:t>Aldi</w:t>
            </w:r>
          </w:p>
        </w:tc>
        <w:tc>
          <w:tcPr>
            <w:tcW w:w="2140" w:type="dxa"/>
            <w:vAlign w:val="bottom"/>
            <w:gridSpan w:val="2"/>
          </w:tcPr>
          <w:p>
            <w:pPr>
              <w:ind w:left="80"/>
              <w:spacing w:after="0" w:line="120" w:lineRule="exact"/>
              <w:rPr>
                <w:sz w:val="20"/>
                <w:szCs w:val="20"/>
                <w:color w:val="auto"/>
              </w:rPr>
            </w:pPr>
            <w:r>
              <w:rPr>
                <w:rFonts w:ascii="Arial" w:cs="Arial" w:eastAsia="Arial" w:hAnsi="Arial"/>
                <w:sz w:val="12"/>
                <w:szCs w:val="12"/>
                <w:color w:val="auto"/>
              </w:rPr>
              <w:t>Bally Total Fitness / Dick’s Sporting</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80"/>
              <w:spacing w:after="0"/>
              <w:rPr>
                <w:sz w:val="20"/>
                <w:szCs w:val="20"/>
                <w:color w:val="auto"/>
              </w:rPr>
            </w:pPr>
            <w:r>
              <w:rPr>
                <w:rFonts w:ascii="Arial" w:cs="Arial" w:eastAsia="Arial" w:hAnsi="Arial"/>
                <w:sz w:val="12"/>
                <w:szCs w:val="12"/>
                <w:color w:val="auto"/>
              </w:rPr>
              <w:t>Goods</w:t>
            </w:r>
          </w:p>
        </w:tc>
        <w:tc>
          <w:tcPr>
            <w:tcW w:w="0" w:type="dxa"/>
            <w:vAlign w:val="bottom"/>
          </w:tcPr>
          <w:p>
            <w:pPr>
              <w:spacing w:after="0"/>
              <w:rPr>
                <w:sz w:val="1"/>
                <w:szCs w:val="1"/>
                <w:color w:val="auto"/>
              </w:rPr>
            </w:pPr>
          </w:p>
        </w:tc>
      </w:tr>
      <w:tr>
        <w:trPr>
          <w:trHeight w:val="127"/>
        </w:trPr>
        <w:tc>
          <w:tcPr>
            <w:tcW w:w="1500" w:type="dxa"/>
            <w:vAlign w:val="bottom"/>
            <w:gridSpan w:val="5"/>
            <w:shd w:val="clear" w:color="auto" w:fill="CCEEFF"/>
          </w:tcPr>
          <w:p>
            <w:pPr>
              <w:spacing w:after="0" w:line="127" w:lineRule="exact"/>
              <w:rPr>
                <w:sz w:val="20"/>
                <w:szCs w:val="20"/>
                <w:color w:val="auto"/>
              </w:rPr>
            </w:pPr>
            <w:r>
              <w:rPr>
                <w:rFonts w:ascii="Arial" w:cs="Arial" w:eastAsia="Arial" w:hAnsi="Arial"/>
                <w:sz w:val="12"/>
                <w:szCs w:val="12"/>
                <w:color w:val="auto"/>
              </w:rPr>
              <w:t>Perring Plaza</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2"/>
                <w:szCs w:val="12"/>
                <w:color w:val="auto"/>
              </w:rPr>
              <w:t>Baltimore, MD</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1985</w:t>
            </w: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27,305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401,000</w:t>
            </w:r>
          </w:p>
        </w:tc>
        <w:tc>
          <w:tcPr>
            <w:tcW w:w="72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98%</w:t>
            </w:r>
          </w:p>
        </w:tc>
        <w:tc>
          <w:tcPr>
            <w:tcW w:w="6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58,000</w:t>
            </w:r>
          </w:p>
        </w:tc>
        <w:tc>
          <w:tcPr>
            <w:tcW w:w="80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2"/>
                <w:szCs w:val="12"/>
                <w:color w:val="auto"/>
              </w:rPr>
              <w:t>Shoppers</w:t>
            </w:r>
          </w:p>
        </w:tc>
        <w:tc>
          <w:tcPr>
            <w:tcW w:w="2140" w:type="dxa"/>
            <w:vAlign w:val="bottom"/>
            <w:gridSpan w:val="2"/>
            <w:shd w:val="clear" w:color="auto" w:fill="CCEEFF"/>
          </w:tcPr>
          <w:p>
            <w:pPr>
              <w:ind w:left="80"/>
              <w:spacing w:after="0" w:line="127" w:lineRule="exact"/>
              <w:rPr>
                <w:sz w:val="20"/>
                <w:szCs w:val="20"/>
                <w:color w:val="auto"/>
              </w:rPr>
            </w:pPr>
            <w:r>
              <w:rPr>
                <w:rFonts w:ascii="Arial" w:cs="Arial" w:eastAsia="Arial" w:hAnsi="Arial"/>
                <w:sz w:val="12"/>
                <w:szCs w:val="12"/>
                <w:color w:val="auto"/>
                <w:w w:val="97"/>
              </w:rPr>
              <w:t>Home Depot / Burlington Coat Factory /</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Food</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Jo-Ann Stores</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Warehouse</w:t>
            </w: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500" w:type="dxa"/>
            <w:vAlign w:val="bottom"/>
            <w:gridSpan w:val="5"/>
          </w:tcPr>
          <w:p>
            <w:pPr>
              <w:spacing w:after="0" w:line="127" w:lineRule="exact"/>
              <w:rPr>
                <w:sz w:val="20"/>
                <w:szCs w:val="20"/>
                <w:color w:val="auto"/>
              </w:rPr>
            </w:pPr>
            <w:r>
              <w:rPr>
                <w:rFonts w:ascii="Arial" w:cs="Arial" w:eastAsia="Arial" w:hAnsi="Arial"/>
                <w:sz w:val="12"/>
                <w:szCs w:val="12"/>
                <w:color w:val="auto"/>
              </w:rPr>
              <w:t>THE AVENUE at White</w:t>
            </w:r>
          </w:p>
        </w:tc>
        <w:tc>
          <w:tcPr>
            <w:tcW w:w="380" w:type="dxa"/>
            <w:vAlign w:val="bottom"/>
          </w:tcPr>
          <w:p>
            <w:pPr>
              <w:jc w:val="right"/>
              <w:spacing w:after="0" w:line="127" w:lineRule="exact"/>
              <w:rPr>
                <w:sz w:val="20"/>
                <w:szCs w:val="20"/>
                <w:color w:val="auto"/>
              </w:rPr>
            </w:pPr>
            <w:r>
              <w:rPr>
                <w:rFonts w:ascii="Arial" w:cs="Arial" w:eastAsia="Arial" w:hAnsi="Arial"/>
                <w:sz w:val="12"/>
                <w:szCs w:val="12"/>
                <w:color w:val="auto"/>
              </w:rPr>
              <w:t>(11)</w:t>
            </w:r>
          </w:p>
        </w:tc>
        <w:tc>
          <w:tcPr>
            <w:tcW w:w="2100" w:type="dxa"/>
            <w:vAlign w:val="bottom"/>
            <w:gridSpan w:val="3"/>
          </w:tcPr>
          <w:p>
            <w:pPr>
              <w:ind w:left="40"/>
              <w:spacing w:after="0" w:line="127" w:lineRule="exact"/>
              <w:rPr>
                <w:sz w:val="20"/>
                <w:szCs w:val="20"/>
                <w:color w:val="auto"/>
              </w:rPr>
            </w:pPr>
            <w:r>
              <w:rPr>
                <w:rFonts w:ascii="Arial" w:cs="Arial" w:eastAsia="Arial" w:hAnsi="Arial"/>
                <w:sz w:val="12"/>
                <w:szCs w:val="12"/>
                <w:color w:val="auto"/>
              </w:rPr>
              <w:t>Baltimore, MD</w:t>
            </w:r>
          </w:p>
        </w:tc>
        <w:tc>
          <w:tcPr>
            <w:tcW w:w="580" w:type="dxa"/>
            <w:vAlign w:val="bottom"/>
          </w:tcPr>
          <w:p>
            <w:pPr>
              <w:jc w:val="right"/>
              <w:spacing w:after="0" w:line="127" w:lineRule="exact"/>
              <w:rPr>
                <w:sz w:val="20"/>
                <w:szCs w:val="20"/>
                <w:color w:val="auto"/>
              </w:rPr>
            </w:pPr>
            <w:r>
              <w:rPr>
                <w:rFonts w:ascii="Arial" w:cs="Arial" w:eastAsia="Arial" w:hAnsi="Arial"/>
                <w:sz w:val="12"/>
                <w:szCs w:val="12"/>
                <w:color w:val="auto"/>
              </w:rPr>
              <w:t>2007</w:t>
            </w:r>
          </w:p>
        </w:tc>
        <w:tc>
          <w:tcPr>
            <w:tcW w:w="88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95,776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57,211</w:t>
            </w:r>
          </w:p>
        </w:tc>
        <w:tc>
          <w:tcPr>
            <w:tcW w:w="6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298,000</w:t>
            </w:r>
          </w:p>
        </w:tc>
        <w:tc>
          <w:tcPr>
            <w:tcW w:w="720" w:type="dxa"/>
            <w:vAlign w:val="bottom"/>
            <w:gridSpan w:val="3"/>
          </w:tcPr>
          <w:p>
            <w:pPr>
              <w:jc w:val="right"/>
              <w:ind w:right="160"/>
              <w:spacing w:after="0" w:line="127" w:lineRule="exact"/>
              <w:rPr>
                <w:sz w:val="20"/>
                <w:szCs w:val="20"/>
                <w:color w:val="auto"/>
              </w:rPr>
            </w:pPr>
            <w:r>
              <w:rPr>
                <w:rFonts w:ascii="Arial" w:cs="Arial" w:eastAsia="Arial" w:hAnsi="Arial"/>
                <w:sz w:val="12"/>
                <w:szCs w:val="12"/>
                <w:color w:val="auto"/>
              </w:rPr>
              <w:t>100%</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27" w:lineRule="exact"/>
              <w:rPr>
                <w:sz w:val="20"/>
                <w:szCs w:val="20"/>
                <w:color w:val="auto"/>
              </w:rPr>
            </w:pPr>
            <w:r>
              <w:rPr>
                <w:rFonts w:ascii="Arial" w:cs="Arial" w:eastAsia="Arial" w:hAnsi="Arial"/>
                <w:sz w:val="12"/>
                <w:szCs w:val="12"/>
                <w:color w:val="auto"/>
              </w:rPr>
              <w:t>AMC Loews / Old Navy / Barnes &amp;</w:t>
            </w:r>
          </w:p>
        </w:tc>
        <w:tc>
          <w:tcPr>
            <w:tcW w:w="0" w:type="dxa"/>
            <w:vAlign w:val="bottom"/>
          </w:tcPr>
          <w:p>
            <w:pPr>
              <w:spacing w:after="0"/>
              <w:rPr>
                <w:sz w:val="1"/>
                <w:szCs w:val="1"/>
                <w:color w:val="auto"/>
              </w:rPr>
            </w:pPr>
          </w:p>
        </w:tc>
      </w:tr>
      <w:tr>
        <w:trPr>
          <w:trHeight w:val="145"/>
        </w:trPr>
        <w:tc>
          <w:tcPr>
            <w:tcW w:w="1500" w:type="dxa"/>
            <w:vAlign w:val="bottom"/>
            <w:gridSpan w:val="5"/>
          </w:tcPr>
          <w:p>
            <w:pPr>
              <w:ind w:left="200"/>
              <w:spacing w:after="0"/>
              <w:rPr>
                <w:sz w:val="20"/>
                <w:szCs w:val="20"/>
                <w:color w:val="auto"/>
              </w:rPr>
            </w:pPr>
            <w:r>
              <w:rPr>
                <w:rFonts w:ascii="Arial" w:cs="Arial" w:eastAsia="Arial" w:hAnsi="Arial"/>
                <w:sz w:val="12"/>
                <w:szCs w:val="12"/>
                <w:color w:val="auto"/>
              </w:rPr>
              <w:t>Marsh</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80"/>
              <w:spacing w:after="0"/>
              <w:rPr>
                <w:sz w:val="20"/>
                <w:szCs w:val="20"/>
                <w:color w:val="auto"/>
              </w:rPr>
            </w:pPr>
            <w:r>
              <w:rPr>
                <w:rFonts w:ascii="Arial" w:cs="Arial" w:eastAsia="Arial" w:hAnsi="Arial"/>
                <w:sz w:val="12"/>
                <w:szCs w:val="12"/>
                <w:color w:val="auto"/>
              </w:rPr>
              <w:t>Noble / AC Moore</w:t>
            </w:r>
          </w:p>
        </w:tc>
        <w:tc>
          <w:tcPr>
            <w:tcW w:w="0" w:type="dxa"/>
            <w:vAlign w:val="bottom"/>
          </w:tcPr>
          <w:p>
            <w:pPr>
              <w:spacing w:after="0"/>
              <w:rPr>
                <w:sz w:val="1"/>
                <w:szCs w:val="1"/>
                <w:color w:val="auto"/>
              </w:rPr>
            </w:pPr>
          </w:p>
        </w:tc>
      </w:tr>
      <w:tr>
        <w:trPr>
          <w:trHeight w:val="127"/>
        </w:trPr>
        <w:tc>
          <w:tcPr>
            <w:tcW w:w="1500" w:type="dxa"/>
            <w:vAlign w:val="bottom"/>
            <w:gridSpan w:val="5"/>
            <w:shd w:val="clear" w:color="auto" w:fill="CCEEFF"/>
          </w:tcPr>
          <w:p>
            <w:pPr>
              <w:spacing w:after="0" w:line="127" w:lineRule="exact"/>
              <w:rPr>
                <w:sz w:val="20"/>
                <w:szCs w:val="20"/>
                <w:color w:val="auto"/>
              </w:rPr>
            </w:pPr>
            <w:r>
              <w:rPr>
                <w:rFonts w:ascii="Arial" w:cs="Arial" w:eastAsia="Arial" w:hAnsi="Arial"/>
                <w:sz w:val="12"/>
                <w:szCs w:val="12"/>
                <w:color w:val="auto"/>
                <w:w w:val="99"/>
              </w:rPr>
              <w:t>The Shoppes at Nottingham</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2"/>
                <w:szCs w:val="12"/>
                <w:color w:val="auto"/>
              </w:rPr>
              <w:t>Baltimore, MD</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2007</w:t>
            </w: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27,574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53,000</w:t>
            </w:r>
          </w:p>
        </w:tc>
        <w:tc>
          <w:tcPr>
            <w:tcW w:w="72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100%</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00" w:type="dxa"/>
            <w:vAlign w:val="bottom"/>
            <w:gridSpan w:val="5"/>
            <w:shd w:val="clear" w:color="auto" w:fill="CCEEFF"/>
          </w:tcPr>
          <w:p>
            <w:pPr>
              <w:ind w:left="200"/>
              <w:spacing w:after="0"/>
              <w:rPr>
                <w:sz w:val="20"/>
                <w:szCs w:val="20"/>
                <w:color w:val="auto"/>
              </w:rPr>
            </w:pPr>
            <w:r>
              <w:rPr>
                <w:rFonts w:ascii="Arial" w:cs="Arial" w:eastAsia="Arial" w:hAnsi="Arial"/>
                <w:sz w:val="12"/>
                <w:szCs w:val="12"/>
                <w:color w:val="auto"/>
              </w:rPr>
              <w:t>Square</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White Marsh Plaza</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Baltimore, MD</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2007</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25,023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9,434</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80,000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100%</w:t>
            </w: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54,000</w:t>
            </w:r>
          </w:p>
        </w:tc>
        <w:tc>
          <w:tcPr>
            <w:tcW w:w="80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Giant Food</w:t>
            </w: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White Marsh Other</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Baltimore, MD</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2007</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28,884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49,000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100%</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 Baltimore</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230,444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1,148,000</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96%</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0" w:type="dxa"/>
            <w:vAlign w:val="bottom"/>
            <w:shd w:val="clear" w:color="auto" w:fill="CCEEFF"/>
          </w:tcPr>
          <w:p>
            <w:pPr>
              <w:spacing w:after="0"/>
              <w:rPr>
                <w:sz w:val="10"/>
                <w:szCs w:val="10"/>
                <w:color w:val="auto"/>
              </w:rPr>
            </w:pPr>
          </w:p>
        </w:tc>
        <w:tc>
          <w:tcPr>
            <w:tcW w:w="110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Chicago</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00" w:type="dxa"/>
            <w:vAlign w:val="bottom"/>
            <w:gridSpan w:val="5"/>
          </w:tcPr>
          <w:p>
            <w:pPr>
              <w:spacing w:after="0" w:line="128" w:lineRule="exact"/>
              <w:rPr>
                <w:sz w:val="20"/>
                <w:szCs w:val="20"/>
                <w:color w:val="auto"/>
              </w:rPr>
            </w:pPr>
            <w:r>
              <w:rPr>
                <w:rFonts w:ascii="Arial" w:cs="Arial" w:eastAsia="Arial" w:hAnsi="Arial"/>
                <w:sz w:val="12"/>
                <w:szCs w:val="12"/>
                <w:color w:val="auto"/>
              </w:rPr>
              <w:t>Crossroads</w:t>
            </w:r>
          </w:p>
        </w:tc>
        <w:tc>
          <w:tcPr>
            <w:tcW w:w="380" w:type="dxa"/>
            <w:vAlign w:val="bottom"/>
          </w:tcPr>
          <w:p>
            <w:pPr>
              <w:spacing w:after="0"/>
              <w:rPr>
                <w:sz w:val="11"/>
                <w:szCs w:val="11"/>
                <w:color w:val="auto"/>
              </w:rPr>
            </w:pPr>
          </w:p>
        </w:tc>
        <w:tc>
          <w:tcPr>
            <w:tcW w:w="2100" w:type="dxa"/>
            <w:vAlign w:val="bottom"/>
            <w:gridSpan w:val="3"/>
          </w:tcPr>
          <w:p>
            <w:pPr>
              <w:ind w:left="40"/>
              <w:spacing w:after="0" w:line="128" w:lineRule="exact"/>
              <w:rPr>
                <w:sz w:val="20"/>
                <w:szCs w:val="20"/>
                <w:color w:val="auto"/>
              </w:rPr>
            </w:pPr>
            <w:r>
              <w:rPr>
                <w:rFonts w:ascii="Arial" w:cs="Arial" w:eastAsia="Arial" w:hAnsi="Arial"/>
                <w:sz w:val="12"/>
                <w:szCs w:val="12"/>
                <w:color w:val="auto"/>
              </w:rPr>
              <w:t>Chicago, IL</w:t>
            </w: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1993</w:t>
            </w:r>
          </w:p>
        </w:tc>
        <w:tc>
          <w:tcPr>
            <w:tcW w:w="8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30,566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168,000</w:t>
            </w:r>
          </w:p>
        </w:tc>
        <w:tc>
          <w:tcPr>
            <w:tcW w:w="720" w:type="dxa"/>
            <w:vAlign w:val="bottom"/>
            <w:gridSpan w:val="3"/>
          </w:tcPr>
          <w:p>
            <w:pPr>
              <w:jc w:val="right"/>
              <w:ind w:right="160"/>
              <w:spacing w:after="0" w:line="128" w:lineRule="exact"/>
              <w:rPr>
                <w:sz w:val="20"/>
                <w:szCs w:val="20"/>
                <w:color w:val="auto"/>
              </w:rPr>
            </w:pPr>
            <w:r>
              <w:rPr>
                <w:rFonts w:ascii="Arial" w:cs="Arial" w:eastAsia="Arial" w:hAnsi="Arial"/>
                <w:sz w:val="12"/>
                <w:szCs w:val="12"/>
                <w:color w:val="auto"/>
              </w:rPr>
              <w:t>98%</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28" w:lineRule="exact"/>
              <w:rPr>
                <w:sz w:val="20"/>
                <w:szCs w:val="20"/>
                <w:color w:val="auto"/>
              </w:rPr>
            </w:pPr>
            <w:r>
              <w:rPr>
                <w:rFonts w:ascii="Arial" w:cs="Arial" w:eastAsia="Arial" w:hAnsi="Arial"/>
                <w:sz w:val="12"/>
                <w:szCs w:val="12"/>
                <w:color w:val="auto"/>
                <w:w w:val="98"/>
              </w:rPr>
              <w:t>Golfsmith / Guitar Center / L.A. Fitness</w:t>
            </w:r>
          </w:p>
        </w:tc>
        <w:tc>
          <w:tcPr>
            <w:tcW w:w="0" w:type="dxa"/>
            <w:vAlign w:val="bottom"/>
          </w:tcPr>
          <w:p>
            <w:pPr>
              <w:spacing w:after="0"/>
              <w:rPr>
                <w:sz w:val="1"/>
                <w:szCs w:val="1"/>
                <w:color w:val="auto"/>
              </w:rPr>
            </w:pPr>
          </w:p>
        </w:tc>
      </w:tr>
      <w:tr>
        <w:trPr>
          <w:trHeight w:val="127"/>
        </w:trPr>
        <w:tc>
          <w:tcPr>
            <w:tcW w:w="1500" w:type="dxa"/>
            <w:vAlign w:val="bottom"/>
            <w:gridSpan w:val="5"/>
            <w:shd w:val="clear" w:color="auto" w:fill="CCEEFF"/>
          </w:tcPr>
          <w:p>
            <w:pPr>
              <w:spacing w:after="0" w:line="127" w:lineRule="exact"/>
              <w:rPr>
                <w:sz w:val="20"/>
                <w:szCs w:val="20"/>
                <w:color w:val="auto"/>
              </w:rPr>
            </w:pPr>
            <w:r>
              <w:rPr>
                <w:rFonts w:ascii="Arial" w:cs="Arial" w:eastAsia="Arial" w:hAnsi="Arial"/>
                <w:sz w:val="12"/>
                <w:szCs w:val="12"/>
                <w:color w:val="auto"/>
              </w:rPr>
              <w:t>Finley Square</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2"/>
                <w:szCs w:val="12"/>
                <w:color w:val="auto"/>
              </w:rPr>
              <w:t>Chicago, IL</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1995</w:t>
            </w: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32,476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315,000</w:t>
            </w:r>
          </w:p>
        </w:tc>
        <w:tc>
          <w:tcPr>
            <w:tcW w:w="72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99%</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27" w:lineRule="exact"/>
              <w:rPr>
                <w:sz w:val="20"/>
                <w:szCs w:val="20"/>
                <w:color w:val="auto"/>
              </w:rPr>
            </w:pPr>
            <w:r>
              <w:rPr>
                <w:rFonts w:ascii="Arial" w:cs="Arial" w:eastAsia="Arial" w:hAnsi="Arial"/>
                <w:sz w:val="12"/>
                <w:szCs w:val="12"/>
                <w:color w:val="auto"/>
              </w:rPr>
              <w:t>Bed, Bath &amp; Beyond / Buy Buy Baby /</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Petsmart</w:t>
            </w: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Garden Market</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Chicago, IL</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1994</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12,265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140,000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90%</w:t>
            </w: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63,000</w:t>
            </w:r>
          </w:p>
        </w:tc>
        <w:tc>
          <w:tcPr>
            <w:tcW w:w="800" w:type="dxa"/>
            <w:vAlign w:val="bottom"/>
            <w:gridSpan w:val="2"/>
          </w:tcPr>
          <w:p>
            <w:pPr>
              <w:ind w:left="140"/>
              <w:spacing w:after="0" w:line="136" w:lineRule="exact"/>
              <w:rPr>
                <w:sz w:val="20"/>
                <w:szCs w:val="20"/>
                <w:color w:val="auto"/>
              </w:rPr>
            </w:pPr>
            <w:r>
              <w:rPr>
                <w:rFonts w:ascii="Arial" w:cs="Arial" w:eastAsia="Arial" w:hAnsi="Arial"/>
                <w:sz w:val="12"/>
                <w:szCs w:val="12"/>
                <w:color w:val="auto"/>
              </w:rPr>
              <w:t>Dominick’s</w:t>
            </w: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Walgreens</w:t>
            </w: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North Lake Commons</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Chicago, IL</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1994</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14,135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129,000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84%</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77,000</w:t>
            </w:r>
          </w:p>
        </w:tc>
        <w:tc>
          <w:tcPr>
            <w:tcW w:w="80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color w:val="auto"/>
              </w:rPr>
              <w:t>Dominick’s</w:t>
            </w: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 Chicago</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89,442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752,000</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94%</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0" w:type="dxa"/>
            <w:vAlign w:val="bottom"/>
            <w:shd w:val="clear" w:color="auto" w:fill="CCEEFF"/>
          </w:tcPr>
          <w:p>
            <w:pPr>
              <w:spacing w:after="0"/>
              <w:rPr>
                <w:sz w:val="10"/>
                <w:szCs w:val="10"/>
                <w:color w:val="auto"/>
              </w:rPr>
            </w:pPr>
          </w:p>
        </w:tc>
        <w:tc>
          <w:tcPr>
            <w:tcW w:w="1100" w:type="dxa"/>
            <w:vAlign w:val="bottom"/>
            <w:gridSpan w:val="4"/>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South Florida</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00" w:type="dxa"/>
            <w:vAlign w:val="bottom"/>
            <w:gridSpan w:val="5"/>
          </w:tcPr>
          <w:p>
            <w:pPr>
              <w:spacing w:after="0" w:line="128" w:lineRule="exact"/>
              <w:rPr>
                <w:sz w:val="20"/>
                <w:szCs w:val="20"/>
                <w:color w:val="auto"/>
              </w:rPr>
            </w:pPr>
            <w:r>
              <w:rPr>
                <w:rFonts w:ascii="Arial" w:cs="Arial" w:eastAsia="Arial" w:hAnsi="Arial"/>
                <w:sz w:val="12"/>
                <w:szCs w:val="12"/>
                <w:color w:val="auto"/>
              </w:rPr>
              <w:t>Courtyard Shops</w:t>
            </w:r>
          </w:p>
        </w:tc>
        <w:tc>
          <w:tcPr>
            <w:tcW w:w="380" w:type="dxa"/>
            <w:vAlign w:val="bottom"/>
          </w:tcPr>
          <w:p>
            <w:pPr>
              <w:spacing w:after="0"/>
              <w:rPr>
                <w:sz w:val="11"/>
                <w:szCs w:val="11"/>
                <w:color w:val="auto"/>
              </w:rPr>
            </w:pPr>
          </w:p>
        </w:tc>
        <w:tc>
          <w:tcPr>
            <w:tcW w:w="2100" w:type="dxa"/>
            <w:vAlign w:val="bottom"/>
            <w:gridSpan w:val="3"/>
          </w:tcPr>
          <w:p>
            <w:pPr>
              <w:ind w:left="40"/>
              <w:spacing w:after="0" w:line="128" w:lineRule="exact"/>
              <w:rPr>
                <w:sz w:val="20"/>
                <w:szCs w:val="20"/>
                <w:color w:val="auto"/>
              </w:rPr>
            </w:pPr>
            <w:r>
              <w:rPr>
                <w:rFonts w:ascii="Arial" w:cs="Arial" w:eastAsia="Arial" w:hAnsi="Arial"/>
                <w:sz w:val="12"/>
                <w:szCs w:val="12"/>
                <w:color w:val="auto"/>
              </w:rPr>
              <w:t>Miami-Ft Lauderdale</w:t>
            </w: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2008</w:t>
            </w:r>
          </w:p>
        </w:tc>
        <w:tc>
          <w:tcPr>
            <w:tcW w:w="8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40,052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rPr>
              <w:t>7,169</w:t>
            </w: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130,000</w:t>
            </w:r>
          </w:p>
        </w:tc>
        <w:tc>
          <w:tcPr>
            <w:tcW w:w="720" w:type="dxa"/>
            <w:vAlign w:val="bottom"/>
            <w:gridSpan w:val="3"/>
          </w:tcPr>
          <w:p>
            <w:pPr>
              <w:jc w:val="right"/>
              <w:ind w:right="160"/>
              <w:spacing w:after="0" w:line="128" w:lineRule="exact"/>
              <w:rPr>
                <w:sz w:val="20"/>
                <w:szCs w:val="20"/>
                <w:color w:val="auto"/>
              </w:rPr>
            </w:pPr>
            <w:r>
              <w:rPr>
                <w:rFonts w:ascii="Arial" w:cs="Arial" w:eastAsia="Arial" w:hAnsi="Arial"/>
                <w:sz w:val="12"/>
                <w:szCs w:val="12"/>
                <w:color w:val="auto"/>
              </w:rPr>
              <w:t>88%</w:t>
            </w:r>
          </w:p>
        </w:tc>
        <w:tc>
          <w:tcPr>
            <w:tcW w:w="60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rPr>
              <w:t>49,000</w:t>
            </w:r>
          </w:p>
        </w:tc>
        <w:tc>
          <w:tcPr>
            <w:tcW w:w="800" w:type="dxa"/>
            <w:vAlign w:val="bottom"/>
            <w:gridSpan w:val="2"/>
          </w:tcPr>
          <w:p>
            <w:pPr>
              <w:ind w:left="40"/>
              <w:spacing w:after="0" w:line="128" w:lineRule="exact"/>
              <w:rPr>
                <w:sz w:val="20"/>
                <w:szCs w:val="20"/>
                <w:color w:val="auto"/>
              </w:rPr>
            </w:pPr>
            <w:r>
              <w:rPr>
                <w:rFonts w:ascii="Arial" w:cs="Arial" w:eastAsia="Arial" w:hAnsi="Arial"/>
                <w:sz w:val="12"/>
                <w:szCs w:val="12"/>
                <w:color w:val="auto"/>
              </w:rPr>
              <w:t>Publix</w:t>
            </w: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Del Mar Village</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Miami-Ft Lauderdale</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2008</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54,972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179,000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85%</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44,000</w:t>
            </w: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Winn Dixie</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CVS</w:t>
            </w:r>
          </w:p>
        </w:tc>
        <w:tc>
          <w:tcPr>
            <w:tcW w:w="0" w:type="dxa"/>
            <w:vAlign w:val="bottom"/>
          </w:tcPr>
          <w:p>
            <w:pPr>
              <w:spacing w:after="0"/>
              <w:rPr>
                <w:sz w:val="1"/>
                <w:szCs w:val="1"/>
                <w:color w:val="auto"/>
              </w:rPr>
            </w:pPr>
          </w:p>
        </w:tc>
      </w:tr>
      <w:tr>
        <w:trPr>
          <w:trHeight w:val="127"/>
        </w:trPr>
        <w:tc>
          <w:tcPr>
            <w:tcW w:w="1500" w:type="dxa"/>
            <w:vAlign w:val="bottom"/>
            <w:gridSpan w:val="5"/>
          </w:tcPr>
          <w:p>
            <w:pPr>
              <w:spacing w:after="0" w:line="127" w:lineRule="exact"/>
              <w:rPr>
                <w:sz w:val="20"/>
                <w:szCs w:val="20"/>
                <w:color w:val="auto"/>
              </w:rPr>
            </w:pPr>
            <w:r>
              <w:rPr>
                <w:rFonts w:ascii="Arial" w:cs="Arial" w:eastAsia="Arial" w:hAnsi="Arial"/>
                <w:sz w:val="12"/>
                <w:szCs w:val="12"/>
                <w:color w:val="auto"/>
              </w:rPr>
              <w:t>Tower Shops</w:t>
            </w:r>
          </w:p>
        </w:tc>
        <w:tc>
          <w:tcPr>
            <w:tcW w:w="380" w:type="dxa"/>
            <w:vAlign w:val="bottom"/>
          </w:tcPr>
          <w:p>
            <w:pPr>
              <w:spacing w:after="0"/>
              <w:rPr>
                <w:sz w:val="11"/>
                <w:szCs w:val="11"/>
                <w:color w:val="auto"/>
              </w:rPr>
            </w:pPr>
          </w:p>
        </w:tc>
        <w:tc>
          <w:tcPr>
            <w:tcW w:w="2100" w:type="dxa"/>
            <w:vAlign w:val="bottom"/>
            <w:gridSpan w:val="3"/>
          </w:tcPr>
          <w:p>
            <w:pPr>
              <w:ind w:left="40"/>
              <w:spacing w:after="0" w:line="127" w:lineRule="exact"/>
              <w:rPr>
                <w:sz w:val="20"/>
                <w:szCs w:val="20"/>
                <w:color w:val="auto"/>
              </w:rPr>
            </w:pPr>
            <w:r>
              <w:rPr>
                <w:rFonts w:ascii="Arial" w:cs="Arial" w:eastAsia="Arial" w:hAnsi="Arial"/>
                <w:sz w:val="12"/>
                <w:szCs w:val="12"/>
                <w:color w:val="auto"/>
              </w:rPr>
              <w:t>Miami-Ft Lauderdale</w:t>
            </w:r>
          </w:p>
        </w:tc>
        <w:tc>
          <w:tcPr>
            <w:tcW w:w="580" w:type="dxa"/>
            <w:vAlign w:val="bottom"/>
          </w:tcPr>
          <w:p>
            <w:pPr>
              <w:jc w:val="right"/>
              <w:spacing w:after="0" w:line="127" w:lineRule="exact"/>
              <w:rPr>
                <w:sz w:val="20"/>
                <w:szCs w:val="20"/>
                <w:color w:val="auto"/>
              </w:rPr>
            </w:pPr>
            <w:r>
              <w:rPr>
                <w:rFonts w:ascii="Arial" w:cs="Arial" w:eastAsia="Arial" w:hAnsi="Arial"/>
                <w:sz w:val="12"/>
                <w:szCs w:val="12"/>
                <w:color w:val="auto"/>
              </w:rPr>
              <w:t>2011</w:t>
            </w:r>
          </w:p>
        </w:tc>
        <w:tc>
          <w:tcPr>
            <w:tcW w:w="880" w:type="dxa"/>
            <w:vAlign w:val="bottom"/>
            <w:gridSpan w:val="2"/>
          </w:tcPr>
          <w:p>
            <w:pPr>
              <w:jc w:val="right"/>
              <w:spacing w:after="0" w:line="127" w:lineRule="exact"/>
              <w:rPr>
                <w:sz w:val="20"/>
                <w:szCs w:val="20"/>
                <w:color w:val="auto"/>
              </w:rPr>
            </w:pPr>
            <w:r>
              <w:rPr>
                <w:rFonts w:ascii="Arial" w:cs="Arial" w:eastAsia="Arial" w:hAnsi="Arial"/>
                <w:sz w:val="12"/>
                <w:szCs w:val="12"/>
                <w:color w:val="auto"/>
              </w:rPr>
              <w:t>71,012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27" w:lineRule="exact"/>
              <w:rPr>
                <w:sz w:val="20"/>
                <w:szCs w:val="20"/>
                <w:color w:val="auto"/>
              </w:rPr>
            </w:pPr>
            <w:r>
              <w:rPr>
                <w:rFonts w:ascii="Arial" w:cs="Arial" w:eastAsia="Arial" w:hAnsi="Arial"/>
                <w:sz w:val="12"/>
                <w:szCs w:val="12"/>
                <w:color w:val="auto"/>
              </w:rPr>
              <w:t>370,000</w:t>
            </w:r>
          </w:p>
        </w:tc>
        <w:tc>
          <w:tcPr>
            <w:tcW w:w="720" w:type="dxa"/>
            <w:vAlign w:val="bottom"/>
            <w:gridSpan w:val="3"/>
          </w:tcPr>
          <w:p>
            <w:pPr>
              <w:jc w:val="right"/>
              <w:ind w:right="160"/>
              <w:spacing w:after="0" w:line="127" w:lineRule="exact"/>
              <w:rPr>
                <w:sz w:val="20"/>
                <w:szCs w:val="20"/>
                <w:color w:val="auto"/>
              </w:rPr>
            </w:pPr>
            <w:r>
              <w:rPr>
                <w:rFonts w:ascii="Arial" w:cs="Arial" w:eastAsia="Arial" w:hAnsi="Arial"/>
                <w:sz w:val="12"/>
                <w:szCs w:val="12"/>
                <w:color w:val="auto"/>
              </w:rPr>
              <w:t>93%</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27" w:lineRule="exact"/>
              <w:rPr>
                <w:sz w:val="20"/>
                <w:szCs w:val="20"/>
                <w:color w:val="auto"/>
              </w:rPr>
            </w:pPr>
            <w:r>
              <w:rPr>
                <w:rFonts w:ascii="Arial" w:cs="Arial" w:eastAsia="Arial" w:hAnsi="Arial"/>
                <w:sz w:val="12"/>
                <w:szCs w:val="12"/>
                <w:color w:val="auto"/>
                <w:w w:val="93"/>
              </w:rPr>
              <w:t>Best Buy / DSW / Old Navy / Ross Dress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80"/>
              <w:spacing w:after="0"/>
              <w:rPr>
                <w:sz w:val="20"/>
                <w:szCs w:val="20"/>
                <w:color w:val="auto"/>
              </w:rPr>
            </w:pPr>
            <w:r>
              <w:rPr>
                <w:rFonts w:ascii="Arial" w:cs="Arial" w:eastAsia="Arial" w:hAnsi="Arial"/>
                <w:sz w:val="12"/>
                <w:szCs w:val="12"/>
                <w:color w:val="auto"/>
              </w:rPr>
              <w:t>For Less / TJ Maxx</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b w:val="1"/>
                <w:bCs w:val="1"/>
                <w:color w:val="auto"/>
              </w:rPr>
              <w:t>Total South Florida</w:t>
            </w:r>
          </w:p>
        </w:tc>
        <w:tc>
          <w:tcPr>
            <w:tcW w:w="5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166,036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679,000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90%</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Other</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00" w:type="dxa"/>
            <w:vAlign w:val="bottom"/>
            <w:gridSpan w:val="5"/>
            <w:shd w:val="clear" w:color="auto" w:fill="CCEEFF"/>
          </w:tcPr>
          <w:p>
            <w:pPr>
              <w:spacing w:after="0" w:line="120" w:lineRule="exact"/>
              <w:rPr>
                <w:sz w:val="20"/>
                <w:szCs w:val="20"/>
                <w:color w:val="auto"/>
              </w:rPr>
            </w:pPr>
            <w:r>
              <w:rPr>
                <w:rFonts w:ascii="Arial" w:cs="Arial" w:eastAsia="Arial" w:hAnsi="Arial"/>
                <w:sz w:val="12"/>
                <w:szCs w:val="12"/>
                <w:color w:val="auto"/>
              </w:rPr>
              <w:t>Barracks Road</w:t>
            </w:r>
          </w:p>
        </w:tc>
        <w:tc>
          <w:tcPr>
            <w:tcW w:w="380" w:type="dxa"/>
            <w:vAlign w:val="bottom"/>
            <w:shd w:val="clear" w:color="auto" w:fill="CCEEFF"/>
          </w:tcPr>
          <w:p>
            <w:pPr>
              <w:spacing w:after="0"/>
              <w:rPr>
                <w:sz w:val="10"/>
                <w:szCs w:val="10"/>
                <w:color w:val="auto"/>
              </w:rPr>
            </w:pPr>
          </w:p>
        </w:tc>
        <w:tc>
          <w:tcPr>
            <w:tcW w:w="2100" w:type="dxa"/>
            <w:vAlign w:val="bottom"/>
            <w:gridSpan w:val="3"/>
            <w:shd w:val="clear" w:color="auto" w:fill="CCEEFF"/>
          </w:tcPr>
          <w:p>
            <w:pPr>
              <w:ind w:left="40"/>
              <w:spacing w:after="0" w:line="120" w:lineRule="exact"/>
              <w:rPr>
                <w:sz w:val="20"/>
                <w:szCs w:val="20"/>
                <w:color w:val="auto"/>
              </w:rPr>
            </w:pPr>
            <w:r>
              <w:rPr>
                <w:rFonts w:ascii="Arial" w:cs="Arial" w:eastAsia="Arial" w:hAnsi="Arial"/>
                <w:sz w:val="12"/>
                <w:szCs w:val="12"/>
                <w:color w:val="auto"/>
              </w:rPr>
              <w:t>Charlottesville, VA</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1985</w:t>
            </w:r>
          </w:p>
        </w:tc>
        <w:tc>
          <w:tcPr>
            <w:tcW w:w="8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51,575</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39,431</w:t>
            </w:r>
          </w:p>
        </w:tc>
        <w:tc>
          <w:tcPr>
            <w:tcW w:w="66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487,000</w:t>
            </w:r>
          </w:p>
        </w:tc>
        <w:tc>
          <w:tcPr>
            <w:tcW w:w="720" w:type="dxa"/>
            <w:vAlign w:val="bottom"/>
            <w:gridSpan w:val="3"/>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98%</w:t>
            </w:r>
          </w:p>
        </w:tc>
        <w:tc>
          <w:tcPr>
            <w:tcW w:w="60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99,000</w:t>
            </w:r>
          </w:p>
        </w:tc>
        <w:tc>
          <w:tcPr>
            <w:tcW w:w="8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2"/>
                <w:szCs w:val="12"/>
                <w:color w:val="auto"/>
              </w:rPr>
              <w:t>Harris Teeter</w:t>
            </w:r>
          </w:p>
        </w:tc>
        <w:tc>
          <w:tcPr>
            <w:tcW w:w="214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2"/>
                <w:szCs w:val="12"/>
                <w:color w:val="auto"/>
              </w:rPr>
              <w:t>Anthropologie / Bed, Bath &amp; Beyond /</w:t>
            </w:r>
          </w:p>
        </w:tc>
        <w:tc>
          <w:tcPr>
            <w:tcW w:w="0" w:type="dxa"/>
            <w:vAlign w:val="bottom"/>
          </w:tcPr>
          <w:p>
            <w:pPr>
              <w:spacing w:after="0"/>
              <w:rPr>
                <w:sz w:val="1"/>
                <w:szCs w:val="1"/>
                <w:color w:val="auto"/>
              </w:rPr>
            </w:pPr>
          </w:p>
        </w:tc>
      </w:tr>
      <w:tr>
        <w:trPr>
          <w:trHeight w:val="136"/>
        </w:trPr>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 Kroger</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98"/>
              </w:rPr>
              <w:t>Barnes &amp; Noble / Old Navy / Michaels /</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Ulta</w:t>
            </w: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Bristol Plaza</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Hartford, CT</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1995</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28,079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269,000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94%</w:t>
            </w: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74,000</w:t>
            </w:r>
          </w:p>
        </w:tc>
        <w:tc>
          <w:tcPr>
            <w:tcW w:w="80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Stop &amp; Shop</w:t>
            </w: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TJ Maxx</w:t>
            </w: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Eastgate</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Raleigh-Durham-Chapel Hill, NC</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1986</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26,484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153,000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100%</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13,000</w:t>
            </w: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Trader Joe’s</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Stein Mart</w:t>
            </w: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Gratiot Plaza</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Detroit, MI</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1973</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18,887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217,000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99%</w:t>
            </w:r>
          </w:p>
        </w:tc>
        <w:tc>
          <w:tcPr>
            <w:tcW w:w="6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69,000</w:t>
            </w:r>
          </w:p>
        </w:tc>
        <w:tc>
          <w:tcPr>
            <w:tcW w:w="80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Kroger</w:t>
            </w: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w w:val="99"/>
              </w:rPr>
              <w:t>Bed, Bath &amp; Beyond / Best Buy / DSW</w:t>
            </w:r>
          </w:p>
        </w:tc>
        <w:tc>
          <w:tcPr>
            <w:tcW w:w="0" w:type="dxa"/>
            <w:vAlign w:val="bottom"/>
          </w:tcPr>
          <w:p>
            <w:pPr>
              <w:spacing w:after="0"/>
              <w:rPr>
                <w:sz w:val="1"/>
                <w:szCs w:val="1"/>
                <w:color w:val="auto"/>
              </w:rPr>
            </w:pPr>
          </w:p>
        </w:tc>
      </w:tr>
      <w:tr>
        <w:trPr>
          <w:trHeight w:val="127"/>
        </w:trPr>
        <w:tc>
          <w:tcPr>
            <w:tcW w:w="1500" w:type="dxa"/>
            <w:vAlign w:val="bottom"/>
            <w:gridSpan w:val="5"/>
            <w:shd w:val="clear" w:color="auto" w:fill="CCEEFF"/>
          </w:tcPr>
          <w:p>
            <w:pPr>
              <w:spacing w:after="0" w:line="127" w:lineRule="exact"/>
              <w:rPr>
                <w:sz w:val="20"/>
                <w:szCs w:val="20"/>
                <w:color w:val="auto"/>
              </w:rPr>
            </w:pPr>
            <w:r>
              <w:rPr>
                <w:rFonts w:ascii="Arial" w:cs="Arial" w:eastAsia="Arial" w:hAnsi="Arial"/>
                <w:sz w:val="12"/>
                <w:szCs w:val="12"/>
                <w:color w:val="auto"/>
              </w:rPr>
              <w:t>Greenwich Avenue</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2"/>
                <w:szCs w:val="12"/>
                <w:color w:val="auto"/>
              </w:rPr>
              <w:t>New Haven-Bridgeport-Stamford-</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1995</w:t>
            </w: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13,969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7" w:lineRule="exact"/>
              <w:rPr>
                <w:sz w:val="20"/>
                <w:szCs w:val="20"/>
                <w:color w:val="auto"/>
              </w:rPr>
            </w:pPr>
            <w:r>
              <w:rPr>
                <w:rFonts w:ascii="Arial" w:cs="Arial" w:eastAsia="Arial" w:hAnsi="Arial"/>
                <w:sz w:val="12"/>
                <w:szCs w:val="12"/>
                <w:color w:val="auto"/>
              </w:rPr>
              <w:t>36,000</w:t>
            </w:r>
          </w:p>
        </w:tc>
        <w:tc>
          <w:tcPr>
            <w:tcW w:w="720" w:type="dxa"/>
            <w:vAlign w:val="bottom"/>
            <w:gridSpan w:val="3"/>
            <w:shd w:val="clear" w:color="auto" w:fill="CCEEFF"/>
          </w:tcPr>
          <w:p>
            <w:pPr>
              <w:jc w:val="right"/>
              <w:ind w:right="160"/>
              <w:spacing w:after="0" w:line="127" w:lineRule="exact"/>
              <w:rPr>
                <w:sz w:val="20"/>
                <w:szCs w:val="20"/>
                <w:color w:val="auto"/>
              </w:rPr>
            </w:pPr>
            <w:r>
              <w:rPr>
                <w:rFonts w:ascii="Arial" w:cs="Arial" w:eastAsia="Arial" w:hAnsi="Arial"/>
                <w:sz w:val="12"/>
                <w:szCs w:val="12"/>
                <w:color w:val="auto"/>
              </w:rPr>
              <w:t>100%</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40" w:type="dxa"/>
            <w:vAlign w:val="bottom"/>
            <w:gridSpan w:val="2"/>
            <w:shd w:val="clear" w:color="auto" w:fill="CCEEFF"/>
          </w:tcPr>
          <w:p>
            <w:pPr>
              <w:ind w:left="80"/>
              <w:spacing w:after="0" w:line="127" w:lineRule="exact"/>
              <w:rPr>
                <w:sz w:val="20"/>
                <w:szCs w:val="20"/>
                <w:color w:val="auto"/>
              </w:rPr>
            </w:pPr>
            <w:r>
              <w:rPr>
                <w:rFonts w:ascii="Arial" w:cs="Arial" w:eastAsia="Arial" w:hAnsi="Arial"/>
                <w:sz w:val="12"/>
                <w:szCs w:val="12"/>
                <w:color w:val="auto"/>
              </w:rPr>
              <w:t>Saks Fifth Avenue</w:t>
            </w:r>
          </w:p>
        </w:tc>
        <w:tc>
          <w:tcPr>
            <w:tcW w:w="0" w:type="dxa"/>
            <w:vAlign w:val="bottom"/>
          </w:tcPr>
          <w:p>
            <w:pPr>
              <w:spacing w:after="0"/>
              <w:rPr>
                <w:sz w:val="1"/>
                <w:szCs w:val="1"/>
                <w:color w:val="auto"/>
              </w:rPr>
            </w:pPr>
          </w:p>
        </w:tc>
      </w:tr>
      <w:tr>
        <w:trPr>
          <w:trHeight w:val="145"/>
        </w:trPr>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Waterbury</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Houston St</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San Antonio, TX</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1998</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66,634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197,000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81%</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Hotel Valencia / Walgreens</w:t>
            </w: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Lancaster</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Lancaster, PA</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1980</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12,793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4,907</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127,000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92%</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75,000</w:t>
            </w: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Giant Food</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Michaels</w:t>
            </w:r>
          </w:p>
        </w:tc>
        <w:tc>
          <w:tcPr>
            <w:tcW w:w="0" w:type="dxa"/>
            <w:vAlign w:val="bottom"/>
          </w:tcPr>
          <w:p>
            <w:pPr>
              <w:spacing w:after="0"/>
              <w:rPr>
                <w:sz w:val="1"/>
                <w:szCs w:val="1"/>
                <w:color w:val="auto"/>
              </w:rPr>
            </w:pPr>
          </w:p>
        </w:tc>
      </w:tr>
      <w:tr>
        <w:trPr>
          <w:trHeight w:val="136"/>
        </w:trPr>
        <w:tc>
          <w:tcPr>
            <w:tcW w:w="1500" w:type="dxa"/>
            <w:vAlign w:val="bottom"/>
            <w:gridSpan w:val="5"/>
          </w:tcPr>
          <w:p>
            <w:pPr>
              <w:spacing w:after="0" w:line="136" w:lineRule="exact"/>
              <w:rPr>
                <w:sz w:val="20"/>
                <w:szCs w:val="20"/>
                <w:color w:val="auto"/>
              </w:rPr>
            </w:pPr>
            <w:r>
              <w:rPr>
                <w:rFonts w:ascii="Arial" w:cs="Arial" w:eastAsia="Arial" w:hAnsi="Arial"/>
                <w:sz w:val="12"/>
                <w:szCs w:val="12"/>
                <w:color w:val="auto"/>
              </w:rPr>
              <w:t>Shoppers’ World</w:t>
            </w:r>
          </w:p>
        </w:tc>
        <w:tc>
          <w:tcPr>
            <w:tcW w:w="380" w:type="dxa"/>
            <w:vAlign w:val="bottom"/>
          </w:tcPr>
          <w:p>
            <w:pPr>
              <w:spacing w:after="0"/>
              <w:rPr>
                <w:sz w:val="11"/>
                <w:szCs w:val="11"/>
                <w:color w:val="auto"/>
              </w:rPr>
            </w:pPr>
          </w:p>
        </w:tc>
        <w:tc>
          <w:tcPr>
            <w:tcW w:w="2100" w:type="dxa"/>
            <w:vAlign w:val="bottom"/>
            <w:gridSpan w:val="3"/>
          </w:tcPr>
          <w:p>
            <w:pPr>
              <w:ind w:left="40"/>
              <w:spacing w:after="0" w:line="136" w:lineRule="exact"/>
              <w:rPr>
                <w:sz w:val="20"/>
                <w:szCs w:val="20"/>
                <w:color w:val="auto"/>
              </w:rPr>
            </w:pPr>
            <w:r>
              <w:rPr>
                <w:rFonts w:ascii="Arial" w:cs="Arial" w:eastAsia="Arial" w:hAnsi="Arial"/>
                <w:sz w:val="12"/>
                <w:szCs w:val="12"/>
                <w:color w:val="auto"/>
              </w:rPr>
              <w:t>Charlottesville, VA</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2007</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30,461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5,520</w:t>
            </w:r>
          </w:p>
        </w:tc>
        <w:tc>
          <w:tcPr>
            <w:tcW w:w="6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169,000</w:t>
            </w: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color w:val="auto"/>
              </w:rPr>
              <w:t>92%</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Staples</w:t>
            </w:r>
          </w:p>
        </w:tc>
        <w:tc>
          <w:tcPr>
            <w:tcW w:w="0" w:type="dxa"/>
            <w:vAlign w:val="bottom"/>
          </w:tcPr>
          <w:p>
            <w:pPr>
              <w:spacing w:after="0"/>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Shops at Willow Lawn</w:t>
            </w:r>
          </w:p>
        </w:tc>
        <w:tc>
          <w:tcPr>
            <w:tcW w:w="380" w:type="dxa"/>
            <w:vAlign w:val="bottom"/>
            <w:shd w:val="clear" w:color="auto" w:fill="CCEEFF"/>
          </w:tcPr>
          <w:p>
            <w:pPr>
              <w:spacing w:after="0"/>
              <w:rPr>
                <w:sz w:val="11"/>
                <w:szCs w:val="11"/>
                <w:color w:val="auto"/>
              </w:rPr>
            </w:pPr>
          </w:p>
        </w:tc>
        <w:tc>
          <w:tcPr>
            <w:tcW w:w="2100" w:type="dxa"/>
            <w:vAlign w:val="bottom"/>
            <w:gridSpan w:val="3"/>
            <w:shd w:val="clear" w:color="auto" w:fill="CCEEFF"/>
          </w:tcPr>
          <w:p>
            <w:pPr>
              <w:ind w:left="40"/>
              <w:spacing w:after="0" w:line="136" w:lineRule="exact"/>
              <w:rPr>
                <w:sz w:val="20"/>
                <w:szCs w:val="20"/>
                <w:color w:val="auto"/>
              </w:rPr>
            </w:pPr>
            <w:r>
              <w:rPr>
                <w:rFonts w:ascii="Arial" w:cs="Arial" w:eastAsia="Arial" w:hAnsi="Arial"/>
                <w:sz w:val="12"/>
                <w:szCs w:val="12"/>
                <w:color w:val="auto"/>
              </w:rPr>
              <w:t>Richmond-Petersburg, VA</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1983</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77,340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436,000</w:t>
            </w:r>
          </w:p>
        </w:tc>
        <w:tc>
          <w:tcPr>
            <w:tcW w:w="72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92%</w:t>
            </w:r>
          </w:p>
        </w:tc>
        <w:tc>
          <w:tcPr>
            <w:tcW w:w="6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60,000</w:t>
            </w:r>
          </w:p>
        </w:tc>
        <w:tc>
          <w:tcPr>
            <w:tcW w:w="8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Kroger</w:t>
            </w:r>
          </w:p>
        </w:tc>
        <w:tc>
          <w:tcPr>
            <w:tcW w:w="214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92"/>
              </w:rPr>
              <w:t>Old Navy / Staples / Ross Dress For Less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3"/>
            <w:vMerge w:val="restart"/>
          </w:tcPr>
          <w:p>
            <w:pPr>
              <w:ind w:left="40"/>
              <w:spacing w:after="0"/>
              <w:rPr>
                <w:sz w:val="20"/>
                <w:szCs w:val="20"/>
                <w:color w:val="auto"/>
              </w:rPr>
            </w:pPr>
            <w:r>
              <w:rPr>
                <w:rFonts w:ascii="Arial" w:cs="Arial" w:eastAsia="Arial" w:hAnsi="Arial"/>
                <w:sz w:val="12"/>
                <w:szCs w:val="12"/>
                <w:color w:val="auto"/>
              </w:rPr>
              <w:t>Total Other</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326,222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2,091,000</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94%</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50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Grand Total</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(10)</w:t>
            </w:r>
          </w:p>
        </w:tc>
        <w:tc>
          <w:tcPr>
            <w:tcW w:w="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  3,992,997</w:t>
            </w:r>
          </w:p>
        </w:tc>
        <w:tc>
          <w:tcPr>
            <w:tcW w:w="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8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b w:val="1"/>
                <w:bCs w:val="1"/>
                <w:color w:val="auto"/>
              </w:rPr>
              <w:t>546,713</w:t>
            </w:r>
          </w:p>
        </w:tc>
        <w:tc>
          <w:tcPr>
            <w:tcW w:w="6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w w:val="93"/>
              </w:rPr>
              <w:t>18,646,000</w:t>
            </w:r>
          </w:p>
        </w:tc>
        <w:tc>
          <w:tcPr>
            <w:tcW w:w="72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2"/>
                <w:szCs w:val="12"/>
                <w:b w:val="1"/>
                <w:bCs w:val="1"/>
                <w:color w:val="auto"/>
              </w:rPr>
              <w:t>93%</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561" w:right="560" w:hanging="561"/>
        <w:spacing w:after="0" w:line="257" w:lineRule="auto"/>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mortgage or capital lease obligations differ from the total reported on the consolidated balance sheet due to the unamortized discount or premium on certain mortgage payables.</w:t>
      </w: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newly created redevelopment square footage not yet in service, as well as residential and hotel square footage.</w:t>
      </w:r>
    </w:p>
    <w:p>
      <w:pPr>
        <w:spacing w:after="0" w:line="13" w:lineRule="exact"/>
        <w:rPr>
          <w:rFonts w:ascii="Arial" w:cs="Arial" w:eastAsia="Arial" w:hAnsi="Arial"/>
          <w:sz w:val="16"/>
          <w:szCs w:val="16"/>
          <w:color w:val="auto"/>
        </w:rPr>
      </w:pP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Portion of property subject to capital lease obligation.</w:t>
      </w:r>
    </w:p>
    <w:p>
      <w:pPr>
        <w:spacing w:after="0" w:line="13" w:lineRule="exact"/>
        <w:rPr>
          <w:rFonts w:ascii="Arial" w:cs="Arial" w:eastAsia="Arial" w:hAnsi="Arial"/>
          <w:sz w:val="16"/>
          <w:szCs w:val="16"/>
          <w:color w:val="auto"/>
        </w:rPr>
      </w:pP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Trust has a 64.1% ownership interest in the property.</w:t>
      </w:r>
    </w:p>
    <w:p>
      <w:pPr>
        <w:spacing w:after="0" w:line="13" w:lineRule="exact"/>
        <w:rPr>
          <w:rFonts w:ascii="Arial" w:cs="Arial" w:eastAsia="Arial" w:hAnsi="Arial"/>
          <w:sz w:val="16"/>
          <w:szCs w:val="16"/>
          <w:color w:val="auto"/>
        </w:rPr>
      </w:pPr>
    </w:p>
    <w:p>
      <w:pPr>
        <w:ind w:left="561" w:right="360" w:hanging="561"/>
        <w:spacing w:after="0" w:line="257" w:lineRule="auto"/>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Property owned in a “downreit” partnership, of which a wholly owned subsidiary of the Trust is the sole general partner, with third party partners holding operating partnership units.</w:t>
      </w:r>
    </w:p>
    <w:p>
      <w:pPr>
        <w:ind w:left="561" w:right="20" w:hanging="561"/>
        <w:spacing w:after="0" w:line="257" w:lineRule="auto"/>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Trust has a 70% ownership interest in the property. On November 10, 2010, we acquired an adjacent site to this property which totaled approximately 75,000 square feet, and we are in the process of preparing the space for lease.</w:t>
      </w: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Trust has a 90% ownership interest in the property.</w:t>
      </w:r>
    </w:p>
    <w:p>
      <w:pPr>
        <w:spacing w:after="0" w:line="13" w:lineRule="exact"/>
        <w:rPr>
          <w:rFonts w:ascii="Arial" w:cs="Arial" w:eastAsia="Arial" w:hAnsi="Arial"/>
          <w:sz w:val="16"/>
          <w:szCs w:val="16"/>
          <w:color w:val="auto"/>
        </w:rPr>
      </w:pPr>
    </w:p>
    <w:p>
      <w:pPr>
        <w:ind w:left="561" w:right="320" w:hanging="561"/>
        <w:spacing w:after="0" w:line="257" w:lineRule="auto"/>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Trust has an 85% ownership interest in the property which is accounted for on the equity method.</w:t>
      </w:r>
    </w:p>
    <w:p>
      <w:pPr>
        <w:spacing w:after="0" w:line="13" w:lineRule="exact"/>
        <w:rPr>
          <w:rFonts w:ascii="Arial" w:cs="Arial" w:eastAsia="Arial" w:hAnsi="Arial"/>
          <w:sz w:val="16"/>
          <w:szCs w:val="16"/>
          <w:color w:val="auto"/>
        </w:rPr>
      </w:pPr>
    </w:p>
    <w:p>
      <w:pPr>
        <w:ind w:left="561" w:hanging="561"/>
        <w:spacing w:after="0"/>
        <w:tabs>
          <w:tab w:leader="none" w:pos="561" w:val="left"/>
        </w:tabs>
        <w:numPr>
          <w:ilvl w:val="0"/>
          <w:numId w:val="15"/>
        </w:numPr>
        <w:rPr>
          <w:rFonts w:ascii="Arial" w:cs="Arial" w:eastAsia="Arial" w:hAnsi="Arial"/>
          <w:sz w:val="15"/>
          <w:szCs w:val="15"/>
          <w:color w:val="auto"/>
        </w:rPr>
      </w:pPr>
      <w:r>
        <w:rPr>
          <w:rFonts w:ascii="Arial" w:cs="Arial" w:eastAsia="Arial" w:hAnsi="Arial"/>
          <w:sz w:val="15"/>
          <w:szCs w:val="15"/>
          <w:color w:val="auto"/>
        </w:rPr>
        <w:t>Aggregate information is calculated on a GLA weighted-average basis, excluding properties acquired through the Taurus Newbury Street JV II Limited Partnership.</w:t>
      </w:r>
    </w:p>
    <w:p>
      <w:pPr>
        <w:spacing w:after="0" w:line="25" w:lineRule="exact"/>
        <w:rPr>
          <w:rFonts w:ascii="Arial" w:cs="Arial" w:eastAsia="Arial" w:hAnsi="Arial"/>
          <w:sz w:val="15"/>
          <w:szCs w:val="15"/>
          <w:color w:val="auto"/>
        </w:rPr>
      </w:pPr>
    </w:p>
    <w:p>
      <w:pPr>
        <w:ind w:left="561" w:right="520" w:hanging="561"/>
        <w:spacing w:after="0" w:line="257" w:lineRule="auto"/>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50% of the ownership of this property is in a “downreit” partnership, of which a wholly owned subsidiary of the Trust is the sole general partner, with third party partners holding operating partnership units.</w:t>
      </w: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Property subject to capital lease obligation.</w:t>
      </w:r>
    </w:p>
    <w:p>
      <w:pPr>
        <w:spacing w:after="0" w:line="13" w:lineRule="exact"/>
        <w:rPr>
          <w:rFonts w:ascii="Arial" w:cs="Arial" w:eastAsia="Arial" w:hAnsi="Arial"/>
          <w:sz w:val="16"/>
          <w:szCs w:val="16"/>
          <w:color w:val="auto"/>
        </w:rPr>
      </w:pPr>
    </w:p>
    <w:p>
      <w:pPr>
        <w:ind w:left="561" w:hanging="561"/>
        <w:spacing w:after="0"/>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property was sold on July 12, 2011.</w:t>
      </w:r>
    </w:p>
    <w:p>
      <w:pPr>
        <w:sectPr>
          <w:pgSz w:w="11900" w:h="16838" w:orient="portrait"/>
          <w:cols w:equalWidth="0" w:num="1">
            <w:col w:w="11421"/>
          </w:cols>
          <w:pgMar w:left="239" w:top="262" w:right="239" w:bottom="1440" w:gutter="0" w:footer="0" w:header="0"/>
        </w:sectPr>
      </w:pP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1"/>
          </w:cols>
          <w:pgMar w:left="239" w:top="262" w:right="239" w:bottom="1440" w:gutter="0" w:footer="0" w:header="0"/>
          <w:type w:val="continuous"/>
        </w:sectPr>
      </w:pPr>
    </w:p>
    <w:bookmarkStart w:id="22" w:name="page23"/>
    <w:bookmarkEnd w:id="22"/>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Retail Leasing Summary (1)</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0"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Total Lease Summary - Comparable (2)</w:t>
      </w:r>
    </w:p>
    <w:p>
      <w:pPr>
        <w:spacing w:after="0" w:line="19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Straight-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88"/>
              </w:rPr>
              <w:t>Cash</w:t>
            </w:r>
          </w:p>
        </w:tc>
        <w:tc>
          <w:tcPr>
            <w:tcW w:w="7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2"/>
              </w:rPr>
              <w:t>lined</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Prior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1"/>
              </w:rPr>
              <w:t>Basis %</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5"/>
              </w:rPr>
              <w:t>Basis %</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60" w:type="dxa"/>
            <w:vAlign w:val="bottom"/>
            <w:gridSpan w:val="5"/>
          </w:tcPr>
          <w:p>
            <w:pPr>
              <w:jc w:val="center"/>
              <w:ind w:right="220"/>
              <w:spacing w:after="0" w:line="136"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420"/>
              <w:spacing w:after="0" w:line="136"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Rent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0"/>
              </w:rPr>
              <w:t>Increase</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0"/>
              </w:rPr>
              <w:t>Increase</w:t>
            </w:r>
          </w:p>
        </w:tc>
        <w:tc>
          <w:tcPr>
            <w:tcW w:w="720" w:type="dxa"/>
            <w:vAlign w:val="bottom"/>
            <w:gridSpan w:val="2"/>
          </w:tcPr>
          <w:p>
            <w:pPr>
              <w:jc w:val="right"/>
              <w:ind w:right="200"/>
              <w:spacing w:after="0" w:line="136" w:lineRule="exact"/>
              <w:rPr>
                <w:sz w:val="20"/>
                <w:szCs w:val="20"/>
                <w:color w:val="auto"/>
              </w:rPr>
            </w:pPr>
            <w:r>
              <w:rPr>
                <w:rFonts w:ascii="Arial" w:cs="Arial" w:eastAsia="Arial" w:hAnsi="Arial"/>
                <w:sz w:val="12"/>
                <w:szCs w:val="12"/>
                <w:b w:val="1"/>
                <w:bCs w:val="1"/>
                <w:color w:val="auto"/>
                <w:w w:val="92"/>
              </w:rPr>
              <w:t>Weighted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Tenant</w:t>
            </w: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360"/>
              <w:spacing w:after="0" w:line="136"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6"/>
          </w:tcPr>
          <w:p>
            <w:pPr>
              <w:jc w:val="center"/>
              <w:ind w:right="300"/>
              <w:spacing w:after="0" w:line="136" w:lineRule="exact"/>
              <w:rPr>
                <w:sz w:val="20"/>
                <w:szCs w:val="20"/>
                <w:color w:val="auto"/>
              </w:rPr>
            </w:pPr>
            <w:r>
              <w:rPr>
                <w:rFonts w:ascii="Arial" w:cs="Arial" w:eastAsia="Arial" w:hAnsi="Arial"/>
                <w:sz w:val="12"/>
                <w:szCs w:val="12"/>
                <w:b w:val="1"/>
                <w:bCs w:val="1"/>
                <w:color w:val="auto"/>
                <w:w w:val="95"/>
              </w:rPr>
              <w:t>Comparable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2"/>
              </w:rPr>
              <w:t>Contractual</w:t>
            </w:r>
          </w:p>
        </w:tc>
        <w:tc>
          <w:tcPr>
            <w:tcW w:w="660" w:type="dxa"/>
            <w:vAlign w:val="bottom"/>
            <w:gridSpan w:val="2"/>
          </w:tcPr>
          <w:p>
            <w:pPr>
              <w:jc w:val="center"/>
              <w:ind w:left="123"/>
              <w:spacing w:after="0" w:line="136" w:lineRule="exact"/>
              <w:rPr>
                <w:sz w:val="20"/>
                <w:szCs w:val="20"/>
                <w:color w:val="auto"/>
              </w:rPr>
            </w:pPr>
            <w:r>
              <w:rPr>
                <w:rFonts w:ascii="Arial" w:cs="Arial" w:eastAsia="Arial" w:hAnsi="Arial"/>
                <w:sz w:val="12"/>
                <w:szCs w:val="12"/>
                <w:b w:val="1"/>
                <w:bCs w:val="1"/>
                <w:color w:val="auto"/>
                <w:w w:val="95"/>
              </w:rPr>
              <w:t>(4)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
              <w:spacing w:after="0" w:line="136" w:lineRule="exact"/>
              <w:rPr>
                <w:sz w:val="20"/>
                <w:szCs w:val="20"/>
                <w:color w:val="auto"/>
              </w:rPr>
            </w:pPr>
            <w:r>
              <w:rPr>
                <w:rFonts w:ascii="Arial" w:cs="Arial" w:eastAsia="Arial" w:hAnsi="Arial"/>
                <w:sz w:val="12"/>
                <w:szCs w:val="12"/>
                <w:b w:val="1"/>
                <w:bCs w:val="1"/>
                <w:color w:val="auto"/>
                <w:w w:val="93"/>
              </w:rPr>
              <w:t>Annual</w:t>
            </w: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4"/>
              </w:rPr>
              <w:t>Over</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Over</w:t>
            </w:r>
          </w:p>
        </w:tc>
        <w:tc>
          <w:tcPr>
            <w:tcW w:w="7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1"/>
                <w:szCs w:val="11"/>
                <w:color w:val="auto"/>
              </w:rPr>
            </w:pPr>
          </w:p>
        </w:tc>
        <w:tc>
          <w:tcPr>
            <w:tcW w:w="9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6"/>
              </w:rPr>
              <w:t>Tenant</w:t>
            </w:r>
          </w:p>
        </w:tc>
        <w:tc>
          <w:tcPr>
            <w:tcW w:w="86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w w:val="99"/>
              </w:rPr>
              <w:t>Improvements</w:t>
            </w:r>
          </w:p>
        </w:tc>
        <w:tc>
          <w:tcPr>
            <w:tcW w:w="0" w:type="dxa"/>
            <w:vAlign w:val="bottom"/>
          </w:tcPr>
          <w:p>
            <w:pPr>
              <w:spacing w:after="0"/>
              <w:rPr>
                <w:sz w:val="1"/>
                <w:szCs w:val="1"/>
                <w:color w:val="auto"/>
              </w:rPr>
            </w:pPr>
          </w:p>
        </w:tc>
      </w:tr>
      <w:tr>
        <w:trPr>
          <w:trHeight w:val="136"/>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96"/>
              </w:rPr>
              <w:t>Quarter</w:t>
            </w:r>
          </w:p>
        </w:tc>
        <w:tc>
          <w:tcPr>
            <w:tcW w:w="1820" w:type="dxa"/>
            <w:vAlign w:val="bottom"/>
            <w:vMerge w:val="restart"/>
          </w:tcPr>
          <w:p>
            <w:pPr>
              <w:spacing w:after="0"/>
              <w:rPr>
                <w:sz w:val="11"/>
                <w:szCs w:val="11"/>
                <w:color w:val="auto"/>
              </w:rPr>
            </w:pPr>
          </w:p>
        </w:tc>
        <w:tc>
          <w:tcPr>
            <w:tcW w:w="660" w:type="dxa"/>
            <w:vAlign w:val="bottom"/>
            <w:gridSpan w:val="5"/>
          </w:tcPr>
          <w:p>
            <w:pPr>
              <w:jc w:val="center"/>
              <w:ind w:right="220"/>
              <w:spacing w:after="0" w:line="136" w:lineRule="exact"/>
              <w:rPr>
                <w:sz w:val="20"/>
                <w:szCs w:val="20"/>
                <w:color w:val="auto"/>
              </w:rPr>
            </w:pPr>
            <w:r>
              <w:rPr>
                <w:rFonts w:ascii="Arial" w:cs="Arial" w:eastAsia="Arial" w:hAnsi="Arial"/>
                <w:sz w:val="12"/>
                <w:szCs w:val="12"/>
                <w:b w:val="1"/>
                <w:bCs w:val="1"/>
                <w:color w:val="auto"/>
                <w:w w:val="88"/>
              </w:rPr>
              <w:t>Leases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420"/>
              <w:spacing w:after="0" w:line="136" w:lineRule="exact"/>
              <w:rPr>
                <w:sz w:val="20"/>
                <w:szCs w:val="20"/>
                <w:color w:val="auto"/>
              </w:rPr>
            </w:pPr>
            <w:r>
              <w:rPr>
                <w:rFonts w:ascii="Arial" w:cs="Arial" w:eastAsia="Arial" w:hAnsi="Arial"/>
                <w:sz w:val="12"/>
                <w:szCs w:val="12"/>
                <w:b w:val="1"/>
                <w:bCs w:val="1"/>
                <w:color w:val="auto"/>
                <w:w w:val="83"/>
              </w:rPr>
              <w:t>Leases</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rPr>
              <w:t>GLA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3"/>
              <w:spacing w:after="0" w:line="136" w:lineRule="exact"/>
              <w:rPr>
                <w:sz w:val="20"/>
                <w:szCs w:val="20"/>
                <w:color w:val="auto"/>
              </w:rPr>
            </w:pPr>
            <w:r>
              <w:rPr>
                <w:rFonts w:ascii="Arial" w:cs="Arial" w:eastAsia="Arial" w:hAnsi="Arial"/>
                <w:sz w:val="12"/>
                <w:szCs w:val="12"/>
                <w:b w:val="1"/>
                <w:bCs w:val="1"/>
                <w:color w:val="auto"/>
                <w:w w:val="93"/>
              </w:rPr>
              <w:t>Rent (3)</w:t>
            </w: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Per Sq.</w:t>
            </w:r>
          </w:p>
        </w:tc>
        <w:tc>
          <w:tcPr>
            <w:tcW w:w="200" w:type="dxa"/>
            <w:vAlign w:val="bottom"/>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Increase in</w:t>
            </w:r>
          </w:p>
        </w:tc>
        <w:tc>
          <w:tcPr>
            <w:tcW w:w="20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Prior</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9"/>
              </w:rPr>
              <w:t>Prior</w:t>
            </w:r>
          </w:p>
        </w:tc>
        <w:tc>
          <w:tcPr>
            <w:tcW w:w="7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Lease</w:t>
            </w:r>
          </w:p>
        </w:tc>
        <w:tc>
          <w:tcPr>
            <w:tcW w:w="106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Improvements</w:t>
            </w:r>
          </w:p>
        </w:tc>
        <w:tc>
          <w:tcPr>
            <w:tcW w:w="86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3"/>
              </w:rPr>
              <w:t>&amp; Incentives</w:t>
            </w:r>
          </w:p>
        </w:tc>
        <w:tc>
          <w:tcPr>
            <w:tcW w:w="0" w:type="dxa"/>
            <w:vAlign w:val="bottom"/>
          </w:tcPr>
          <w:p>
            <w:pPr>
              <w:spacing w:after="0"/>
              <w:rPr>
                <w:sz w:val="1"/>
                <w:szCs w:val="1"/>
                <w:color w:val="auto"/>
              </w:rPr>
            </w:pPr>
          </w:p>
        </w:tc>
      </w:tr>
      <w:tr>
        <w:trPr>
          <w:trHeight w:val="141"/>
        </w:trPr>
        <w:tc>
          <w:tcPr>
            <w:tcW w:w="440" w:type="dxa"/>
            <w:vAlign w:val="bottom"/>
            <w:tcBorders>
              <w:bottom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660" w:type="dxa"/>
            <w:vAlign w:val="bottom"/>
            <w:gridSpan w:val="5"/>
          </w:tcPr>
          <w:p>
            <w:pPr>
              <w:jc w:val="center"/>
              <w:ind w:right="220"/>
              <w:spacing w:after="0" w:line="137" w:lineRule="exact"/>
              <w:rPr>
                <w:sz w:val="20"/>
                <w:szCs w:val="20"/>
                <w:color w:val="auto"/>
              </w:rPr>
            </w:pPr>
            <w:r>
              <w:rPr>
                <w:rFonts w:ascii="Arial" w:cs="Arial" w:eastAsia="Arial" w:hAnsi="Arial"/>
                <w:sz w:val="12"/>
                <w:szCs w:val="12"/>
                <w:b w:val="1"/>
                <w:bCs w:val="1"/>
                <w:color w:val="auto"/>
                <w:w w:val="89"/>
              </w:rPr>
              <w:t>Signed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440"/>
              <w:spacing w:after="0" w:line="137" w:lineRule="exact"/>
              <w:rPr>
                <w:sz w:val="20"/>
                <w:szCs w:val="20"/>
                <w:color w:val="auto"/>
              </w:rPr>
            </w:pPr>
            <w:r>
              <w:rPr>
                <w:rFonts w:ascii="Arial" w:cs="Arial" w:eastAsia="Arial" w:hAnsi="Arial"/>
                <w:sz w:val="12"/>
                <w:szCs w:val="12"/>
                <w:b w:val="1"/>
                <w:bCs w:val="1"/>
                <w:color w:val="auto"/>
                <w:w w:val="89"/>
              </w:rPr>
              <w:t>Signed</w:t>
            </w:r>
          </w:p>
        </w:tc>
        <w:tc>
          <w:tcPr>
            <w:tcW w:w="120" w:type="dxa"/>
            <w:vAlign w:val="bottom"/>
          </w:tcPr>
          <w:p>
            <w:pPr>
              <w:spacing w:after="0"/>
              <w:rPr>
                <w:sz w:val="11"/>
                <w:szCs w:val="11"/>
                <w:color w:val="auto"/>
              </w:rPr>
            </w:pPr>
          </w:p>
        </w:tc>
        <w:tc>
          <w:tcPr>
            <w:tcW w:w="680" w:type="dxa"/>
            <w:vAlign w:val="bottom"/>
            <w:gridSpan w:val="2"/>
          </w:tcPr>
          <w:p>
            <w:pPr>
              <w:jc w:val="center"/>
              <w:ind w:right="200"/>
              <w:spacing w:after="0" w:line="137" w:lineRule="exact"/>
              <w:rPr>
                <w:sz w:val="20"/>
                <w:szCs w:val="20"/>
                <w:color w:val="auto"/>
              </w:rPr>
            </w:pPr>
            <w:r>
              <w:rPr>
                <w:rFonts w:ascii="Arial" w:cs="Arial" w:eastAsia="Arial" w:hAnsi="Arial"/>
                <w:sz w:val="12"/>
                <w:szCs w:val="12"/>
                <w:b w:val="1"/>
                <w:bCs w:val="1"/>
                <w:color w:val="auto"/>
                <w:w w:val="89"/>
              </w:rPr>
              <w:t>Signed</w:t>
            </w:r>
          </w:p>
        </w:tc>
        <w:tc>
          <w:tcPr>
            <w:tcW w:w="100" w:type="dxa"/>
            <w:vAlign w:val="bottom"/>
          </w:tcPr>
          <w:p>
            <w:pPr>
              <w:spacing w:after="0"/>
              <w:rPr>
                <w:sz w:val="11"/>
                <w:szCs w:val="11"/>
                <w:color w:val="auto"/>
              </w:rPr>
            </w:pP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7"/>
              </w:rPr>
              <w:t>Per Sq. Ft.</w:t>
            </w:r>
          </w:p>
        </w:tc>
        <w:tc>
          <w:tcPr>
            <w:tcW w:w="2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Ft.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
              <w:spacing w:after="0" w:line="137" w:lineRule="exact"/>
              <w:rPr>
                <w:sz w:val="20"/>
                <w:szCs w:val="20"/>
                <w:color w:val="auto"/>
              </w:rPr>
            </w:pPr>
            <w:r>
              <w:rPr>
                <w:rFonts w:ascii="Arial" w:cs="Arial" w:eastAsia="Arial" w:hAnsi="Arial"/>
                <w:sz w:val="12"/>
                <w:szCs w:val="12"/>
                <w:b w:val="1"/>
                <w:bCs w:val="1"/>
                <w:color w:val="auto"/>
                <w:w w:val="97"/>
              </w:rPr>
              <w:t>Rent</w:t>
            </w: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97"/>
              </w:rPr>
              <w:t>Rent</w:t>
            </w:r>
          </w:p>
        </w:tc>
        <w:tc>
          <w:tcPr>
            <w:tcW w:w="78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89"/>
              </w:rPr>
              <w:t>Rent</w:t>
            </w:r>
          </w:p>
        </w:tc>
        <w:tc>
          <w:tcPr>
            <w:tcW w:w="1780" w:type="dxa"/>
            <w:vAlign w:val="bottom"/>
            <w:gridSpan w:val="5"/>
          </w:tcPr>
          <w:p>
            <w:pPr>
              <w:ind w:left="40"/>
              <w:spacing w:after="0" w:line="137" w:lineRule="exact"/>
              <w:rPr>
                <w:sz w:val="20"/>
                <w:szCs w:val="20"/>
                <w:color w:val="auto"/>
              </w:rPr>
            </w:pPr>
            <w:r>
              <w:rPr>
                <w:rFonts w:ascii="Arial" w:cs="Arial" w:eastAsia="Arial" w:hAnsi="Arial"/>
                <w:sz w:val="12"/>
                <w:szCs w:val="12"/>
                <w:b w:val="1"/>
                <w:bCs w:val="1"/>
                <w:color w:val="auto"/>
              </w:rPr>
              <w:t>Term (5)    &amp; Incentives (6)</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94"/>
              </w:rPr>
              <w:t>Per Sq. Ft.</w:t>
            </w:r>
          </w:p>
        </w:tc>
        <w:tc>
          <w:tcPr>
            <w:tcW w:w="0" w:type="dxa"/>
            <w:vAlign w:val="bottom"/>
          </w:tcPr>
          <w:p>
            <w:pPr>
              <w:spacing w:after="0"/>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2nd Quarter 2011</w:t>
            </w: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60" w:type="dxa"/>
            <w:vAlign w:val="bottom"/>
            <w:gridSpan w:val="2"/>
            <w:vMerge w:val="continue"/>
            <w:shd w:val="clear" w:color="auto" w:fill="CCEEFF"/>
          </w:tcPr>
          <w:p>
            <w:pPr>
              <w:spacing w:after="0"/>
              <w:rPr>
                <w:sz w:val="15"/>
                <w:szCs w:val="15"/>
                <w:color w:val="auto"/>
              </w:rPr>
            </w:pPr>
          </w:p>
        </w:tc>
        <w:tc>
          <w:tcPr>
            <w:tcW w:w="440" w:type="dxa"/>
            <w:vAlign w:val="bottom"/>
            <w:tcBorders>
              <w:right w:val="single" w:sz="8" w:color="CCEEFF"/>
            </w:tcBorders>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960" w:type="dxa"/>
            <w:vAlign w:val="bottom"/>
            <w:gridSpan w:val="6"/>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100%</w:t>
            </w:r>
          </w:p>
        </w:tc>
        <w:tc>
          <w:tcPr>
            <w:tcW w:w="7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369,685</w:t>
            </w:r>
          </w:p>
        </w:tc>
        <w:tc>
          <w:tcPr>
            <w:tcW w:w="10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28.21</w:t>
            </w:r>
          </w:p>
        </w:tc>
        <w:tc>
          <w:tcPr>
            <w:tcW w:w="20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3"/>
              </w:rPr>
              <w:t>$26.64</w:t>
            </w: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581,478</w:t>
            </w:r>
          </w:p>
        </w:tc>
        <w:tc>
          <w:tcPr>
            <w:tcW w:w="200" w:type="dxa"/>
            <w:vAlign w:val="bottom"/>
            <w:vMerge w:val="continue"/>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6%</w:t>
            </w:r>
          </w:p>
        </w:tc>
        <w:tc>
          <w:tcPr>
            <w:tcW w:w="7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16%</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7.3</w:t>
            </w:r>
          </w:p>
        </w:tc>
        <w:tc>
          <w:tcPr>
            <w:tcW w:w="2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4,396,887</w:t>
            </w: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11.89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6"/>
                <w:szCs w:val="16"/>
                <w:color w:val="auto"/>
              </w:rPr>
              <w:t>1st Quarter 2011</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6"/>
                <w:szCs w:val="16"/>
                <w:color w:val="auto"/>
              </w:rPr>
              <w:t>100%</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339,585</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30.52</w:t>
            </w:r>
          </w:p>
        </w:tc>
        <w:tc>
          <w:tcPr>
            <w:tcW w:w="660" w:type="dxa"/>
            <w:vAlign w:val="bottom"/>
            <w:gridSpan w:val="2"/>
          </w:tcPr>
          <w:p>
            <w:pPr>
              <w:jc w:val="center"/>
              <w:ind w:left="123"/>
              <w:spacing w:after="0"/>
              <w:rPr>
                <w:sz w:val="20"/>
                <w:szCs w:val="20"/>
                <w:color w:val="auto"/>
              </w:rPr>
            </w:pPr>
            <w:r>
              <w:rPr>
                <w:rFonts w:ascii="Arial" w:cs="Arial" w:eastAsia="Arial" w:hAnsi="Arial"/>
                <w:sz w:val="16"/>
                <w:szCs w:val="16"/>
                <w:color w:val="auto"/>
                <w:w w:val="93"/>
              </w:rPr>
              <w:t>$27.55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1,009,729</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11%</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5,637,159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4th Quarter 2010</w:t>
            </w: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490,233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660" w:type="dxa"/>
            <w:vAlign w:val="bottom"/>
            <w:gridSpan w:val="2"/>
            <w:shd w:val="clear" w:color="auto" w:fill="CCEEFF"/>
          </w:tcPr>
          <w:p>
            <w:pPr>
              <w:jc w:val="center"/>
              <w:ind w:left="123"/>
              <w:spacing w:after="0"/>
              <w:rPr>
                <w:sz w:val="20"/>
                <w:szCs w:val="20"/>
                <w:color w:val="auto"/>
              </w:rPr>
            </w:pPr>
            <w:r>
              <w:rPr>
                <w:rFonts w:ascii="Arial" w:cs="Arial" w:eastAsia="Arial" w:hAnsi="Arial"/>
                <w:sz w:val="16"/>
                <w:szCs w:val="16"/>
                <w:color w:val="auto"/>
                <w:w w:val="86"/>
              </w:rPr>
              <w:t>$ 22.11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772,696</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5,696,969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6"/>
                <w:szCs w:val="16"/>
                <w:color w:val="auto"/>
              </w:rPr>
              <w:t>3rd Quarter 2010</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6"/>
                <w:szCs w:val="16"/>
                <w:color w:val="auto"/>
              </w:rPr>
              <w:t>100%</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349,489</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25.17</w:t>
            </w:r>
          </w:p>
        </w:tc>
        <w:tc>
          <w:tcPr>
            <w:tcW w:w="660" w:type="dxa"/>
            <w:vAlign w:val="bottom"/>
            <w:gridSpan w:val="2"/>
          </w:tcPr>
          <w:p>
            <w:pPr>
              <w:jc w:val="center"/>
              <w:ind w:left="123"/>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23.83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467,613</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6%</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6,199,555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- 12 months</w:t>
            </w: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5"/>
              </w:rPr>
              <w:t>1,548,992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660" w:type="dxa"/>
            <w:vAlign w:val="bottom"/>
            <w:gridSpan w:val="2"/>
            <w:shd w:val="clear" w:color="auto" w:fill="CCEEFF"/>
          </w:tcPr>
          <w:p>
            <w:pPr>
              <w:jc w:val="center"/>
              <w:ind w:left="123"/>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24.77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2,831,516</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89"/>
              </w:rPr>
              <w:t>$ 21,930,570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920" w:type="dxa"/>
            <w:vAlign w:val="bottom"/>
            <w:gridSpan w:val="7"/>
          </w:tcPr>
          <w:p>
            <w:pPr>
              <w:spacing w:after="0"/>
              <w:rPr>
                <w:sz w:val="20"/>
                <w:szCs w:val="20"/>
                <w:color w:val="auto"/>
              </w:rPr>
            </w:pPr>
            <w:r>
              <w:rPr>
                <w:rFonts w:ascii="Arial" w:cs="Arial" w:eastAsia="Arial" w:hAnsi="Arial"/>
                <w:sz w:val="16"/>
                <w:szCs w:val="16"/>
                <w:b w:val="1"/>
                <w:bCs w:val="1"/>
                <w:color w:val="auto"/>
                <w:w w:val="99"/>
              </w:rPr>
              <w:t>New Lease Summary - Comparable (2)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Straight-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88"/>
              </w:rPr>
              <w:t>Cash</w:t>
            </w:r>
          </w:p>
        </w:tc>
        <w:tc>
          <w:tcPr>
            <w:tcW w:w="7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2"/>
              </w:rPr>
              <w:t>lined</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Prior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1"/>
              </w:rPr>
              <w:t>Basis %</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5"/>
              </w:rPr>
              <w:t>Basis %</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4"/>
          </w:tcPr>
          <w:p>
            <w:pPr>
              <w:jc w:val="center"/>
              <w:ind w:right="120"/>
              <w:spacing w:after="0" w:line="136"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360"/>
              <w:spacing w:after="0" w:line="136"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Rent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0"/>
              </w:rPr>
              <w:t>Increase</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0"/>
              </w:rPr>
              <w:t>Increase</w:t>
            </w:r>
          </w:p>
        </w:tc>
        <w:tc>
          <w:tcPr>
            <w:tcW w:w="720" w:type="dxa"/>
            <w:vAlign w:val="bottom"/>
            <w:gridSpan w:val="2"/>
          </w:tcPr>
          <w:p>
            <w:pPr>
              <w:jc w:val="right"/>
              <w:ind w:right="200"/>
              <w:spacing w:after="0" w:line="136" w:lineRule="exact"/>
              <w:rPr>
                <w:sz w:val="20"/>
                <w:szCs w:val="20"/>
                <w:color w:val="auto"/>
              </w:rPr>
            </w:pPr>
            <w:r>
              <w:rPr>
                <w:rFonts w:ascii="Arial" w:cs="Arial" w:eastAsia="Arial" w:hAnsi="Arial"/>
                <w:sz w:val="12"/>
                <w:szCs w:val="12"/>
                <w:b w:val="1"/>
                <w:bCs w:val="1"/>
                <w:color w:val="auto"/>
                <w:w w:val="92"/>
              </w:rPr>
              <w:t>Weighted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Tenant</w:t>
            </w: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6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Comparable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2"/>
              </w:rPr>
              <w:t>Contractual</w:t>
            </w:r>
          </w:p>
        </w:tc>
        <w:tc>
          <w:tcPr>
            <w:tcW w:w="660" w:type="dxa"/>
            <w:vAlign w:val="bottom"/>
            <w:gridSpan w:val="2"/>
          </w:tcPr>
          <w:p>
            <w:pPr>
              <w:jc w:val="center"/>
              <w:ind w:left="123"/>
              <w:spacing w:after="0" w:line="136" w:lineRule="exact"/>
              <w:rPr>
                <w:sz w:val="20"/>
                <w:szCs w:val="20"/>
                <w:color w:val="auto"/>
              </w:rPr>
            </w:pPr>
            <w:r>
              <w:rPr>
                <w:rFonts w:ascii="Arial" w:cs="Arial" w:eastAsia="Arial" w:hAnsi="Arial"/>
                <w:sz w:val="12"/>
                <w:szCs w:val="12"/>
                <w:b w:val="1"/>
                <w:bCs w:val="1"/>
                <w:color w:val="auto"/>
                <w:w w:val="95"/>
              </w:rPr>
              <w:t>(4)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
              <w:spacing w:after="0" w:line="136" w:lineRule="exact"/>
              <w:rPr>
                <w:sz w:val="20"/>
                <w:szCs w:val="20"/>
                <w:color w:val="auto"/>
              </w:rPr>
            </w:pPr>
            <w:r>
              <w:rPr>
                <w:rFonts w:ascii="Arial" w:cs="Arial" w:eastAsia="Arial" w:hAnsi="Arial"/>
                <w:sz w:val="12"/>
                <w:szCs w:val="12"/>
                <w:b w:val="1"/>
                <w:bCs w:val="1"/>
                <w:color w:val="auto"/>
                <w:w w:val="93"/>
              </w:rPr>
              <w:t>Annual</w:t>
            </w: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4"/>
              </w:rPr>
              <w:t>Over</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Over</w:t>
            </w:r>
          </w:p>
        </w:tc>
        <w:tc>
          <w:tcPr>
            <w:tcW w:w="7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1"/>
                <w:szCs w:val="11"/>
                <w:color w:val="auto"/>
              </w:rPr>
            </w:pPr>
          </w:p>
        </w:tc>
        <w:tc>
          <w:tcPr>
            <w:tcW w:w="9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6"/>
              </w:rPr>
              <w:t>Tenant</w:t>
            </w:r>
          </w:p>
        </w:tc>
        <w:tc>
          <w:tcPr>
            <w:tcW w:w="86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w w:val="99"/>
              </w:rPr>
              <w:t>Improvements</w:t>
            </w:r>
          </w:p>
        </w:tc>
        <w:tc>
          <w:tcPr>
            <w:tcW w:w="0" w:type="dxa"/>
            <w:vAlign w:val="bottom"/>
          </w:tcPr>
          <w:p>
            <w:pPr>
              <w:spacing w:after="0"/>
              <w:rPr>
                <w:sz w:val="1"/>
                <w:szCs w:val="1"/>
                <w:color w:val="auto"/>
              </w:rPr>
            </w:pPr>
          </w:p>
        </w:tc>
      </w:tr>
      <w:tr>
        <w:trPr>
          <w:trHeight w:val="136"/>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96"/>
              </w:rPr>
              <w:t>Quarter</w:t>
            </w:r>
          </w:p>
        </w:tc>
        <w:tc>
          <w:tcPr>
            <w:tcW w:w="18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w w:val="88"/>
              </w:rPr>
              <w:t>Leases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340"/>
              <w:spacing w:after="0" w:line="136" w:lineRule="exact"/>
              <w:rPr>
                <w:sz w:val="20"/>
                <w:szCs w:val="20"/>
                <w:color w:val="auto"/>
              </w:rPr>
            </w:pPr>
            <w:r>
              <w:rPr>
                <w:rFonts w:ascii="Arial" w:cs="Arial" w:eastAsia="Arial" w:hAnsi="Arial"/>
                <w:sz w:val="12"/>
                <w:szCs w:val="12"/>
                <w:b w:val="1"/>
                <w:bCs w:val="1"/>
                <w:color w:val="auto"/>
                <w:w w:val="88"/>
              </w:rPr>
              <w:t>Leases</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auto"/>
              </w:rPr>
              <w:t>GLA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3"/>
              <w:spacing w:after="0" w:line="136" w:lineRule="exact"/>
              <w:rPr>
                <w:sz w:val="20"/>
                <w:szCs w:val="20"/>
                <w:color w:val="auto"/>
              </w:rPr>
            </w:pPr>
            <w:r>
              <w:rPr>
                <w:rFonts w:ascii="Arial" w:cs="Arial" w:eastAsia="Arial" w:hAnsi="Arial"/>
                <w:sz w:val="12"/>
                <w:szCs w:val="12"/>
                <w:b w:val="1"/>
                <w:bCs w:val="1"/>
                <w:color w:val="auto"/>
                <w:w w:val="93"/>
              </w:rPr>
              <w:t>Rent (3)</w:t>
            </w: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Per Sq.</w:t>
            </w:r>
          </w:p>
        </w:tc>
        <w:tc>
          <w:tcPr>
            <w:tcW w:w="200" w:type="dxa"/>
            <w:vAlign w:val="bottom"/>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Increase in</w:t>
            </w:r>
          </w:p>
        </w:tc>
        <w:tc>
          <w:tcPr>
            <w:tcW w:w="20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Prior</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9"/>
              </w:rPr>
              <w:t>Prior</w:t>
            </w:r>
          </w:p>
        </w:tc>
        <w:tc>
          <w:tcPr>
            <w:tcW w:w="7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Lease</w:t>
            </w:r>
          </w:p>
        </w:tc>
        <w:tc>
          <w:tcPr>
            <w:tcW w:w="106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Improvements</w:t>
            </w:r>
          </w:p>
        </w:tc>
        <w:tc>
          <w:tcPr>
            <w:tcW w:w="86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3"/>
              </w:rPr>
              <w:t>&amp; Incentives</w:t>
            </w:r>
          </w:p>
        </w:tc>
        <w:tc>
          <w:tcPr>
            <w:tcW w:w="0" w:type="dxa"/>
            <w:vAlign w:val="bottom"/>
          </w:tcPr>
          <w:p>
            <w:pPr>
              <w:spacing w:after="0"/>
              <w:rPr>
                <w:sz w:val="1"/>
                <w:szCs w:val="1"/>
                <w:color w:val="auto"/>
              </w:rPr>
            </w:pPr>
          </w:p>
        </w:tc>
      </w:tr>
      <w:tr>
        <w:trPr>
          <w:trHeight w:val="141"/>
        </w:trPr>
        <w:tc>
          <w:tcPr>
            <w:tcW w:w="440" w:type="dxa"/>
            <w:vAlign w:val="bottom"/>
            <w:tcBorders>
              <w:bottom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160"/>
              <w:spacing w:after="0" w:line="137" w:lineRule="exact"/>
              <w:rPr>
                <w:sz w:val="20"/>
                <w:szCs w:val="20"/>
                <w:color w:val="auto"/>
              </w:rPr>
            </w:pPr>
            <w:r>
              <w:rPr>
                <w:rFonts w:ascii="Arial" w:cs="Arial" w:eastAsia="Arial" w:hAnsi="Arial"/>
                <w:sz w:val="12"/>
                <w:szCs w:val="12"/>
                <w:b w:val="1"/>
                <w:bCs w:val="1"/>
                <w:color w:val="auto"/>
                <w:w w:val="89"/>
              </w:rPr>
              <w:t>Signed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200"/>
              <w:spacing w:after="0" w:line="137" w:lineRule="exact"/>
              <w:rPr>
                <w:sz w:val="20"/>
                <w:szCs w:val="20"/>
                <w:color w:val="auto"/>
              </w:rPr>
            </w:pPr>
            <w:r>
              <w:rPr>
                <w:rFonts w:ascii="Arial" w:cs="Arial" w:eastAsia="Arial" w:hAnsi="Arial"/>
                <w:sz w:val="12"/>
                <w:szCs w:val="12"/>
                <w:b w:val="1"/>
                <w:bCs w:val="1"/>
                <w:color w:val="auto"/>
                <w:w w:val="89"/>
              </w:rPr>
              <w:t>Signed</w:t>
            </w: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89"/>
              </w:rPr>
              <w:t>Signed</w:t>
            </w:r>
          </w:p>
        </w:tc>
        <w:tc>
          <w:tcPr>
            <w:tcW w:w="100" w:type="dxa"/>
            <w:vAlign w:val="bottom"/>
          </w:tcPr>
          <w:p>
            <w:pPr>
              <w:spacing w:after="0"/>
              <w:rPr>
                <w:sz w:val="11"/>
                <w:szCs w:val="11"/>
                <w:color w:val="auto"/>
              </w:rPr>
            </w:pP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7"/>
              </w:rPr>
              <w:t>Per Sq. Ft.</w:t>
            </w:r>
          </w:p>
        </w:tc>
        <w:tc>
          <w:tcPr>
            <w:tcW w:w="2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Ft.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
              <w:spacing w:after="0" w:line="137" w:lineRule="exact"/>
              <w:rPr>
                <w:sz w:val="20"/>
                <w:szCs w:val="20"/>
                <w:color w:val="auto"/>
              </w:rPr>
            </w:pPr>
            <w:r>
              <w:rPr>
                <w:rFonts w:ascii="Arial" w:cs="Arial" w:eastAsia="Arial" w:hAnsi="Arial"/>
                <w:sz w:val="12"/>
                <w:szCs w:val="12"/>
                <w:b w:val="1"/>
                <w:bCs w:val="1"/>
                <w:color w:val="auto"/>
                <w:w w:val="97"/>
              </w:rPr>
              <w:t>Rent</w:t>
            </w: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97"/>
              </w:rPr>
              <w:t>Rent</w:t>
            </w:r>
          </w:p>
        </w:tc>
        <w:tc>
          <w:tcPr>
            <w:tcW w:w="78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89"/>
              </w:rPr>
              <w:t>Rent</w:t>
            </w:r>
          </w:p>
        </w:tc>
        <w:tc>
          <w:tcPr>
            <w:tcW w:w="1780" w:type="dxa"/>
            <w:vAlign w:val="bottom"/>
            <w:gridSpan w:val="5"/>
          </w:tcPr>
          <w:p>
            <w:pPr>
              <w:ind w:left="40"/>
              <w:spacing w:after="0" w:line="137" w:lineRule="exact"/>
              <w:rPr>
                <w:sz w:val="20"/>
                <w:szCs w:val="20"/>
                <w:color w:val="auto"/>
              </w:rPr>
            </w:pPr>
            <w:r>
              <w:rPr>
                <w:rFonts w:ascii="Arial" w:cs="Arial" w:eastAsia="Arial" w:hAnsi="Arial"/>
                <w:sz w:val="12"/>
                <w:szCs w:val="12"/>
                <w:b w:val="1"/>
                <w:bCs w:val="1"/>
                <w:color w:val="auto"/>
              </w:rPr>
              <w:t>Term (5)    &amp; Incentives (6)</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94"/>
              </w:rPr>
              <w:t>Per Sq. Ft.</w:t>
            </w:r>
          </w:p>
        </w:tc>
        <w:tc>
          <w:tcPr>
            <w:tcW w:w="0" w:type="dxa"/>
            <w:vAlign w:val="bottom"/>
          </w:tcPr>
          <w:p>
            <w:pPr>
              <w:spacing w:after="0"/>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2nd Quarter 2011</w:t>
            </w:r>
          </w:p>
        </w:tc>
        <w:tc>
          <w:tcPr>
            <w:tcW w:w="100" w:type="dxa"/>
            <w:vAlign w:val="bottom"/>
            <w:vMerge w:val="restart"/>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29</w:t>
            </w:r>
          </w:p>
        </w:tc>
        <w:tc>
          <w:tcPr>
            <w:tcW w:w="120" w:type="dxa"/>
            <w:vAlign w:val="bottom"/>
            <w:tcBorders>
              <w:left w:val="single" w:sz="8" w:color="CCEEFF"/>
            </w:tcBorders>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60" w:type="dxa"/>
            <w:vAlign w:val="bottom"/>
            <w:gridSpan w:val="5"/>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34%</w:t>
            </w:r>
          </w:p>
        </w:tc>
        <w:tc>
          <w:tcPr>
            <w:tcW w:w="12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6"/>
              </w:rPr>
              <w:t>136,062</w:t>
            </w:r>
          </w:p>
        </w:tc>
        <w:tc>
          <w:tcPr>
            <w:tcW w:w="10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28.49</w:t>
            </w:r>
          </w:p>
        </w:tc>
        <w:tc>
          <w:tcPr>
            <w:tcW w:w="20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3"/>
              </w:rPr>
              <w:t>$25.47</w:t>
            </w: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411,642</w:t>
            </w:r>
          </w:p>
        </w:tc>
        <w:tc>
          <w:tcPr>
            <w:tcW w:w="200" w:type="dxa"/>
            <w:vAlign w:val="bottom"/>
            <w:vMerge w:val="continue"/>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12%</w:t>
            </w:r>
          </w:p>
        </w:tc>
        <w:tc>
          <w:tcPr>
            <w:tcW w:w="7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18%</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9.7</w:t>
            </w:r>
          </w:p>
        </w:tc>
        <w:tc>
          <w:tcPr>
            <w:tcW w:w="2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8"/>
              </w:rPr>
              <w:t>4,326,647</w:t>
            </w: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31.80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6"/>
                <w:szCs w:val="16"/>
                <w:color w:val="auto"/>
              </w:rPr>
              <w:t>1st Quarter 2011</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960" w:type="dxa"/>
            <w:vAlign w:val="bottom"/>
            <w:gridSpan w:val="6"/>
          </w:tcPr>
          <w:p>
            <w:pPr>
              <w:jc w:val="right"/>
              <w:ind w:right="60"/>
              <w:spacing w:after="0"/>
              <w:rPr>
                <w:sz w:val="20"/>
                <w:szCs w:val="20"/>
                <w:color w:val="auto"/>
              </w:rPr>
            </w:pPr>
            <w:r>
              <w:rPr>
                <w:rFonts w:ascii="Arial" w:cs="Arial" w:eastAsia="Arial" w:hAnsi="Arial"/>
                <w:sz w:val="16"/>
                <w:szCs w:val="16"/>
                <w:color w:val="auto"/>
              </w:rPr>
              <w:t>41%</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144,836</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27.82</w:t>
            </w:r>
          </w:p>
        </w:tc>
        <w:tc>
          <w:tcPr>
            <w:tcW w:w="660" w:type="dxa"/>
            <w:vAlign w:val="bottom"/>
            <w:gridSpan w:val="2"/>
          </w:tcPr>
          <w:p>
            <w:pPr>
              <w:jc w:val="center"/>
              <w:ind w:left="123"/>
              <w:spacing w:after="0"/>
              <w:rPr>
                <w:sz w:val="20"/>
                <w:szCs w:val="20"/>
                <w:color w:val="auto"/>
              </w:rPr>
            </w:pPr>
            <w:r>
              <w:rPr>
                <w:rFonts w:ascii="Arial" w:cs="Arial" w:eastAsia="Arial" w:hAnsi="Arial"/>
                <w:sz w:val="16"/>
                <w:szCs w:val="16"/>
                <w:color w:val="auto"/>
                <w:w w:val="93"/>
              </w:rPr>
              <w:t>$23.31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653,430</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19%</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5,561,459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4th Quarter 2010</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200,350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660" w:type="dxa"/>
            <w:vAlign w:val="bottom"/>
            <w:gridSpan w:val="2"/>
            <w:shd w:val="clear" w:color="auto" w:fill="CCEEFF"/>
          </w:tcPr>
          <w:p>
            <w:pPr>
              <w:jc w:val="center"/>
              <w:ind w:left="123"/>
              <w:spacing w:after="0"/>
              <w:rPr>
                <w:sz w:val="20"/>
                <w:szCs w:val="20"/>
                <w:color w:val="auto"/>
              </w:rPr>
            </w:pPr>
            <w:r>
              <w:rPr>
                <w:rFonts w:ascii="Arial" w:cs="Arial" w:eastAsia="Arial" w:hAnsi="Arial"/>
                <w:sz w:val="16"/>
                <w:szCs w:val="16"/>
                <w:color w:val="auto"/>
                <w:w w:val="93"/>
              </w:rPr>
              <w:t>$24.07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195,237</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5,443,775</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6"/>
                <w:szCs w:val="16"/>
                <w:color w:val="auto"/>
              </w:rPr>
              <w:t>3rd Quarter 2010</w:t>
            </w:r>
          </w:p>
        </w:tc>
        <w:tc>
          <w:tcPr>
            <w:tcW w:w="10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39%</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132,033</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27.10</w:t>
            </w:r>
          </w:p>
        </w:tc>
        <w:tc>
          <w:tcPr>
            <w:tcW w:w="660" w:type="dxa"/>
            <w:vAlign w:val="bottom"/>
            <w:gridSpan w:val="2"/>
          </w:tcPr>
          <w:p>
            <w:pPr>
              <w:jc w:val="center"/>
              <w:ind w:left="123"/>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25.79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172,909</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5%</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6,089,555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- 12 months</w:t>
            </w: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613,281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660" w:type="dxa"/>
            <w:vAlign w:val="bottom"/>
            <w:gridSpan w:val="2"/>
            <w:shd w:val="clear" w:color="auto" w:fill="CCEEFF"/>
          </w:tcPr>
          <w:p>
            <w:pPr>
              <w:jc w:val="center"/>
              <w:ind w:left="123"/>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24.57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1,433,218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89"/>
              </w:rPr>
              <w:t>$ 21,421,436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gridSpan w:val="13"/>
          </w:tcPr>
          <w:p>
            <w:pPr>
              <w:spacing w:after="0"/>
              <w:rPr>
                <w:sz w:val="20"/>
                <w:szCs w:val="20"/>
                <w:color w:val="auto"/>
              </w:rPr>
            </w:pPr>
            <w:r>
              <w:rPr>
                <w:rFonts w:ascii="Arial" w:cs="Arial" w:eastAsia="Arial" w:hAnsi="Arial"/>
                <w:sz w:val="16"/>
                <w:szCs w:val="16"/>
                <w:b w:val="1"/>
                <w:bCs w:val="1"/>
                <w:color w:val="auto"/>
              </w:rPr>
              <w:t>Renewal Lease Summary - Comparable (2) (7)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4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Straight-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88"/>
              </w:rPr>
              <w:t>Cash</w:t>
            </w:r>
          </w:p>
        </w:tc>
        <w:tc>
          <w:tcPr>
            <w:tcW w:w="7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2"/>
              </w:rPr>
              <w:t>lined</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Prior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1"/>
              </w:rPr>
              <w:t>Basis %</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5"/>
              </w:rPr>
              <w:t>Basis %</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320"/>
              <w:spacing w:after="0" w:line="136"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Rent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0"/>
              </w:rPr>
              <w:t>Increase</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0"/>
              </w:rPr>
              <w:t>Increase</w:t>
            </w:r>
          </w:p>
        </w:tc>
        <w:tc>
          <w:tcPr>
            <w:tcW w:w="720" w:type="dxa"/>
            <w:vAlign w:val="bottom"/>
            <w:gridSpan w:val="2"/>
          </w:tcPr>
          <w:p>
            <w:pPr>
              <w:jc w:val="right"/>
              <w:ind w:right="200"/>
              <w:spacing w:after="0" w:line="136" w:lineRule="exact"/>
              <w:rPr>
                <w:sz w:val="20"/>
                <w:szCs w:val="20"/>
                <w:color w:val="auto"/>
              </w:rPr>
            </w:pPr>
            <w:r>
              <w:rPr>
                <w:rFonts w:ascii="Arial" w:cs="Arial" w:eastAsia="Arial" w:hAnsi="Arial"/>
                <w:sz w:val="12"/>
                <w:szCs w:val="12"/>
                <w:b w:val="1"/>
                <w:bCs w:val="1"/>
                <w:color w:val="auto"/>
                <w:w w:val="92"/>
              </w:rPr>
              <w:t>Weighted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Tenant</w:t>
            </w: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180"/>
              <w:spacing w:after="0" w:line="136" w:lineRule="exact"/>
              <w:rPr>
                <w:sz w:val="20"/>
                <w:szCs w:val="20"/>
                <w:color w:val="auto"/>
              </w:rPr>
            </w:pPr>
            <w:r>
              <w:rPr>
                <w:rFonts w:ascii="Arial" w:cs="Arial" w:eastAsia="Arial" w:hAnsi="Arial"/>
                <w:sz w:val="12"/>
                <w:szCs w:val="12"/>
                <w:b w:val="1"/>
                <w:bCs w:val="1"/>
                <w:color w:val="auto"/>
                <w:w w:val="95"/>
              </w:rPr>
              <w:t>Comparable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2"/>
              </w:rPr>
              <w:t>Contractual</w:t>
            </w:r>
          </w:p>
        </w:tc>
        <w:tc>
          <w:tcPr>
            <w:tcW w:w="660" w:type="dxa"/>
            <w:vAlign w:val="bottom"/>
            <w:gridSpan w:val="2"/>
          </w:tcPr>
          <w:p>
            <w:pPr>
              <w:jc w:val="center"/>
              <w:ind w:left="123"/>
              <w:spacing w:after="0" w:line="136" w:lineRule="exact"/>
              <w:rPr>
                <w:sz w:val="20"/>
                <w:szCs w:val="20"/>
                <w:color w:val="auto"/>
              </w:rPr>
            </w:pPr>
            <w:r>
              <w:rPr>
                <w:rFonts w:ascii="Arial" w:cs="Arial" w:eastAsia="Arial" w:hAnsi="Arial"/>
                <w:sz w:val="12"/>
                <w:szCs w:val="12"/>
                <w:b w:val="1"/>
                <w:bCs w:val="1"/>
                <w:color w:val="auto"/>
                <w:w w:val="95"/>
              </w:rPr>
              <w:t>(4)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
              <w:spacing w:after="0" w:line="136" w:lineRule="exact"/>
              <w:rPr>
                <w:sz w:val="20"/>
                <w:szCs w:val="20"/>
                <w:color w:val="auto"/>
              </w:rPr>
            </w:pPr>
            <w:r>
              <w:rPr>
                <w:rFonts w:ascii="Arial" w:cs="Arial" w:eastAsia="Arial" w:hAnsi="Arial"/>
                <w:sz w:val="12"/>
                <w:szCs w:val="12"/>
                <w:b w:val="1"/>
                <w:bCs w:val="1"/>
                <w:color w:val="auto"/>
                <w:w w:val="93"/>
              </w:rPr>
              <w:t>Annual</w:t>
            </w: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4"/>
              </w:rPr>
              <w:t>Over</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Over</w:t>
            </w:r>
          </w:p>
        </w:tc>
        <w:tc>
          <w:tcPr>
            <w:tcW w:w="7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1"/>
                <w:szCs w:val="11"/>
                <w:color w:val="auto"/>
              </w:rPr>
            </w:pPr>
          </w:p>
        </w:tc>
        <w:tc>
          <w:tcPr>
            <w:tcW w:w="9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6"/>
              </w:rPr>
              <w:t>Tenant</w:t>
            </w:r>
          </w:p>
        </w:tc>
        <w:tc>
          <w:tcPr>
            <w:tcW w:w="86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w w:val="99"/>
              </w:rPr>
              <w:t>Improvements</w:t>
            </w:r>
          </w:p>
        </w:tc>
        <w:tc>
          <w:tcPr>
            <w:tcW w:w="0" w:type="dxa"/>
            <w:vAlign w:val="bottom"/>
          </w:tcPr>
          <w:p>
            <w:pPr>
              <w:spacing w:after="0"/>
              <w:rPr>
                <w:sz w:val="1"/>
                <w:szCs w:val="1"/>
                <w:color w:val="auto"/>
              </w:rPr>
            </w:pPr>
          </w:p>
        </w:tc>
      </w:tr>
      <w:tr>
        <w:trPr>
          <w:trHeight w:val="136"/>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96"/>
              </w:rPr>
              <w:t>Quarter</w:t>
            </w:r>
          </w:p>
        </w:tc>
        <w:tc>
          <w:tcPr>
            <w:tcW w:w="18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88"/>
              </w:rPr>
              <w:t>Leases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320"/>
              <w:spacing w:after="0" w:line="136" w:lineRule="exact"/>
              <w:rPr>
                <w:sz w:val="20"/>
                <w:szCs w:val="20"/>
                <w:color w:val="auto"/>
              </w:rPr>
            </w:pPr>
            <w:r>
              <w:rPr>
                <w:rFonts w:ascii="Arial" w:cs="Arial" w:eastAsia="Arial" w:hAnsi="Arial"/>
                <w:sz w:val="12"/>
                <w:szCs w:val="12"/>
                <w:b w:val="1"/>
                <w:bCs w:val="1"/>
                <w:color w:val="auto"/>
                <w:w w:val="83"/>
              </w:rPr>
              <w:t>Leases</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6" w:lineRule="exact"/>
              <w:rPr>
                <w:sz w:val="20"/>
                <w:szCs w:val="20"/>
                <w:color w:val="auto"/>
              </w:rPr>
            </w:pPr>
            <w:r>
              <w:rPr>
                <w:rFonts w:ascii="Arial" w:cs="Arial" w:eastAsia="Arial" w:hAnsi="Arial"/>
                <w:sz w:val="12"/>
                <w:szCs w:val="12"/>
                <w:b w:val="1"/>
                <w:bCs w:val="1"/>
                <w:color w:val="auto"/>
              </w:rPr>
              <w:t>GLA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3"/>
              <w:spacing w:after="0" w:line="136" w:lineRule="exact"/>
              <w:rPr>
                <w:sz w:val="20"/>
                <w:szCs w:val="20"/>
                <w:color w:val="auto"/>
              </w:rPr>
            </w:pPr>
            <w:r>
              <w:rPr>
                <w:rFonts w:ascii="Arial" w:cs="Arial" w:eastAsia="Arial" w:hAnsi="Arial"/>
                <w:sz w:val="12"/>
                <w:szCs w:val="12"/>
                <w:b w:val="1"/>
                <w:bCs w:val="1"/>
                <w:color w:val="auto"/>
                <w:w w:val="93"/>
              </w:rPr>
              <w:t>Rent (3)</w:t>
            </w:r>
          </w:p>
        </w:tc>
        <w:tc>
          <w:tcPr>
            <w:tcW w:w="200" w:type="dxa"/>
            <w:vAlign w:val="bottom"/>
          </w:tcPr>
          <w:p>
            <w:pPr>
              <w:spacing w:after="0"/>
              <w:rPr>
                <w:sz w:val="11"/>
                <w:szCs w:val="11"/>
                <w:color w:val="auto"/>
              </w:rPr>
            </w:pP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Per Sq.</w:t>
            </w:r>
          </w:p>
        </w:tc>
        <w:tc>
          <w:tcPr>
            <w:tcW w:w="200" w:type="dxa"/>
            <w:vAlign w:val="bottom"/>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2"/>
              </w:rPr>
              <w:t>Increase in</w:t>
            </w:r>
          </w:p>
        </w:tc>
        <w:tc>
          <w:tcPr>
            <w:tcW w:w="20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Prior</w:t>
            </w:r>
          </w:p>
        </w:tc>
        <w:tc>
          <w:tcPr>
            <w:tcW w:w="7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9"/>
              </w:rPr>
              <w:t>Prior</w:t>
            </w:r>
          </w:p>
        </w:tc>
        <w:tc>
          <w:tcPr>
            <w:tcW w:w="7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Lease</w:t>
            </w:r>
          </w:p>
        </w:tc>
        <w:tc>
          <w:tcPr>
            <w:tcW w:w="106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Improvements</w:t>
            </w:r>
          </w:p>
        </w:tc>
        <w:tc>
          <w:tcPr>
            <w:tcW w:w="86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3"/>
              </w:rPr>
              <w:t>&amp; Incentives</w:t>
            </w:r>
          </w:p>
        </w:tc>
        <w:tc>
          <w:tcPr>
            <w:tcW w:w="0" w:type="dxa"/>
            <w:vAlign w:val="bottom"/>
          </w:tcPr>
          <w:p>
            <w:pPr>
              <w:spacing w:after="0"/>
              <w:rPr>
                <w:sz w:val="1"/>
                <w:szCs w:val="1"/>
                <w:color w:val="auto"/>
              </w:rPr>
            </w:pPr>
          </w:p>
        </w:tc>
      </w:tr>
      <w:tr>
        <w:trPr>
          <w:trHeight w:val="141"/>
        </w:trPr>
        <w:tc>
          <w:tcPr>
            <w:tcW w:w="440" w:type="dxa"/>
            <w:vAlign w:val="bottom"/>
            <w:tcBorders>
              <w:bottom w:val="single" w:sz="8" w:color="auto"/>
            </w:tcBorders>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center"/>
              <w:ind w:right="80"/>
              <w:spacing w:after="0" w:line="137" w:lineRule="exact"/>
              <w:rPr>
                <w:sz w:val="20"/>
                <w:szCs w:val="20"/>
                <w:color w:val="auto"/>
              </w:rPr>
            </w:pPr>
            <w:r>
              <w:rPr>
                <w:rFonts w:ascii="Arial" w:cs="Arial" w:eastAsia="Arial" w:hAnsi="Arial"/>
                <w:sz w:val="12"/>
                <w:szCs w:val="12"/>
                <w:b w:val="1"/>
                <w:bCs w:val="1"/>
                <w:color w:val="auto"/>
                <w:w w:val="89"/>
              </w:rPr>
              <w:t>Signed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center"/>
              <w:ind w:right="320"/>
              <w:spacing w:after="0" w:line="137" w:lineRule="exact"/>
              <w:rPr>
                <w:sz w:val="20"/>
                <w:szCs w:val="20"/>
                <w:color w:val="auto"/>
              </w:rPr>
            </w:pPr>
            <w:r>
              <w:rPr>
                <w:rFonts w:ascii="Arial" w:cs="Arial" w:eastAsia="Arial" w:hAnsi="Arial"/>
                <w:sz w:val="12"/>
                <w:szCs w:val="12"/>
                <w:b w:val="1"/>
                <w:bCs w:val="1"/>
                <w:color w:val="auto"/>
                <w:w w:val="84"/>
              </w:rPr>
              <w:t>Signed</w:t>
            </w: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w w:val="89"/>
              </w:rPr>
              <w:t>Signed</w:t>
            </w:r>
          </w:p>
        </w:tc>
        <w:tc>
          <w:tcPr>
            <w:tcW w:w="100" w:type="dxa"/>
            <w:vAlign w:val="bottom"/>
          </w:tcPr>
          <w:p>
            <w:pPr>
              <w:spacing w:after="0"/>
              <w:rPr>
                <w:sz w:val="11"/>
                <w:szCs w:val="11"/>
                <w:color w:val="auto"/>
              </w:rPr>
            </w:pP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7"/>
              </w:rPr>
              <w:t>Per Sq. Ft.</w:t>
            </w:r>
          </w:p>
        </w:tc>
        <w:tc>
          <w:tcPr>
            <w:tcW w:w="200" w:type="dxa"/>
            <w:vAlign w:val="bottom"/>
          </w:tcPr>
          <w:p>
            <w:pPr>
              <w:spacing w:after="0"/>
              <w:rPr>
                <w:sz w:val="11"/>
                <w:szCs w:val="11"/>
                <w:color w:val="auto"/>
              </w:rPr>
            </w:pPr>
          </w:p>
        </w:tc>
        <w:tc>
          <w:tcPr>
            <w:tcW w:w="4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Ft.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5"/>
              <w:spacing w:after="0" w:line="137" w:lineRule="exact"/>
              <w:rPr>
                <w:sz w:val="20"/>
                <w:szCs w:val="20"/>
                <w:color w:val="auto"/>
              </w:rPr>
            </w:pPr>
            <w:r>
              <w:rPr>
                <w:rFonts w:ascii="Arial" w:cs="Arial" w:eastAsia="Arial" w:hAnsi="Arial"/>
                <w:sz w:val="12"/>
                <w:szCs w:val="12"/>
                <w:b w:val="1"/>
                <w:bCs w:val="1"/>
                <w:color w:val="auto"/>
                <w:w w:val="97"/>
              </w:rPr>
              <w:t>Rent</w:t>
            </w:r>
          </w:p>
        </w:tc>
        <w:tc>
          <w:tcPr>
            <w:tcW w:w="200" w:type="dxa"/>
            <w:vAlign w:val="bottom"/>
          </w:tcPr>
          <w:p>
            <w:pPr>
              <w:spacing w:after="0"/>
              <w:rPr>
                <w:sz w:val="11"/>
                <w:szCs w:val="11"/>
                <w:color w:val="auto"/>
              </w:rPr>
            </w:pPr>
          </w:p>
        </w:tc>
        <w:tc>
          <w:tcPr>
            <w:tcW w:w="76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97"/>
              </w:rPr>
              <w:t>Rent</w:t>
            </w:r>
          </w:p>
        </w:tc>
        <w:tc>
          <w:tcPr>
            <w:tcW w:w="780" w:type="dxa"/>
            <w:vAlign w:val="bottom"/>
            <w:gridSpan w:val="2"/>
          </w:tcPr>
          <w:p>
            <w:pPr>
              <w:jc w:val="center"/>
              <w:ind w:right="300"/>
              <w:spacing w:after="0" w:line="137" w:lineRule="exact"/>
              <w:rPr>
                <w:sz w:val="20"/>
                <w:szCs w:val="20"/>
                <w:color w:val="auto"/>
              </w:rPr>
            </w:pPr>
            <w:r>
              <w:rPr>
                <w:rFonts w:ascii="Arial" w:cs="Arial" w:eastAsia="Arial" w:hAnsi="Arial"/>
                <w:sz w:val="12"/>
                <w:szCs w:val="12"/>
                <w:b w:val="1"/>
                <w:bCs w:val="1"/>
                <w:color w:val="auto"/>
                <w:w w:val="89"/>
              </w:rPr>
              <w:t>Rent</w:t>
            </w:r>
          </w:p>
        </w:tc>
        <w:tc>
          <w:tcPr>
            <w:tcW w:w="1780" w:type="dxa"/>
            <w:vAlign w:val="bottom"/>
            <w:gridSpan w:val="5"/>
          </w:tcPr>
          <w:p>
            <w:pPr>
              <w:ind w:left="40"/>
              <w:spacing w:after="0" w:line="137" w:lineRule="exact"/>
              <w:rPr>
                <w:sz w:val="20"/>
                <w:szCs w:val="20"/>
                <w:color w:val="auto"/>
              </w:rPr>
            </w:pPr>
            <w:r>
              <w:rPr>
                <w:rFonts w:ascii="Arial" w:cs="Arial" w:eastAsia="Arial" w:hAnsi="Arial"/>
                <w:sz w:val="12"/>
                <w:szCs w:val="12"/>
                <w:b w:val="1"/>
                <w:bCs w:val="1"/>
                <w:color w:val="auto"/>
              </w:rPr>
              <w:t>Term (5)    &amp; Incentives (6)</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94"/>
              </w:rPr>
              <w:t>Per Sq. Ft.</w:t>
            </w:r>
          </w:p>
        </w:tc>
        <w:tc>
          <w:tcPr>
            <w:tcW w:w="0" w:type="dxa"/>
            <w:vAlign w:val="bottom"/>
          </w:tcPr>
          <w:p>
            <w:pPr>
              <w:spacing w:after="0"/>
              <w:rPr>
                <w:sz w:val="1"/>
                <w:szCs w:val="1"/>
                <w:color w:val="auto"/>
              </w:rPr>
            </w:pPr>
          </w:p>
        </w:tc>
      </w:tr>
      <w:tr>
        <w:trPr>
          <w:trHeight w:val="20"/>
        </w:trPr>
        <w:tc>
          <w:tcPr>
            <w:tcW w:w="22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2nd Quarter 2011</w:t>
            </w:r>
          </w:p>
        </w:tc>
        <w:tc>
          <w:tcPr>
            <w:tcW w:w="140" w:type="dxa"/>
            <w:vAlign w:val="bottom"/>
            <w:gridSpan w:val="2"/>
            <w:vMerge w:val="restart"/>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6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57</w:t>
            </w: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840" w:type="dxa"/>
            <w:vAlign w:val="bottom"/>
            <w:gridSpan w:val="4"/>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66%</w:t>
            </w:r>
          </w:p>
        </w:tc>
        <w:tc>
          <w:tcPr>
            <w:tcW w:w="12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6"/>
              </w:rPr>
              <w:t>233,623</w:t>
            </w:r>
          </w:p>
        </w:tc>
        <w:tc>
          <w:tcPr>
            <w:tcW w:w="10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28.05</w:t>
            </w:r>
          </w:p>
        </w:tc>
        <w:tc>
          <w:tcPr>
            <w:tcW w:w="20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jc w:val="center"/>
              <w:spacing w:after="0" w:line="182" w:lineRule="exact"/>
              <w:rPr>
                <w:sz w:val="20"/>
                <w:szCs w:val="20"/>
                <w:color w:val="auto"/>
              </w:rPr>
            </w:pPr>
            <w:r>
              <w:rPr>
                <w:rFonts w:ascii="Arial" w:cs="Arial" w:eastAsia="Arial" w:hAnsi="Arial"/>
                <w:sz w:val="16"/>
                <w:szCs w:val="16"/>
                <w:color w:val="auto"/>
                <w:w w:val="93"/>
              </w:rPr>
              <w:t>$27.32</w:t>
            </w: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169,836</w:t>
            </w:r>
          </w:p>
        </w:tc>
        <w:tc>
          <w:tcPr>
            <w:tcW w:w="200" w:type="dxa"/>
            <w:vAlign w:val="bottom"/>
            <w:vMerge w:val="continue"/>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6"/>
                <w:szCs w:val="16"/>
                <w:color w:val="auto"/>
              </w:rPr>
              <w:t>3%</w:t>
            </w:r>
          </w:p>
        </w:tc>
        <w:tc>
          <w:tcPr>
            <w:tcW w:w="7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6"/>
                <w:szCs w:val="16"/>
                <w:color w:val="auto"/>
              </w:rPr>
              <w:t>15%</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6.0</w:t>
            </w:r>
          </w:p>
        </w:tc>
        <w:tc>
          <w:tcPr>
            <w:tcW w:w="2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70,240</w:t>
            </w: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6"/>
                <w:szCs w:val="16"/>
                <w:color w:val="auto"/>
              </w:rPr>
              <w:t>1st Quarter 2011</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960" w:type="dxa"/>
            <w:vAlign w:val="bottom"/>
            <w:gridSpan w:val="6"/>
          </w:tcPr>
          <w:p>
            <w:pPr>
              <w:jc w:val="right"/>
              <w:ind w:right="40"/>
              <w:spacing w:after="0"/>
              <w:rPr>
                <w:sz w:val="20"/>
                <w:szCs w:val="20"/>
                <w:color w:val="auto"/>
              </w:rPr>
            </w:pPr>
            <w:r>
              <w:rPr>
                <w:rFonts w:ascii="Arial" w:cs="Arial" w:eastAsia="Arial" w:hAnsi="Arial"/>
                <w:sz w:val="16"/>
                <w:szCs w:val="16"/>
                <w:color w:val="auto"/>
              </w:rPr>
              <w:t>59%</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194,749</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32.53</w:t>
            </w:r>
          </w:p>
        </w:tc>
        <w:tc>
          <w:tcPr>
            <w:tcW w:w="660" w:type="dxa"/>
            <w:vAlign w:val="bottom"/>
            <w:gridSpan w:val="2"/>
          </w:tcPr>
          <w:p>
            <w:pPr>
              <w:jc w:val="center"/>
              <w:ind w:left="123"/>
              <w:spacing w:after="0"/>
              <w:rPr>
                <w:sz w:val="20"/>
                <w:szCs w:val="20"/>
                <w:color w:val="auto"/>
              </w:rPr>
            </w:pPr>
            <w:r>
              <w:rPr>
                <w:rFonts w:ascii="Arial" w:cs="Arial" w:eastAsia="Arial" w:hAnsi="Arial"/>
                <w:sz w:val="16"/>
                <w:szCs w:val="16"/>
                <w:color w:val="auto"/>
                <w:w w:val="93"/>
              </w:rPr>
              <w:t>$30.70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356,299</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6%</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75,700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4th Quarter 2010</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289,883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660" w:type="dxa"/>
            <w:vAlign w:val="bottom"/>
            <w:gridSpan w:val="2"/>
            <w:shd w:val="clear" w:color="auto" w:fill="CCEEFF"/>
          </w:tcPr>
          <w:p>
            <w:pPr>
              <w:jc w:val="center"/>
              <w:ind w:left="123"/>
              <w:spacing w:after="0"/>
              <w:rPr>
                <w:sz w:val="20"/>
                <w:szCs w:val="20"/>
                <w:color w:val="auto"/>
              </w:rPr>
            </w:pPr>
            <w:r>
              <w:rPr>
                <w:rFonts w:ascii="Arial" w:cs="Arial" w:eastAsia="Arial" w:hAnsi="Arial"/>
                <w:sz w:val="16"/>
                <w:szCs w:val="16"/>
                <w:color w:val="auto"/>
                <w:w w:val="93"/>
              </w:rPr>
              <w:t>$20.75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577,459</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253,194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60" w:type="dxa"/>
            <w:vAlign w:val="bottom"/>
            <w:gridSpan w:val="2"/>
          </w:tcPr>
          <w:p>
            <w:pPr>
              <w:spacing w:after="0"/>
              <w:rPr>
                <w:sz w:val="20"/>
                <w:szCs w:val="20"/>
                <w:color w:val="auto"/>
              </w:rPr>
            </w:pPr>
            <w:r>
              <w:rPr>
                <w:rFonts w:ascii="Arial" w:cs="Arial" w:eastAsia="Arial" w:hAnsi="Arial"/>
                <w:sz w:val="16"/>
                <w:szCs w:val="16"/>
                <w:color w:val="auto"/>
              </w:rPr>
              <w:t>3rd Quarter 2010</w:t>
            </w:r>
          </w:p>
        </w:tc>
        <w:tc>
          <w:tcPr>
            <w:tcW w:w="140" w:type="dxa"/>
            <w:vAlign w:val="bottom"/>
            <w:gridSpan w:val="2"/>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6"/>
                <w:szCs w:val="16"/>
                <w:color w:val="auto"/>
              </w:rPr>
              <w:t>61%</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217,456</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23.99</w:t>
            </w:r>
          </w:p>
        </w:tc>
        <w:tc>
          <w:tcPr>
            <w:tcW w:w="660" w:type="dxa"/>
            <w:vAlign w:val="bottom"/>
            <w:gridSpan w:val="2"/>
          </w:tcPr>
          <w:p>
            <w:pPr>
              <w:jc w:val="center"/>
              <w:ind w:left="123"/>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22.64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294,704</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6%</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110,000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- 12 months</w:t>
            </w:r>
          </w:p>
        </w:tc>
        <w:tc>
          <w:tcPr>
            <w:tcW w:w="140" w:type="dxa"/>
            <w:vAlign w:val="bottom"/>
            <w:gridSpan w:val="2"/>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935,711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c>
          <w:tcPr>
            <w:tcW w:w="660" w:type="dxa"/>
            <w:vAlign w:val="bottom"/>
            <w:gridSpan w:val="2"/>
            <w:shd w:val="clear" w:color="auto" w:fill="CCEEFF"/>
          </w:tcPr>
          <w:p>
            <w:pPr>
              <w:jc w:val="center"/>
              <w:ind w:left="123"/>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24.90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1,398,298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509,134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Total Lease Summary - Comparable and Non-comparable (2)</w:t>
      </w:r>
    </w:p>
    <w:p>
      <w:pPr>
        <w:spacing w:after="0" w:line="19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6"/>
              </w:rPr>
              <w:t>Number</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88"/>
              </w:rPr>
              <w:t>Weighted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Tenant</w:t>
            </w:r>
          </w:p>
        </w:tc>
        <w:tc>
          <w:tcPr>
            <w:tcW w:w="0" w:type="dxa"/>
            <w:vAlign w:val="bottom"/>
          </w:tcPr>
          <w:p>
            <w:pPr>
              <w:spacing w:after="0"/>
              <w:rPr>
                <w:sz w:val="1"/>
                <w:szCs w:val="1"/>
                <w:color w:val="auto"/>
              </w:rPr>
            </w:pPr>
          </w:p>
        </w:tc>
      </w:tr>
      <w:tr>
        <w:trPr>
          <w:trHeight w:val="136"/>
        </w:trPr>
        <w:tc>
          <w:tcPr>
            <w:tcW w:w="4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Contractual</w:t>
            </w:r>
          </w:p>
        </w:tc>
        <w:tc>
          <w:tcPr>
            <w:tcW w:w="5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Average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63"/>
              <w:spacing w:after="0" w:line="136" w:lineRule="exact"/>
              <w:rPr>
                <w:sz w:val="20"/>
                <w:szCs w:val="20"/>
                <w:color w:val="auto"/>
              </w:rPr>
            </w:pPr>
            <w:r>
              <w:rPr>
                <w:rFonts w:ascii="Arial" w:cs="Arial" w:eastAsia="Arial" w:hAnsi="Arial"/>
                <w:sz w:val="12"/>
                <w:szCs w:val="12"/>
                <w:b w:val="1"/>
                <w:bCs w:val="1"/>
                <w:color w:val="auto"/>
              </w:rPr>
              <w:t>Tenant</w:t>
            </w:r>
          </w:p>
        </w:tc>
        <w:tc>
          <w:tcPr>
            <w:tcW w:w="400" w:type="dxa"/>
            <w:vAlign w:val="bottom"/>
          </w:tcPr>
          <w:p>
            <w:pPr>
              <w:spacing w:after="0"/>
              <w:rPr>
                <w:sz w:val="11"/>
                <w:szCs w:val="11"/>
                <w:color w:val="auto"/>
              </w:rPr>
            </w:pPr>
          </w:p>
        </w:tc>
        <w:tc>
          <w:tcPr>
            <w:tcW w:w="86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w w:val="99"/>
              </w:rPr>
              <w:t>Improvements</w:t>
            </w:r>
          </w:p>
        </w:tc>
        <w:tc>
          <w:tcPr>
            <w:tcW w:w="0" w:type="dxa"/>
            <w:vAlign w:val="bottom"/>
          </w:tcPr>
          <w:p>
            <w:pPr>
              <w:spacing w:after="0"/>
              <w:rPr>
                <w:sz w:val="1"/>
                <w:szCs w:val="1"/>
                <w:color w:val="auto"/>
              </w:rPr>
            </w:pPr>
          </w:p>
        </w:tc>
      </w:tr>
      <w:tr>
        <w:trPr>
          <w:trHeight w:val="136"/>
        </w:trPr>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w w:val="96"/>
              </w:rPr>
              <w:t>Quarter</w:t>
            </w:r>
          </w:p>
        </w:tc>
        <w:tc>
          <w:tcPr>
            <w:tcW w:w="5000" w:type="dxa"/>
            <w:vAlign w:val="bottom"/>
            <w:vMerge w:val="restart"/>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Leases</w:t>
            </w:r>
          </w:p>
        </w:tc>
        <w:tc>
          <w:tcPr>
            <w:tcW w:w="400" w:type="dxa"/>
            <w:vAlign w:val="bottom"/>
          </w:tcPr>
          <w:p>
            <w:pPr>
              <w:spacing w:after="0"/>
              <w:rPr>
                <w:sz w:val="11"/>
                <w:szCs w:val="11"/>
                <w:color w:val="auto"/>
              </w:rPr>
            </w:pPr>
          </w:p>
        </w:tc>
        <w:tc>
          <w:tcPr>
            <w:tcW w:w="700" w:type="dxa"/>
            <w:vAlign w:val="bottom"/>
          </w:tcPr>
          <w:p>
            <w:pPr>
              <w:jc w:val="right"/>
              <w:ind w:right="147"/>
              <w:spacing w:after="0" w:line="136" w:lineRule="exact"/>
              <w:rPr>
                <w:sz w:val="20"/>
                <w:szCs w:val="20"/>
                <w:color w:val="auto"/>
              </w:rPr>
            </w:pPr>
            <w:r>
              <w:rPr>
                <w:rFonts w:ascii="Arial" w:cs="Arial" w:eastAsia="Arial" w:hAnsi="Arial"/>
                <w:sz w:val="12"/>
                <w:szCs w:val="12"/>
                <w:b w:val="1"/>
                <w:bCs w:val="1"/>
                <w:color w:val="auto"/>
              </w:rPr>
              <w:t>GLA</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Rent (3)</w:t>
            </w:r>
          </w:p>
        </w:tc>
        <w:tc>
          <w:tcPr>
            <w:tcW w:w="5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Lease</w:t>
            </w:r>
          </w:p>
        </w:tc>
        <w:tc>
          <w:tcPr>
            <w:tcW w:w="380" w:type="dxa"/>
            <w:vAlign w:val="bottom"/>
          </w:tcPr>
          <w:p>
            <w:pPr>
              <w:spacing w:after="0"/>
              <w:rPr>
                <w:sz w:val="11"/>
                <w:szCs w:val="11"/>
                <w:color w:val="auto"/>
              </w:rPr>
            </w:pPr>
          </w:p>
        </w:tc>
        <w:tc>
          <w:tcPr>
            <w:tcW w:w="86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w w:val="97"/>
              </w:rPr>
              <w:t>Improvements</w:t>
            </w:r>
          </w:p>
        </w:tc>
        <w:tc>
          <w:tcPr>
            <w:tcW w:w="400" w:type="dxa"/>
            <w:vAlign w:val="bottom"/>
          </w:tcPr>
          <w:p>
            <w:pPr>
              <w:spacing w:after="0"/>
              <w:rPr>
                <w:sz w:val="11"/>
                <w:szCs w:val="11"/>
                <w:color w:val="auto"/>
              </w:rPr>
            </w:pPr>
          </w:p>
        </w:tc>
        <w:tc>
          <w:tcPr>
            <w:tcW w:w="86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w w:val="93"/>
              </w:rPr>
              <w:t>&amp; Incentives</w:t>
            </w:r>
          </w:p>
        </w:tc>
        <w:tc>
          <w:tcPr>
            <w:tcW w:w="0" w:type="dxa"/>
            <w:vAlign w:val="bottom"/>
          </w:tcPr>
          <w:p>
            <w:pPr>
              <w:spacing w:after="0"/>
              <w:rPr>
                <w:sz w:val="1"/>
                <w:szCs w:val="1"/>
                <w:color w:val="auto"/>
              </w:rPr>
            </w:pPr>
          </w:p>
        </w:tc>
      </w:tr>
      <w:tr>
        <w:trPr>
          <w:trHeight w:val="156"/>
        </w:trPr>
        <w:tc>
          <w:tcPr>
            <w:tcW w:w="440" w:type="dxa"/>
            <w:vAlign w:val="bottom"/>
            <w:tcBorders>
              <w:bottom w:val="single" w:sz="8" w:color="auto"/>
            </w:tcBorders>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4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89"/>
              </w:rPr>
              <w:t>Signed</w:t>
            </w:r>
          </w:p>
        </w:tc>
        <w:tc>
          <w:tcPr>
            <w:tcW w:w="400" w:type="dxa"/>
            <w:vAlign w:val="bottom"/>
          </w:tcPr>
          <w:p>
            <w:pPr>
              <w:spacing w:after="0"/>
              <w:rPr>
                <w:sz w:val="13"/>
                <w:szCs w:val="13"/>
                <w:color w:val="auto"/>
              </w:rPr>
            </w:pPr>
          </w:p>
        </w:tc>
        <w:tc>
          <w:tcPr>
            <w:tcW w:w="700" w:type="dxa"/>
            <w:vAlign w:val="bottom"/>
          </w:tcPr>
          <w:p>
            <w:pPr>
              <w:jc w:val="right"/>
              <w:ind w:right="107"/>
              <w:spacing w:after="0" w:line="137" w:lineRule="exact"/>
              <w:rPr>
                <w:sz w:val="20"/>
                <w:szCs w:val="20"/>
                <w:color w:val="auto"/>
              </w:rPr>
            </w:pPr>
            <w:r>
              <w:rPr>
                <w:rFonts w:ascii="Arial" w:cs="Arial" w:eastAsia="Arial" w:hAnsi="Arial"/>
                <w:sz w:val="12"/>
                <w:szCs w:val="12"/>
                <w:b w:val="1"/>
                <w:bCs w:val="1"/>
                <w:color w:val="auto"/>
              </w:rPr>
              <w:t>Signed</w:t>
            </w:r>
          </w:p>
        </w:tc>
        <w:tc>
          <w:tcPr>
            <w:tcW w:w="380" w:type="dxa"/>
            <w:vAlign w:val="bottom"/>
          </w:tcPr>
          <w:p>
            <w:pPr>
              <w:spacing w:after="0"/>
              <w:rPr>
                <w:sz w:val="13"/>
                <w:szCs w:val="13"/>
                <w:color w:val="auto"/>
              </w:rPr>
            </w:pPr>
          </w:p>
        </w:tc>
        <w:tc>
          <w:tcPr>
            <w:tcW w:w="1040" w:type="dxa"/>
            <w:vAlign w:val="bottom"/>
            <w:gridSpan w:val="3"/>
          </w:tcPr>
          <w:p>
            <w:pPr>
              <w:ind w:left="40"/>
              <w:spacing w:after="0" w:line="137" w:lineRule="exact"/>
              <w:rPr>
                <w:sz w:val="20"/>
                <w:szCs w:val="20"/>
                <w:color w:val="auto"/>
              </w:rPr>
            </w:pPr>
            <w:r>
              <w:rPr>
                <w:rFonts w:ascii="Arial" w:cs="Arial" w:eastAsia="Arial" w:hAnsi="Arial"/>
                <w:sz w:val="12"/>
                <w:szCs w:val="12"/>
                <w:b w:val="1"/>
                <w:bCs w:val="1"/>
                <w:color w:val="auto"/>
              </w:rPr>
              <w:t>Per Sq. Ft.</w:t>
            </w:r>
          </w:p>
        </w:tc>
        <w:tc>
          <w:tcPr>
            <w:tcW w:w="5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7"/>
              </w:rPr>
              <w:t>Term (5)</w:t>
            </w:r>
          </w:p>
        </w:tc>
        <w:tc>
          <w:tcPr>
            <w:tcW w:w="380" w:type="dxa"/>
            <w:vAlign w:val="bottom"/>
          </w:tcPr>
          <w:p>
            <w:pPr>
              <w:spacing w:after="0"/>
              <w:rPr>
                <w:sz w:val="13"/>
                <w:szCs w:val="13"/>
                <w:color w:val="auto"/>
              </w:rPr>
            </w:pPr>
          </w:p>
        </w:tc>
        <w:tc>
          <w:tcPr>
            <w:tcW w:w="860" w:type="dxa"/>
            <w:vAlign w:val="bottom"/>
            <w:gridSpan w:val="2"/>
          </w:tcPr>
          <w:p>
            <w:pPr>
              <w:ind w:left="20"/>
              <w:spacing w:after="0" w:line="137" w:lineRule="exact"/>
              <w:rPr>
                <w:sz w:val="20"/>
                <w:szCs w:val="20"/>
                <w:color w:val="auto"/>
              </w:rPr>
            </w:pPr>
            <w:r>
              <w:rPr>
                <w:rFonts w:ascii="Arial" w:cs="Arial" w:eastAsia="Arial" w:hAnsi="Arial"/>
                <w:sz w:val="12"/>
                <w:szCs w:val="12"/>
                <w:b w:val="1"/>
                <w:bCs w:val="1"/>
                <w:color w:val="auto"/>
                <w:w w:val="92"/>
              </w:rPr>
              <w:t>&amp; Incentives (6)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60"/>
              <w:spacing w:after="0" w:line="137" w:lineRule="exact"/>
              <w:rPr>
                <w:sz w:val="20"/>
                <w:szCs w:val="20"/>
                <w:color w:val="auto"/>
              </w:rPr>
            </w:pPr>
            <w:r>
              <w:rPr>
                <w:rFonts w:ascii="Arial" w:cs="Arial" w:eastAsia="Arial" w:hAnsi="Arial"/>
                <w:sz w:val="12"/>
                <w:szCs w:val="12"/>
                <w:b w:val="1"/>
                <w:bCs w:val="1"/>
                <w:color w:val="auto"/>
                <w:w w:val="94"/>
              </w:rPr>
              <w:t>Per Sq. Ft.</w:t>
            </w:r>
          </w:p>
        </w:tc>
        <w:tc>
          <w:tcPr>
            <w:tcW w:w="0" w:type="dxa"/>
            <w:vAlign w:val="bottom"/>
          </w:tcPr>
          <w:p>
            <w:pPr>
              <w:spacing w:after="0"/>
              <w:rPr>
                <w:sz w:val="1"/>
                <w:szCs w:val="1"/>
                <w:color w:val="auto"/>
              </w:rPr>
            </w:pPr>
          </w:p>
        </w:tc>
      </w:tr>
      <w:tr>
        <w:trPr>
          <w:trHeight w:val="182"/>
        </w:trPr>
        <w:tc>
          <w:tcPr>
            <w:tcW w:w="54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2nd Quarter 2011</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92</w:t>
            </w:r>
          </w:p>
        </w:tc>
        <w:tc>
          <w:tcPr>
            <w:tcW w:w="4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395,874</w:t>
            </w: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ind w:left="180"/>
              <w:spacing w:after="0" w:line="182" w:lineRule="exact"/>
              <w:rPr>
                <w:sz w:val="20"/>
                <w:szCs w:val="20"/>
                <w:color w:val="auto"/>
              </w:rPr>
            </w:pPr>
            <w:r>
              <w:rPr>
                <w:rFonts w:ascii="Arial" w:cs="Arial" w:eastAsia="Arial" w:hAnsi="Arial"/>
                <w:sz w:val="16"/>
                <w:szCs w:val="16"/>
                <w:color w:val="auto"/>
                <w:w w:val="84"/>
              </w:rPr>
              <w:t>28.27</w:t>
            </w:r>
          </w:p>
        </w:tc>
        <w:tc>
          <w:tcPr>
            <w:tcW w:w="4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7.5</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6,304,341</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15.93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gridSpan w:val="2"/>
          </w:tcPr>
          <w:p>
            <w:pPr>
              <w:spacing w:after="0"/>
              <w:rPr>
                <w:sz w:val="20"/>
                <w:szCs w:val="20"/>
                <w:color w:val="auto"/>
              </w:rPr>
            </w:pPr>
            <w:r>
              <w:rPr>
                <w:rFonts w:ascii="Arial" w:cs="Arial" w:eastAsia="Arial" w:hAnsi="Arial"/>
                <w:sz w:val="16"/>
                <w:szCs w:val="16"/>
                <w:color w:val="auto"/>
              </w:rPr>
              <w:t>1st Quarter 2011</w:t>
            </w:r>
          </w:p>
        </w:tc>
        <w:tc>
          <w:tcPr>
            <w:tcW w:w="440" w:type="dxa"/>
            <w:vAlign w:val="bottom"/>
          </w:tcPr>
          <w:p>
            <w:pPr>
              <w:jc w:val="right"/>
              <w:spacing w:after="0"/>
              <w:rPr>
                <w:sz w:val="20"/>
                <w:szCs w:val="20"/>
                <w:color w:val="auto"/>
              </w:rPr>
            </w:pPr>
            <w:r>
              <w:rPr>
                <w:rFonts w:ascii="Arial" w:cs="Arial" w:eastAsia="Arial" w:hAnsi="Arial"/>
                <w:sz w:val="16"/>
                <w:szCs w:val="16"/>
                <w:color w:val="auto"/>
              </w:rPr>
              <w:t>96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381,594</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180"/>
              <w:spacing w:after="0"/>
              <w:rPr>
                <w:sz w:val="20"/>
                <w:szCs w:val="20"/>
                <w:color w:val="auto"/>
              </w:rPr>
            </w:pPr>
            <w:r>
              <w:rPr>
                <w:rFonts w:ascii="Arial" w:cs="Arial" w:eastAsia="Arial" w:hAnsi="Arial"/>
                <w:sz w:val="16"/>
                <w:szCs w:val="16"/>
                <w:color w:val="auto"/>
              </w:rPr>
              <w:t>29.63</w:t>
            </w: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5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6,439,592</w:t>
            </w:r>
          </w:p>
        </w:tc>
        <w:tc>
          <w:tcPr>
            <w:tcW w:w="500" w:type="dxa"/>
            <w:vAlign w:val="bottom"/>
            <w:gridSpan w:val="2"/>
          </w:tcPr>
          <w:p>
            <w:pPr>
              <w:ind w:left="4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4th Quarter 2010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493,039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23.80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5,696,969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40" w:type="dxa"/>
            <w:vAlign w:val="bottom"/>
            <w:gridSpan w:val="2"/>
          </w:tcPr>
          <w:p>
            <w:pPr>
              <w:spacing w:after="0"/>
              <w:rPr>
                <w:sz w:val="20"/>
                <w:szCs w:val="20"/>
                <w:color w:val="auto"/>
              </w:rPr>
            </w:pPr>
            <w:r>
              <w:rPr>
                <w:rFonts w:ascii="Arial" w:cs="Arial" w:eastAsia="Arial" w:hAnsi="Arial"/>
                <w:sz w:val="16"/>
                <w:szCs w:val="16"/>
                <w:color w:val="auto"/>
              </w:rPr>
              <w:t>3rd Quarter 2010</w:t>
            </w:r>
          </w:p>
        </w:tc>
        <w:tc>
          <w:tcPr>
            <w:tcW w:w="440" w:type="dxa"/>
            <w:vAlign w:val="bottom"/>
          </w:tcPr>
          <w:p>
            <w:pPr>
              <w:jc w:val="right"/>
              <w:spacing w:after="0"/>
              <w:rPr>
                <w:sz w:val="20"/>
                <w:szCs w:val="20"/>
                <w:color w:val="auto"/>
              </w:rPr>
            </w:pPr>
            <w:r>
              <w:rPr>
                <w:rFonts w:ascii="Arial" w:cs="Arial" w:eastAsia="Arial" w:hAnsi="Arial"/>
                <w:sz w:val="16"/>
                <w:szCs w:val="16"/>
                <w:color w:val="auto"/>
              </w:rPr>
              <w:t>77</w:t>
            </w: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395,649</w:t>
            </w:r>
          </w:p>
        </w:tc>
        <w:tc>
          <w:tcPr>
            <w:tcW w:w="3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180"/>
              <w:spacing w:after="0"/>
              <w:rPr>
                <w:sz w:val="20"/>
                <w:szCs w:val="20"/>
                <w:color w:val="auto"/>
              </w:rPr>
            </w:pPr>
            <w:r>
              <w:rPr>
                <w:rFonts w:ascii="Arial" w:cs="Arial" w:eastAsia="Arial" w:hAnsi="Arial"/>
                <w:sz w:val="16"/>
                <w:szCs w:val="16"/>
                <w:color w:val="auto"/>
              </w:rPr>
              <w:t>24.44</w:t>
            </w: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5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8,891,735</w:t>
            </w:r>
          </w:p>
        </w:tc>
        <w:tc>
          <w:tcPr>
            <w:tcW w:w="500" w:type="dxa"/>
            <w:vAlign w:val="bottom"/>
            <w:gridSpan w:val="2"/>
          </w:tcPr>
          <w:p>
            <w:pPr>
              <w:ind w:left="4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- 12 months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1,666,156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26.35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27,332,637</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Leases on this report represent retail activity only; office and residential leases are not included.</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Comparable leases represent those leases signed on spaces for which there was a former tenant.</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Contractual rent represents contractual minimum rent under the new lease for the first 12 months of the term.</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rent represents minimum rent and percentage rent, if any, paid by the prior tenant in the final 12 months of the term.</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Weighted average is determined on the basis of square footage.</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Renewal leases represent expiring leases rolling over with the same tenant in the same location. All other leases are categorized as new.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1"/>
          </w:cols>
          <w:pgMar w:left="239" w:top="262" w:right="239" w:bottom="1440" w:gutter="0" w:footer="0" w:header="0"/>
        </w:sectPr>
      </w:pPr>
    </w:p>
    <w:bookmarkStart w:id="23" w:name="page24"/>
    <w:bookmarkEnd w:id="23"/>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Lease Expirations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Assumes no exercise of lease options</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Anchor Tenants (1)</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95"/>
              </w:rPr>
              <w:t>Small Shop Tenants</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w w:val="92"/>
              </w:rPr>
              <w:t>Year</w:t>
            </w:r>
          </w:p>
        </w:tc>
        <w:tc>
          <w:tcPr>
            <w:tcW w:w="216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9"/>
              </w:rPr>
              <w:t>% of</w:t>
            </w:r>
          </w:p>
        </w:tc>
        <w:tc>
          <w:tcPr>
            <w:tcW w:w="760" w:type="dxa"/>
            <w:vAlign w:val="bottom"/>
            <w:gridSpan w:val="2"/>
          </w:tcPr>
          <w:p>
            <w:pPr>
              <w:spacing w:after="0" w:line="120" w:lineRule="exact"/>
              <w:rPr>
                <w:sz w:val="20"/>
                <w:szCs w:val="20"/>
                <w:color w:val="auto"/>
              </w:rPr>
            </w:pPr>
            <w:r>
              <w:rPr>
                <w:rFonts w:ascii="Arial" w:cs="Arial" w:eastAsia="Arial" w:hAnsi="Arial"/>
                <w:sz w:val="12"/>
                <w:szCs w:val="12"/>
                <w:color w:val="auto"/>
                <w:w w:val="95"/>
              </w:rPr>
              <w:t>Minimum Rent</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7"/>
              </w:rPr>
              <w:t>% of Small</w:t>
            </w:r>
          </w:p>
        </w:tc>
        <w:tc>
          <w:tcPr>
            <w:tcW w:w="760" w:type="dxa"/>
            <w:vAlign w:val="bottom"/>
            <w:gridSpan w:val="2"/>
          </w:tcPr>
          <w:p>
            <w:pPr>
              <w:spacing w:after="0" w:line="120" w:lineRule="exact"/>
              <w:rPr>
                <w:sz w:val="20"/>
                <w:szCs w:val="20"/>
                <w:color w:val="auto"/>
              </w:rPr>
            </w:pPr>
            <w:r>
              <w:rPr>
                <w:rFonts w:ascii="Arial" w:cs="Arial" w:eastAsia="Arial" w:hAnsi="Arial"/>
                <w:sz w:val="12"/>
                <w:szCs w:val="12"/>
                <w:color w:val="auto"/>
                <w:w w:val="95"/>
              </w:rPr>
              <w:t>Minimum Rent</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6"/>
              </w:rPr>
              <w:t>% of Total</w:t>
            </w:r>
          </w:p>
        </w:tc>
        <w:tc>
          <w:tcPr>
            <w:tcW w:w="760" w:type="dxa"/>
            <w:vAlign w:val="bottom"/>
            <w:gridSpan w:val="2"/>
          </w:tcPr>
          <w:p>
            <w:pPr>
              <w:spacing w:after="0" w:line="120" w:lineRule="exact"/>
              <w:rPr>
                <w:sz w:val="20"/>
                <w:szCs w:val="20"/>
                <w:color w:val="auto"/>
              </w:rPr>
            </w:pPr>
            <w:r>
              <w:rPr>
                <w:rFonts w:ascii="Arial" w:cs="Arial" w:eastAsia="Arial" w:hAnsi="Arial"/>
                <w:sz w:val="12"/>
                <w:szCs w:val="12"/>
                <w:color w:val="auto"/>
                <w:w w:val="95"/>
              </w:rPr>
              <w:t>Minimum Rent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60" w:type="dxa"/>
            <w:vAlign w:val="bottom"/>
            <w:tcBorders>
              <w:bottom w:val="single" w:sz="8" w:color="auto"/>
            </w:tcBorders>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w w:val="99"/>
              </w:rPr>
              <w:t>Expiring SF</w:t>
            </w:r>
          </w:p>
        </w:tc>
        <w:tc>
          <w:tcPr>
            <w:tcW w:w="340" w:type="dxa"/>
            <w:vAlign w:val="bottom"/>
          </w:tcPr>
          <w:p>
            <w:pPr>
              <w:spacing w:after="0"/>
              <w:rPr>
                <w:sz w:val="11"/>
                <w:szCs w:val="11"/>
                <w:color w:val="auto"/>
              </w:rPr>
            </w:pPr>
          </w:p>
        </w:tc>
        <w:tc>
          <w:tcPr>
            <w:tcW w:w="940" w:type="dxa"/>
            <w:vAlign w:val="bottom"/>
            <w:gridSpan w:val="2"/>
          </w:tcPr>
          <w:p>
            <w:pPr>
              <w:jc w:val="center"/>
              <w:ind w:right="400"/>
              <w:spacing w:after="0" w:line="133" w:lineRule="exact"/>
              <w:rPr>
                <w:sz w:val="20"/>
                <w:szCs w:val="20"/>
                <w:color w:val="auto"/>
              </w:rPr>
            </w:pPr>
            <w:r>
              <w:rPr>
                <w:rFonts w:ascii="Arial" w:cs="Arial" w:eastAsia="Arial" w:hAnsi="Arial"/>
                <w:sz w:val="12"/>
                <w:szCs w:val="12"/>
                <w:color w:val="auto"/>
                <w:w w:val="95"/>
              </w:rPr>
              <w:t>Anchor SF</w:t>
            </w:r>
          </w:p>
        </w:tc>
        <w:tc>
          <w:tcPr>
            <w:tcW w:w="140" w:type="dxa"/>
            <w:vAlign w:val="bottom"/>
          </w:tcPr>
          <w:p>
            <w:pPr>
              <w:spacing w:after="0"/>
              <w:rPr>
                <w:sz w:val="11"/>
                <w:szCs w:val="11"/>
                <w:color w:val="auto"/>
              </w:rPr>
            </w:pPr>
          </w:p>
        </w:tc>
        <w:tc>
          <w:tcPr>
            <w:tcW w:w="940" w:type="dxa"/>
            <w:vAlign w:val="bottom"/>
            <w:gridSpan w:val="2"/>
          </w:tcPr>
          <w:p>
            <w:pPr>
              <w:jc w:val="right"/>
              <w:ind w:right="500"/>
              <w:spacing w:after="0" w:line="133" w:lineRule="exact"/>
              <w:rPr>
                <w:sz w:val="20"/>
                <w:szCs w:val="20"/>
                <w:color w:val="auto"/>
              </w:rPr>
            </w:pPr>
            <w:r>
              <w:rPr>
                <w:rFonts w:ascii="Arial" w:cs="Arial" w:eastAsia="Arial" w:hAnsi="Arial"/>
                <w:sz w:val="12"/>
                <w:szCs w:val="12"/>
                <w:color w:val="auto"/>
              </w:rPr>
              <w:t>PSF (2)</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Expiring SF</w:t>
            </w:r>
          </w:p>
        </w:tc>
        <w:tc>
          <w:tcPr>
            <w:tcW w:w="240" w:type="dxa"/>
            <w:vAlign w:val="bottom"/>
          </w:tcPr>
          <w:p>
            <w:pPr>
              <w:spacing w:after="0"/>
              <w:rPr>
                <w:sz w:val="11"/>
                <w:szCs w:val="11"/>
                <w:color w:val="auto"/>
              </w:rPr>
            </w:pPr>
          </w:p>
        </w:tc>
        <w:tc>
          <w:tcPr>
            <w:tcW w:w="980" w:type="dxa"/>
            <w:vAlign w:val="bottom"/>
            <w:gridSpan w:val="2"/>
          </w:tcPr>
          <w:p>
            <w:pPr>
              <w:jc w:val="center"/>
              <w:ind w:right="440"/>
              <w:spacing w:after="0" w:line="133" w:lineRule="exact"/>
              <w:rPr>
                <w:sz w:val="20"/>
                <w:szCs w:val="20"/>
                <w:color w:val="auto"/>
              </w:rPr>
            </w:pPr>
            <w:r>
              <w:rPr>
                <w:rFonts w:ascii="Arial" w:cs="Arial" w:eastAsia="Arial" w:hAnsi="Arial"/>
                <w:sz w:val="12"/>
                <w:szCs w:val="12"/>
                <w:color w:val="auto"/>
                <w:w w:val="89"/>
              </w:rPr>
              <w:t>Shop SF</w:t>
            </w:r>
          </w:p>
        </w:tc>
        <w:tc>
          <w:tcPr>
            <w:tcW w:w="14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PSF (2)</w:t>
            </w:r>
          </w:p>
        </w:tc>
        <w:tc>
          <w:tcPr>
            <w:tcW w:w="1100" w:type="dxa"/>
            <w:vAlign w:val="bottom"/>
            <w:gridSpan w:val="2"/>
          </w:tcPr>
          <w:p>
            <w:pPr>
              <w:spacing w:after="0" w:line="133" w:lineRule="exact"/>
              <w:rPr>
                <w:sz w:val="20"/>
                <w:szCs w:val="20"/>
                <w:color w:val="auto"/>
              </w:rPr>
            </w:pPr>
            <w:r>
              <w:rPr>
                <w:rFonts w:ascii="Arial" w:cs="Arial" w:eastAsia="Arial" w:hAnsi="Arial"/>
                <w:sz w:val="12"/>
                <w:szCs w:val="12"/>
                <w:color w:val="auto"/>
              </w:rPr>
              <w:t>Expiring SF (4)</w:t>
            </w:r>
          </w:p>
        </w:tc>
        <w:tc>
          <w:tcPr>
            <w:tcW w:w="940" w:type="dxa"/>
            <w:vAlign w:val="bottom"/>
            <w:gridSpan w:val="2"/>
          </w:tcPr>
          <w:p>
            <w:pPr>
              <w:jc w:val="center"/>
              <w:ind w:right="420"/>
              <w:spacing w:after="0" w:line="133" w:lineRule="exact"/>
              <w:rPr>
                <w:sz w:val="20"/>
                <w:szCs w:val="20"/>
                <w:color w:val="auto"/>
              </w:rPr>
            </w:pPr>
            <w:r>
              <w:rPr>
                <w:rFonts w:ascii="Arial" w:cs="Arial" w:eastAsia="Arial" w:hAnsi="Arial"/>
                <w:sz w:val="12"/>
                <w:szCs w:val="12"/>
                <w:color w:val="auto"/>
                <w:w w:val="77"/>
              </w:rPr>
              <w:t>SF</w:t>
            </w:r>
          </w:p>
        </w:tc>
        <w:tc>
          <w:tcPr>
            <w:tcW w:w="1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PSF (2)</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2011</w:t>
            </w: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gridSpan w:val="2"/>
            <w:vMerge w:val="continue"/>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129,000</w:t>
            </w:r>
          </w:p>
        </w:tc>
        <w:tc>
          <w:tcPr>
            <w:tcW w:w="340" w:type="dxa"/>
            <w:vAlign w:val="bottom"/>
            <w:vMerge w:val="continue"/>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12.92</w:t>
            </w:r>
          </w:p>
        </w:tc>
        <w:tc>
          <w:tcPr>
            <w:tcW w:w="32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414,000</w:t>
            </w:r>
          </w:p>
        </w:tc>
        <w:tc>
          <w:tcPr>
            <w:tcW w:w="8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26.39</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542,000</w:t>
            </w:r>
          </w:p>
        </w:tc>
        <w:tc>
          <w:tcPr>
            <w:tcW w:w="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23.23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2012</w:t>
            </w:r>
          </w:p>
        </w:tc>
        <w:tc>
          <w:tcPr>
            <w:tcW w:w="680" w:type="dxa"/>
            <w:vAlign w:val="bottom"/>
          </w:tcPr>
          <w:p>
            <w:pPr>
              <w:jc w:val="right"/>
              <w:spacing w:after="0"/>
              <w:rPr>
                <w:sz w:val="20"/>
                <w:szCs w:val="20"/>
                <w:color w:val="auto"/>
              </w:rPr>
            </w:pPr>
            <w:r>
              <w:rPr>
                <w:rFonts w:ascii="Arial" w:cs="Arial" w:eastAsia="Arial" w:hAnsi="Arial"/>
                <w:sz w:val="16"/>
                <w:szCs w:val="16"/>
                <w:color w:val="auto"/>
              </w:rPr>
              <w:t>948,000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14.71</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1,011,000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30.38</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1,960,000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1,060,000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16.05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1,105,000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1,368,000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15.89</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921,000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32.42</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2,289,000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14.10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1,005,000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jc w:val="right"/>
              <w:spacing w:after="0"/>
              <w:rPr>
                <w:sz w:val="20"/>
                <w:szCs w:val="20"/>
                <w:color w:val="auto"/>
              </w:rPr>
            </w:pPr>
            <w:r>
              <w:rPr>
                <w:rFonts w:ascii="Arial" w:cs="Arial" w:eastAsia="Arial" w:hAnsi="Arial"/>
                <w:sz w:val="16"/>
                <w:szCs w:val="16"/>
                <w:color w:val="auto"/>
              </w:rPr>
              <w:t>750,000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17.62</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1,050,000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30.33</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1,800,000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16.56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602,000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jc w:val="right"/>
              <w:spacing w:after="0"/>
              <w:rPr>
                <w:sz w:val="20"/>
                <w:szCs w:val="20"/>
                <w:color w:val="auto"/>
              </w:rPr>
            </w:pPr>
            <w:r>
              <w:rPr>
                <w:rFonts w:ascii="Arial" w:cs="Arial" w:eastAsia="Arial" w:hAnsi="Arial"/>
                <w:sz w:val="16"/>
                <w:szCs w:val="16"/>
                <w:color w:val="auto"/>
              </w:rPr>
              <w:t>657,000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11.76</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327,000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37.49</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984,000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17.32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223,000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2020</w:t>
            </w:r>
          </w:p>
        </w:tc>
        <w:tc>
          <w:tcPr>
            <w:tcW w:w="680" w:type="dxa"/>
            <w:vAlign w:val="bottom"/>
          </w:tcPr>
          <w:p>
            <w:pPr>
              <w:jc w:val="right"/>
              <w:spacing w:after="0"/>
              <w:rPr>
                <w:sz w:val="20"/>
                <w:szCs w:val="20"/>
                <w:color w:val="auto"/>
              </w:rPr>
            </w:pPr>
            <w:r>
              <w:rPr>
                <w:rFonts w:ascii="Arial" w:cs="Arial" w:eastAsia="Arial" w:hAnsi="Arial"/>
                <w:sz w:val="16"/>
                <w:szCs w:val="16"/>
                <w:color w:val="auto"/>
              </w:rPr>
              <w:t>384,000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21.05</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362,000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32.93</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746,000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Thereafter</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2,266,000</w:t>
            </w:r>
          </w:p>
        </w:tc>
        <w:tc>
          <w:tcPr>
            <w:tcW w:w="3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15.60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690,000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(3)</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20" w:type="dxa"/>
            <w:vAlign w:val="bottom"/>
            <w:gridSpan w:val="2"/>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9,585,000</w:t>
            </w:r>
          </w:p>
        </w:tc>
        <w:tc>
          <w:tcPr>
            <w:tcW w:w="3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15.71</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7,710,000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31.79</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17,295,000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00" w:type="dxa"/>
            <w:vAlign w:val="bottom"/>
            <w:gridSpan w:val="3"/>
          </w:tcPr>
          <w:p>
            <w:pPr>
              <w:spacing w:after="0"/>
              <w:rPr>
                <w:sz w:val="20"/>
                <w:szCs w:val="20"/>
                <w:color w:val="auto"/>
              </w:rPr>
            </w:pPr>
            <w:r>
              <w:rPr>
                <w:rFonts w:ascii="Arial" w:cs="Arial" w:eastAsia="Arial" w:hAnsi="Arial"/>
                <w:sz w:val="16"/>
                <w:szCs w:val="16"/>
                <w:b w:val="1"/>
                <w:bCs w:val="1"/>
                <w:color w:val="auto"/>
              </w:rPr>
              <w:t>Assumes all lease options are exercised</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Anchor Tenants (1)</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95"/>
              </w:rPr>
              <w:t>Small Shop Tenants</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w w:val="92"/>
              </w:rPr>
              <w:t>Year</w:t>
            </w:r>
          </w:p>
        </w:tc>
        <w:tc>
          <w:tcPr>
            <w:tcW w:w="216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9"/>
              </w:rPr>
              <w:t>% of</w:t>
            </w:r>
          </w:p>
        </w:tc>
        <w:tc>
          <w:tcPr>
            <w:tcW w:w="760" w:type="dxa"/>
            <w:vAlign w:val="bottom"/>
            <w:gridSpan w:val="2"/>
          </w:tcPr>
          <w:p>
            <w:pPr>
              <w:spacing w:after="0" w:line="120" w:lineRule="exact"/>
              <w:rPr>
                <w:sz w:val="20"/>
                <w:szCs w:val="20"/>
                <w:color w:val="auto"/>
              </w:rPr>
            </w:pPr>
            <w:r>
              <w:rPr>
                <w:rFonts w:ascii="Arial" w:cs="Arial" w:eastAsia="Arial" w:hAnsi="Arial"/>
                <w:sz w:val="12"/>
                <w:szCs w:val="12"/>
                <w:color w:val="auto"/>
                <w:w w:val="95"/>
              </w:rPr>
              <w:t>Minimum Rent</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7"/>
              </w:rPr>
              <w:t>% of Small</w:t>
            </w:r>
          </w:p>
        </w:tc>
        <w:tc>
          <w:tcPr>
            <w:tcW w:w="760" w:type="dxa"/>
            <w:vAlign w:val="bottom"/>
            <w:gridSpan w:val="2"/>
          </w:tcPr>
          <w:p>
            <w:pPr>
              <w:spacing w:after="0" w:line="120" w:lineRule="exact"/>
              <w:rPr>
                <w:sz w:val="20"/>
                <w:szCs w:val="20"/>
                <w:color w:val="auto"/>
              </w:rPr>
            </w:pPr>
            <w:r>
              <w:rPr>
                <w:rFonts w:ascii="Arial" w:cs="Arial" w:eastAsia="Arial" w:hAnsi="Arial"/>
                <w:sz w:val="12"/>
                <w:szCs w:val="12"/>
                <w:color w:val="auto"/>
                <w:w w:val="95"/>
              </w:rPr>
              <w:t>Minimum Rent</w:t>
            </w: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center"/>
              <w:ind w:right="420"/>
              <w:spacing w:after="0" w:line="120" w:lineRule="exact"/>
              <w:rPr>
                <w:sz w:val="20"/>
                <w:szCs w:val="20"/>
                <w:color w:val="auto"/>
              </w:rPr>
            </w:pPr>
            <w:r>
              <w:rPr>
                <w:rFonts w:ascii="Arial" w:cs="Arial" w:eastAsia="Arial" w:hAnsi="Arial"/>
                <w:sz w:val="12"/>
                <w:szCs w:val="12"/>
                <w:color w:val="auto"/>
                <w:w w:val="96"/>
              </w:rPr>
              <w:t>% of Total</w:t>
            </w:r>
          </w:p>
        </w:tc>
        <w:tc>
          <w:tcPr>
            <w:tcW w:w="760" w:type="dxa"/>
            <w:vAlign w:val="bottom"/>
            <w:gridSpan w:val="2"/>
          </w:tcPr>
          <w:p>
            <w:pPr>
              <w:spacing w:after="0" w:line="120" w:lineRule="exact"/>
              <w:rPr>
                <w:sz w:val="20"/>
                <w:szCs w:val="20"/>
                <w:color w:val="auto"/>
              </w:rPr>
            </w:pPr>
            <w:r>
              <w:rPr>
                <w:rFonts w:ascii="Arial" w:cs="Arial" w:eastAsia="Arial" w:hAnsi="Arial"/>
                <w:sz w:val="12"/>
                <w:szCs w:val="12"/>
                <w:color w:val="auto"/>
                <w:w w:val="95"/>
              </w:rPr>
              <w:t>Minimum Rent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60" w:type="dxa"/>
            <w:vAlign w:val="bottom"/>
            <w:tcBorders>
              <w:bottom w:val="single" w:sz="8" w:color="auto"/>
            </w:tcBorders>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w w:val="99"/>
              </w:rPr>
              <w:t>Expiring SF</w:t>
            </w:r>
          </w:p>
        </w:tc>
        <w:tc>
          <w:tcPr>
            <w:tcW w:w="340" w:type="dxa"/>
            <w:vAlign w:val="bottom"/>
          </w:tcPr>
          <w:p>
            <w:pPr>
              <w:spacing w:after="0"/>
              <w:rPr>
                <w:sz w:val="11"/>
                <w:szCs w:val="11"/>
                <w:color w:val="auto"/>
              </w:rPr>
            </w:pPr>
          </w:p>
        </w:tc>
        <w:tc>
          <w:tcPr>
            <w:tcW w:w="940" w:type="dxa"/>
            <w:vAlign w:val="bottom"/>
            <w:gridSpan w:val="2"/>
          </w:tcPr>
          <w:p>
            <w:pPr>
              <w:jc w:val="center"/>
              <w:ind w:right="400"/>
              <w:spacing w:after="0" w:line="133" w:lineRule="exact"/>
              <w:rPr>
                <w:sz w:val="20"/>
                <w:szCs w:val="20"/>
                <w:color w:val="auto"/>
              </w:rPr>
            </w:pPr>
            <w:r>
              <w:rPr>
                <w:rFonts w:ascii="Arial" w:cs="Arial" w:eastAsia="Arial" w:hAnsi="Arial"/>
                <w:sz w:val="12"/>
                <w:szCs w:val="12"/>
                <w:color w:val="auto"/>
                <w:w w:val="95"/>
              </w:rPr>
              <w:t>Anchor SF</w:t>
            </w:r>
          </w:p>
        </w:tc>
        <w:tc>
          <w:tcPr>
            <w:tcW w:w="140" w:type="dxa"/>
            <w:vAlign w:val="bottom"/>
          </w:tcPr>
          <w:p>
            <w:pPr>
              <w:spacing w:after="0"/>
              <w:rPr>
                <w:sz w:val="11"/>
                <w:szCs w:val="11"/>
                <w:color w:val="auto"/>
              </w:rPr>
            </w:pPr>
          </w:p>
        </w:tc>
        <w:tc>
          <w:tcPr>
            <w:tcW w:w="940" w:type="dxa"/>
            <w:vAlign w:val="bottom"/>
            <w:gridSpan w:val="2"/>
          </w:tcPr>
          <w:p>
            <w:pPr>
              <w:jc w:val="right"/>
              <w:ind w:right="500"/>
              <w:spacing w:after="0" w:line="133" w:lineRule="exact"/>
              <w:rPr>
                <w:sz w:val="20"/>
                <w:szCs w:val="20"/>
                <w:color w:val="auto"/>
              </w:rPr>
            </w:pPr>
            <w:r>
              <w:rPr>
                <w:rFonts w:ascii="Arial" w:cs="Arial" w:eastAsia="Arial" w:hAnsi="Arial"/>
                <w:sz w:val="12"/>
                <w:szCs w:val="12"/>
                <w:color w:val="auto"/>
              </w:rPr>
              <w:t>PSF (2)</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Expiring SF</w:t>
            </w:r>
          </w:p>
        </w:tc>
        <w:tc>
          <w:tcPr>
            <w:tcW w:w="240" w:type="dxa"/>
            <w:vAlign w:val="bottom"/>
          </w:tcPr>
          <w:p>
            <w:pPr>
              <w:spacing w:after="0"/>
              <w:rPr>
                <w:sz w:val="11"/>
                <w:szCs w:val="11"/>
                <w:color w:val="auto"/>
              </w:rPr>
            </w:pPr>
          </w:p>
        </w:tc>
        <w:tc>
          <w:tcPr>
            <w:tcW w:w="980" w:type="dxa"/>
            <w:vAlign w:val="bottom"/>
            <w:gridSpan w:val="2"/>
          </w:tcPr>
          <w:p>
            <w:pPr>
              <w:jc w:val="center"/>
              <w:ind w:right="440"/>
              <w:spacing w:after="0" w:line="133" w:lineRule="exact"/>
              <w:rPr>
                <w:sz w:val="20"/>
                <w:szCs w:val="20"/>
                <w:color w:val="auto"/>
              </w:rPr>
            </w:pPr>
            <w:r>
              <w:rPr>
                <w:rFonts w:ascii="Arial" w:cs="Arial" w:eastAsia="Arial" w:hAnsi="Arial"/>
                <w:sz w:val="12"/>
                <w:szCs w:val="12"/>
                <w:color w:val="auto"/>
                <w:w w:val="89"/>
              </w:rPr>
              <w:t>Shop SF</w:t>
            </w:r>
          </w:p>
        </w:tc>
        <w:tc>
          <w:tcPr>
            <w:tcW w:w="14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PSF (2)</w:t>
            </w:r>
          </w:p>
        </w:tc>
        <w:tc>
          <w:tcPr>
            <w:tcW w:w="1100" w:type="dxa"/>
            <w:vAlign w:val="bottom"/>
            <w:gridSpan w:val="2"/>
          </w:tcPr>
          <w:p>
            <w:pPr>
              <w:spacing w:after="0" w:line="133" w:lineRule="exact"/>
              <w:rPr>
                <w:sz w:val="20"/>
                <w:szCs w:val="20"/>
                <w:color w:val="auto"/>
              </w:rPr>
            </w:pPr>
            <w:r>
              <w:rPr>
                <w:rFonts w:ascii="Arial" w:cs="Arial" w:eastAsia="Arial" w:hAnsi="Arial"/>
                <w:sz w:val="12"/>
                <w:szCs w:val="12"/>
                <w:color w:val="auto"/>
              </w:rPr>
              <w:t>Expiring SF (4)</w:t>
            </w:r>
          </w:p>
        </w:tc>
        <w:tc>
          <w:tcPr>
            <w:tcW w:w="940" w:type="dxa"/>
            <w:vAlign w:val="bottom"/>
            <w:gridSpan w:val="2"/>
          </w:tcPr>
          <w:p>
            <w:pPr>
              <w:jc w:val="center"/>
              <w:ind w:right="420"/>
              <w:spacing w:after="0" w:line="133" w:lineRule="exact"/>
              <w:rPr>
                <w:sz w:val="20"/>
                <w:szCs w:val="20"/>
                <w:color w:val="auto"/>
              </w:rPr>
            </w:pPr>
            <w:r>
              <w:rPr>
                <w:rFonts w:ascii="Arial" w:cs="Arial" w:eastAsia="Arial" w:hAnsi="Arial"/>
                <w:sz w:val="12"/>
                <w:szCs w:val="12"/>
                <w:color w:val="auto"/>
                <w:w w:val="77"/>
              </w:rPr>
              <w:t>SF</w:t>
            </w:r>
          </w:p>
        </w:tc>
        <w:tc>
          <w:tcPr>
            <w:tcW w:w="1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color w:val="auto"/>
              </w:rPr>
              <w:t>PSF (2)</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2011</w:t>
            </w: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gridSpan w:val="2"/>
            <w:vMerge w:val="continue"/>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25,000</w:t>
            </w:r>
          </w:p>
        </w:tc>
        <w:tc>
          <w:tcPr>
            <w:tcW w:w="340" w:type="dxa"/>
            <w:vAlign w:val="bottom"/>
            <w:vMerge w:val="continue"/>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7.20</w:t>
            </w:r>
          </w:p>
        </w:tc>
        <w:tc>
          <w:tcPr>
            <w:tcW w:w="32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305,000</w:t>
            </w:r>
          </w:p>
        </w:tc>
        <w:tc>
          <w:tcPr>
            <w:tcW w:w="8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80" w:type="dxa"/>
            <w:vAlign w:val="bottom"/>
            <w:tcBorders>
              <w:right w:val="single" w:sz="8" w:color="CCEEFF"/>
            </w:tcBorders>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26.61</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329,000</w:t>
            </w:r>
          </w:p>
        </w:tc>
        <w:tc>
          <w:tcPr>
            <w:tcW w:w="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25.21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2012</w:t>
            </w:r>
          </w:p>
        </w:tc>
        <w:tc>
          <w:tcPr>
            <w:tcW w:w="680" w:type="dxa"/>
            <w:vAlign w:val="bottom"/>
          </w:tcPr>
          <w:p>
            <w:pPr>
              <w:jc w:val="right"/>
              <w:spacing w:after="0"/>
              <w:rPr>
                <w:sz w:val="20"/>
                <w:szCs w:val="20"/>
                <w:color w:val="auto"/>
              </w:rPr>
            </w:pPr>
            <w:r>
              <w:rPr>
                <w:rFonts w:ascii="Arial" w:cs="Arial" w:eastAsia="Arial" w:hAnsi="Arial"/>
                <w:sz w:val="16"/>
                <w:szCs w:val="16"/>
                <w:color w:val="auto"/>
              </w:rPr>
              <w:t>196,000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20.15</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599,000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29.73</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795,000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17.98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543,000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jc w:val="right"/>
              <w:spacing w:after="0"/>
              <w:rPr>
                <w:sz w:val="20"/>
                <w:szCs w:val="20"/>
                <w:color w:val="auto"/>
              </w:rPr>
            </w:pPr>
            <w:r>
              <w:rPr>
                <w:rFonts w:ascii="Arial" w:cs="Arial" w:eastAsia="Arial" w:hAnsi="Arial"/>
                <w:sz w:val="16"/>
                <w:szCs w:val="16"/>
                <w:color w:val="auto"/>
              </w:rPr>
              <w:t>153,000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12.62</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539,000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35.73</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692,000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20.24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jc w:val="right"/>
              <w:spacing w:after="0"/>
              <w:rPr>
                <w:sz w:val="20"/>
                <w:szCs w:val="20"/>
                <w:color w:val="auto"/>
              </w:rPr>
            </w:pPr>
            <w:r>
              <w:rPr>
                <w:rFonts w:ascii="Arial" w:cs="Arial" w:eastAsia="Arial" w:hAnsi="Arial"/>
                <w:sz w:val="16"/>
                <w:szCs w:val="16"/>
                <w:color w:val="auto"/>
              </w:rPr>
              <w:t>126,000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15.64</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570,000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30.98</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696,000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22.62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576,000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jc w:val="right"/>
              <w:spacing w:after="0"/>
              <w:rPr>
                <w:sz w:val="20"/>
                <w:szCs w:val="20"/>
                <w:color w:val="auto"/>
              </w:rPr>
            </w:pPr>
            <w:r>
              <w:rPr>
                <w:rFonts w:ascii="Arial" w:cs="Arial" w:eastAsia="Arial" w:hAnsi="Arial"/>
                <w:sz w:val="16"/>
                <w:szCs w:val="16"/>
                <w:color w:val="auto"/>
              </w:rPr>
              <w:t>290,000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14.98</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457,000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37.26</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423,000</w:t>
            </w:r>
          </w:p>
        </w:tc>
        <w:tc>
          <w:tcPr>
            <w:tcW w:w="128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16.43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rPr>
                <w:sz w:val="20"/>
                <w:szCs w:val="20"/>
                <w:color w:val="auto"/>
              </w:rPr>
            </w:pPr>
            <w:r>
              <w:rPr>
                <w:rFonts w:ascii="Arial" w:cs="Arial" w:eastAsia="Arial" w:hAnsi="Arial"/>
                <w:sz w:val="16"/>
                <w:szCs w:val="16"/>
                <w:b w:val="1"/>
                <w:bCs w:val="1"/>
                <w:color w:val="auto"/>
              </w:rPr>
              <w:t>2020</w:t>
            </w:r>
          </w:p>
        </w:tc>
        <w:tc>
          <w:tcPr>
            <w:tcW w:w="680" w:type="dxa"/>
            <w:vAlign w:val="bottom"/>
          </w:tcPr>
          <w:p>
            <w:pPr>
              <w:jc w:val="right"/>
              <w:spacing w:after="0"/>
              <w:rPr>
                <w:sz w:val="20"/>
                <w:szCs w:val="20"/>
                <w:color w:val="auto"/>
              </w:rPr>
            </w:pPr>
            <w:r>
              <w:rPr>
                <w:rFonts w:ascii="Arial" w:cs="Arial" w:eastAsia="Arial" w:hAnsi="Arial"/>
                <w:sz w:val="16"/>
                <w:szCs w:val="16"/>
                <w:color w:val="auto"/>
              </w:rPr>
              <w:t>159,000</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27.80</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380,000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30.57</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Thereafter</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7,671,000</w:t>
            </w:r>
          </w:p>
        </w:tc>
        <w:tc>
          <w:tcPr>
            <w:tcW w:w="3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15.12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2,855,000</w:t>
            </w:r>
          </w:p>
        </w:tc>
        <w:tc>
          <w:tcPr>
            <w:tcW w:w="12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10,526,000</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(3)</w:t>
            </w: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20" w:type="dxa"/>
            <w:vAlign w:val="bottom"/>
            <w:gridSpan w:val="2"/>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9,585,000</w:t>
            </w:r>
          </w:p>
        </w:tc>
        <w:tc>
          <w:tcPr>
            <w:tcW w:w="3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15.71</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7,710,000</w:t>
            </w:r>
          </w:p>
        </w:tc>
        <w:tc>
          <w:tcPr>
            <w:tcW w:w="1220" w:type="dxa"/>
            <w:vAlign w:val="bottom"/>
            <w:gridSpan w:val="3"/>
          </w:tcPr>
          <w:p>
            <w:pPr>
              <w:jc w:val="right"/>
              <w:ind w:right="30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31.79</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17,295,000</w:t>
            </w:r>
          </w:p>
        </w:tc>
        <w:tc>
          <w:tcPr>
            <w:tcW w:w="3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June 30, 2011.</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2011.</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1"/>
          </w:cols>
          <w:pgMar w:left="239" w:top="262" w:right="239" w:bottom="1440" w:gutter="0" w:footer="0" w:header="0"/>
        </w:sectPr>
      </w:pPr>
    </w:p>
    <w:bookmarkStart w:id="24" w:name="page25"/>
    <w:bookmarkEnd w:id="24"/>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Portfolio Leased Statistics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0" w:lineRule="exact"/>
        <w:rPr>
          <w:sz w:val="20"/>
          <w:szCs w:val="20"/>
          <w:color w:val="auto"/>
        </w:rPr>
      </w:pPr>
    </w:p>
    <w:p>
      <w:pPr>
        <w:ind w:left="1"/>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w w:val="92"/>
              </w:rPr>
              <w:t>Type</w:t>
            </w:r>
          </w:p>
        </w:tc>
        <w:tc>
          <w:tcPr>
            <w:tcW w:w="5220" w:type="dxa"/>
            <w:vAlign w:val="bottom"/>
            <w:gridSpan w:val="2"/>
            <w:vMerge w:val="restart"/>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At June 30, 2011</w:t>
            </w:r>
          </w:p>
        </w:tc>
        <w:tc>
          <w:tcPr>
            <w:tcW w:w="5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At June 30, 2010</w:t>
            </w: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0" w:type="dxa"/>
            <w:vAlign w:val="bottom"/>
            <w:tcBorders>
              <w:bottom w:val="single" w:sz="8" w:color="auto"/>
            </w:tcBorders>
            <w:vMerge w:val="continue"/>
          </w:tcPr>
          <w:p>
            <w:pPr>
              <w:spacing w:after="0"/>
              <w:rPr>
                <w:sz w:val="10"/>
                <w:szCs w:val="10"/>
                <w:color w:val="auto"/>
              </w:rPr>
            </w:pPr>
          </w:p>
        </w:tc>
        <w:tc>
          <w:tcPr>
            <w:tcW w:w="5220" w:type="dxa"/>
            <w:vAlign w:val="bottom"/>
            <w:gridSpan w:val="2"/>
            <w:vMerge w:val="continue"/>
          </w:tcPr>
          <w:p>
            <w:pPr>
              <w:spacing w:after="0"/>
              <w:rPr>
                <w:sz w:val="10"/>
                <w:szCs w:val="10"/>
                <w:color w:val="auto"/>
              </w:rPr>
            </w:pPr>
          </w:p>
        </w:tc>
        <w:tc>
          <w:tcPr>
            <w:tcW w:w="760" w:type="dxa"/>
            <w:vAlign w:val="bottom"/>
          </w:tcPr>
          <w:p>
            <w:pPr>
              <w:jc w:val="right"/>
              <w:ind w:right="206"/>
              <w:spacing w:after="0" w:line="116" w:lineRule="exact"/>
              <w:rPr>
                <w:sz w:val="20"/>
                <w:szCs w:val="20"/>
                <w:color w:val="auto"/>
              </w:rPr>
            </w:pPr>
            <w:r>
              <w:rPr>
                <w:rFonts w:ascii="Arial" w:cs="Arial" w:eastAsia="Arial" w:hAnsi="Arial"/>
                <w:sz w:val="12"/>
                <w:szCs w:val="12"/>
                <w:b w:val="1"/>
                <w:bCs w:val="1"/>
                <w:color w:val="auto"/>
              </w:rPr>
              <w:t>Size</w:t>
            </w:r>
          </w:p>
        </w:tc>
        <w:tc>
          <w:tcPr>
            <w:tcW w:w="300" w:type="dxa"/>
            <w:vAlign w:val="bottom"/>
          </w:tcPr>
          <w:p>
            <w:pPr>
              <w:spacing w:after="0"/>
              <w:rPr>
                <w:sz w:val="10"/>
                <w:szCs w:val="10"/>
                <w:color w:val="auto"/>
              </w:rPr>
            </w:pPr>
          </w:p>
        </w:tc>
        <w:tc>
          <w:tcPr>
            <w:tcW w:w="1080" w:type="dxa"/>
            <w:vAlign w:val="bottom"/>
            <w:gridSpan w:val="2"/>
          </w:tcPr>
          <w:p>
            <w:pPr>
              <w:ind w:left="200"/>
              <w:spacing w:after="0" w:line="116" w:lineRule="exact"/>
              <w:rPr>
                <w:sz w:val="20"/>
                <w:szCs w:val="20"/>
                <w:color w:val="auto"/>
              </w:rPr>
            </w:pPr>
            <w:r>
              <w:rPr>
                <w:rFonts w:ascii="Arial" w:cs="Arial" w:eastAsia="Arial" w:hAnsi="Arial"/>
                <w:sz w:val="12"/>
                <w:szCs w:val="12"/>
                <w:b w:val="1"/>
                <w:bCs w:val="1"/>
                <w:color w:val="auto"/>
              </w:rPr>
              <w:t>Leased</w:t>
            </w:r>
          </w:p>
        </w:tc>
        <w:tc>
          <w:tcPr>
            <w:tcW w:w="540" w:type="dxa"/>
            <w:vAlign w:val="bottom"/>
          </w:tcPr>
          <w:p>
            <w:pPr>
              <w:spacing w:after="0" w:line="116" w:lineRule="exact"/>
              <w:rPr>
                <w:sz w:val="20"/>
                <w:szCs w:val="20"/>
                <w:color w:val="auto"/>
              </w:rPr>
            </w:pPr>
            <w:r>
              <w:rPr>
                <w:rFonts w:ascii="Arial" w:cs="Arial" w:eastAsia="Arial" w:hAnsi="Arial"/>
                <w:sz w:val="12"/>
                <w:szCs w:val="12"/>
                <w:b w:val="1"/>
                <w:bCs w:val="1"/>
                <w:color w:val="auto"/>
                <w:w w:val="93"/>
              </w:rPr>
              <w:t>Leased %</w:t>
            </w:r>
          </w:p>
        </w:tc>
        <w:tc>
          <w:tcPr>
            <w:tcW w:w="380" w:type="dxa"/>
            <w:vAlign w:val="bottom"/>
          </w:tcPr>
          <w:p>
            <w:pPr>
              <w:spacing w:after="0"/>
              <w:rPr>
                <w:sz w:val="10"/>
                <w:szCs w:val="10"/>
                <w:color w:val="auto"/>
              </w:rPr>
            </w:pPr>
          </w:p>
        </w:tc>
        <w:tc>
          <w:tcPr>
            <w:tcW w:w="840" w:type="dxa"/>
            <w:vAlign w:val="bottom"/>
          </w:tcPr>
          <w:p>
            <w:pPr>
              <w:jc w:val="right"/>
              <w:ind w:right="266"/>
              <w:spacing w:after="0" w:line="116" w:lineRule="exact"/>
              <w:rPr>
                <w:sz w:val="20"/>
                <w:szCs w:val="20"/>
                <w:color w:val="auto"/>
              </w:rPr>
            </w:pPr>
            <w:r>
              <w:rPr>
                <w:rFonts w:ascii="Arial" w:cs="Arial" w:eastAsia="Arial" w:hAnsi="Arial"/>
                <w:sz w:val="12"/>
                <w:szCs w:val="12"/>
                <w:b w:val="1"/>
                <w:bCs w:val="1"/>
                <w:color w:val="auto"/>
              </w:rPr>
              <w:t>Size</w:t>
            </w:r>
          </w:p>
        </w:tc>
        <w:tc>
          <w:tcPr>
            <w:tcW w:w="240" w:type="dxa"/>
            <w:vAlign w:val="bottom"/>
          </w:tcPr>
          <w:p>
            <w:pPr>
              <w:spacing w:after="0"/>
              <w:rPr>
                <w:sz w:val="10"/>
                <w:szCs w:val="10"/>
                <w:color w:val="auto"/>
              </w:rPr>
            </w:pPr>
          </w:p>
        </w:tc>
        <w:tc>
          <w:tcPr>
            <w:tcW w:w="1080" w:type="dxa"/>
            <w:vAlign w:val="bottom"/>
            <w:gridSpan w:val="2"/>
          </w:tcPr>
          <w:p>
            <w:pPr>
              <w:ind w:left="200"/>
              <w:spacing w:after="0" w:line="116" w:lineRule="exact"/>
              <w:rPr>
                <w:sz w:val="20"/>
                <w:szCs w:val="20"/>
                <w:color w:val="auto"/>
              </w:rPr>
            </w:pPr>
            <w:r>
              <w:rPr>
                <w:rFonts w:ascii="Arial" w:cs="Arial" w:eastAsia="Arial" w:hAnsi="Arial"/>
                <w:sz w:val="12"/>
                <w:szCs w:val="12"/>
                <w:b w:val="1"/>
                <w:bCs w:val="1"/>
                <w:color w:val="auto"/>
              </w:rPr>
              <w:t>Leased</w:t>
            </w:r>
          </w:p>
        </w:tc>
        <w:tc>
          <w:tcPr>
            <w:tcW w:w="520" w:type="dxa"/>
            <w:vAlign w:val="bottom"/>
          </w:tcPr>
          <w:p>
            <w:pPr>
              <w:spacing w:after="0" w:line="116" w:lineRule="exact"/>
              <w:rPr>
                <w:sz w:val="20"/>
                <w:szCs w:val="20"/>
                <w:color w:val="auto"/>
              </w:rPr>
            </w:pPr>
            <w:r>
              <w:rPr>
                <w:rFonts w:ascii="Arial" w:cs="Arial" w:eastAsia="Arial" w:hAnsi="Arial"/>
                <w:sz w:val="12"/>
                <w:szCs w:val="12"/>
                <w:b w:val="1"/>
                <w:bCs w:val="1"/>
                <w:color w:val="auto"/>
                <w:w w:val="90"/>
              </w:rPr>
              <w:t>Leased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Retail Properties (2) (sf)</w:t>
            </w: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00" w:type="dxa"/>
            <w:vAlign w:val="bottom"/>
            <w:gridSpan w:val="3"/>
            <w:vMerge w:val="continue"/>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2"/>
              </w:rPr>
              <w:t>18,646,000</w:t>
            </w:r>
          </w:p>
        </w:tc>
        <w:tc>
          <w:tcPr>
            <w:tcW w:w="3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17,413,000</w:t>
            </w:r>
          </w:p>
        </w:tc>
        <w:tc>
          <w:tcPr>
            <w:tcW w:w="3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93.4%</w:t>
            </w:r>
          </w:p>
        </w:tc>
        <w:tc>
          <w:tcPr>
            <w:tcW w:w="84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18,165,000</w:t>
            </w:r>
          </w:p>
        </w:tc>
        <w:tc>
          <w:tcPr>
            <w:tcW w:w="24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17,113,000</w:t>
            </w:r>
          </w:p>
        </w:tc>
        <w:tc>
          <w:tcPr>
            <w:tcW w:w="3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05"/>
        </w:trPr>
        <w:tc>
          <w:tcPr>
            <w:tcW w:w="5500" w:type="dxa"/>
            <w:vAlign w:val="bottom"/>
            <w:gridSpan w:val="3"/>
          </w:tcPr>
          <w:p>
            <w:pPr>
              <w:spacing w:after="0"/>
              <w:rPr>
                <w:sz w:val="20"/>
                <w:szCs w:val="20"/>
                <w:color w:val="auto"/>
              </w:rPr>
            </w:pPr>
            <w:r>
              <w:rPr>
                <w:rFonts w:ascii="Arial" w:cs="Arial" w:eastAsia="Arial" w:hAnsi="Arial"/>
                <w:sz w:val="16"/>
                <w:szCs w:val="16"/>
                <w:color w:val="auto"/>
              </w:rPr>
              <w:t>Residential Properties (3) (units)</w:t>
            </w:r>
          </w:p>
        </w:tc>
        <w:tc>
          <w:tcPr>
            <w:tcW w:w="760" w:type="dxa"/>
            <w:vAlign w:val="bottom"/>
          </w:tcPr>
          <w:p>
            <w:pPr>
              <w:jc w:val="right"/>
              <w:spacing w:after="0"/>
              <w:rPr>
                <w:sz w:val="20"/>
                <w:szCs w:val="20"/>
                <w:color w:val="auto"/>
              </w:rPr>
            </w:pPr>
            <w:r>
              <w:rPr>
                <w:rFonts w:ascii="Arial" w:cs="Arial" w:eastAsia="Arial" w:hAnsi="Arial"/>
                <w:sz w:val="16"/>
                <w:szCs w:val="16"/>
                <w:color w:val="auto"/>
              </w:rPr>
              <w:t>903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885</w:t>
            </w:r>
          </w:p>
        </w:tc>
        <w:tc>
          <w:tcPr>
            <w:tcW w:w="3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98.0%</w:t>
            </w:r>
          </w:p>
        </w:tc>
        <w:tc>
          <w:tcPr>
            <w:tcW w:w="840" w:type="dxa"/>
            <w:vAlign w:val="bottom"/>
          </w:tcPr>
          <w:p>
            <w:pPr>
              <w:jc w:val="right"/>
              <w:spacing w:after="0"/>
              <w:rPr>
                <w:sz w:val="20"/>
                <w:szCs w:val="20"/>
                <w:color w:val="auto"/>
              </w:rPr>
            </w:pPr>
            <w:r>
              <w:rPr>
                <w:rFonts w:ascii="Arial" w:cs="Arial" w:eastAsia="Arial" w:hAnsi="Arial"/>
                <w:sz w:val="16"/>
                <w:szCs w:val="16"/>
                <w:color w:val="auto"/>
              </w:rPr>
              <w:t>903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882</w:t>
            </w:r>
          </w:p>
        </w:tc>
        <w:tc>
          <w:tcPr>
            <w:tcW w:w="3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350"/>
        </w:trPr>
        <w:tc>
          <w:tcPr>
            <w:tcW w:w="5500" w:type="dxa"/>
            <w:vAlign w:val="bottom"/>
            <w:gridSpan w:val="3"/>
          </w:tcPr>
          <w:p>
            <w:pPr>
              <w:spacing w:after="0"/>
              <w:rPr>
                <w:sz w:val="20"/>
                <w:szCs w:val="20"/>
                <w:color w:val="auto"/>
              </w:rPr>
            </w:pPr>
            <w:r>
              <w:rPr>
                <w:rFonts w:ascii="Arial" w:cs="Arial" w:eastAsia="Arial" w:hAnsi="Arial"/>
                <w:sz w:val="16"/>
                <w:szCs w:val="16"/>
                <w:b w:val="1"/>
                <w:bCs w:val="1"/>
                <w:color w:val="auto"/>
              </w:rPr>
              <w:t>Same Center Statistics (1)</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2"/>
                <w:szCs w:val="12"/>
                <w:b w:val="1"/>
                <w:bCs w:val="1"/>
                <w:color w:val="auto"/>
                <w:w w:val="92"/>
              </w:rPr>
              <w:t>Type</w:t>
            </w:r>
          </w:p>
        </w:tc>
        <w:tc>
          <w:tcPr>
            <w:tcW w:w="1480" w:type="dxa"/>
            <w:vAlign w:val="bottom"/>
            <w:tcBorders>
              <w:top w:val="single" w:sz="8" w:color="auto"/>
              <w:bottom w:val="single" w:sz="8" w:color="auto"/>
            </w:tcBorders>
            <w:vMerge w:val="restart"/>
          </w:tcPr>
          <w:p>
            <w:pPr>
              <w:spacing w:after="0"/>
              <w:rPr>
                <w:sz w:val="24"/>
                <w:szCs w:val="24"/>
                <w:color w:val="auto"/>
              </w:rPr>
            </w:pPr>
          </w:p>
        </w:tc>
        <w:tc>
          <w:tcPr>
            <w:tcW w:w="3740" w:type="dxa"/>
            <w:vAlign w:val="bottom"/>
            <w:vMerge w:val="restart"/>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At June 30, 2011</w:t>
            </w:r>
          </w:p>
        </w:tc>
        <w:tc>
          <w:tcPr>
            <w:tcW w:w="5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At June 30, 2010</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80" w:type="dxa"/>
            <w:vAlign w:val="bottom"/>
            <w:tcBorders>
              <w:bottom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3740" w:type="dxa"/>
            <w:vAlign w:val="bottom"/>
            <w:vMerge w:val="continue"/>
          </w:tcPr>
          <w:p>
            <w:pPr>
              <w:spacing w:after="0"/>
              <w:rPr>
                <w:sz w:val="10"/>
                <w:szCs w:val="10"/>
                <w:color w:val="auto"/>
              </w:rPr>
            </w:pPr>
          </w:p>
        </w:tc>
        <w:tc>
          <w:tcPr>
            <w:tcW w:w="760" w:type="dxa"/>
            <w:vAlign w:val="bottom"/>
          </w:tcPr>
          <w:p>
            <w:pPr>
              <w:jc w:val="right"/>
              <w:ind w:right="206"/>
              <w:spacing w:after="0" w:line="116" w:lineRule="exact"/>
              <w:rPr>
                <w:sz w:val="20"/>
                <w:szCs w:val="20"/>
                <w:color w:val="auto"/>
              </w:rPr>
            </w:pPr>
            <w:r>
              <w:rPr>
                <w:rFonts w:ascii="Arial" w:cs="Arial" w:eastAsia="Arial" w:hAnsi="Arial"/>
                <w:sz w:val="12"/>
                <w:szCs w:val="12"/>
                <w:b w:val="1"/>
                <w:bCs w:val="1"/>
                <w:color w:val="auto"/>
              </w:rPr>
              <w:t>Size</w:t>
            </w:r>
          </w:p>
        </w:tc>
        <w:tc>
          <w:tcPr>
            <w:tcW w:w="300" w:type="dxa"/>
            <w:vAlign w:val="bottom"/>
          </w:tcPr>
          <w:p>
            <w:pPr>
              <w:spacing w:after="0"/>
              <w:rPr>
                <w:sz w:val="10"/>
                <w:szCs w:val="10"/>
                <w:color w:val="auto"/>
              </w:rPr>
            </w:pPr>
          </w:p>
        </w:tc>
        <w:tc>
          <w:tcPr>
            <w:tcW w:w="1080" w:type="dxa"/>
            <w:vAlign w:val="bottom"/>
            <w:gridSpan w:val="2"/>
          </w:tcPr>
          <w:p>
            <w:pPr>
              <w:ind w:left="200"/>
              <w:spacing w:after="0" w:line="116" w:lineRule="exact"/>
              <w:rPr>
                <w:sz w:val="20"/>
                <w:szCs w:val="20"/>
                <w:color w:val="auto"/>
              </w:rPr>
            </w:pPr>
            <w:r>
              <w:rPr>
                <w:rFonts w:ascii="Arial" w:cs="Arial" w:eastAsia="Arial" w:hAnsi="Arial"/>
                <w:sz w:val="12"/>
                <w:szCs w:val="12"/>
                <w:b w:val="1"/>
                <w:bCs w:val="1"/>
                <w:color w:val="auto"/>
              </w:rPr>
              <w:t>Leased</w:t>
            </w:r>
          </w:p>
        </w:tc>
        <w:tc>
          <w:tcPr>
            <w:tcW w:w="540" w:type="dxa"/>
            <w:vAlign w:val="bottom"/>
          </w:tcPr>
          <w:p>
            <w:pPr>
              <w:spacing w:after="0" w:line="116" w:lineRule="exact"/>
              <w:rPr>
                <w:sz w:val="20"/>
                <w:szCs w:val="20"/>
                <w:color w:val="auto"/>
              </w:rPr>
            </w:pPr>
            <w:r>
              <w:rPr>
                <w:rFonts w:ascii="Arial" w:cs="Arial" w:eastAsia="Arial" w:hAnsi="Arial"/>
                <w:sz w:val="12"/>
                <w:szCs w:val="12"/>
                <w:b w:val="1"/>
                <w:bCs w:val="1"/>
                <w:color w:val="auto"/>
                <w:w w:val="93"/>
              </w:rPr>
              <w:t>Leased %</w:t>
            </w:r>
          </w:p>
        </w:tc>
        <w:tc>
          <w:tcPr>
            <w:tcW w:w="380" w:type="dxa"/>
            <w:vAlign w:val="bottom"/>
          </w:tcPr>
          <w:p>
            <w:pPr>
              <w:spacing w:after="0"/>
              <w:rPr>
                <w:sz w:val="10"/>
                <w:szCs w:val="10"/>
                <w:color w:val="auto"/>
              </w:rPr>
            </w:pPr>
          </w:p>
        </w:tc>
        <w:tc>
          <w:tcPr>
            <w:tcW w:w="840" w:type="dxa"/>
            <w:vAlign w:val="bottom"/>
          </w:tcPr>
          <w:p>
            <w:pPr>
              <w:jc w:val="right"/>
              <w:ind w:right="266"/>
              <w:spacing w:after="0" w:line="116" w:lineRule="exact"/>
              <w:rPr>
                <w:sz w:val="20"/>
                <w:szCs w:val="20"/>
                <w:color w:val="auto"/>
              </w:rPr>
            </w:pPr>
            <w:r>
              <w:rPr>
                <w:rFonts w:ascii="Arial" w:cs="Arial" w:eastAsia="Arial" w:hAnsi="Arial"/>
                <w:sz w:val="12"/>
                <w:szCs w:val="12"/>
                <w:b w:val="1"/>
                <w:bCs w:val="1"/>
                <w:color w:val="auto"/>
              </w:rPr>
              <w:t>Size</w:t>
            </w:r>
          </w:p>
        </w:tc>
        <w:tc>
          <w:tcPr>
            <w:tcW w:w="240" w:type="dxa"/>
            <w:vAlign w:val="bottom"/>
          </w:tcPr>
          <w:p>
            <w:pPr>
              <w:spacing w:after="0"/>
              <w:rPr>
                <w:sz w:val="10"/>
                <w:szCs w:val="10"/>
                <w:color w:val="auto"/>
              </w:rPr>
            </w:pPr>
          </w:p>
        </w:tc>
        <w:tc>
          <w:tcPr>
            <w:tcW w:w="1080" w:type="dxa"/>
            <w:vAlign w:val="bottom"/>
            <w:gridSpan w:val="2"/>
          </w:tcPr>
          <w:p>
            <w:pPr>
              <w:ind w:left="200"/>
              <w:spacing w:after="0" w:line="116" w:lineRule="exact"/>
              <w:rPr>
                <w:sz w:val="20"/>
                <w:szCs w:val="20"/>
                <w:color w:val="auto"/>
              </w:rPr>
            </w:pPr>
            <w:r>
              <w:rPr>
                <w:rFonts w:ascii="Arial" w:cs="Arial" w:eastAsia="Arial" w:hAnsi="Arial"/>
                <w:sz w:val="12"/>
                <w:szCs w:val="12"/>
                <w:b w:val="1"/>
                <w:bCs w:val="1"/>
                <w:color w:val="auto"/>
              </w:rPr>
              <w:t>Leased</w:t>
            </w:r>
          </w:p>
        </w:tc>
        <w:tc>
          <w:tcPr>
            <w:tcW w:w="520" w:type="dxa"/>
            <w:vAlign w:val="bottom"/>
          </w:tcPr>
          <w:p>
            <w:pPr>
              <w:spacing w:after="0" w:line="116" w:lineRule="exact"/>
              <w:rPr>
                <w:sz w:val="20"/>
                <w:szCs w:val="20"/>
                <w:color w:val="auto"/>
              </w:rPr>
            </w:pPr>
            <w:r>
              <w:rPr>
                <w:rFonts w:ascii="Arial" w:cs="Arial" w:eastAsia="Arial" w:hAnsi="Arial"/>
                <w:sz w:val="12"/>
                <w:szCs w:val="12"/>
                <w:b w:val="1"/>
                <w:bCs w:val="1"/>
                <w:color w:val="auto"/>
                <w:w w:val="90"/>
              </w:rPr>
              <w:t>Leased %</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Retail Properties (2) (4) (sf)</w:t>
            </w: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00" w:type="dxa"/>
            <w:vAlign w:val="bottom"/>
            <w:gridSpan w:val="3"/>
            <w:vMerge w:val="continue"/>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2"/>
              </w:rPr>
              <w:t>16,793,000</w:t>
            </w:r>
          </w:p>
        </w:tc>
        <w:tc>
          <w:tcPr>
            <w:tcW w:w="30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15,743,000</w:t>
            </w:r>
          </w:p>
        </w:tc>
        <w:tc>
          <w:tcPr>
            <w:tcW w:w="300" w:type="dxa"/>
            <w:vAlign w:val="bottom"/>
            <w:vMerge w:val="continue"/>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93.7%</w:t>
            </w:r>
          </w:p>
        </w:tc>
        <w:tc>
          <w:tcPr>
            <w:tcW w:w="84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16,796,000</w:t>
            </w:r>
          </w:p>
        </w:tc>
        <w:tc>
          <w:tcPr>
            <w:tcW w:w="24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4"/>
              </w:rPr>
              <w:t>15,932,000</w:t>
            </w:r>
          </w:p>
        </w:tc>
        <w:tc>
          <w:tcPr>
            <w:tcW w:w="300" w:type="dxa"/>
            <w:vAlign w:val="bottom"/>
            <w:vMerge w:val="continue"/>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05"/>
        </w:trPr>
        <w:tc>
          <w:tcPr>
            <w:tcW w:w="5500" w:type="dxa"/>
            <w:vAlign w:val="bottom"/>
            <w:gridSpan w:val="3"/>
          </w:tcPr>
          <w:p>
            <w:pPr>
              <w:spacing w:after="0"/>
              <w:rPr>
                <w:sz w:val="20"/>
                <w:szCs w:val="20"/>
                <w:color w:val="auto"/>
              </w:rPr>
            </w:pPr>
            <w:r>
              <w:rPr>
                <w:rFonts w:ascii="Arial" w:cs="Arial" w:eastAsia="Arial" w:hAnsi="Arial"/>
                <w:sz w:val="16"/>
                <w:szCs w:val="16"/>
                <w:color w:val="auto"/>
              </w:rPr>
              <w:t>Residential Properties (3) (units)</w:t>
            </w:r>
          </w:p>
        </w:tc>
        <w:tc>
          <w:tcPr>
            <w:tcW w:w="760" w:type="dxa"/>
            <w:vAlign w:val="bottom"/>
          </w:tcPr>
          <w:p>
            <w:pPr>
              <w:jc w:val="right"/>
              <w:spacing w:after="0"/>
              <w:rPr>
                <w:sz w:val="20"/>
                <w:szCs w:val="20"/>
                <w:color w:val="auto"/>
              </w:rPr>
            </w:pPr>
            <w:r>
              <w:rPr>
                <w:rFonts w:ascii="Arial" w:cs="Arial" w:eastAsia="Arial" w:hAnsi="Arial"/>
                <w:sz w:val="16"/>
                <w:szCs w:val="16"/>
                <w:color w:val="auto"/>
              </w:rPr>
              <w:t>903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885</w:t>
            </w:r>
          </w:p>
        </w:tc>
        <w:tc>
          <w:tcPr>
            <w:tcW w:w="3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98.0%</w:t>
            </w:r>
          </w:p>
        </w:tc>
        <w:tc>
          <w:tcPr>
            <w:tcW w:w="840" w:type="dxa"/>
            <w:vAlign w:val="bottom"/>
          </w:tcPr>
          <w:p>
            <w:pPr>
              <w:jc w:val="right"/>
              <w:spacing w:after="0"/>
              <w:rPr>
                <w:sz w:val="20"/>
                <w:szCs w:val="20"/>
                <w:color w:val="auto"/>
              </w:rPr>
            </w:pPr>
            <w:r>
              <w:rPr>
                <w:rFonts w:ascii="Arial" w:cs="Arial" w:eastAsia="Arial" w:hAnsi="Arial"/>
                <w:sz w:val="16"/>
                <w:szCs w:val="16"/>
                <w:color w:val="auto"/>
              </w:rPr>
              <w:t>903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882</w:t>
            </w:r>
          </w:p>
        </w:tc>
        <w:tc>
          <w:tcPr>
            <w:tcW w:w="3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Rollingwood, The Crest at Congressional and the residential rental units at Santana Row and Bethesda Row.</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1"/>
          </w:cols>
          <w:pgMar w:left="239" w:top="262" w:right="239" w:bottom="1440" w:gutter="0" w:footer="0" w:header="0"/>
        </w:sectPr>
      </w:pPr>
    </w:p>
    <w:bookmarkStart w:id="25" w:name="page26"/>
    <w:bookmarkEnd w:id="25"/>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of Top 25 Tenants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0"/>
              </w:rPr>
              <w:t>Percentage of</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7"/>
              </w:rPr>
              <w:t>Total</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0"/>
              </w:rPr>
              <w:t>Percentage of</w:t>
            </w:r>
          </w:p>
        </w:tc>
        <w:tc>
          <w:tcPr>
            <w:tcW w:w="660" w:type="dxa"/>
            <w:vAlign w:val="bottom"/>
            <w:gridSpan w:val="2"/>
          </w:tcPr>
          <w:p>
            <w:pPr>
              <w:jc w:val="center"/>
              <w:ind w:right="80"/>
              <w:spacing w:after="0" w:line="136" w:lineRule="exact"/>
              <w:rPr>
                <w:sz w:val="20"/>
                <w:szCs w:val="20"/>
                <w:color w:val="auto"/>
              </w:rPr>
            </w:pPr>
            <w:r>
              <w:rPr>
                <w:rFonts w:ascii="Arial" w:cs="Arial" w:eastAsia="Arial" w:hAnsi="Arial"/>
                <w:sz w:val="12"/>
                <w:szCs w:val="12"/>
                <w:b w:val="1"/>
                <w:bCs w:val="1"/>
                <w:color w:val="auto"/>
                <w:w w:val="96"/>
              </w:rPr>
              <w:t>Number of</w:t>
            </w:r>
          </w:p>
        </w:tc>
        <w:tc>
          <w:tcPr>
            <w:tcW w:w="0" w:type="dxa"/>
            <w:vAlign w:val="bottom"/>
          </w:tcPr>
          <w:p>
            <w:pPr>
              <w:spacing w:after="0"/>
              <w:rPr>
                <w:sz w:val="1"/>
                <w:szCs w:val="1"/>
                <w:color w:val="auto"/>
              </w:rPr>
            </w:pPr>
          </w:p>
        </w:tc>
      </w:tr>
      <w:tr>
        <w:trPr>
          <w:trHeight w:val="136"/>
        </w:trPr>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Rank</w:t>
            </w:r>
          </w:p>
        </w:tc>
        <w:tc>
          <w:tcPr>
            <w:tcW w:w="5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Tenant Name</w:t>
            </w:r>
          </w:p>
        </w:tc>
        <w:tc>
          <w:tcPr>
            <w:tcW w:w="100" w:type="dxa"/>
            <w:vAlign w:val="bottom"/>
          </w:tcPr>
          <w:p>
            <w:pPr>
              <w:spacing w:after="0"/>
              <w:rPr>
                <w:sz w:val="11"/>
                <w:szCs w:val="11"/>
                <w:color w:val="auto"/>
              </w:rPr>
            </w:pPr>
          </w:p>
        </w:tc>
        <w:tc>
          <w:tcPr>
            <w:tcW w:w="1320" w:type="dxa"/>
            <w:vAlign w:val="bottom"/>
            <w:gridSpan w:val="2"/>
          </w:tcPr>
          <w:p>
            <w:pPr>
              <w:jc w:val="right"/>
              <w:ind w:right="660"/>
              <w:spacing w:after="0" w:line="136" w:lineRule="exact"/>
              <w:rPr>
                <w:sz w:val="20"/>
                <w:szCs w:val="20"/>
                <w:color w:val="auto"/>
              </w:rPr>
            </w:pPr>
            <w:r>
              <w:rPr>
                <w:rFonts w:ascii="Arial" w:cs="Arial" w:eastAsia="Arial" w:hAnsi="Arial"/>
                <w:sz w:val="12"/>
                <w:szCs w:val="12"/>
                <w:b w:val="1"/>
                <w:bCs w:val="1"/>
                <w:color w:val="auto"/>
                <w:w w:val="99"/>
              </w:rPr>
              <w:t>Annualized</w:t>
            </w:r>
          </w:p>
        </w:tc>
        <w:tc>
          <w:tcPr>
            <w:tcW w:w="11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3"/>
              </w:rPr>
              <w:t>Annualized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center"/>
              <w:ind w:right="500"/>
              <w:spacing w:after="0" w:line="136" w:lineRule="exact"/>
              <w:rPr>
                <w:sz w:val="20"/>
                <w:szCs w:val="20"/>
                <w:color w:val="auto"/>
              </w:rPr>
            </w:pPr>
            <w:r>
              <w:rPr>
                <w:rFonts w:ascii="Arial" w:cs="Arial" w:eastAsia="Arial" w:hAnsi="Arial"/>
                <w:sz w:val="12"/>
                <w:szCs w:val="12"/>
                <w:b w:val="1"/>
                <w:bCs w:val="1"/>
                <w:color w:val="auto"/>
                <w:w w:val="97"/>
              </w:rPr>
              <w:t>Total GLA</w:t>
            </w:r>
          </w:p>
        </w:tc>
        <w:tc>
          <w:tcPr>
            <w:tcW w:w="660" w:type="dxa"/>
            <w:vAlign w:val="bottom"/>
            <w:gridSpan w:val="2"/>
          </w:tcPr>
          <w:p>
            <w:pPr>
              <w:jc w:val="center"/>
              <w:ind w:right="80"/>
              <w:spacing w:after="0" w:line="136" w:lineRule="exact"/>
              <w:rPr>
                <w:sz w:val="20"/>
                <w:szCs w:val="20"/>
                <w:color w:val="auto"/>
              </w:rPr>
            </w:pPr>
            <w:r>
              <w:rPr>
                <w:rFonts w:ascii="Arial" w:cs="Arial" w:eastAsia="Arial" w:hAnsi="Arial"/>
                <w:sz w:val="12"/>
                <w:szCs w:val="12"/>
                <w:b w:val="1"/>
                <w:bCs w:val="1"/>
                <w:color w:val="auto"/>
                <w:w w:val="90"/>
              </w:rPr>
              <w:t>Stores</w:t>
            </w:r>
          </w:p>
        </w:tc>
        <w:tc>
          <w:tcPr>
            <w:tcW w:w="0" w:type="dxa"/>
            <w:vAlign w:val="bottom"/>
          </w:tcPr>
          <w:p>
            <w:pPr>
              <w:spacing w:after="0"/>
              <w:rPr>
                <w:sz w:val="1"/>
                <w:szCs w:val="1"/>
                <w:color w:val="auto"/>
              </w:rPr>
            </w:pPr>
          </w:p>
        </w:tc>
      </w:tr>
      <w:tr>
        <w:trPr>
          <w:trHeight w:val="136"/>
        </w:trPr>
        <w:tc>
          <w:tcPr>
            <w:tcW w:w="520" w:type="dxa"/>
            <w:vAlign w:val="bottom"/>
            <w:gridSpan w:val="2"/>
            <w:vMerge w:val="continue"/>
          </w:tcPr>
          <w:p>
            <w:pPr>
              <w:spacing w:after="0"/>
              <w:rPr>
                <w:sz w:val="11"/>
                <w:szCs w:val="11"/>
                <w:color w:val="auto"/>
              </w:rPr>
            </w:pPr>
          </w:p>
        </w:tc>
        <w:tc>
          <w:tcPr>
            <w:tcW w:w="5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700"/>
              <w:spacing w:after="0" w:line="137" w:lineRule="exact"/>
              <w:rPr>
                <w:sz w:val="20"/>
                <w:szCs w:val="20"/>
                <w:color w:val="auto"/>
              </w:rPr>
            </w:pPr>
            <w:r>
              <w:rPr>
                <w:rFonts w:ascii="Arial" w:cs="Arial" w:eastAsia="Arial" w:hAnsi="Arial"/>
                <w:sz w:val="12"/>
                <w:szCs w:val="12"/>
                <w:b w:val="1"/>
                <w:bCs w:val="1"/>
                <w:color w:val="auto"/>
              </w:rPr>
              <w:t>Base Rent</w:t>
            </w:r>
          </w:p>
        </w:tc>
        <w:tc>
          <w:tcPr>
            <w:tcW w:w="1180" w:type="dxa"/>
            <w:vAlign w:val="bottom"/>
            <w:gridSpan w:val="2"/>
          </w:tcPr>
          <w:p>
            <w:pPr>
              <w:jc w:val="center"/>
              <w:ind w:right="480"/>
              <w:spacing w:after="0" w:line="137" w:lineRule="exact"/>
              <w:rPr>
                <w:sz w:val="20"/>
                <w:szCs w:val="20"/>
                <w:color w:val="auto"/>
              </w:rPr>
            </w:pPr>
            <w:r>
              <w:rPr>
                <w:rFonts w:ascii="Arial" w:cs="Arial" w:eastAsia="Arial" w:hAnsi="Arial"/>
                <w:sz w:val="12"/>
                <w:szCs w:val="12"/>
                <w:b w:val="1"/>
                <w:bCs w:val="1"/>
                <w:color w:val="auto"/>
                <w:w w:val="91"/>
              </w:rPr>
              <w:t>Base Rent (4)</w:t>
            </w:r>
          </w:p>
        </w:tc>
        <w:tc>
          <w:tcPr>
            <w:tcW w:w="1300" w:type="dxa"/>
            <w:vAlign w:val="bottom"/>
            <w:gridSpan w:val="2"/>
          </w:tcPr>
          <w:p>
            <w:pPr>
              <w:jc w:val="right"/>
              <w:ind w:right="580"/>
              <w:spacing w:after="0" w:line="137" w:lineRule="exact"/>
              <w:rPr>
                <w:sz w:val="20"/>
                <w:szCs w:val="20"/>
                <w:color w:val="auto"/>
              </w:rPr>
            </w:pPr>
            <w:r>
              <w:rPr>
                <w:rFonts w:ascii="Arial" w:cs="Arial" w:eastAsia="Arial" w:hAnsi="Arial"/>
                <w:sz w:val="12"/>
                <w:szCs w:val="12"/>
                <w:b w:val="1"/>
                <w:bCs w:val="1"/>
                <w:color w:val="auto"/>
              </w:rPr>
              <w:t>Tenant GLA</w:t>
            </w:r>
          </w:p>
        </w:tc>
        <w:tc>
          <w:tcPr>
            <w:tcW w:w="7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(4)</w:t>
            </w:r>
          </w:p>
        </w:tc>
        <w:tc>
          <w:tcPr>
            <w:tcW w:w="460" w:type="dxa"/>
            <w:vAlign w:val="bottom"/>
          </w:tcPr>
          <w:p>
            <w:pPr>
              <w:spacing w:after="0"/>
              <w:rPr>
                <w:sz w:val="11"/>
                <w:szCs w:val="11"/>
                <w:color w:val="auto"/>
              </w:rPr>
            </w:pPr>
          </w:p>
        </w:tc>
        <w:tc>
          <w:tcPr>
            <w:tcW w:w="660" w:type="dxa"/>
            <w:vAlign w:val="bottom"/>
            <w:gridSpan w:val="2"/>
          </w:tcPr>
          <w:p>
            <w:pPr>
              <w:jc w:val="center"/>
              <w:ind w:right="80"/>
              <w:spacing w:after="0" w:line="137" w:lineRule="exact"/>
              <w:rPr>
                <w:sz w:val="20"/>
                <w:szCs w:val="20"/>
                <w:color w:val="auto"/>
              </w:rPr>
            </w:pPr>
            <w:r>
              <w:rPr>
                <w:rFonts w:ascii="Arial" w:cs="Arial" w:eastAsia="Arial" w:hAnsi="Arial"/>
                <w:sz w:val="12"/>
                <w:szCs w:val="12"/>
                <w:b w:val="1"/>
                <w:bCs w:val="1"/>
                <w:color w:val="auto"/>
                <w:w w:val="91"/>
              </w:rPr>
              <w:t>Leased</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Bed, Bath &amp; Beyond, Inc.</w:t>
            </w:r>
          </w:p>
        </w:tc>
        <w:tc>
          <w:tcPr>
            <w:tcW w:w="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97"/>
              </w:rPr>
              <w:t>10,303,000</w:t>
            </w:r>
          </w:p>
        </w:tc>
        <w:tc>
          <w:tcPr>
            <w:tcW w:w="5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line="182" w:lineRule="exact"/>
              <w:rPr>
                <w:sz w:val="20"/>
                <w:szCs w:val="20"/>
                <w:color w:val="auto"/>
              </w:rPr>
            </w:pPr>
            <w:r>
              <w:rPr>
                <w:rFonts w:ascii="Arial" w:cs="Arial" w:eastAsia="Arial" w:hAnsi="Arial"/>
                <w:sz w:val="16"/>
                <w:szCs w:val="16"/>
                <w:color w:val="auto"/>
              </w:rPr>
              <w:t>2.60%</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658,000</w:t>
            </w:r>
          </w:p>
        </w:tc>
        <w:tc>
          <w:tcPr>
            <w:tcW w:w="5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line="182" w:lineRule="exact"/>
              <w:rPr>
                <w:sz w:val="20"/>
                <w:szCs w:val="20"/>
                <w:color w:val="auto"/>
              </w:rPr>
            </w:pPr>
            <w:r>
              <w:rPr>
                <w:rFonts w:ascii="Arial" w:cs="Arial" w:eastAsia="Arial" w:hAnsi="Arial"/>
                <w:sz w:val="16"/>
                <w:szCs w:val="16"/>
                <w:color w:val="auto"/>
              </w:rPr>
              <w:t>3.53%</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Ahold USA,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9,941,000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2.51%</w:t>
            </w:r>
          </w:p>
        </w:tc>
        <w:tc>
          <w:tcPr>
            <w:tcW w:w="780" w:type="dxa"/>
            <w:vAlign w:val="bottom"/>
          </w:tcPr>
          <w:p>
            <w:pPr>
              <w:jc w:val="right"/>
              <w:spacing w:after="0"/>
              <w:rPr>
                <w:sz w:val="20"/>
                <w:szCs w:val="20"/>
                <w:color w:val="auto"/>
              </w:rPr>
            </w:pPr>
            <w:r>
              <w:rPr>
                <w:rFonts w:ascii="Arial" w:cs="Arial" w:eastAsia="Arial" w:hAnsi="Arial"/>
                <w:sz w:val="16"/>
                <w:szCs w:val="16"/>
                <w:color w:val="auto"/>
              </w:rPr>
              <w:t>659,000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3.53%</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TJX 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3.19%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Gap,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7,042,000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1.78%</w:t>
            </w:r>
          </w:p>
        </w:tc>
        <w:tc>
          <w:tcPr>
            <w:tcW w:w="780" w:type="dxa"/>
            <w:vAlign w:val="bottom"/>
          </w:tcPr>
          <w:p>
            <w:pPr>
              <w:jc w:val="right"/>
              <w:spacing w:after="0"/>
              <w:rPr>
                <w:sz w:val="20"/>
                <w:szCs w:val="20"/>
                <w:color w:val="auto"/>
              </w:rPr>
            </w:pPr>
            <w:r>
              <w:rPr>
                <w:rFonts w:ascii="Arial" w:cs="Arial" w:eastAsia="Arial" w:hAnsi="Arial"/>
                <w:sz w:val="16"/>
                <w:szCs w:val="16"/>
                <w:color w:val="auto"/>
              </w:rPr>
              <w:t>232,000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1.24%</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CVS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Safeway,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5,517,000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1.39%</w:t>
            </w:r>
          </w:p>
        </w:tc>
        <w:tc>
          <w:tcPr>
            <w:tcW w:w="780" w:type="dxa"/>
            <w:vAlign w:val="bottom"/>
          </w:tcPr>
          <w:p>
            <w:pPr>
              <w:jc w:val="right"/>
              <w:spacing w:after="0"/>
              <w:rPr>
                <w:sz w:val="20"/>
                <w:szCs w:val="20"/>
                <w:color w:val="auto"/>
              </w:rPr>
            </w:pPr>
            <w:r>
              <w:rPr>
                <w:rFonts w:ascii="Arial" w:cs="Arial" w:eastAsia="Arial" w:hAnsi="Arial"/>
                <w:sz w:val="16"/>
                <w:szCs w:val="16"/>
                <w:color w:val="auto"/>
              </w:rPr>
              <w:t>391,000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2.10%</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Barnes &amp; Noble,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1.36%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L.A. Fitness International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4,283,000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1.08%</w:t>
            </w:r>
          </w:p>
        </w:tc>
        <w:tc>
          <w:tcPr>
            <w:tcW w:w="780" w:type="dxa"/>
            <w:vAlign w:val="bottom"/>
          </w:tcPr>
          <w:p>
            <w:pPr>
              <w:jc w:val="right"/>
              <w:spacing w:after="0"/>
              <w:rPr>
                <w:sz w:val="20"/>
                <w:szCs w:val="20"/>
                <w:color w:val="auto"/>
              </w:rPr>
            </w:pPr>
            <w:r>
              <w:rPr>
                <w:rFonts w:ascii="Arial" w:cs="Arial" w:eastAsia="Arial" w:hAnsi="Arial"/>
                <w:sz w:val="16"/>
                <w:szCs w:val="16"/>
                <w:color w:val="auto"/>
              </w:rPr>
              <w:t>222,000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1.19%</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Best Buy Stores, L.P.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DSW,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3,738,000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0.94%</w:t>
            </w:r>
          </w:p>
        </w:tc>
        <w:tc>
          <w:tcPr>
            <w:tcW w:w="780" w:type="dxa"/>
            <w:vAlign w:val="bottom"/>
          </w:tcPr>
          <w:p>
            <w:pPr>
              <w:jc w:val="right"/>
              <w:spacing w:after="0"/>
              <w:rPr>
                <w:sz w:val="20"/>
                <w:szCs w:val="20"/>
                <w:color w:val="auto"/>
              </w:rPr>
            </w:pPr>
            <w:r>
              <w:rPr>
                <w:rFonts w:ascii="Arial" w:cs="Arial" w:eastAsia="Arial" w:hAnsi="Arial"/>
                <w:sz w:val="16"/>
                <w:szCs w:val="16"/>
                <w:color w:val="auto"/>
              </w:rPr>
              <w:t>150,000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0.80%</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Staples,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0.89%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OPNET Technologies,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3,338,000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0.84%</w:t>
            </w:r>
          </w:p>
        </w:tc>
        <w:tc>
          <w:tcPr>
            <w:tcW w:w="780" w:type="dxa"/>
            <w:vAlign w:val="bottom"/>
          </w:tcPr>
          <w:p>
            <w:pPr>
              <w:jc w:val="right"/>
              <w:spacing w:after="0"/>
              <w:rPr>
                <w:sz w:val="20"/>
                <w:szCs w:val="20"/>
                <w:color w:val="auto"/>
              </w:rPr>
            </w:pPr>
            <w:r>
              <w:rPr>
                <w:rFonts w:ascii="Arial" w:cs="Arial" w:eastAsia="Arial" w:hAnsi="Arial"/>
                <w:sz w:val="16"/>
                <w:szCs w:val="16"/>
                <w:color w:val="auto"/>
              </w:rPr>
              <w:t>83,000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0.45%</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Supervalu Inc. (Acme/Sav-A-Lot/Star Mkt/Shoppers Food)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0.83%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1.81%</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Ross Stores,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3,165,000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0.80%</w:t>
            </w:r>
          </w:p>
        </w:tc>
        <w:tc>
          <w:tcPr>
            <w:tcW w:w="780" w:type="dxa"/>
            <w:vAlign w:val="bottom"/>
          </w:tcPr>
          <w:p>
            <w:pPr>
              <w:jc w:val="right"/>
              <w:spacing w:after="0"/>
              <w:rPr>
                <w:sz w:val="20"/>
                <w:szCs w:val="20"/>
                <w:color w:val="auto"/>
              </w:rPr>
            </w:pPr>
            <w:r>
              <w:rPr>
                <w:rFonts w:ascii="Arial" w:cs="Arial" w:eastAsia="Arial" w:hAnsi="Arial"/>
                <w:sz w:val="16"/>
                <w:szCs w:val="16"/>
                <w:color w:val="auto"/>
              </w:rPr>
              <w:t>177,000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0.95%</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of America, 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0.34%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Kohl’s 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2,976,000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0.75%</w:t>
            </w:r>
          </w:p>
        </w:tc>
        <w:tc>
          <w:tcPr>
            <w:tcW w:w="780" w:type="dxa"/>
            <w:vAlign w:val="bottom"/>
          </w:tcPr>
          <w:p>
            <w:pPr>
              <w:jc w:val="right"/>
              <w:spacing w:after="0"/>
              <w:rPr>
                <w:sz w:val="20"/>
                <w:szCs w:val="20"/>
                <w:color w:val="auto"/>
              </w:rPr>
            </w:pPr>
            <w:r>
              <w:rPr>
                <w:rFonts w:ascii="Arial" w:cs="Arial" w:eastAsia="Arial" w:hAnsi="Arial"/>
                <w:sz w:val="16"/>
                <w:szCs w:val="16"/>
                <w:color w:val="auto"/>
              </w:rPr>
              <w:t>322,000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1.73%</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17</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Michaels Stores,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Wells Fargo Bank, N.A. (includes Wachovia 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2,894,000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0.73%</w:t>
            </w:r>
          </w:p>
        </w:tc>
        <w:tc>
          <w:tcPr>
            <w:tcW w:w="780" w:type="dxa"/>
            <w:vAlign w:val="bottom"/>
          </w:tcPr>
          <w:p>
            <w:pPr>
              <w:jc w:val="right"/>
              <w:spacing w:after="0"/>
              <w:rPr>
                <w:sz w:val="20"/>
                <w:szCs w:val="20"/>
                <w:color w:val="auto"/>
              </w:rPr>
            </w:pPr>
            <w:r>
              <w:rPr>
                <w:rFonts w:ascii="Arial" w:cs="Arial" w:eastAsia="Arial" w:hAnsi="Arial"/>
                <w:sz w:val="16"/>
                <w:szCs w:val="16"/>
                <w:color w:val="auto"/>
              </w:rPr>
              <w:t>51,000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0.27%</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Home Depot,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Wakefern Food Corporation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2,783,000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0.70%</w:t>
            </w:r>
          </w:p>
        </w:tc>
        <w:tc>
          <w:tcPr>
            <w:tcW w:w="780" w:type="dxa"/>
            <w:vAlign w:val="bottom"/>
          </w:tcPr>
          <w:p>
            <w:pPr>
              <w:jc w:val="right"/>
              <w:spacing w:after="0"/>
              <w:rPr>
                <w:sz w:val="20"/>
                <w:szCs w:val="20"/>
                <w:color w:val="auto"/>
              </w:rPr>
            </w:pPr>
            <w:r>
              <w:rPr>
                <w:rFonts w:ascii="Arial" w:cs="Arial" w:eastAsia="Arial" w:hAnsi="Arial"/>
                <w:sz w:val="16"/>
                <w:szCs w:val="16"/>
                <w:color w:val="auto"/>
              </w:rPr>
              <w:t>136,000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0.73%</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Bally Total Fitness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0.68%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0.84%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Dick’s Sporting Good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2,599,000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0.66%</w:t>
            </w:r>
          </w:p>
        </w:tc>
        <w:tc>
          <w:tcPr>
            <w:tcW w:w="780" w:type="dxa"/>
            <w:vAlign w:val="bottom"/>
          </w:tcPr>
          <w:p>
            <w:pPr>
              <w:jc w:val="right"/>
              <w:spacing w:after="0"/>
              <w:rPr>
                <w:sz w:val="20"/>
                <w:szCs w:val="20"/>
                <w:color w:val="auto"/>
              </w:rPr>
            </w:pPr>
            <w:r>
              <w:rPr>
                <w:rFonts w:ascii="Arial" w:cs="Arial" w:eastAsia="Arial" w:hAnsi="Arial"/>
                <w:sz w:val="16"/>
                <w:szCs w:val="16"/>
                <w:color w:val="auto"/>
              </w:rPr>
              <w:t>144,000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0.77%</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Dress Barn,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0.65%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0.59%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Container Store,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2,544,000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0.64%</w:t>
            </w:r>
          </w:p>
        </w:tc>
        <w:tc>
          <w:tcPr>
            <w:tcW w:w="780" w:type="dxa"/>
            <w:vAlign w:val="bottom"/>
          </w:tcPr>
          <w:p>
            <w:pPr>
              <w:jc w:val="right"/>
              <w:spacing w:after="0"/>
              <w:rPr>
                <w:sz w:val="20"/>
                <w:szCs w:val="20"/>
                <w:color w:val="auto"/>
              </w:rPr>
            </w:pPr>
            <w:r>
              <w:rPr>
                <w:rFonts w:ascii="Arial" w:cs="Arial" w:eastAsia="Arial" w:hAnsi="Arial"/>
                <w:sz w:val="16"/>
                <w:szCs w:val="16"/>
                <w:color w:val="auto"/>
              </w:rPr>
              <w:t>52,000</w:t>
            </w:r>
          </w:p>
        </w:tc>
        <w:tc>
          <w:tcPr>
            <w:tcW w:w="52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0.28%</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 Moore,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0.64%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141,000</w:t>
            </w:r>
          </w:p>
        </w:tc>
        <w:tc>
          <w:tcPr>
            <w:tcW w:w="5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0.76%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Totals - Top 25 Tenants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108,265,000</w:t>
            </w:r>
          </w:p>
        </w:tc>
        <w:tc>
          <w:tcPr>
            <w:tcW w:w="52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27.34%</w:t>
            </w:r>
          </w:p>
        </w:tc>
        <w:tc>
          <w:tcPr>
            <w:tcW w:w="780" w:type="dxa"/>
            <w:vAlign w:val="bottom"/>
          </w:tcPr>
          <w:p>
            <w:pPr>
              <w:jc w:val="right"/>
              <w:spacing w:after="0"/>
              <w:rPr>
                <w:sz w:val="20"/>
                <w:szCs w:val="20"/>
                <w:color w:val="auto"/>
              </w:rPr>
            </w:pPr>
            <w:r>
              <w:rPr>
                <w:rFonts w:ascii="Arial" w:cs="Arial" w:eastAsia="Arial" w:hAnsi="Arial"/>
                <w:sz w:val="16"/>
                <w:szCs w:val="16"/>
                <w:color w:val="auto"/>
              </w:rPr>
              <w:t>5,995,000</w:t>
            </w:r>
          </w:p>
        </w:tc>
        <w:tc>
          <w:tcPr>
            <w:tcW w:w="52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32.15%</w:t>
            </w:r>
          </w:p>
        </w:tc>
        <w:tc>
          <w:tcPr>
            <w:tcW w:w="580" w:type="dxa"/>
            <w:vAlign w:val="bottom"/>
          </w:tcPr>
          <w:p>
            <w:pPr>
              <w:jc w:val="right"/>
              <w:spacing w:after="0"/>
              <w:rPr>
                <w:sz w:val="20"/>
                <w:szCs w:val="20"/>
                <w:color w:val="auto"/>
              </w:rPr>
            </w:pPr>
            <w:r>
              <w:rPr>
                <w:rFonts w:ascii="Arial" w:cs="Arial" w:eastAsia="Arial" w:hAnsi="Arial"/>
                <w:sz w:val="16"/>
                <w:szCs w:val="16"/>
                <w:color w:val="auto"/>
              </w:rPr>
              <w:t>210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8"/>
              </w:rPr>
              <w:t>395,626,000(2)</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94"/>
              </w:rPr>
              <w:t>18,646,000(3)</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annual in-place contractual (cash-basis) rent as of June 30, 2011.</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1"/>
          </w:cols>
          <w:pgMar w:left="239" w:top="262" w:right="239" w:bottom="1440" w:gutter="0" w:footer="0" w:header="0"/>
        </w:sectPr>
      </w:pPr>
    </w:p>
    <w:bookmarkStart w:id="26" w:name="page27"/>
    <w:bookmarkEnd w:id="26"/>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Reconciliation of Net Income to FFO Guidance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Funds from Operations available for common shareholders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58050" cy="125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spacing w:after="0" w:line="1" w:lineRule="exact"/>
        <w:rPr>
          <w:sz w:val="20"/>
          <w:szCs w:val="20"/>
          <w:color w:val="auto"/>
        </w:rPr>
      </w:pPr>
    </w:p>
    <w:p>
      <w:pPr>
        <w:ind w:left="1"/>
        <w:spacing w:after="0"/>
        <w:rPr>
          <w:sz w:val="20"/>
          <w:szCs w:val="20"/>
          <w:color w:val="auto"/>
        </w:rPr>
      </w:pPr>
      <w:r>
        <w:rPr>
          <w:rFonts w:ascii="Arial" w:cs="Arial" w:eastAsia="Arial" w:hAnsi="Arial"/>
          <w:sz w:val="16"/>
          <w:szCs w:val="16"/>
          <w:color w:val="auto"/>
        </w:rPr>
        <w:t>Net income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8050" cy="125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auto"/>
        </w:rPr>
        <w:t>Gain on sale of real estate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Gain on deconsolidation of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8050" cy="125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ind w:left="1" w:right="4180"/>
        <w:spacing w:after="0" w:line="268" w:lineRule="auto"/>
        <w:rPr>
          <w:sz w:val="20"/>
          <w:szCs w:val="20"/>
          <w:color w:val="auto"/>
        </w:rPr>
      </w:pPr>
      <w:r>
        <w:rPr>
          <w:rFonts w:ascii="Arial" w:cs="Arial" w:eastAsia="Arial" w:hAnsi="Arial"/>
          <w:sz w:val="16"/>
          <w:szCs w:val="16"/>
          <w:color w:val="auto"/>
        </w:rPr>
        <w:t>Depreciation and amortization of real estate &amp; joint venture real estate assets Amortization of initial direct costs of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58050" cy="125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auto"/>
        </w:rPr>
        <w:t>Funds from operations</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Dividends on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8050" cy="125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auto"/>
        </w:rPr>
        <w:t>Income attributable to operating partnership units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Income attributable to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8050" cy="12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spacing w:after="0" w:line="11" w:lineRule="exact"/>
        <w:rPr>
          <w:sz w:val="20"/>
          <w:szCs w:val="20"/>
          <w:color w:val="auto"/>
        </w:rPr>
      </w:pPr>
    </w:p>
    <w:p>
      <w:pPr>
        <w:ind w:left="1"/>
        <w:spacing w:after="0"/>
        <w:rPr>
          <w:sz w:val="20"/>
          <w:szCs w:val="20"/>
          <w:color w:val="auto"/>
        </w:rPr>
      </w:pPr>
      <w:r>
        <w:rPr>
          <w:rFonts w:ascii="Arial" w:cs="Arial" w:eastAsia="Arial" w:hAnsi="Arial"/>
          <w:sz w:val="16"/>
          <w:szCs w:val="16"/>
          <w:color w:val="auto"/>
        </w:rPr>
        <w:t>FFO</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color w:val="auto"/>
        </w:rPr>
        <w:t>Weighted average number of common shares,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58050" cy="125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125730"/>
                    </a:xfrm>
                    <a:prstGeom prst="rect">
                      <a:avLst/>
                    </a:prstGeom>
                    <a:noFill/>
                  </pic:spPr>
                </pic:pic>
              </a:graphicData>
            </a:graphic>
          </wp:anchor>
        </w:drawing>
      </w:r>
    </w:p>
    <w:p>
      <w:pPr>
        <w:spacing w:after="0" w:line="92" w:lineRule="exact"/>
        <w:rPr>
          <w:sz w:val="20"/>
          <w:szCs w:val="20"/>
          <w:color w:val="auto"/>
        </w:rPr>
      </w:pPr>
    </w:p>
    <w:p>
      <w:pPr>
        <w:ind w:left="1"/>
        <w:spacing w:after="0"/>
        <w:rPr>
          <w:sz w:val="20"/>
          <w:szCs w:val="20"/>
          <w:color w:val="auto"/>
        </w:rPr>
      </w:pPr>
      <w:r>
        <w:rPr>
          <w:rFonts w:ascii="Arial" w:cs="Arial" w:eastAsia="Arial" w:hAnsi="Arial"/>
          <w:sz w:val="16"/>
          <w:szCs w:val="16"/>
          <w:color w:val="auto"/>
        </w:rPr>
        <w:t>FFO per diluted share</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142" w:lineRule="exact"/>
        <w:rPr>
          <w:sz w:val="20"/>
          <w:szCs w:val="20"/>
          <w:color w:val="auto"/>
        </w:rPr>
      </w:pPr>
    </w:p>
    <w:p>
      <w:pPr>
        <w:jc w:val="right"/>
        <w:ind w:right="33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2011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9486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spacing w:after="0" w:line="2" w:lineRule="exact"/>
        <w:rPr>
          <w:sz w:val="20"/>
          <w:szCs w:val="20"/>
          <w:color w:val="auto"/>
        </w:rPr>
      </w:pPr>
    </w:p>
    <w:p>
      <w:pPr>
        <w:ind w:left="80"/>
        <w:spacing w:after="0"/>
        <w:rPr>
          <w:sz w:val="20"/>
          <w:szCs w:val="20"/>
          <w:color w:val="auto"/>
        </w:rPr>
      </w:pPr>
      <w:r>
        <w:rPr>
          <w:rFonts w:ascii="Arial" w:cs="Arial" w:eastAsia="Arial" w:hAnsi="Arial"/>
          <w:sz w:val="12"/>
          <w:szCs w:val="12"/>
          <w:color w:val="auto"/>
        </w:rPr>
        <w:t>(Dollars in millions except</w:t>
      </w:r>
    </w:p>
    <w:p>
      <w:pPr>
        <w:ind w:left="180"/>
        <w:spacing w:after="0"/>
        <w:rPr>
          <w:sz w:val="20"/>
          <w:szCs w:val="20"/>
          <w:color w:val="auto"/>
        </w:rPr>
      </w:pPr>
      <w:r>
        <w:rPr>
          <w:rFonts w:ascii="Arial" w:cs="Arial" w:eastAsia="Arial" w:hAnsi="Arial"/>
          <w:sz w:val="12"/>
          <w:szCs w:val="12"/>
          <w:color w:val="auto"/>
        </w:rPr>
        <w:t>per share amounts) (1)</w:t>
      </w:r>
    </w:p>
    <w:p>
      <w:pPr>
        <w:spacing w:after="0" w:line="185" w:lineRule="exact"/>
        <w:rPr>
          <w:sz w:val="20"/>
          <w:szCs w:val="20"/>
          <w:color w:val="auto"/>
        </w:rPr>
      </w:pPr>
    </w:p>
    <w:p>
      <w:pPr>
        <w:spacing w:after="0"/>
        <w:tabs>
          <w:tab w:leader="none" w:pos="280" w:val="left"/>
          <w:tab w:leader="none" w:pos="900" w:val="left"/>
          <w:tab w:leader="none" w:pos="1220" w:val="left"/>
        </w:tabs>
        <w:rPr>
          <w:sz w:val="20"/>
          <w:szCs w:val="20"/>
          <w:color w:val="auto"/>
        </w:rPr>
      </w:pPr>
      <w:r>
        <w:rPr>
          <w:rFonts w:ascii="Arial" w:cs="Arial" w:eastAsia="Arial" w:hAnsi="Arial"/>
          <w:sz w:val="16"/>
          <w:szCs w:val="16"/>
          <w:color w:val="auto"/>
        </w:rPr>
        <w:t>$</w:t>
        <w:tab/>
        <w:t>148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152</w:t>
      </w:r>
    </w:p>
    <w:p>
      <w:pPr>
        <w:spacing w:after="0" w:line="21" w:lineRule="exact"/>
        <w:rPr>
          <w:sz w:val="20"/>
          <w:szCs w:val="20"/>
          <w:color w:val="auto"/>
        </w:rPr>
      </w:pPr>
    </w:p>
    <w:p>
      <w:pPr>
        <w:ind w:left="1360" w:hanging="954"/>
        <w:spacing w:after="0"/>
        <w:tabs>
          <w:tab w:leader="none" w:pos="1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(5)</w:t>
      </w:r>
    </w:p>
    <w:p>
      <w:pPr>
        <w:spacing w:after="0" w:line="37" w:lineRule="exact"/>
        <w:rPr>
          <w:sz w:val="20"/>
          <w:szCs w:val="20"/>
          <w:color w:val="auto"/>
        </w:rPr>
      </w:pPr>
    </w:p>
    <w:p>
      <w:pPr>
        <w:ind w:left="1280" w:hanging="954"/>
        <w:spacing w:after="0"/>
        <w:tabs>
          <w:tab w:leader="none" w:pos="1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(15)</w:t>
      </w:r>
    </w:p>
    <w:p>
      <w:pPr>
        <w:spacing w:after="0" w:line="37" w:lineRule="exact"/>
        <w:rPr>
          <w:sz w:val="20"/>
          <w:szCs w:val="20"/>
          <w:color w:val="auto"/>
        </w:rPr>
      </w:pPr>
    </w:p>
    <w:p>
      <w:pPr>
        <w:ind w:left="1360" w:hanging="954"/>
        <w:spacing w:after="0"/>
        <w:tabs>
          <w:tab w:leader="none" w:pos="1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(2)</w:t>
      </w:r>
    </w:p>
    <w:p>
      <w:pPr>
        <w:spacing w:after="0" w:line="3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 w:type="dxa"/>
            <w:vAlign w:val="bottom"/>
          </w:tcPr>
          <w:p>
            <w:pPr>
              <w:jc w:val="right"/>
              <w:ind w:right="280"/>
              <w:spacing w:after="0"/>
              <w:rPr>
                <w:sz w:val="20"/>
                <w:szCs w:val="20"/>
                <w:color w:val="auto"/>
              </w:rPr>
            </w:pPr>
            <w:r>
              <w:rPr>
                <w:rFonts w:ascii="Arial" w:cs="Arial" w:eastAsia="Arial" w:hAnsi="Arial"/>
                <w:sz w:val="16"/>
                <w:szCs w:val="16"/>
                <w:color w:val="auto"/>
                <w:w w:val="82"/>
              </w:rPr>
              <w:t>115</w:t>
            </w:r>
          </w:p>
        </w:tc>
        <w:tc>
          <w:tcPr>
            <w:tcW w:w="6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5"/>
        </w:trPr>
        <w:tc>
          <w:tcPr>
            <w:tcW w:w="60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9486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ind w:left="1240" w:hanging="941"/>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254</w:t>
      </w:r>
    </w:p>
    <w:p>
      <w:pPr>
        <w:spacing w:after="0" w:line="20" w:lineRule="exact"/>
        <w:rPr>
          <w:rFonts w:ascii="Arial" w:cs="Arial" w:eastAsia="Arial" w:hAnsi="Arial"/>
          <w:sz w:val="16"/>
          <w:szCs w:val="16"/>
          <w:color w:val="auto"/>
        </w:rPr>
      </w:pPr>
    </w:p>
    <w:p>
      <w:pPr>
        <w:ind w:left="1360" w:hanging="954"/>
        <w:spacing w:after="0"/>
        <w:tabs>
          <w:tab w:leader="none" w:pos="1360" w:val="left"/>
        </w:tabs>
        <w:numPr>
          <w:ilvl w:val="1"/>
          <w:numId w:val="24"/>
        </w:numPr>
        <w:rPr>
          <w:rFonts w:ascii="Arial" w:cs="Arial" w:eastAsia="Arial" w:hAnsi="Arial"/>
          <w:sz w:val="14"/>
          <w:szCs w:val="14"/>
          <w:color w:val="auto"/>
        </w:rPr>
      </w:pPr>
      <w:r>
        <w:rPr>
          <w:rFonts w:ascii="Arial" w:cs="Arial" w:eastAsia="Arial" w:hAnsi="Arial"/>
          <w:sz w:val="14"/>
          <w:szCs w:val="14"/>
          <w:color w:val="auto"/>
        </w:rPr>
        <w:t>(1)</w:t>
      </w:r>
    </w:p>
    <w:p>
      <w:pPr>
        <w:spacing w:after="0" w:line="3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6"/>
          <w:szCs w:val="16"/>
          <w:color w:val="auto"/>
        </w:rPr>
        <w:t>1</w:t>
      </w:r>
    </w:p>
    <w:p>
      <w:pPr>
        <w:spacing w:after="0" w:line="14" w:lineRule="exact"/>
        <w:rPr>
          <w:sz w:val="20"/>
          <w:szCs w:val="20"/>
          <w:color w:val="auto"/>
        </w:rPr>
      </w:pPr>
    </w:p>
    <w:p>
      <w:pPr>
        <w:ind w:left="1360" w:hanging="954"/>
        <w:spacing w:after="0"/>
        <w:tabs>
          <w:tab w:leader="none" w:pos="1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9486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spacing w:after="0" w:line="34" w:lineRule="exact"/>
        <w:rPr>
          <w:sz w:val="20"/>
          <w:szCs w:val="20"/>
          <w:color w:val="auto"/>
        </w:rPr>
      </w:pPr>
    </w:p>
    <w:p>
      <w:pPr>
        <w:spacing w:after="0"/>
        <w:tabs>
          <w:tab w:leader="none" w:pos="280" w:val="left"/>
          <w:tab w:leader="none" w:pos="900" w:val="left"/>
          <w:tab w:leader="none" w:pos="1220" w:val="left"/>
        </w:tabs>
        <w:rPr>
          <w:sz w:val="20"/>
          <w:szCs w:val="20"/>
          <w:color w:val="auto"/>
        </w:rPr>
      </w:pPr>
      <w:r>
        <w:rPr>
          <w:rFonts w:ascii="Arial" w:cs="Arial" w:eastAsia="Arial" w:hAnsi="Arial"/>
          <w:sz w:val="16"/>
          <w:szCs w:val="16"/>
          <w:u w:val="single" w:color="auto"/>
          <w:color w:val="auto"/>
        </w:rPr>
        <w:t>$</w:t>
        <w:tab/>
        <w:t>250</w:t>
      </w:r>
      <w:r>
        <w:rPr>
          <w:sz w:val="20"/>
          <w:szCs w:val="20"/>
          <w:color w:val="auto"/>
        </w:rPr>
        <w:tab/>
      </w:r>
      <w:r>
        <w:rPr>
          <w:rFonts w:ascii="Arial" w:cs="Arial" w:eastAsia="Arial" w:hAnsi="Arial"/>
          <w:sz w:val="16"/>
          <w:szCs w:val="16"/>
          <w:u w:val="single" w:color="auto"/>
          <w:color w:val="auto"/>
        </w:rPr>
        <w:t>$</w:t>
      </w:r>
      <w:r>
        <w:rPr>
          <w:sz w:val="20"/>
          <w:szCs w:val="20"/>
          <w:color w:val="auto"/>
        </w:rPr>
        <w:tab/>
      </w:r>
      <w:r>
        <w:rPr>
          <w:rFonts w:ascii="Arial" w:cs="Arial" w:eastAsia="Arial" w:hAnsi="Arial"/>
          <w:sz w:val="15"/>
          <w:szCs w:val="15"/>
          <w:u w:val="single" w:color="auto"/>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9486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spacing w:after="0" w:line="142"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16"/>
          <w:szCs w:val="16"/>
          <w:color w:val="auto"/>
        </w:rPr>
        <w:t>62.7</w:t>
      </w:r>
      <w:r>
        <w:rPr>
          <w:sz w:val="20"/>
          <w:szCs w:val="20"/>
          <w:color w:val="auto"/>
        </w:rPr>
        <w:tab/>
      </w:r>
      <w:r>
        <w:rPr>
          <w:rFonts w:ascii="Arial" w:cs="Arial" w:eastAsia="Arial" w:hAnsi="Arial"/>
          <w:sz w:val="15"/>
          <w:szCs w:val="15"/>
          <w:color w:val="auto"/>
        </w:rPr>
        <w:t>62.7</w:t>
      </w:r>
    </w:p>
    <w:p>
      <w:pPr>
        <w:spacing w:after="0" w:line="112" w:lineRule="exact"/>
        <w:rPr>
          <w:sz w:val="20"/>
          <w:szCs w:val="20"/>
          <w:color w:val="auto"/>
        </w:rPr>
      </w:pPr>
    </w:p>
    <w:p>
      <w:pPr>
        <w:spacing w:after="0"/>
        <w:tabs>
          <w:tab w:leader="none" w:pos="240" w:val="left"/>
          <w:tab w:leader="none" w:pos="900" w:val="left"/>
          <w:tab w:leader="none" w:pos="1180" w:val="left"/>
        </w:tabs>
        <w:rPr>
          <w:sz w:val="20"/>
          <w:szCs w:val="20"/>
          <w:color w:val="auto"/>
        </w:rPr>
      </w:pPr>
      <w:r>
        <w:rPr>
          <w:rFonts w:ascii="Arial" w:cs="Arial" w:eastAsia="Arial" w:hAnsi="Arial"/>
          <w:sz w:val="16"/>
          <w:szCs w:val="16"/>
          <w:u w:val="single" w:color="auto"/>
          <w:color w:val="auto"/>
        </w:rPr>
        <w:t>$</w:t>
        <w:tab/>
        <w:t>3.99</w:t>
      </w:r>
      <w:r>
        <w:rPr>
          <w:sz w:val="20"/>
          <w:szCs w:val="20"/>
          <w:color w:val="auto"/>
        </w:rPr>
        <w:tab/>
      </w:r>
      <w:r>
        <w:rPr>
          <w:rFonts w:ascii="Arial" w:cs="Arial" w:eastAsia="Arial" w:hAnsi="Arial"/>
          <w:sz w:val="16"/>
          <w:szCs w:val="16"/>
          <w:u w:val="single" w:color="auto"/>
          <w:color w:val="auto"/>
        </w:rPr>
        <w:t>$</w:t>
      </w:r>
      <w:r>
        <w:rPr>
          <w:sz w:val="20"/>
          <w:szCs w:val="20"/>
          <w:color w:val="auto"/>
        </w:rPr>
        <w:tab/>
      </w:r>
      <w:r>
        <w:rPr>
          <w:rFonts w:ascii="Arial" w:cs="Arial" w:eastAsia="Arial" w:hAnsi="Arial"/>
          <w:sz w:val="15"/>
          <w:szCs w:val="15"/>
          <w:u w:val="single" w:color="auto"/>
          <w:color w:val="auto"/>
        </w:rPr>
        <w:t>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94869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8690" cy="7620"/>
                    </a:xfrm>
                    <a:prstGeom prst="rect">
                      <a:avLst/>
                    </a:prstGeom>
                    <a:noFill/>
                  </pic:spPr>
                </pic:pic>
              </a:graphicData>
            </a:graphic>
          </wp:anchor>
        </w:drawing>
      </w:r>
    </w:p>
    <w:p>
      <w:pPr>
        <w:sectPr>
          <w:pgSz w:w="11900" w:h="16838" w:orient="portrait"/>
          <w:cols w:equalWidth="0" w:num="2">
            <w:col w:w="9121" w:space="720"/>
            <w:col w:w="1540"/>
          </w:cols>
          <w:pgMar w:left="239" w:top="262" w:right="2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Summarized Income Statements and Balance Sheets - 30% Owned Joint Venture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CONSOLIDATED INCOME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w w:val="92"/>
              </w:rPr>
              <w:t>Three months ended 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8"/>
          </w:tcPr>
          <w:p>
            <w:pPr>
              <w:jc w:val="right"/>
              <w:ind w:right="220"/>
              <w:spacing w:after="0"/>
              <w:rPr>
                <w:sz w:val="20"/>
                <w:szCs w:val="20"/>
                <w:color w:val="auto"/>
              </w:rPr>
            </w:pPr>
            <w:r>
              <w:rPr>
                <w:rFonts w:ascii="Arial" w:cs="Arial" w:eastAsia="Arial" w:hAnsi="Arial"/>
                <w:sz w:val="12"/>
                <w:szCs w:val="12"/>
                <w:b w:val="1"/>
                <w:bCs w:val="1"/>
                <w:color w:val="auto"/>
                <w:w w:val="90"/>
              </w:rPr>
              <w:t>Six months ended June 30,</w:t>
            </w: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2011</w:t>
            </w:r>
          </w:p>
        </w:tc>
        <w:tc>
          <w:tcPr>
            <w:tcW w:w="4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89"/>
              </w:rPr>
              <w:t>2010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2"/>
                <w:szCs w:val="12"/>
                <w:b w:val="1"/>
                <w:bCs w:val="1"/>
                <w:color w:val="auto"/>
              </w:rPr>
              <w:t>2011</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thousands)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7"/>
          </w:tcPr>
          <w:p>
            <w:pPr>
              <w:jc w:val="right"/>
              <w:ind w:right="381"/>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tcPr>
          <w:p>
            <w:pPr>
              <w:ind w:left="400"/>
              <w:spacing w:after="0"/>
              <w:rPr>
                <w:sz w:val="20"/>
                <w:szCs w:val="20"/>
                <w:color w:val="auto"/>
              </w:rPr>
            </w:pPr>
            <w:r>
              <w:rPr>
                <w:rFonts w:ascii="Arial" w:cs="Arial" w:eastAsia="Arial" w:hAnsi="Arial"/>
                <w:sz w:val="16"/>
                <w:szCs w:val="16"/>
                <w:color w:val="auto"/>
              </w:rPr>
              <w:t>Rental income</w:t>
            </w:r>
          </w:p>
        </w:tc>
        <w:tc>
          <w:tcPr>
            <w:tcW w:w="3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4,665</w:t>
            </w:r>
          </w:p>
        </w:tc>
        <w:tc>
          <w:tcPr>
            <w:tcW w:w="4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4,495</w:t>
            </w:r>
          </w:p>
        </w:tc>
        <w:tc>
          <w:tcPr>
            <w:tcW w:w="3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9,606</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9,138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Other property income</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4,676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4,523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9,644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tcPr>
          <w:p>
            <w:pPr>
              <w:ind w:left="400"/>
              <w:spacing w:after="0"/>
              <w:rPr>
                <w:sz w:val="20"/>
                <w:szCs w:val="20"/>
                <w:color w:val="auto"/>
              </w:rPr>
            </w:pPr>
            <w:r>
              <w:rPr>
                <w:rFonts w:ascii="Arial" w:cs="Arial" w:eastAsia="Arial" w:hAnsi="Arial"/>
                <w:sz w:val="16"/>
                <w:szCs w:val="16"/>
                <w:color w:val="auto"/>
              </w:rPr>
              <w:t>Rental</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1,956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Real estate taxes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1,028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tcPr>
          <w:p>
            <w:pPr>
              <w:ind w:left="400"/>
              <w:spacing w:after="0"/>
              <w:rPr>
                <w:sz w:val="20"/>
                <w:szCs w:val="20"/>
                <w:color w:val="auto"/>
              </w:rPr>
            </w:pPr>
            <w:r>
              <w:rPr>
                <w:rFonts w:ascii="Arial" w:cs="Arial" w:eastAsia="Arial" w:hAnsi="Arial"/>
                <w:sz w:val="16"/>
                <w:szCs w:val="16"/>
                <w:color w:val="auto"/>
              </w:rPr>
              <w:t>Depreciation and amortization</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1,290</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1,244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2,568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5,552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400"/>
              <w:spacing w:after="0"/>
              <w:rPr>
                <w:sz w:val="20"/>
                <w:szCs w:val="20"/>
                <w:color w:val="auto"/>
              </w:rPr>
            </w:pPr>
            <w:r>
              <w:rPr>
                <w:rFonts w:ascii="Arial" w:cs="Arial" w:eastAsia="Arial" w:hAnsi="Arial"/>
                <w:sz w:val="16"/>
                <w:szCs w:val="16"/>
                <w:color w:val="auto"/>
              </w:rPr>
              <w:t>Operating income</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60" w:type="dxa"/>
            <w:vAlign w:val="bottom"/>
            <w:gridSpan w:val="2"/>
            <w:vMerge w:val="continue"/>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2,158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1,899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4,092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(848)</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(1,696)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9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1,310</w:t>
            </w:r>
          </w:p>
        </w:tc>
        <w:tc>
          <w:tcPr>
            <w:tcW w:w="44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1,049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2,396</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6"/>
                <w:szCs w:val="16"/>
                <w:color w:val="auto"/>
              </w:rPr>
              <w:t>CONSOLIDATED BALANCE SHEETS</w:t>
            </w: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560" w:type="dxa"/>
            <w:vAlign w:val="bottom"/>
            <w:gridSpan w:val="2"/>
            <w:vMerge w:val="continue"/>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64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5"/>
          </w:tcPr>
          <w:p>
            <w:pPr>
              <w:jc w:val="right"/>
              <w:ind w:right="380"/>
              <w:spacing w:after="0"/>
              <w:rPr>
                <w:sz w:val="20"/>
                <w:szCs w:val="20"/>
                <w:color w:val="auto"/>
              </w:rPr>
            </w:pPr>
            <w:r>
              <w:rPr>
                <w:rFonts w:ascii="Arial" w:cs="Arial" w:eastAsia="Arial" w:hAnsi="Arial"/>
                <w:sz w:val="12"/>
                <w:szCs w:val="12"/>
                <w:b w:val="1"/>
                <w:bCs w:val="1"/>
                <w:color w:val="auto"/>
              </w:rPr>
              <w:t>June 30,</w:t>
            </w:r>
          </w:p>
        </w:tc>
        <w:tc>
          <w:tcPr>
            <w:tcW w:w="1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2"/>
                <w:szCs w:val="12"/>
                <w:b w:val="1"/>
                <w:bCs w:val="1"/>
                <w:color w:val="auto"/>
              </w:rPr>
              <w:t>2011</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7"/>
          </w:tcPr>
          <w:p>
            <w:pPr>
              <w:jc w:val="right"/>
              <w:ind w:right="441"/>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560" w:type="dxa"/>
            <w:vAlign w:val="bottom"/>
            <w:gridSpan w:val="2"/>
          </w:tcPr>
          <w:p>
            <w:pPr>
              <w:spacing w:after="0"/>
              <w:rPr>
                <w:sz w:val="20"/>
                <w:szCs w:val="20"/>
                <w:color w:val="auto"/>
              </w:rPr>
            </w:pPr>
            <w:r>
              <w:rPr>
                <w:rFonts w:ascii="Arial" w:cs="Arial" w:eastAsia="Arial" w:hAnsi="Arial"/>
                <w:sz w:val="16"/>
                <w:szCs w:val="16"/>
                <w:color w:val="auto"/>
              </w:rPr>
              <w:t>Real estate, at cost</w:t>
            </w: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w w:val="89"/>
              </w:rPr>
              <w:t>$206,256</w:t>
            </w:r>
          </w:p>
        </w:tc>
        <w:tc>
          <w:tcPr>
            <w:tcW w:w="200" w:type="dxa"/>
            <w:vAlign w:val="bottom"/>
          </w:tcPr>
          <w:p>
            <w:pPr>
              <w:spacing w:after="0"/>
              <w:rPr>
                <w:sz w:val="24"/>
                <w:szCs w:val="24"/>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205,849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Less accumulated depreciation and amortization</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(26,775)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(24,284)</w:t>
            </w:r>
          </w:p>
        </w:tc>
        <w:tc>
          <w:tcPr>
            <w:tcW w:w="0" w:type="dxa"/>
            <w:vAlign w:val="bottom"/>
          </w:tcPr>
          <w:p>
            <w:pPr>
              <w:spacing w:after="0"/>
              <w:rPr>
                <w:sz w:val="1"/>
                <w:szCs w:val="1"/>
                <w:color w:val="auto"/>
              </w:rPr>
            </w:pPr>
          </w:p>
        </w:tc>
      </w:tr>
      <w:tr>
        <w:trPr>
          <w:trHeight w:val="201"/>
        </w:trPr>
        <w:tc>
          <w:tcPr>
            <w:tcW w:w="4560" w:type="dxa"/>
            <w:vAlign w:val="bottom"/>
            <w:gridSpan w:val="2"/>
          </w:tcPr>
          <w:p>
            <w:pPr>
              <w:spacing w:after="0"/>
              <w:rPr>
                <w:sz w:val="20"/>
                <w:szCs w:val="20"/>
                <w:color w:val="auto"/>
              </w:rPr>
            </w:pPr>
            <w:r>
              <w:rPr>
                <w:rFonts w:ascii="Arial" w:cs="Arial" w:eastAsia="Arial" w:hAnsi="Arial"/>
                <w:sz w:val="16"/>
                <w:szCs w:val="16"/>
                <w:color w:val="auto"/>
              </w:rPr>
              <w:t>Net real estate</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179,481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181,565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3,679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6,340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189,500</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191,955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6"/>
                <w:szCs w:val="16"/>
                <w:color w:val="auto"/>
              </w:rPr>
              <w:t>LIABILITIES AND PARTNERS’ CAPITAL</w:t>
            </w: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60" w:type="dxa"/>
            <w:vAlign w:val="bottom"/>
            <w:gridSpan w:val="2"/>
            <w:vMerge w:val="continue"/>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tcPr>
          <w:p>
            <w:pPr>
              <w:ind w:left="400"/>
              <w:spacing w:after="0"/>
              <w:rPr>
                <w:sz w:val="20"/>
                <w:szCs w:val="20"/>
                <w:color w:val="auto"/>
              </w:rPr>
            </w:pPr>
            <w:r>
              <w:rPr>
                <w:rFonts w:ascii="Arial" w:cs="Arial" w:eastAsia="Arial" w:hAnsi="Arial"/>
                <w:sz w:val="16"/>
                <w:szCs w:val="16"/>
                <w:color w:val="auto"/>
              </w:rPr>
              <w:t>Mortgages payable</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w w:val="96"/>
              </w:rPr>
              <w:t>$ 57,481</w:t>
            </w:r>
          </w:p>
        </w:tc>
        <w:tc>
          <w:tcPr>
            <w:tcW w:w="20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57,584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Other liabilities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4,829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62,310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6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Partners’ capital</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127,190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128,932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gridSpan w:val="2"/>
          </w:tcPr>
          <w:p>
            <w:pPr>
              <w:spacing w:after="0"/>
              <w:rPr>
                <w:sz w:val="20"/>
                <w:szCs w:val="20"/>
                <w:color w:val="auto"/>
              </w:rPr>
            </w:pPr>
            <w:r>
              <w:rPr>
                <w:rFonts w:ascii="Arial" w:cs="Arial" w:eastAsia="Arial" w:hAnsi="Arial"/>
                <w:sz w:val="16"/>
                <w:szCs w:val="16"/>
                <w:color w:val="auto"/>
              </w:rPr>
              <w:t>TOTAL LIABILITIES AND PARTNERS’ CAPITAL</w:t>
            </w: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189,500</w:t>
            </w:r>
          </w:p>
        </w:tc>
        <w:tc>
          <w:tcPr>
            <w:tcW w:w="200" w:type="dxa"/>
            <w:vAlign w:val="bottom"/>
          </w:tcPr>
          <w:p>
            <w:pPr>
              <w:spacing w:after="0"/>
              <w:rPr>
                <w:sz w:val="17"/>
                <w:szCs w:val="17"/>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191,955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00" w:type="dxa"/>
            <w:vAlign w:val="bottom"/>
            <w:vMerge w:val="restart"/>
          </w:tcPr>
          <w:p>
            <w:pPr>
              <w:jc w:val="right"/>
              <w:ind w:right="15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2" w:right="239" w:bottom="1440" w:gutter="0" w:footer="0" w:header="0"/>
        </w:sectPr>
      </w:pPr>
    </w:p>
    <w:bookmarkStart w:id="28" w:name="page29"/>
    <w:bookmarkEnd w:id="28"/>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of Outstanding Debt and Debt Maturities - 30% Owned Joint Venture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44" w:lineRule="exact"/>
        <w:rPr>
          <w:sz w:val="20"/>
          <w:szCs w:val="20"/>
          <w:color w:val="auto"/>
        </w:rPr>
      </w:pPr>
    </w:p>
    <w:p>
      <w:pPr>
        <w:ind w:left="1"/>
        <w:spacing w:after="0"/>
        <w:rPr>
          <w:sz w:val="20"/>
          <w:szCs w:val="20"/>
          <w:color w:val="auto"/>
        </w:rPr>
      </w:pPr>
      <w:r>
        <w:rPr>
          <w:rFonts w:ascii="Arial" w:cs="Arial" w:eastAsia="Arial" w:hAnsi="Arial"/>
          <w:sz w:val="16"/>
          <w:szCs w:val="16"/>
          <w:color w:val="auto"/>
        </w:rPr>
        <w:t>OUTSTANDING DEBT</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center"/>
              <w:ind w:right="960"/>
              <w:spacing w:after="0"/>
              <w:rPr>
                <w:sz w:val="20"/>
                <w:szCs w:val="20"/>
                <w:color w:val="auto"/>
              </w:rPr>
            </w:pPr>
            <w:r>
              <w:rPr>
                <w:rFonts w:ascii="Arial" w:cs="Arial" w:eastAsia="Arial" w:hAnsi="Arial"/>
                <w:sz w:val="12"/>
                <w:szCs w:val="12"/>
                <w:b w:val="1"/>
                <w:bCs w:val="1"/>
                <w:color w:val="auto"/>
                <w:w w:val="92"/>
              </w:rPr>
              <w:t>Stated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3"/>
          </w:tcPr>
          <w:p>
            <w:pPr>
              <w:jc w:val="center"/>
              <w:ind w:right="980"/>
              <w:spacing w:after="0" w:line="136" w:lineRule="exact"/>
              <w:rPr>
                <w:sz w:val="20"/>
                <w:szCs w:val="20"/>
                <w:color w:val="auto"/>
              </w:rPr>
            </w:pPr>
            <w:r>
              <w:rPr>
                <w:rFonts w:ascii="Arial" w:cs="Arial" w:eastAsia="Arial" w:hAnsi="Arial"/>
                <w:sz w:val="12"/>
                <w:szCs w:val="12"/>
                <w:b w:val="1"/>
                <w:bCs w:val="1"/>
                <w:color w:val="auto"/>
                <w:w w:val="96"/>
              </w:rPr>
              <w:t>Interest Rate as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rPr>
              <w:t>Maturity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June 30, 2011</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w w:val="95"/>
              </w:rPr>
              <w:t>Balance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w w:val="96"/>
              </w:rPr>
              <w:t>(in thousands)</w:t>
            </w: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060" w:type="dxa"/>
            <w:vAlign w:val="bottom"/>
            <w:tcBorders>
              <w:bottom w:val="single" w:sz="8" w:color="auto"/>
            </w:tcBorders>
            <w:gridSpan w:val="3"/>
            <w:shd w:val="clear" w:color="auto" w:fill="CCEEFF"/>
          </w:tcPr>
          <w:p>
            <w:pPr>
              <w:spacing w:after="0" w:line="161" w:lineRule="exact"/>
              <w:rPr>
                <w:sz w:val="20"/>
                <w:szCs w:val="20"/>
                <w:color w:val="auto"/>
              </w:rPr>
            </w:pPr>
            <w:r>
              <w:rPr>
                <w:rFonts w:ascii="Arial" w:cs="Arial" w:eastAsia="Arial" w:hAnsi="Arial"/>
                <w:sz w:val="16"/>
                <w:szCs w:val="16"/>
                <w:color w:val="auto"/>
                <w:w w:val="89"/>
              </w:rPr>
              <w:t>Mortgage Loans</w:t>
            </w: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040" w:type="dxa"/>
            <w:vAlign w:val="bottom"/>
            <w:gridSpan w:val="5"/>
          </w:tcPr>
          <w:p>
            <w:pPr>
              <w:ind w:left="400"/>
              <w:spacing w:after="0"/>
              <w:rPr>
                <w:sz w:val="20"/>
                <w:szCs w:val="20"/>
                <w:color w:val="auto"/>
              </w:rPr>
            </w:pPr>
            <w:r>
              <w:rPr>
                <w:rFonts w:ascii="Arial" w:cs="Arial" w:eastAsia="Arial" w:hAnsi="Arial"/>
                <w:sz w:val="16"/>
                <w:szCs w:val="16"/>
                <w:i w:val="1"/>
                <w:iCs w:val="1"/>
                <w:color w:val="auto"/>
              </w:rPr>
              <w:t>Secured Fixed Rate</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040" w:type="dxa"/>
            <w:vAlign w:val="bottom"/>
            <w:gridSpan w:val="5"/>
            <w:shd w:val="clear" w:color="auto" w:fill="CCEEFF"/>
          </w:tcPr>
          <w:p>
            <w:pPr>
              <w:ind w:left="400"/>
              <w:spacing w:after="0"/>
              <w:rPr>
                <w:sz w:val="20"/>
                <w:szCs w:val="20"/>
                <w:color w:val="auto"/>
              </w:rPr>
            </w:pPr>
            <w:r>
              <w:rPr>
                <w:rFonts w:ascii="Arial" w:cs="Arial" w:eastAsia="Arial" w:hAnsi="Arial"/>
                <w:sz w:val="16"/>
                <w:szCs w:val="16"/>
                <w:color w:val="auto"/>
              </w:rPr>
              <w:t>Plaza del Mercado</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3"/>
              </w:rPr>
              <w:t>07/05/14</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5.77% (a)</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40" w:type="dxa"/>
            <w:vAlign w:val="bottom"/>
            <w:gridSpan w:val="5"/>
          </w:tcPr>
          <w:p>
            <w:pPr>
              <w:ind w:left="400"/>
              <w:spacing w:after="0"/>
              <w:rPr>
                <w:sz w:val="20"/>
                <w:szCs w:val="20"/>
                <w:color w:val="auto"/>
              </w:rPr>
            </w:pPr>
            <w:r>
              <w:rPr>
                <w:rFonts w:ascii="Arial" w:cs="Arial" w:eastAsia="Arial" w:hAnsi="Arial"/>
                <w:sz w:val="16"/>
                <w:szCs w:val="16"/>
                <w:color w:val="auto"/>
              </w:rPr>
              <w:t>Atlantic Plaza</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12/01/14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5.12% (b)</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40" w:type="dxa"/>
            <w:vAlign w:val="bottom"/>
            <w:gridSpan w:val="5"/>
            <w:shd w:val="clear" w:color="auto" w:fill="CCEEFF"/>
          </w:tcPr>
          <w:p>
            <w:pPr>
              <w:ind w:left="400"/>
              <w:spacing w:after="0"/>
              <w:rPr>
                <w:sz w:val="20"/>
                <w:szCs w:val="20"/>
                <w:color w:val="auto"/>
              </w:rPr>
            </w:pPr>
            <w:r>
              <w:rPr>
                <w:rFonts w:ascii="Arial" w:cs="Arial" w:eastAsia="Arial" w:hAnsi="Arial"/>
                <w:sz w:val="16"/>
                <w:szCs w:val="16"/>
                <w:color w:val="auto"/>
              </w:rPr>
              <w:t>Barcroft Plaza</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3"/>
              </w:rPr>
              <w:t>07/01/16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5.99% (b)(c)</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gridSpan w:val="5"/>
          </w:tcPr>
          <w:p>
            <w:pPr>
              <w:ind w:left="400"/>
              <w:spacing w:after="0"/>
              <w:rPr>
                <w:sz w:val="20"/>
                <w:szCs w:val="20"/>
                <w:color w:val="auto"/>
              </w:rPr>
            </w:pPr>
            <w:r>
              <w:rPr>
                <w:rFonts w:ascii="Arial" w:cs="Arial" w:eastAsia="Arial" w:hAnsi="Arial"/>
                <w:sz w:val="16"/>
                <w:szCs w:val="16"/>
                <w:color w:val="auto"/>
              </w:rPr>
              <w:t>Greenlawn Plaza</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07/01/16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5.90% (b)</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900" w:type="dxa"/>
            <w:vAlign w:val="bottom"/>
            <w:gridSpan w:val="5"/>
            <w:shd w:val="clear" w:color="auto" w:fill="CCEEFF"/>
          </w:tcPr>
          <w:p>
            <w:pPr>
              <w:jc w:val="center"/>
              <w:ind w:right="480"/>
              <w:spacing w:after="0"/>
              <w:rPr>
                <w:sz w:val="20"/>
                <w:szCs w:val="20"/>
                <w:color w:val="auto"/>
              </w:rPr>
            </w:pPr>
            <w:r>
              <w:rPr>
                <w:rFonts w:ascii="Arial" w:cs="Arial" w:eastAsia="Arial" w:hAnsi="Arial"/>
                <w:sz w:val="16"/>
                <w:szCs w:val="16"/>
                <w:color w:val="auto"/>
                <w:w w:val="91"/>
              </w:rPr>
              <w:t>Total Fixed Rate Debt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57,481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w w:val="92"/>
              </w:rPr>
              <w:t>Debt Maturities</w:t>
            </w:r>
          </w:p>
        </w:tc>
        <w:tc>
          <w:tcPr>
            <w:tcW w:w="202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020" w:type="dxa"/>
            <w:vAlign w:val="bottom"/>
            <w:tcBorders>
              <w:bottom w:val="single" w:sz="8" w:color="auto"/>
            </w:tcBorders>
            <w:gridSpan w:val="2"/>
            <w:vMerge w:val="continue"/>
          </w:tcPr>
          <w:p>
            <w:pPr>
              <w:spacing w:after="0"/>
              <w:rPr>
                <w:sz w:val="24"/>
                <w:szCs w:val="24"/>
                <w:color w:val="auto"/>
              </w:rPr>
            </w:pPr>
          </w:p>
        </w:tc>
        <w:tc>
          <w:tcPr>
            <w:tcW w:w="2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40" w:type="dxa"/>
            <w:vAlign w:val="bottom"/>
            <w:gridSpan w:val="5"/>
          </w:tcPr>
          <w:p>
            <w:pPr>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rPr>
              <w:t>Cumulative</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26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9"/>
              </w:rPr>
              <w:t>Year</w:t>
            </w:r>
          </w:p>
        </w:tc>
        <w:tc>
          <w:tcPr>
            <w:tcW w:w="19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Scheduled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80" w:type="dxa"/>
            <w:vAlign w:val="bottom"/>
            <w:gridSpan w:val="4"/>
          </w:tcPr>
          <w:p>
            <w:pPr>
              <w:jc w:val="center"/>
              <w:ind w:right="1260"/>
              <w:spacing w:after="0" w:line="136" w:lineRule="exact"/>
              <w:rPr>
                <w:sz w:val="20"/>
                <w:szCs w:val="20"/>
                <w:color w:val="auto"/>
              </w:rPr>
            </w:pPr>
            <w:r>
              <w:rPr>
                <w:rFonts w:ascii="Arial" w:cs="Arial" w:eastAsia="Arial" w:hAnsi="Arial"/>
                <w:sz w:val="12"/>
                <w:szCs w:val="12"/>
                <w:b w:val="1"/>
                <w:bCs w:val="1"/>
                <w:color w:val="auto"/>
                <w:w w:val="92"/>
              </w:rPr>
              <w:t>Percent of Debt</w:t>
            </w:r>
          </w:p>
        </w:tc>
        <w:tc>
          <w:tcPr>
            <w:tcW w:w="1000" w:type="dxa"/>
            <w:vAlign w:val="bottom"/>
            <w:gridSpan w:val="5"/>
          </w:tcPr>
          <w:p>
            <w:pPr>
              <w:jc w:val="right"/>
              <w:ind w:right="180"/>
              <w:spacing w:after="0" w:line="136" w:lineRule="exact"/>
              <w:rPr>
                <w:sz w:val="20"/>
                <w:szCs w:val="20"/>
                <w:color w:val="auto"/>
              </w:rPr>
            </w:pPr>
            <w:r>
              <w:rPr>
                <w:rFonts w:ascii="Arial" w:cs="Arial" w:eastAsia="Arial" w:hAnsi="Arial"/>
                <w:sz w:val="12"/>
                <w:szCs w:val="12"/>
                <w:b w:val="1"/>
                <w:bCs w:val="1"/>
                <w:color w:val="auto"/>
                <w:w w:val="90"/>
              </w:rPr>
              <w:t>Percent of Debt</w:t>
            </w:r>
          </w:p>
        </w:tc>
        <w:tc>
          <w:tcPr>
            <w:tcW w:w="0" w:type="dxa"/>
            <w:vAlign w:val="bottom"/>
          </w:tcPr>
          <w:p>
            <w:pPr>
              <w:spacing w:after="0"/>
              <w:rPr>
                <w:sz w:val="1"/>
                <w:szCs w:val="1"/>
                <w:color w:val="auto"/>
              </w:rPr>
            </w:pPr>
          </w:p>
        </w:tc>
      </w:tr>
      <w:tr>
        <w:trPr>
          <w:trHeight w:val="141"/>
        </w:trPr>
        <w:tc>
          <w:tcPr>
            <w:tcW w:w="860" w:type="dxa"/>
            <w:vAlign w:val="bottom"/>
          </w:tcPr>
          <w:p>
            <w:pPr>
              <w:spacing w:after="0"/>
              <w:rPr>
                <w:sz w:val="11"/>
                <w:szCs w:val="11"/>
                <w:color w:val="auto"/>
              </w:rPr>
            </w:pPr>
          </w:p>
        </w:tc>
        <w:tc>
          <w:tcPr>
            <w:tcW w:w="260" w:type="dxa"/>
            <w:vAlign w:val="bottom"/>
            <w:tcBorders>
              <w:bottom w:val="single" w:sz="8" w:color="auto"/>
            </w:tcBorders>
            <w:gridSpan w:val="3"/>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880" w:type="dxa"/>
            <w:vAlign w:val="bottom"/>
            <w:gridSpan w:val="3"/>
          </w:tcPr>
          <w:p>
            <w:pPr>
              <w:ind w:left="20"/>
              <w:spacing w:after="0" w:line="137" w:lineRule="exact"/>
              <w:rPr>
                <w:sz w:val="20"/>
                <w:szCs w:val="20"/>
                <w:color w:val="auto"/>
              </w:rPr>
            </w:pPr>
            <w:r>
              <w:rPr>
                <w:rFonts w:ascii="Arial" w:cs="Arial" w:eastAsia="Arial" w:hAnsi="Arial"/>
                <w:sz w:val="12"/>
                <w:szCs w:val="12"/>
                <w:b w:val="1"/>
                <w:bCs w:val="1"/>
                <w:color w:val="auto"/>
              </w:rPr>
              <w:t>Amortization</w:t>
            </w:r>
          </w:p>
        </w:tc>
        <w:tc>
          <w:tcPr>
            <w:tcW w:w="1520" w:type="dxa"/>
            <w:vAlign w:val="bottom"/>
            <w:gridSpan w:val="3"/>
          </w:tcPr>
          <w:p>
            <w:pPr>
              <w:jc w:val="right"/>
              <w:ind w:right="960"/>
              <w:spacing w:after="0" w:line="137" w:lineRule="exact"/>
              <w:rPr>
                <w:sz w:val="20"/>
                <w:szCs w:val="20"/>
                <w:color w:val="auto"/>
              </w:rPr>
            </w:pPr>
            <w:r>
              <w:rPr>
                <w:rFonts w:ascii="Arial" w:cs="Arial" w:eastAsia="Arial" w:hAnsi="Arial"/>
                <w:sz w:val="12"/>
                <w:szCs w:val="12"/>
                <w:b w:val="1"/>
                <w:bCs w:val="1"/>
                <w:color w:val="auto"/>
                <w:w w:val="95"/>
              </w:rPr>
              <w:t>Maturities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3"/>
          </w:tcPr>
          <w:p>
            <w:pPr>
              <w:ind w:left="60"/>
              <w:spacing w:after="0" w:line="137"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1"/>
                <w:szCs w:val="11"/>
                <w:color w:val="auto"/>
              </w:rPr>
            </w:pPr>
          </w:p>
        </w:tc>
        <w:tc>
          <w:tcPr>
            <w:tcW w:w="1980" w:type="dxa"/>
            <w:vAlign w:val="bottom"/>
            <w:gridSpan w:val="3"/>
          </w:tcPr>
          <w:p>
            <w:pPr>
              <w:jc w:val="center"/>
              <w:ind w:right="1360"/>
              <w:spacing w:after="0" w:line="137" w:lineRule="exact"/>
              <w:rPr>
                <w:sz w:val="20"/>
                <w:szCs w:val="20"/>
                <w:color w:val="auto"/>
              </w:rPr>
            </w:pPr>
            <w:r>
              <w:rPr>
                <w:rFonts w:ascii="Arial" w:cs="Arial" w:eastAsia="Arial" w:hAnsi="Arial"/>
                <w:sz w:val="12"/>
                <w:szCs w:val="12"/>
                <w:b w:val="1"/>
                <w:bCs w:val="1"/>
                <w:color w:val="auto"/>
                <w:w w:val="98"/>
              </w:rPr>
              <w:t>Maturing</w:t>
            </w:r>
          </w:p>
        </w:tc>
        <w:tc>
          <w:tcPr>
            <w:tcW w:w="1000" w:type="dxa"/>
            <w:vAlign w:val="bottom"/>
            <w:gridSpan w:val="5"/>
          </w:tcPr>
          <w:p>
            <w:pPr>
              <w:ind w:left="160"/>
              <w:spacing w:after="0" w:line="137" w:lineRule="exact"/>
              <w:rPr>
                <w:sz w:val="20"/>
                <w:szCs w:val="20"/>
                <w:color w:val="auto"/>
              </w:rPr>
            </w:pPr>
            <w:r>
              <w:rPr>
                <w:rFonts w:ascii="Arial" w:cs="Arial" w:eastAsia="Arial" w:hAnsi="Arial"/>
                <w:sz w:val="12"/>
                <w:szCs w:val="12"/>
                <w:b w:val="1"/>
                <w:bCs w:val="1"/>
                <w:color w:val="auto"/>
              </w:rPr>
              <w:t>Maturing</w:t>
            </w:r>
          </w:p>
        </w:tc>
        <w:tc>
          <w:tcPr>
            <w:tcW w:w="0" w:type="dxa"/>
            <w:vAlign w:val="bottom"/>
          </w:tcPr>
          <w:p>
            <w:pPr>
              <w:spacing w:after="0"/>
              <w:rPr>
                <w:sz w:val="1"/>
                <w:szCs w:val="1"/>
                <w:color w:val="auto"/>
              </w:rPr>
            </w:pPr>
          </w:p>
        </w:tc>
      </w:tr>
      <w:tr>
        <w:trPr>
          <w:trHeight w:val="20"/>
        </w:trPr>
        <w:tc>
          <w:tcPr>
            <w:tcW w:w="3040" w:type="dxa"/>
            <w:vAlign w:val="bottom"/>
            <w:gridSpan w:val="5"/>
            <w:vMerge w:val="restart"/>
            <w:shd w:val="clear" w:color="auto" w:fill="CCEEFF"/>
          </w:tcPr>
          <w:p>
            <w:pPr>
              <w:jc w:val="center"/>
              <w:ind w:right="1060"/>
              <w:spacing w:after="0"/>
              <w:rPr>
                <w:sz w:val="20"/>
                <w:szCs w:val="20"/>
                <w:color w:val="auto"/>
              </w:rPr>
            </w:pPr>
            <w:r>
              <w:rPr>
                <w:rFonts w:ascii="Arial" w:cs="Arial" w:eastAsia="Arial" w:hAnsi="Arial"/>
                <w:sz w:val="16"/>
                <w:szCs w:val="16"/>
                <w:color w:val="auto"/>
                <w:w w:val="84"/>
              </w:rPr>
              <w:t>2011</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ind w:left="380"/>
              <w:spacing w:after="0" w:line="182" w:lineRule="exact"/>
              <w:rPr>
                <w:sz w:val="20"/>
                <w:szCs w:val="20"/>
                <w:color w:val="auto"/>
              </w:rPr>
            </w:pPr>
            <w:r>
              <w:rPr>
                <w:rFonts w:ascii="Arial" w:cs="Arial" w:eastAsia="Arial" w:hAnsi="Arial"/>
                <w:sz w:val="16"/>
                <w:szCs w:val="16"/>
                <w:color w:val="auto"/>
                <w:w w:val="82"/>
              </w:rPr>
              <w:t>105</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105</w:t>
            </w:r>
          </w:p>
        </w:tc>
        <w:tc>
          <w:tcPr>
            <w:tcW w:w="680" w:type="dxa"/>
            <w:vAlign w:val="bottom"/>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0.2%</w:t>
            </w: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40"/>
              <w:spacing w:after="0" w:line="182"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8"/>
        </w:trPr>
        <w:tc>
          <w:tcPr>
            <w:tcW w:w="3040" w:type="dxa"/>
            <w:vAlign w:val="bottom"/>
            <w:gridSpan w:val="5"/>
          </w:tcPr>
          <w:p>
            <w:pPr>
              <w:jc w:val="center"/>
              <w:ind w:right="1040"/>
              <w:spacing w:after="0"/>
              <w:rPr>
                <w:sz w:val="20"/>
                <w:szCs w:val="20"/>
                <w:color w:val="auto"/>
              </w:rPr>
            </w:pPr>
            <w:r>
              <w:rPr>
                <w:rFonts w:ascii="Arial" w:cs="Arial" w:eastAsia="Arial" w:hAnsi="Arial"/>
                <w:sz w:val="16"/>
                <w:szCs w:val="16"/>
                <w:color w:val="auto"/>
                <w:w w:val="89"/>
              </w:rPr>
              <w:t>2012</w:t>
            </w:r>
          </w:p>
        </w:tc>
        <w:tc>
          <w:tcPr>
            <w:tcW w:w="10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w w:val="82"/>
              </w:rPr>
              <w:t>220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6"/>
                <w:szCs w:val="16"/>
                <w:color w:val="auto"/>
              </w:rPr>
              <w:t>220</w:t>
            </w:r>
          </w:p>
        </w:tc>
        <w:tc>
          <w:tcPr>
            <w:tcW w:w="48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0.4%</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8"/>
        </w:trPr>
        <w:tc>
          <w:tcPr>
            <w:tcW w:w="3040" w:type="dxa"/>
            <w:vAlign w:val="bottom"/>
            <w:gridSpan w:val="5"/>
            <w:shd w:val="clear" w:color="auto" w:fill="CCEEFF"/>
          </w:tcPr>
          <w:p>
            <w:pPr>
              <w:jc w:val="center"/>
              <w:ind w:right="1040"/>
              <w:spacing w:after="0"/>
              <w:rPr>
                <w:sz w:val="20"/>
                <w:szCs w:val="20"/>
                <w:color w:val="auto"/>
              </w:rPr>
            </w:pPr>
            <w:r>
              <w:rPr>
                <w:rFonts w:ascii="Arial" w:cs="Arial" w:eastAsia="Arial" w:hAnsi="Arial"/>
                <w:sz w:val="16"/>
                <w:szCs w:val="16"/>
                <w:color w:val="auto"/>
                <w:w w:val="89"/>
              </w:rPr>
              <w:t>2013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2"/>
              </w:rPr>
              <w:t>233</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233</w:t>
            </w:r>
          </w:p>
        </w:tc>
        <w:tc>
          <w:tcPr>
            <w:tcW w:w="4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8"/>
        </w:trPr>
        <w:tc>
          <w:tcPr>
            <w:tcW w:w="3040" w:type="dxa"/>
            <w:vAlign w:val="bottom"/>
            <w:gridSpan w:val="5"/>
          </w:tcPr>
          <w:p>
            <w:pPr>
              <w:jc w:val="center"/>
              <w:ind w:right="1040"/>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w w:val="82"/>
              </w:rPr>
              <w:t>142</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22,396</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6"/>
                <w:szCs w:val="16"/>
                <w:color w:val="auto"/>
                <w:w w:val="89"/>
              </w:rPr>
              <w:t>22,538</w:t>
            </w:r>
          </w:p>
        </w:tc>
        <w:tc>
          <w:tcPr>
            <w:tcW w:w="48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39.2%</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8"/>
        </w:trPr>
        <w:tc>
          <w:tcPr>
            <w:tcW w:w="3040" w:type="dxa"/>
            <w:vAlign w:val="bottom"/>
            <w:gridSpan w:val="5"/>
            <w:shd w:val="clear" w:color="auto" w:fill="CCEEFF"/>
          </w:tcPr>
          <w:p>
            <w:pPr>
              <w:jc w:val="center"/>
              <w:ind w:right="1040"/>
              <w:spacing w:after="0"/>
              <w:rPr>
                <w:sz w:val="20"/>
                <w:szCs w:val="20"/>
                <w:color w:val="auto"/>
              </w:rPr>
            </w:pPr>
            <w:r>
              <w:rPr>
                <w:rFonts w:ascii="Arial" w:cs="Arial" w:eastAsia="Arial" w:hAnsi="Arial"/>
                <w:sz w:val="16"/>
                <w:szCs w:val="16"/>
                <w:color w:val="auto"/>
                <w:w w:val="89"/>
              </w:rPr>
              <w:t>2015</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8"/>
        </w:trPr>
        <w:tc>
          <w:tcPr>
            <w:tcW w:w="3040" w:type="dxa"/>
            <w:vAlign w:val="bottom"/>
            <w:gridSpan w:val="5"/>
          </w:tcPr>
          <w:p>
            <w:pPr>
              <w:jc w:val="center"/>
              <w:ind w:right="1040"/>
              <w:spacing w:after="0"/>
              <w:rPr>
                <w:sz w:val="20"/>
                <w:szCs w:val="20"/>
                <w:color w:val="auto"/>
              </w:rPr>
            </w:pPr>
            <w:r>
              <w:rPr>
                <w:rFonts w:ascii="Arial" w:cs="Arial" w:eastAsia="Arial" w:hAnsi="Arial"/>
                <w:sz w:val="16"/>
                <w:szCs w:val="16"/>
                <w:color w:val="auto"/>
                <w:w w:val="89"/>
              </w:rPr>
              <w:t>2016</w:t>
            </w:r>
          </w:p>
        </w:tc>
        <w:tc>
          <w:tcPr>
            <w:tcW w:w="10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34,385</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34,385</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59.8%</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5"/>
        </w:trPr>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040" w:type="dxa"/>
            <w:vAlign w:val="bottom"/>
            <w:gridSpan w:val="5"/>
            <w:shd w:val="clear" w:color="auto" w:fill="CCEEFF"/>
          </w:tcPr>
          <w:p>
            <w:pPr>
              <w:jc w:val="center"/>
              <w:ind w:right="1060"/>
              <w:spacing w:after="0"/>
              <w:rPr>
                <w:sz w:val="20"/>
                <w:szCs w:val="20"/>
                <w:color w:val="auto"/>
              </w:rPr>
            </w:pPr>
            <w:r>
              <w:rPr>
                <w:rFonts w:ascii="Arial" w:cs="Arial" w:eastAsia="Arial" w:hAnsi="Arial"/>
                <w:sz w:val="16"/>
                <w:szCs w:val="16"/>
                <w:color w:val="auto"/>
                <w:w w:val="95"/>
              </w:rPr>
              <w:t>Total</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2"/>
              </w:rPr>
              <w:t>700</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56,781</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w w:val="89"/>
              </w:rPr>
              <w:t>57,481</w:t>
            </w:r>
          </w:p>
        </w:tc>
        <w:tc>
          <w:tcPr>
            <w:tcW w:w="4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21" w:lineRule="exact"/>
        <w:rPr>
          <w:sz w:val="20"/>
          <w:szCs w:val="20"/>
          <w:color w:val="auto"/>
        </w:rPr>
      </w:pPr>
    </w:p>
    <w:p>
      <w:pPr>
        <w:ind w:left="461" w:hanging="461"/>
        <w:spacing w:after="0"/>
        <w:tabs>
          <w:tab w:leader="none" w:pos="4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Effective July 5, 2007, principal and interest payments are due based on a 30-year amortization schedule.</w:t>
      </w:r>
    </w:p>
    <w:p>
      <w:pPr>
        <w:spacing w:after="0" w:line="13" w:lineRule="exact"/>
        <w:rPr>
          <w:rFonts w:ascii="Arial" w:cs="Arial" w:eastAsia="Arial" w:hAnsi="Arial"/>
          <w:sz w:val="16"/>
          <w:szCs w:val="16"/>
          <w:color w:val="auto"/>
        </w:rPr>
      </w:pPr>
    </w:p>
    <w:p>
      <w:pPr>
        <w:ind w:left="461" w:hanging="461"/>
        <w:spacing w:after="0"/>
        <w:tabs>
          <w:tab w:leader="none" w:pos="4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only until maturity.</w:t>
      </w:r>
    </w:p>
    <w:p>
      <w:pPr>
        <w:spacing w:after="0" w:line="13" w:lineRule="exact"/>
        <w:rPr>
          <w:rFonts w:ascii="Arial" w:cs="Arial" w:eastAsia="Arial" w:hAnsi="Arial"/>
          <w:sz w:val="16"/>
          <w:szCs w:val="16"/>
          <w:color w:val="auto"/>
        </w:rPr>
      </w:pPr>
    </w:p>
    <w:p>
      <w:pPr>
        <w:ind w:left="461" w:right="140" w:hanging="461"/>
        <w:spacing w:after="0" w:line="275" w:lineRule="auto"/>
        <w:tabs>
          <w:tab w:leader="none" w:pos="46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1"/>
          </w:cols>
          <w:pgMar w:left="239" w:top="262" w:right="239" w:bottom="1440" w:gutter="0" w:footer="0" w:header="0"/>
        </w:sectPr>
      </w:pPr>
    </w:p>
    <w:bookmarkStart w:id="29" w:name="page30"/>
    <w:bookmarkEnd w:id="29"/>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36195"/>
                    </a:xfrm>
                    <a:prstGeom prst="rect">
                      <a:avLst/>
                    </a:prstGeom>
                    <a:noFill/>
                  </pic:spPr>
                </pic:pic>
              </a:graphicData>
            </a:graphic>
          </wp:anchor>
        </w:drawing>
        <w:t>Federal Realty Investment Trust</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Real Estate Status Report - 30% Owned Joint Venture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June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580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9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Mortgage or</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1"/>
              </w:rPr>
              <w:t>Grocery</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Property Name</w:t>
            </w:r>
          </w:p>
        </w:tc>
        <w:tc>
          <w:tcPr>
            <w:tcW w:w="58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6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MSA Description</w:t>
            </w:r>
          </w:p>
        </w:tc>
        <w:tc>
          <w:tcPr>
            <w:tcW w:w="40" w:type="dxa"/>
            <w:vAlign w:val="bottom"/>
            <w:vMerge w:val="restart"/>
          </w:tcPr>
          <w:p>
            <w:pPr>
              <w:spacing w:after="0"/>
              <w:rPr>
                <w:sz w:val="11"/>
                <w:szCs w:val="11"/>
                <w:color w:val="auto"/>
              </w:rPr>
            </w:pPr>
          </w:p>
        </w:tc>
        <w:tc>
          <w:tcPr>
            <w:tcW w:w="78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Year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auto"/>
                <w:w w:val="89"/>
              </w:rPr>
              <w:t>Real Estate</w:t>
            </w:r>
          </w:p>
        </w:tc>
        <w:tc>
          <w:tcPr>
            <w:tcW w:w="100" w:type="dxa"/>
            <w:vAlign w:val="bottom"/>
          </w:tcPr>
          <w:p>
            <w:pPr>
              <w:spacing w:after="0"/>
              <w:rPr>
                <w:sz w:val="11"/>
                <w:szCs w:val="11"/>
                <w:color w:val="auto"/>
              </w:rPr>
            </w:pPr>
          </w:p>
        </w:tc>
        <w:tc>
          <w:tcPr>
            <w:tcW w:w="860" w:type="dxa"/>
            <w:vAlign w:val="bottom"/>
            <w:gridSpan w:val="3"/>
          </w:tcPr>
          <w:p>
            <w:pPr>
              <w:jc w:val="right"/>
              <w:ind w:right="100"/>
              <w:spacing w:after="0" w:line="136" w:lineRule="exact"/>
              <w:rPr>
                <w:sz w:val="20"/>
                <w:szCs w:val="20"/>
                <w:color w:val="auto"/>
              </w:rPr>
            </w:pPr>
            <w:r>
              <w:rPr>
                <w:rFonts w:ascii="Arial" w:cs="Arial" w:eastAsia="Arial" w:hAnsi="Arial"/>
                <w:sz w:val="12"/>
                <w:szCs w:val="12"/>
                <w:b w:val="1"/>
                <w:bCs w:val="1"/>
                <w:color w:val="auto"/>
                <w:w w:val="95"/>
              </w:rPr>
              <w:t>Capital Lease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58"/>
              <w:spacing w:after="0" w:line="136"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Anchor</w:t>
            </w:r>
          </w:p>
        </w:tc>
        <w:tc>
          <w:tcPr>
            <w:tcW w:w="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Grocery</w:t>
            </w:r>
          </w:p>
        </w:tc>
        <w:tc>
          <w:tcPr>
            <w:tcW w:w="40" w:type="dxa"/>
            <w:vAlign w:val="bottom"/>
          </w:tcPr>
          <w:p>
            <w:pPr>
              <w:spacing w:after="0"/>
              <w:rPr>
                <w:sz w:val="11"/>
                <w:szCs w:val="11"/>
                <w:color w:val="auto"/>
              </w:rPr>
            </w:pPr>
          </w:p>
        </w:tc>
        <w:tc>
          <w:tcPr>
            <w:tcW w:w="2280" w:type="dxa"/>
            <w:vAlign w:val="bottom"/>
            <w:vMerge w:val="restart"/>
          </w:tcPr>
          <w:p>
            <w:pPr>
              <w:ind w:left="500"/>
              <w:spacing w:after="0"/>
              <w:rPr>
                <w:sz w:val="20"/>
                <w:szCs w:val="20"/>
                <w:color w:val="auto"/>
              </w:rPr>
            </w:pPr>
            <w:r>
              <w:rPr>
                <w:rFonts w:ascii="Arial" w:cs="Arial" w:eastAsia="Arial" w:hAnsi="Arial"/>
                <w:sz w:val="12"/>
                <w:szCs w:val="12"/>
                <w:b w:val="1"/>
                <w:bCs w:val="1"/>
                <w:color w:val="auto"/>
              </w:rPr>
              <w:t>Other Principal Tenants</w:t>
            </w:r>
          </w:p>
        </w:tc>
        <w:tc>
          <w:tcPr>
            <w:tcW w:w="0" w:type="dxa"/>
            <w:vAlign w:val="bottom"/>
          </w:tcPr>
          <w:p>
            <w:pPr>
              <w:spacing w:after="0"/>
              <w:rPr>
                <w:sz w:val="1"/>
                <w:szCs w:val="1"/>
                <w:color w:val="auto"/>
              </w:rPr>
            </w:pPr>
          </w:p>
        </w:tc>
      </w:tr>
      <w:tr>
        <w:trPr>
          <w:trHeight w:val="141"/>
        </w:trPr>
        <w:tc>
          <w:tcPr>
            <w:tcW w:w="900" w:type="dxa"/>
            <w:vAlign w:val="bottom"/>
            <w:tcBorders>
              <w:bottom w:val="single" w:sz="8" w:color="auto"/>
            </w:tcBorders>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8"/>
              <w:spacing w:after="0" w:line="137" w:lineRule="exact"/>
              <w:rPr>
                <w:sz w:val="20"/>
                <w:szCs w:val="20"/>
                <w:color w:val="auto"/>
              </w:rPr>
            </w:pPr>
            <w:r>
              <w:rPr>
                <w:rFonts w:ascii="Arial" w:cs="Arial" w:eastAsia="Arial" w:hAnsi="Arial"/>
                <w:sz w:val="12"/>
                <w:szCs w:val="12"/>
                <w:b w:val="1"/>
                <w:bCs w:val="1"/>
                <w:color w:val="auto"/>
              </w:rPr>
              <w:t>at Cost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
              <w:spacing w:after="0" w:line="137" w:lineRule="exact"/>
              <w:rPr>
                <w:sz w:val="20"/>
                <w:szCs w:val="20"/>
                <w:color w:val="auto"/>
              </w:rPr>
            </w:pPr>
            <w:r>
              <w:rPr>
                <w:rFonts w:ascii="Arial" w:cs="Arial" w:eastAsia="Arial" w:hAnsi="Arial"/>
                <w:sz w:val="12"/>
                <w:szCs w:val="12"/>
                <w:b w:val="1"/>
                <w:bCs w:val="1"/>
                <w:color w:val="auto"/>
                <w:w w:val="94"/>
              </w:rPr>
              <w:t>Obligation</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18"/>
              <w:spacing w:after="0" w:line="137" w:lineRule="exact"/>
              <w:rPr>
                <w:sz w:val="20"/>
                <w:szCs w:val="20"/>
                <w:color w:val="auto"/>
              </w:rPr>
            </w:pPr>
            <w:r>
              <w:rPr>
                <w:rFonts w:ascii="Arial" w:cs="Arial" w:eastAsia="Arial" w:hAnsi="Arial"/>
                <w:sz w:val="12"/>
                <w:szCs w:val="12"/>
                <w:b w:val="1"/>
                <w:bCs w:val="1"/>
                <w:color w:val="auto"/>
              </w:rPr>
              <w:t>GLA</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1"/>
              </w:rPr>
              <w:t>Leased</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w w:val="96"/>
              </w:rPr>
              <w:t>GLA (1)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w w:val="96"/>
              </w:rPr>
              <w:t>Anchor (1)</w:t>
            </w:r>
          </w:p>
        </w:tc>
        <w:tc>
          <w:tcPr>
            <w:tcW w:w="40" w:type="dxa"/>
            <w:vAlign w:val="bottom"/>
          </w:tcPr>
          <w:p>
            <w:pPr>
              <w:spacing w:after="0"/>
              <w:rPr>
                <w:sz w:val="12"/>
                <w:szCs w:val="12"/>
                <w:color w:val="auto"/>
              </w:rPr>
            </w:pPr>
          </w:p>
        </w:tc>
        <w:tc>
          <w:tcPr>
            <w:tcW w:w="2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89"/>
              </w:rPr>
              <w:t>(in thousands)</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89"/>
              </w:rPr>
              <w:t>(in thousands)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40" w:type="dxa"/>
            <w:vAlign w:val="bottom"/>
            <w:gridSpan w:val="8"/>
            <w:shd w:val="clear" w:color="auto" w:fill="CCEEFF"/>
          </w:tcPr>
          <w:p>
            <w:pPr>
              <w:ind w:left="200"/>
              <w:spacing w:after="0" w:line="124" w:lineRule="exact"/>
              <w:rPr>
                <w:sz w:val="20"/>
                <w:szCs w:val="20"/>
                <w:color w:val="auto"/>
              </w:rPr>
            </w:pPr>
            <w:r>
              <w:rPr>
                <w:rFonts w:ascii="Arial" w:cs="Arial" w:eastAsia="Arial" w:hAnsi="Arial"/>
                <w:sz w:val="12"/>
                <w:szCs w:val="12"/>
                <w:b w:val="1"/>
                <w:bCs w:val="1"/>
                <w:color w:val="auto"/>
              </w:rPr>
              <w:t>Washington Metropolitan Area</w:t>
            </w: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80" w:type="dxa"/>
            <w:vAlign w:val="bottom"/>
            <w:gridSpan w:val="4"/>
          </w:tcPr>
          <w:p>
            <w:pPr>
              <w:spacing w:after="0" w:line="128" w:lineRule="exact"/>
              <w:rPr>
                <w:sz w:val="20"/>
                <w:szCs w:val="20"/>
                <w:color w:val="auto"/>
              </w:rPr>
            </w:pPr>
            <w:r>
              <w:rPr>
                <w:rFonts w:ascii="Arial" w:cs="Arial" w:eastAsia="Arial" w:hAnsi="Arial"/>
                <w:sz w:val="12"/>
                <w:szCs w:val="12"/>
                <w:color w:val="auto"/>
              </w:rPr>
              <w:t>Barcroft Plaza</w:t>
            </w:r>
          </w:p>
        </w:tc>
        <w:tc>
          <w:tcPr>
            <w:tcW w:w="2660" w:type="dxa"/>
            <w:vAlign w:val="bottom"/>
            <w:gridSpan w:val="4"/>
          </w:tcPr>
          <w:p>
            <w:pPr>
              <w:ind w:left="40"/>
              <w:spacing w:after="0" w:line="128" w:lineRule="exact"/>
              <w:rPr>
                <w:sz w:val="20"/>
                <w:szCs w:val="20"/>
                <w:color w:val="auto"/>
              </w:rPr>
            </w:pPr>
            <w:r>
              <w:rPr>
                <w:rFonts w:ascii="Arial" w:cs="Arial" w:eastAsia="Arial" w:hAnsi="Arial"/>
                <w:sz w:val="12"/>
                <w:szCs w:val="12"/>
                <w:color w:val="auto"/>
              </w:rPr>
              <w:t>Washington, DC-MD-VA</w:t>
            </w:r>
          </w:p>
        </w:tc>
        <w:tc>
          <w:tcPr>
            <w:tcW w:w="78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w w:val="97"/>
              </w:rPr>
              <w:t>2006-2007</w:t>
            </w:r>
          </w:p>
        </w:tc>
        <w:tc>
          <w:tcPr>
            <w:tcW w:w="100" w:type="dxa"/>
            <w:vAlign w:val="bottom"/>
            <w:gridSpan w:val="2"/>
          </w:tcPr>
          <w:p>
            <w:pPr>
              <w:ind w:left="20"/>
              <w:spacing w:after="0" w:line="128" w:lineRule="exact"/>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34,315</w:t>
            </w:r>
          </w:p>
        </w:tc>
        <w:tc>
          <w:tcPr>
            <w:tcW w:w="1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20,785</w:t>
            </w: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w w:val="96"/>
              </w:rPr>
              <w:t>100,000</w:t>
            </w:r>
          </w:p>
        </w:tc>
        <w:tc>
          <w:tcPr>
            <w:tcW w:w="60" w:type="dxa"/>
            <w:vAlign w:val="bottom"/>
          </w:tcPr>
          <w:p>
            <w:pPr>
              <w:spacing w:after="0"/>
              <w:rPr>
                <w:sz w:val="11"/>
                <w:szCs w:val="11"/>
                <w:color w:val="auto"/>
              </w:rPr>
            </w:pPr>
          </w:p>
        </w:tc>
        <w:tc>
          <w:tcPr>
            <w:tcW w:w="6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rPr>
              <w:t>88%</w:t>
            </w:r>
          </w:p>
        </w:tc>
        <w:tc>
          <w:tcPr>
            <w:tcW w:w="4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46,000</w:t>
            </w: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Harris Teeter</w:t>
            </w:r>
          </w:p>
        </w:tc>
        <w:tc>
          <w:tcPr>
            <w:tcW w:w="2320" w:type="dxa"/>
            <w:vAlign w:val="bottom"/>
            <w:gridSpan w:val="2"/>
          </w:tcPr>
          <w:p>
            <w:pPr>
              <w:ind w:left="40"/>
              <w:spacing w:after="0" w:line="128" w:lineRule="exact"/>
              <w:rPr>
                <w:sz w:val="20"/>
                <w:szCs w:val="20"/>
                <w:color w:val="auto"/>
              </w:rPr>
            </w:pPr>
            <w:r>
              <w:rPr>
                <w:rFonts w:ascii="Arial" w:cs="Arial" w:eastAsia="Arial" w:hAnsi="Arial"/>
                <w:sz w:val="12"/>
                <w:szCs w:val="12"/>
                <w:color w:val="auto"/>
              </w:rPr>
              <w:t>Bank of America</w:t>
            </w:r>
          </w:p>
        </w:tc>
        <w:tc>
          <w:tcPr>
            <w:tcW w:w="0" w:type="dxa"/>
            <w:vAlign w:val="bottom"/>
          </w:tcPr>
          <w:p>
            <w:pPr>
              <w:spacing w:after="0"/>
              <w:rPr>
                <w:sz w:val="1"/>
                <w:szCs w:val="1"/>
                <w:color w:val="auto"/>
              </w:rPr>
            </w:pPr>
          </w:p>
        </w:tc>
      </w:tr>
      <w:tr>
        <w:trPr>
          <w:trHeight w:val="136"/>
        </w:trPr>
        <w:tc>
          <w:tcPr>
            <w:tcW w:w="148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w w:val="97"/>
              </w:rPr>
              <w:t>Free State Shopping Center</w:t>
            </w:r>
          </w:p>
        </w:tc>
        <w:tc>
          <w:tcPr>
            <w:tcW w:w="2660" w:type="dxa"/>
            <w:vAlign w:val="bottom"/>
            <w:gridSpan w:val="4"/>
            <w:shd w:val="clear" w:color="auto" w:fill="CCEEFF"/>
          </w:tcPr>
          <w:p>
            <w:pPr>
              <w:ind w:left="40"/>
              <w:spacing w:after="0" w:line="136" w:lineRule="exact"/>
              <w:rPr>
                <w:sz w:val="20"/>
                <w:szCs w:val="20"/>
                <w:color w:val="auto"/>
              </w:rPr>
            </w:pPr>
            <w:r>
              <w:rPr>
                <w:rFonts w:ascii="Arial" w:cs="Arial" w:eastAsia="Arial" w:hAnsi="Arial"/>
                <w:sz w:val="12"/>
                <w:szCs w:val="12"/>
                <w:color w:val="auto"/>
              </w:rPr>
              <w:t>Washington, DC-MD-VA</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2007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66,040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279,000</w:t>
            </w:r>
          </w:p>
        </w:tc>
        <w:tc>
          <w:tcPr>
            <w:tcW w:w="6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87%</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73,000</w:t>
            </w:r>
          </w:p>
        </w:tc>
        <w:tc>
          <w:tcPr>
            <w:tcW w:w="96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rPr>
              <w:t>Giant Food</w:t>
            </w:r>
          </w:p>
        </w:tc>
        <w:tc>
          <w:tcPr>
            <w:tcW w:w="23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w w:val="92"/>
              </w:rPr>
              <w:t>TJ Maxx / Ross Dress For Less / Office Depot</w:t>
            </w:r>
          </w:p>
        </w:tc>
        <w:tc>
          <w:tcPr>
            <w:tcW w:w="0" w:type="dxa"/>
            <w:vAlign w:val="bottom"/>
          </w:tcPr>
          <w:p>
            <w:pPr>
              <w:spacing w:after="0"/>
              <w:rPr>
                <w:sz w:val="1"/>
                <w:szCs w:val="1"/>
                <w:color w:val="auto"/>
              </w:rPr>
            </w:pPr>
          </w:p>
        </w:tc>
      </w:tr>
      <w:tr>
        <w:trPr>
          <w:trHeight w:val="136"/>
        </w:trPr>
        <w:tc>
          <w:tcPr>
            <w:tcW w:w="1480" w:type="dxa"/>
            <w:vAlign w:val="bottom"/>
            <w:gridSpan w:val="4"/>
          </w:tcPr>
          <w:p>
            <w:pPr>
              <w:spacing w:after="0" w:line="136" w:lineRule="exact"/>
              <w:rPr>
                <w:sz w:val="20"/>
                <w:szCs w:val="20"/>
                <w:color w:val="auto"/>
              </w:rPr>
            </w:pPr>
            <w:r>
              <w:rPr>
                <w:rFonts w:ascii="Arial" w:cs="Arial" w:eastAsia="Arial" w:hAnsi="Arial"/>
                <w:sz w:val="12"/>
                <w:szCs w:val="12"/>
                <w:color w:val="auto"/>
              </w:rPr>
              <w:t>Plaza del Mercado</w:t>
            </w:r>
          </w:p>
        </w:tc>
        <w:tc>
          <w:tcPr>
            <w:tcW w:w="2660" w:type="dxa"/>
            <w:vAlign w:val="bottom"/>
            <w:gridSpan w:val="4"/>
          </w:tcPr>
          <w:p>
            <w:pPr>
              <w:ind w:left="40"/>
              <w:spacing w:after="0" w:line="136" w:lineRule="exact"/>
              <w:rPr>
                <w:sz w:val="20"/>
                <w:szCs w:val="20"/>
                <w:color w:val="auto"/>
              </w:rPr>
            </w:pPr>
            <w:r>
              <w:rPr>
                <w:rFonts w:ascii="Arial" w:cs="Arial" w:eastAsia="Arial" w:hAnsi="Arial"/>
                <w:sz w:val="12"/>
                <w:szCs w:val="12"/>
                <w:color w:val="auto"/>
              </w:rPr>
              <w:t>Washington, DC-MD-VA</w:t>
            </w: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21,499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12,596</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96,000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92%</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32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CVS</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60" w:type="dxa"/>
            <w:vAlign w:val="bottom"/>
            <w:gridSpan w:val="4"/>
            <w:shd w:val="clear" w:color="auto" w:fill="CCEEFF"/>
          </w:tcPr>
          <w:p>
            <w:pPr>
              <w:ind w:left="40"/>
              <w:spacing w:after="0" w:line="136" w:lineRule="exact"/>
              <w:rPr>
                <w:sz w:val="20"/>
                <w:szCs w:val="20"/>
                <w:color w:val="auto"/>
              </w:rPr>
            </w:pPr>
            <w:r>
              <w:rPr>
                <w:rFonts w:ascii="Arial" w:cs="Arial" w:eastAsia="Arial" w:hAnsi="Arial"/>
                <w:sz w:val="12"/>
                <w:szCs w:val="12"/>
                <w:b w:val="1"/>
                <w:bCs w:val="1"/>
                <w:color w:val="auto"/>
              </w:rPr>
              <w:t>Total Washington Metropolitan Area</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121,854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475,000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88%</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480" w:type="dxa"/>
            <w:vAlign w:val="bottom"/>
            <w:gridSpan w:val="4"/>
          </w:tcPr>
          <w:p>
            <w:pPr>
              <w:ind w:left="200"/>
              <w:spacing w:after="0"/>
              <w:rPr>
                <w:sz w:val="20"/>
                <w:szCs w:val="20"/>
                <w:color w:val="auto"/>
              </w:rPr>
            </w:pPr>
            <w:r>
              <w:rPr>
                <w:rFonts w:ascii="Arial" w:cs="Arial" w:eastAsia="Arial" w:hAnsi="Arial"/>
                <w:sz w:val="12"/>
                <w:szCs w:val="12"/>
                <w:b w:val="1"/>
                <w:bCs w:val="1"/>
                <w:color w:val="auto"/>
                <w:w w:val="96"/>
              </w:rPr>
              <w:t>New York / New Jersey</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80" w:type="dxa"/>
            <w:vAlign w:val="bottom"/>
            <w:gridSpan w:val="4"/>
            <w:shd w:val="clear" w:color="auto" w:fill="CCEEFF"/>
          </w:tcPr>
          <w:p>
            <w:pPr>
              <w:spacing w:after="0" w:line="128" w:lineRule="exact"/>
              <w:rPr>
                <w:sz w:val="20"/>
                <w:szCs w:val="20"/>
                <w:color w:val="auto"/>
              </w:rPr>
            </w:pPr>
            <w:r>
              <w:rPr>
                <w:rFonts w:ascii="Arial" w:cs="Arial" w:eastAsia="Arial" w:hAnsi="Arial"/>
                <w:sz w:val="12"/>
                <w:szCs w:val="12"/>
                <w:color w:val="auto"/>
              </w:rPr>
              <w:t>Greenlawn Plaza</w:t>
            </w:r>
          </w:p>
        </w:tc>
        <w:tc>
          <w:tcPr>
            <w:tcW w:w="2660" w:type="dxa"/>
            <w:vAlign w:val="bottom"/>
            <w:gridSpan w:val="4"/>
            <w:shd w:val="clear" w:color="auto" w:fill="CCEEFF"/>
          </w:tcPr>
          <w:p>
            <w:pPr>
              <w:ind w:left="40"/>
              <w:spacing w:after="0" w:line="128" w:lineRule="exact"/>
              <w:rPr>
                <w:sz w:val="20"/>
                <w:szCs w:val="20"/>
                <w:color w:val="auto"/>
              </w:rPr>
            </w:pPr>
            <w:r>
              <w:rPr>
                <w:rFonts w:ascii="Arial" w:cs="Arial" w:eastAsia="Arial" w:hAnsi="Arial"/>
                <w:sz w:val="12"/>
                <w:szCs w:val="12"/>
                <w:color w:val="auto"/>
              </w:rPr>
              <w:t>Nassau-Suffolk, NY</w:t>
            </w:r>
          </w:p>
        </w:tc>
        <w:tc>
          <w:tcPr>
            <w:tcW w:w="780" w:type="dxa"/>
            <w:vAlign w:val="bottom"/>
            <w:gridSpan w:val="2"/>
            <w:shd w:val="clear" w:color="auto" w:fill="CCEEFF"/>
          </w:tcPr>
          <w:p>
            <w:pPr>
              <w:jc w:val="right"/>
              <w:ind w:right="200"/>
              <w:spacing w:after="0" w:line="128" w:lineRule="exact"/>
              <w:rPr>
                <w:sz w:val="20"/>
                <w:szCs w:val="20"/>
                <w:color w:val="auto"/>
              </w:rPr>
            </w:pPr>
            <w:r>
              <w:rPr>
                <w:rFonts w:ascii="Arial" w:cs="Arial" w:eastAsia="Arial" w:hAnsi="Arial"/>
                <w:sz w:val="12"/>
                <w:szCs w:val="12"/>
                <w:color w:val="auto"/>
              </w:rPr>
              <w:t>2006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20,268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13,600</w:t>
            </w:r>
          </w:p>
        </w:tc>
        <w:tc>
          <w:tcPr>
            <w:tcW w:w="4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6"/>
              </w:rPr>
              <w:t>106,000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97%</w:t>
            </w:r>
          </w:p>
        </w:tc>
        <w:tc>
          <w:tcPr>
            <w:tcW w:w="48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46,000</w:t>
            </w:r>
          </w:p>
        </w:tc>
        <w:tc>
          <w:tcPr>
            <w:tcW w:w="960" w:type="dxa"/>
            <w:vAlign w:val="bottom"/>
            <w:gridSpan w:val="2"/>
            <w:shd w:val="clear" w:color="auto" w:fill="CCEEFF"/>
          </w:tcPr>
          <w:p>
            <w:pPr>
              <w:ind w:left="60"/>
              <w:spacing w:after="0" w:line="128" w:lineRule="exact"/>
              <w:rPr>
                <w:sz w:val="20"/>
                <w:szCs w:val="20"/>
                <w:color w:val="auto"/>
              </w:rPr>
            </w:pPr>
            <w:r>
              <w:rPr>
                <w:rFonts w:ascii="Arial" w:cs="Arial" w:eastAsia="Arial" w:hAnsi="Arial"/>
                <w:sz w:val="12"/>
                <w:szCs w:val="12"/>
                <w:color w:val="auto"/>
              </w:rPr>
              <w:t>Waldbaum’s</w:t>
            </w:r>
          </w:p>
        </w:tc>
        <w:tc>
          <w:tcPr>
            <w:tcW w:w="2320" w:type="dxa"/>
            <w:vAlign w:val="bottom"/>
            <w:gridSpan w:val="2"/>
            <w:shd w:val="clear" w:color="auto" w:fill="CCEEFF"/>
          </w:tcPr>
          <w:p>
            <w:pPr>
              <w:ind w:left="40"/>
              <w:spacing w:after="0" w:line="128" w:lineRule="exact"/>
              <w:rPr>
                <w:sz w:val="20"/>
                <w:szCs w:val="20"/>
                <w:color w:val="auto"/>
              </w:rPr>
            </w:pPr>
            <w:r>
              <w:rPr>
                <w:rFonts w:ascii="Arial" w:cs="Arial" w:eastAsia="Arial" w:hAnsi="Arial"/>
                <w:sz w:val="12"/>
                <w:szCs w:val="12"/>
                <w:color w:val="auto"/>
              </w:rPr>
              <w:t>Tuesday Morning</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Total New York / New Jersey</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20,268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106,000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97%</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480" w:type="dxa"/>
            <w:vAlign w:val="bottom"/>
            <w:gridSpan w:val="4"/>
            <w:shd w:val="clear" w:color="auto" w:fill="CCEEFF"/>
          </w:tcPr>
          <w:p>
            <w:pPr>
              <w:ind w:left="200"/>
              <w:spacing w:after="0" w:line="124" w:lineRule="exact"/>
              <w:rPr>
                <w:sz w:val="20"/>
                <w:szCs w:val="20"/>
                <w:color w:val="auto"/>
              </w:rPr>
            </w:pPr>
            <w:r>
              <w:rPr>
                <w:rFonts w:ascii="Arial" w:cs="Arial" w:eastAsia="Arial" w:hAnsi="Arial"/>
                <w:sz w:val="12"/>
                <w:szCs w:val="12"/>
                <w:b w:val="1"/>
                <w:bCs w:val="1"/>
                <w:color w:val="auto"/>
              </w:rPr>
              <w:t>New England</w:t>
            </w: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80" w:type="dxa"/>
            <w:vAlign w:val="bottom"/>
            <w:gridSpan w:val="4"/>
          </w:tcPr>
          <w:p>
            <w:pPr>
              <w:spacing w:after="0" w:line="128" w:lineRule="exact"/>
              <w:rPr>
                <w:sz w:val="20"/>
                <w:szCs w:val="20"/>
                <w:color w:val="auto"/>
              </w:rPr>
            </w:pPr>
            <w:r>
              <w:rPr>
                <w:rFonts w:ascii="Arial" w:cs="Arial" w:eastAsia="Arial" w:hAnsi="Arial"/>
                <w:sz w:val="12"/>
                <w:szCs w:val="12"/>
                <w:color w:val="auto"/>
              </w:rPr>
              <w:t>Atlantic Plaza</w:t>
            </w:r>
          </w:p>
        </w:tc>
        <w:tc>
          <w:tcPr>
            <w:tcW w:w="2660" w:type="dxa"/>
            <w:vAlign w:val="bottom"/>
            <w:gridSpan w:val="4"/>
          </w:tcPr>
          <w:p>
            <w:pPr>
              <w:ind w:left="40"/>
              <w:spacing w:after="0" w:line="128" w:lineRule="exact"/>
              <w:rPr>
                <w:sz w:val="20"/>
                <w:szCs w:val="20"/>
                <w:color w:val="auto"/>
              </w:rPr>
            </w:pPr>
            <w:r>
              <w:rPr>
                <w:rFonts w:ascii="Arial" w:cs="Arial" w:eastAsia="Arial" w:hAnsi="Arial"/>
                <w:sz w:val="12"/>
                <w:szCs w:val="12"/>
                <w:color w:val="auto"/>
                <w:w w:val="97"/>
              </w:rPr>
              <w:t>Boston-Worcester-Lawrence-Lowell-Brockton, MA</w:t>
            </w:r>
          </w:p>
        </w:tc>
        <w:tc>
          <w:tcPr>
            <w:tcW w:w="780" w:type="dxa"/>
            <w:vAlign w:val="bottom"/>
            <w:gridSpan w:val="2"/>
          </w:tcPr>
          <w:p>
            <w:pPr>
              <w:jc w:val="right"/>
              <w:ind w:right="200"/>
              <w:spacing w:after="0" w:line="128" w:lineRule="exact"/>
              <w:rPr>
                <w:sz w:val="20"/>
                <w:szCs w:val="20"/>
                <w:color w:val="auto"/>
              </w:rPr>
            </w:pPr>
            <w:r>
              <w:rPr>
                <w:rFonts w:ascii="Arial" w:cs="Arial" w:eastAsia="Arial" w:hAnsi="Arial"/>
                <w:sz w:val="12"/>
                <w:szCs w:val="12"/>
                <w:color w:val="auto"/>
              </w:rPr>
              <w:t>2004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18,431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10,500</w:t>
            </w:r>
          </w:p>
        </w:tc>
        <w:tc>
          <w:tcPr>
            <w:tcW w:w="440" w:type="dxa"/>
            <w:vAlign w:val="bottom"/>
          </w:tcPr>
          <w:p>
            <w:pPr>
              <w:jc w:val="right"/>
              <w:spacing w:after="0" w:line="128" w:lineRule="exact"/>
              <w:rPr>
                <w:sz w:val="20"/>
                <w:szCs w:val="20"/>
                <w:color w:val="auto"/>
              </w:rPr>
            </w:pPr>
            <w:r>
              <w:rPr>
                <w:rFonts w:ascii="Arial" w:cs="Arial" w:eastAsia="Arial" w:hAnsi="Arial"/>
                <w:sz w:val="12"/>
                <w:szCs w:val="12"/>
                <w:color w:val="auto"/>
                <w:w w:val="96"/>
              </w:rPr>
              <w:t>123,000</w:t>
            </w:r>
          </w:p>
        </w:tc>
        <w:tc>
          <w:tcPr>
            <w:tcW w:w="60" w:type="dxa"/>
            <w:vAlign w:val="bottom"/>
          </w:tcPr>
          <w:p>
            <w:pPr>
              <w:spacing w:after="0"/>
              <w:rPr>
                <w:sz w:val="11"/>
                <w:szCs w:val="11"/>
                <w:color w:val="auto"/>
              </w:rPr>
            </w:pPr>
          </w:p>
        </w:tc>
        <w:tc>
          <w:tcPr>
            <w:tcW w:w="600" w:type="dxa"/>
            <w:vAlign w:val="bottom"/>
            <w:gridSpan w:val="3"/>
          </w:tcPr>
          <w:p>
            <w:pPr>
              <w:jc w:val="right"/>
              <w:ind w:right="80"/>
              <w:spacing w:after="0" w:line="128" w:lineRule="exact"/>
              <w:rPr>
                <w:sz w:val="20"/>
                <w:szCs w:val="20"/>
                <w:color w:val="auto"/>
              </w:rPr>
            </w:pPr>
            <w:r>
              <w:rPr>
                <w:rFonts w:ascii="Arial" w:cs="Arial" w:eastAsia="Arial" w:hAnsi="Arial"/>
                <w:sz w:val="12"/>
                <w:szCs w:val="12"/>
                <w:color w:val="auto"/>
              </w:rPr>
              <w:t>87%</w:t>
            </w:r>
          </w:p>
        </w:tc>
        <w:tc>
          <w:tcPr>
            <w:tcW w:w="48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64,000</w:t>
            </w: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Stop &amp; Shop</w:t>
            </w:r>
          </w:p>
        </w:tc>
        <w:tc>
          <w:tcPr>
            <w:tcW w:w="2320" w:type="dxa"/>
            <w:vAlign w:val="bottom"/>
            <w:gridSpan w:val="2"/>
          </w:tcPr>
          <w:p>
            <w:pPr>
              <w:ind w:left="40"/>
              <w:spacing w:after="0" w:line="128" w:lineRule="exact"/>
              <w:rPr>
                <w:sz w:val="20"/>
                <w:szCs w:val="20"/>
                <w:color w:val="auto"/>
              </w:rPr>
            </w:pPr>
            <w:r>
              <w:rPr>
                <w:rFonts w:ascii="Arial" w:cs="Arial" w:eastAsia="Arial" w:hAnsi="Arial"/>
                <w:sz w:val="12"/>
                <w:szCs w:val="12"/>
                <w:color w:val="auto"/>
              </w:rPr>
              <w:t>Sears</w:t>
            </w:r>
          </w:p>
        </w:tc>
        <w:tc>
          <w:tcPr>
            <w:tcW w:w="0" w:type="dxa"/>
            <w:vAlign w:val="bottom"/>
          </w:tcPr>
          <w:p>
            <w:pPr>
              <w:spacing w:after="0"/>
              <w:rPr>
                <w:sz w:val="1"/>
                <w:szCs w:val="1"/>
                <w:color w:val="auto"/>
              </w:rPr>
            </w:pPr>
          </w:p>
        </w:tc>
      </w:tr>
      <w:tr>
        <w:trPr>
          <w:trHeight w:val="136"/>
        </w:trPr>
        <w:tc>
          <w:tcPr>
            <w:tcW w:w="148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Campus Plaza</w:t>
            </w:r>
          </w:p>
        </w:tc>
        <w:tc>
          <w:tcPr>
            <w:tcW w:w="2660" w:type="dxa"/>
            <w:vAlign w:val="bottom"/>
            <w:gridSpan w:val="4"/>
            <w:shd w:val="clear" w:color="auto" w:fill="CCEEFF"/>
          </w:tcPr>
          <w:p>
            <w:pPr>
              <w:ind w:left="40"/>
              <w:spacing w:after="0" w:line="136" w:lineRule="exact"/>
              <w:rPr>
                <w:sz w:val="20"/>
                <w:szCs w:val="20"/>
                <w:color w:val="auto"/>
              </w:rPr>
            </w:pPr>
            <w:r>
              <w:rPr>
                <w:rFonts w:ascii="Arial" w:cs="Arial" w:eastAsia="Arial" w:hAnsi="Arial"/>
                <w:sz w:val="12"/>
                <w:szCs w:val="12"/>
                <w:color w:val="auto"/>
                <w:w w:val="97"/>
              </w:rPr>
              <w:t>Boston-Worcester-Lawrence-Lowell-Brockton, MA</w:t>
            </w:r>
          </w:p>
        </w:tc>
        <w:tc>
          <w:tcPr>
            <w:tcW w:w="7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2004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22,419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w w:val="96"/>
              </w:rPr>
              <w:t>118,000</w:t>
            </w:r>
          </w:p>
        </w:tc>
        <w:tc>
          <w:tcPr>
            <w:tcW w:w="60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97%</w:t>
            </w:r>
          </w:p>
        </w:tc>
        <w:tc>
          <w:tcPr>
            <w:tcW w:w="4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46,000</w:t>
            </w:r>
          </w:p>
        </w:tc>
        <w:tc>
          <w:tcPr>
            <w:tcW w:w="96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rPr>
              <w:t>Roche Brothers</w:t>
            </w:r>
          </w:p>
        </w:tc>
        <w:tc>
          <w:tcPr>
            <w:tcW w:w="23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Burlington Coat Factory</w:t>
            </w:r>
          </w:p>
        </w:tc>
        <w:tc>
          <w:tcPr>
            <w:tcW w:w="0" w:type="dxa"/>
            <w:vAlign w:val="bottom"/>
          </w:tcPr>
          <w:p>
            <w:pPr>
              <w:spacing w:after="0"/>
              <w:rPr>
                <w:sz w:val="1"/>
                <w:szCs w:val="1"/>
                <w:color w:val="auto"/>
              </w:rPr>
            </w:pPr>
          </w:p>
        </w:tc>
      </w:tr>
      <w:tr>
        <w:trPr>
          <w:trHeight w:val="136"/>
        </w:trPr>
        <w:tc>
          <w:tcPr>
            <w:tcW w:w="1480" w:type="dxa"/>
            <w:vAlign w:val="bottom"/>
            <w:gridSpan w:val="4"/>
          </w:tcPr>
          <w:p>
            <w:pPr>
              <w:spacing w:after="0" w:line="136" w:lineRule="exact"/>
              <w:rPr>
                <w:sz w:val="20"/>
                <w:szCs w:val="20"/>
                <w:color w:val="auto"/>
              </w:rPr>
            </w:pPr>
            <w:r>
              <w:rPr>
                <w:rFonts w:ascii="Arial" w:cs="Arial" w:eastAsia="Arial" w:hAnsi="Arial"/>
                <w:sz w:val="12"/>
                <w:szCs w:val="12"/>
                <w:color w:val="auto"/>
              </w:rPr>
              <w:t>Pleasant Shops</w:t>
            </w:r>
          </w:p>
        </w:tc>
        <w:tc>
          <w:tcPr>
            <w:tcW w:w="2660" w:type="dxa"/>
            <w:vAlign w:val="bottom"/>
            <w:gridSpan w:val="4"/>
          </w:tcPr>
          <w:p>
            <w:pPr>
              <w:ind w:left="40"/>
              <w:spacing w:after="0" w:line="136" w:lineRule="exact"/>
              <w:rPr>
                <w:sz w:val="20"/>
                <w:szCs w:val="20"/>
                <w:color w:val="auto"/>
              </w:rPr>
            </w:pPr>
            <w:r>
              <w:rPr>
                <w:rFonts w:ascii="Arial" w:cs="Arial" w:eastAsia="Arial" w:hAnsi="Arial"/>
                <w:sz w:val="12"/>
                <w:szCs w:val="12"/>
                <w:color w:val="auto"/>
                <w:w w:val="97"/>
              </w:rPr>
              <w:t>Boston-Worcester-Lawrence-Lowell-Brockton, MA</w:t>
            </w:r>
          </w:p>
        </w:tc>
        <w:tc>
          <w:tcPr>
            <w:tcW w:w="7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23,284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w w:val="96"/>
              </w:rPr>
              <w:t>129,000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94%</w:t>
            </w:r>
          </w:p>
        </w:tc>
        <w:tc>
          <w:tcPr>
            <w:tcW w:w="4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38,000</w:t>
            </w:r>
          </w:p>
        </w:tc>
        <w:tc>
          <w:tcPr>
            <w:tcW w:w="96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Foodmaster</w:t>
            </w:r>
          </w:p>
        </w:tc>
        <w:tc>
          <w:tcPr>
            <w:tcW w:w="232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Marshalls</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20" w:type="dxa"/>
            <w:vAlign w:val="bottom"/>
            <w:gridSpan w:val="3"/>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Total New England</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64,134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w w:val="96"/>
              </w:rPr>
              <w:t>370,000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16" w:lineRule="exact"/>
              <w:rPr>
                <w:sz w:val="20"/>
                <w:szCs w:val="20"/>
                <w:color w:val="auto"/>
              </w:rPr>
            </w:pPr>
            <w:r>
              <w:rPr>
                <w:rFonts w:ascii="Arial" w:cs="Arial" w:eastAsia="Arial" w:hAnsi="Arial"/>
                <w:sz w:val="12"/>
                <w:szCs w:val="12"/>
                <w:color w:val="auto"/>
              </w:rPr>
              <w:t>93%</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22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480" w:type="dxa"/>
            <w:vAlign w:val="bottom"/>
            <w:gridSpan w:val="4"/>
          </w:tcPr>
          <w:p>
            <w:pPr>
              <w:spacing w:after="0"/>
              <w:rPr>
                <w:sz w:val="20"/>
                <w:szCs w:val="20"/>
                <w:color w:val="auto"/>
              </w:rPr>
            </w:pPr>
            <w:r>
              <w:rPr>
                <w:rFonts w:ascii="Arial" w:cs="Arial" w:eastAsia="Arial" w:hAnsi="Arial"/>
                <w:sz w:val="12"/>
                <w:szCs w:val="12"/>
                <w:color w:val="auto"/>
              </w:rPr>
              <w:t>Grand Totals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206,256</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57,481</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951,000</w:t>
            </w:r>
          </w:p>
        </w:tc>
        <w:tc>
          <w:tcPr>
            <w:tcW w:w="6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91%</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w:t>
      </w:r>
    </w:p>
    <w:p>
      <w:pPr>
        <w:spacing w:after="0" w:line="21" w:lineRule="exact"/>
        <w:rPr>
          <w:sz w:val="20"/>
          <w:szCs w:val="20"/>
          <w:color w:val="auto"/>
        </w:rPr>
      </w:pPr>
    </w:p>
    <w:p>
      <w:pPr>
        <w:ind w:left="5641" w:right="5720" w:hanging="5641"/>
        <w:spacing w:after="0" w:line="395" w:lineRule="auto"/>
        <w:tabs>
          <w:tab w:leader="none" w:pos="463"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Grocery anchor is defined as a grocery tenant leasing 15,000 square feet or more. 25</w:t>
      </w:r>
    </w:p>
    <w:p>
      <w:pPr>
        <w:sectPr>
          <w:pgSz w:w="11900" w:h="16838" w:orient="portrait"/>
          <w:cols w:equalWidth="0" w:num="1">
            <w:col w:w="11521"/>
          </w:cols>
          <w:pgMar w:left="239" w:top="262" w:right="1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99325"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36195"/>
                    </a:xfrm>
                    <a:prstGeom prst="rect">
                      <a:avLst/>
                    </a:prstGeom>
                    <a:noFill/>
                  </pic:spPr>
                </pic:pic>
              </a:graphicData>
            </a:graphic>
          </wp:anchor>
        </w:drawing>
        <w:t>Glossary of Terms</w:t>
      </w:r>
    </w:p>
    <w:p>
      <w:pPr>
        <w:spacing w:after="0" w:line="16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is a non-GAAP measure that means net income or loss plus depreciation and amortization, net interest expense, income taxes, gain or</w:t>
      </w:r>
      <w:r>
        <w:rPr>
          <w:rFonts w:ascii="Arial" w:cs="Arial" w:eastAsia="Arial" w:hAnsi="Arial"/>
          <w:sz w:val="16"/>
          <w:szCs w:val="16"/>
          <w:b w:val="1"/>
          <w:bCs w:val="1"/>
          <w:color w:val="auto"/>
        </w:rPr>
        <w:t xml:space="preserve"> </w:t>
      </w:r>
      <w:r>
        <w:rPr>
          <w:rFonts w:ascii="Arial" w:cs="Arial" w:eastAsia="Arial" w:hAnsi="Arial"/>
          <w:sz w:val="16"/>
          <w:szCs w:val="16"/>
          <w:color w:val="auto"/>
        </w:rPr>
        <w:t>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2011 and 2010 is as follows: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4"/>
              </w:rPr>
              <w:t>Three 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9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1"/>
              </w:rPr>
              <w:t>June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left="365"/>
              <w:spacing w:after="0"/>
              <w:rPr>
                <w:sz w:val="20"/>
                <w:szCs w:val="20"/>
                <w:color w:val="auto"/>
              </w:rPr>
            </w:pPr>
            <w:r>
              <w:rPr>
                <w:rFonts w:ascii="Arial" w:cs="Arial" w:eastAsia="Arial" w:hAnsi="Arial"/>
                <w:sz w:val="12"/>
                <w:szCs w:val="12"/>
                <w:b w:val="1"/>
                <w:bCs w:val="1"/>
                <w:color w:val="auto"/>
                <w:w w:val="91"/>
              </w:rPr>
              <w:t>June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69"/>
              <w:spacing w:after="0" w:line="128" w:lineRule="exact"/>
              <w:rPr>
                <w:sz w:val="20"/>
                <w:szCs w:val="20"/>
                <w:color w:val="auto"/>
              </w:rPr>
            </w:pPr>
            <w:r>
              <w:rPr>
                <w:rFonts w:ascii="Arial" w:cs="Arial" w:eastAsia="Arial" w:hAnsi="Arial"/>
                <w:sz w:val="12"/>
                <w:szCs w:val="12"/>
                <w:b w:val="1"/>
                <w:bCs w:val="1"/>
                <w:color w:val="auto"/>
              </w:rPr>
              <w:t>2011</w:t>
            </w:r>
          </w:p>
        </w:tc>
        <w:tc>
          <w:tcPr>
            <w:tcW w:w="2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2"/>
          </w:tcPr>
          <w:p>
            <w:pPr>
              <w:jc w:val="right"/>
              <w:ind w:right="60"/>
              <w:spacing w:after="0" w:line="128" w:lineRule="exact"/>
              <w:rPr>
                <w:sz w:val="20"/>
                <w:szCs w:val="20"/>
                <w:color w:val="auto"/>
              </w:rPr>
            </w:pPr>
            <w:r>
              <w:rPr>
                <w:rFonts w:ascii="Arial" w:cs="Arial" w:eastAsia="Arial" w:hAnsi="Arial"/>
                <w:sz w:val="12"/>
                <w:szCs w:val="12"/>
                <w:b w:val="1"/>
                <w:bCs w:val="1"/>
                <w:color w:val="auto"/>
              </w:rPr>
              <w:t>2010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5"/>
              <w:spacing w:after="0" w:line="128" w:lineRule="exact"/>
              <w:rPr>
                <w:sz w:val="20"/>
                <w:szCs w:val="20"/>
                <w:color w:val="auto"/>
              </w:rPr>
            </w:pPr>
            <w:r>
              <w:rPr>
                <w:rFonts w:ascii="Arial" w:cs="Arial" w:eastAsia="Arial" w:hAnsi="Arial"/>
                <w:sz w:val="12"/>
                <w:szCs w:val="12"/>
                <w:b w:val="1"/>
                <w:bCs w:val="1"/>
                <w:color w:val="auto"/>
              </w:rPr>
              <w:t>2011</w:t>
            </w:r>
          </w:p>
        </w:tc>
        <w:tc>
          <w:tcPr>
            <w:tcW w:w="2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2"/>
              <w:spacing w:after="0" w:line="128" w:lineRule="exact"/>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8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89"/>
              </w:rPr>
              <w:t>(in 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tcPr>
          <w:p>
            <w:pPr>
              <w:jc w:val="center"/>
              <w:ind w:right="22"/>
              <w:spacing w:after="0" w:line="128" w:lineRule="exact"/>
              <w:rPr>
                <w:sz w:val="20"/>
                <w:szCs w:val="20"/>
                <w:color w:val="auto"/>
              </w:rPr>
            </w:pPr>
            <w:r>
              <w:rPr>
                <w:rFonts w:ascii="Arial" w:cs="Arial" w:eastAsia="Arial" w:hAnsi="Arial"/>
                <w:sz w:val="12"/>
                <w:szCs w:val="12"/>
                <w:b w:val="1"/>
                <w:bCs w:val="1"/>
                <w:color w:val="auto"/>
                <w:w w:val="91"/>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$36,471</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$32,368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32,063</w:t>
            </w: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31,178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62,632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23,905</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25,418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Early extinguishment of debt</w:t>
            </w:r>
          </w:p>
        </w:tc>
        <w:tc>
          <w:tcPr>
            <w:tcW w:w="102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(296)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Other interest income</w:t>
            </w:r>
          </w:p>
        </w:tc>
        <w:tc>
          <w:tcPr>
            <w:tcW w:w="10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1"/>
        </w:trPr>
        <w:tc>
          <w:tcPr>
            <w:tcW w:w="3060" w:type="dxa"/>
            <w:vAlign w:val="bottom"/>
            <w:gridSpan w:val="2"/>
          </w:tcPr>
          <w:p>
            <w:pPr>
              <w:spacing w:after="0"/>
              <w:rPr>
                <w:sz w:val="20"/>
                <w:szCs w:val="20"/>
                <w:color w:val="auto"/>
              </w:rPr>
            </w:pPr>
            <w:r>
              <w:rPr>
                <w:rFonts w:ascii="Arial" w:cs="Arial" w:eastAsia="Arial" w:hAnsi="Arial"/>
                <w:sz w:val="16"/>
                <w:szCs w:val="16"/>
                <w:color w:val="auto"/>
              </w:rPr>
              <w:t>EBITDA</w:t>
            </w:r>
          </w:p>
        </w:tc>
        <w:tc>
          <w:tcPr>
            <w:tcW w:w="102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180,105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176,998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Gain on deconsolidation of VIE</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(2,026)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Gain on sale of real estate</w:t>
            </w:r>
          </w:p>
        </w:tc>
        <w:tc>
          <w:tcPr>
            <w:tcW w:w="10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(1,410)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90,350</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87,521</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178,036</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175,588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The National Association of Real Estate Investment Trusts</w:t>
      </w:r>
      <w:r>
        <w:rPr>
          <w:rFonts w:ascii="Arial" w:cs="Arial" w:eastAsia="Arial" w:hAnsi="Arial"/>
          <w:sz w:val="15"/>
          <w:szCs w:val="15"/>
          <w:b w:val="1"/>
          <w:bCs w:val="1"/>
          <w:color w:val="auto"/>
        </w:rPr>
        <w:t xml:space="preserve"> </w:t>
      </w:r>
      <w:r>
        <w:rPr>
          <w:rFonts w:ascii="Arial" w:cs="Arial" w:eastAsia="Arial" w:hAnsi="Arial"/>
          <w:sz w:val="15"/>
          <w:szCs w:val="15"/>
          <w:color w:val="auto"/>
        </w:rPr>
        <w:t>(“NAREIT”)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8"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b w:val="1"/>
          <w:bCs w:val="1"/>
          <w:color w:val="auto"/>
        </w:rPr>
        <w:t xml:space="preserve">Property Operating Income: </w:t>
      </w:r>
      <w:r>
        <w:rPr>
          <w:rFonts w:ascii="Arial" w:cs="Arial" w:eastAsia="Arial" w:hAnsi="Arial"/>
          <w:sz w:val="16"/>
          <w:szCs w:val="16"/>
          <w:color w:val="auto"/>
        </w:rPr>
        <w:t>Rental income, other property income and mortgage interest income, less rental expenses and real estate taxes and excluding operating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from discontinued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Overall Portfolio: </w:t>
      </w:r>
      <w:r>
        <w:rPr>
          <w:rFonts w:ascii="Arial" w:cs="Arial" w:eastAsia="Arial" w:hAnsi="Arial"/>
          <w:sz w:val="16"/>
          <w:szCs w:val="16"/>
          <w:color w:val="auto"/>
        </w:rPr>
        <w:t>Includes all operating properties owned in reporting period.</w:t>
      </w:r>
    </w:p>
    <w:p>
      <w:pPr>
        <w:spacing w:after="0" w:line="162"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b w:val="1"/>
          <w:bCs w:val="1"/>
          <w:color w:val="auto"/>
        </w:rPr>
        <w:t xml:space="preserve">Same Center: </w:t>
      </w:r>
      <w:r>
        <w:rPr>
          <w:rFonts w:ascii="Arial" w:cs="Arial" w:eastAsia="Arial" w:hAnsi="Arial"/>
          <w:sz w:val="15"/>
          <w:szCs w:val="15"/>
          <w:color w:val="auto"/>
        </w:rPr>
        <w:t>Information provided on a same center basis is provided for only those properties that were owned and operated for the entirety of both periods being compared,</w:t>
      </w:r>
      <w:r>
        <w:rPr>
          <w:rFonts w:ascii="Arial" w:cs="Arial" w:eastAsia="Arial" w:hAnsi="Arial"/>
          <w:sz w:val="15"/>
          <w:szCs w:val="15"/>
          <w:b w:val="1"/>
          <w:bCs w:val="1"/>
          <w:color w:val="auto"/>
        </w:rPr>
        <w:t xml:space="preserve"> </w:t>
      </w:r>
      <w:r>
        <w:rPr>
          <w:rFonts w:ascii="Arial" w:cs="Arial" w:eastAsia="Arial" w:hAnsi="Arial"/>
          <w:sz w:val="15"/>
          <w:szCs w:val="15"/>
          <w:color w:val="auto"/>
        </w:rPr>
        <w:t>excludes properties that were redeveloped, expanded or under development and properties purchased or sold at any time during the periods being compared.</w:t>
      </w:r>
    </w:p>
    <w:p>
      <w:pPr>
        <w:spacing w:after="0" w:line="76"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b w:val="1"/>
          <w:bCs w:val="1"/>
          <w:color w:val="auto"/>
        </w:rPr>
        <w:t xml:space="preserve">Tenant Improvements and Incentives: </w:t>
      </w:r>
      <w:r>
        <w:rPr>
          <w:rFonts w:ascii="Arial" w:cs="Arial" w:eastAsia="Arial" w:hAnsi="Arial"/>
          <w:sz w:val="16"/>
          <w:szCs w:val="16"/>
          <w:color w:val="auto"/>
        </w:rPr>
        <w:t>Represents not only the total dollars committed for the improvement (fit-out) of a space as it relates to a specific lease but may also</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base building costs (i.e. expansion, escalators or new entrances) which are required to make the space leasable. Incentives include amounts paid to tenants as an inducement to sign a lease that do not represent building improvements.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sectPr>
      <w:pgSz w:w="11900" w:h="16838" w:orient="portrait"/>
      <w:cols w:equalWidth="0" w:num="1">
        <w:col w:w="11380"/>
      </w:cols>
      <w:pgMar w:left="240" w:top="26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3"/>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6"/>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5"/>
    </w:lvl>
  </w:abstractNum>
  <w:abstractNum w:abstractNumId="22">
    <w:nsid w:val="79838CB2"/>
    <w:multiLevelType w:val="hybridMultilevel"/>
    <w:lvl w:ilvl="0">
      <w:lvlJc w:val="left"/>
      <w:lvlText w:val="(%1)"/>
      <w:numFmt w:val="decimal"/>
      <w:start w:val="2"/>
    </w:lvl>
  </w:abstractNum>
  <w:abstractNum w:abstractNumId="23">
    <w:nsid w:val="4353D0CD"/>
    <w:multiLevelType w:val="hybridMultilevel"/>
    <w:lvl w:ilvl="0">
      <w:lvlJc w:val="left"/>
      <w:lvlText w:val="%1"/>
      <w:numFmt w:val="decimal"/>
      <w:start w:val="251"/>
    </w:lvl>
    <w:lvl w:ilvl="1">
      <w:lvlJc w:val="left"/>
      <w:lvlText w:val="(%2)"/>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2019-12-10T00:54:28Z</dcterms:created>
  <dcterms:modified xsi:type="dcterms:W3CDTF">2019-12-10T00:54:28Z</dcterms:modified>
</cp:coreProperties>
</file>