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259"/>
        <w:spacing w:after="0"/>
        <w:rPr>
          <w:sz w:val="20"/>
          <w:szCs w:val="20"/>
          <w:color w:val="auto"/>
        </w:rPr>
      </w:pPr>
      <w:r>
        <w:rPr>
          <w:rFonts w:ascii="Courier New" w:cs="Courier New" w:eastAsia="Courier New" w:hAnsi="Courier New"/>
          <w:sz w:val="17"/>
          <w:szCs w:val="17"/>
          <w:color w:val="auto"/>
        </w:rPr>
        <w:t>SECURITIES AND EXCHANGE COMMISSION</w:t>
      </w:r>
    </w:p>
    <w:p>
      <w:pPr>
        <w:spacing w:after="0" w:line="4" w:lineRule="exact"/>
        <w:rPr>
          <w:sz w:val="24"/>
          <w:szCs w:val="24"/>
          <w:color w:val="auto"/>
        </w:rPr>
      </w:pPr>
    </w:p>
    <w:p>
      <w:pPr>
        <w:jc w:val="center"/>
        <w:ind w:right="2159"/>
        <w:spacing w:after="0"/>
        <w:tabs>
          <w:tab w:leader="none" w:pos="180" w:val="left"/>
        </w:tabs>
        <w:rPr>
          <w:sz w:val="20"/>
          <w:szCs w:val="20"/>
          <w:color w:val="auto"/>
        </w:rPr>
      </w:pPr>
      <w:r>
        <w:rPr>
          <w:rFonts w:ascii="Courier New" w:cs="Courier New" w:eastAsia="Courier New" w:hAnsi="Courier New"/>
          <w:sz w:val="17"/>
          <w:szCs w:val="17"/>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4" w:lineRule="exact"/>
        <w:rPr>
          <w:sz w:val="24"/>
          <w:szCs w:val="24"/>
          <w:color w:val="auto"/>
        </w:rPr>
      </w:pPr>
    </w:p>
    <w:p>
      <w:pPr>
        <w:jc w:val="center"/>
        <w:ind w:right="2159"/>
        <w:spacing w:after="0"/>
        <w:rPr>
          <w:sz w:val="20"/>
          <w:szCs w:val="20"/>
          <w:color w:val="auto"/>
        </w:rPr>
      </w:pPr>
      <w:r>
        <w:rPr>
          <w:rFonts w:ascii="Courier New" w:cs="Courier New" w:eastAsia="Courier New" w:hAnsi="Courier New"/>
          <w:sz w:val="17"/>
          <w:szCs w:val="17"/>
          <w:color w:val="auto"/>
        </w:rPr>
        <w:t>Form 10-Q</w:t>
      </w:r>
    </w:p>
    <w:p>
      <w:pPr>
        <w:spacing w:after="0" w:line="396" w:lineRule="exact"/>
        <w:rPr>
          <w:sz w:val="24"/>
          <w:szCs w:val="24"/>
          <w:color w:val="auto"/>
        </w:rPr>
      </w:pPr>
    </w:p>
    <w:p>
      <w:pPr>
        <w:jc w:val="center"/>
        <w:ind w:right="2259"/>
        <w:spacing w:after="0"/>
        <w:rPr>
          <w:sz w:val="20"/>
          <w:szCs w:val="20"/>
          <w:color w:val="auto"/>
        </w:rPr>
      </w:pPr>
      <w:r>
        <w:rPr>
          <w:rFonts w:ascii="Courier New" w:cs="Courier New" w:eastAsia="Courier New" w:hAnsi="Courier New"/>
          <w:sz w:val="17"/>
          <w:szCs w:val="17"/>
          <w:color w:val="auto"/>
        </w:rPr>
        <w:t>QUARTERLY REPORT UNDER SECTION 13 OR 15(d)</w:t>
      </w:r>
    </w:p>
    <w:p>
      <w:pPr>
        <w:spacing w:after="0" w:line="4" w:lineRule="exact"/>
        <w:rPr>
          <w:sz w:val="24"/>
          <w:szCs w:val="24"/>
          <w:color w:val="auto"/>
        </w:rPr>
      </w:pPr>
    </w:p>
    <w:p>
      <w:pPr>
        <w:jc w:val="center"/>
        <w:ind w:right="2259"/>
        <w:spacing w:after="0"/>
        <w:rPr>
          <w:sz w:val="20"/>
          <w:szCs w:val="20"/>
          <w:color w:val="auto"/>
        </w:rPr>
      </w:pPr>
      <w:r>
        <w:rPr>
          <w:rFonts w:ascii="Courier New" w:cs="Courier New" w:eastAsia="Courier New" w:hAnsi="Courier New"/>
          <w:sz w:val="17"/>
          <w:szCs w:val="17"/>
          <w:color w:val="auto"/>
        </w:rPr>
        <w:t>OF THE SECURITIES EXCHANGE ACT OF 1934</w:t>
      </w:r>
    </w:p>
    <w:p>
      <w:pPr>
        <w:spacing w:after="0" w:line="396" w:lineRule="exact"/>
        <w:rPr>
          <w:sz w:val="24"/>
          <w:szCs w:val="24"/>
          <w:color w:val="auto"/>
        </w:rPr>
      </w:pPr>
    </w:p>
    <w:p>
      <w:pPr>
        <w:ind w:left="2040"/>
        <w:spacing w:after="0"/>
        <w:tabs>
          <w:tab w:leader="none" w:pos="4480" w:val="left"/>
        </w:tabs>
        <w:rPr>
          <w:sz w:val="20"/>
          <w:szCs w:val="20"/>
          <w:color w:val="auto"/>
        </w:rPr>
      </w:pPr>
      <w:r>
        <w:rPr>
          <w:rFonts w:ascii="Courier New" w:cs="Courier New" w:eastAsia="Courier New" w:hAnsi="Courier New"/>
          <w:sz w:val="17"/>
          <w:szCs w:val="17"/>
          <w:color w:val="auto"/>
        </w:rPr>
        <w:t>For the Quarter Ended:</w:t>
      </w:r>
      <w:r>
        <w:rPr>
          <w:sz w:val="20"/>
          <w:szCs w:val="20"/>
          <w:color w:val="auto"/>
        </w:rPr>
        <w:tab/>
      </w:r>
      <w:r>
        <w:rPr>
          <w:rFonts w:ascii="Courier New" w:cs="Courier New" w:eastAsia="Courier New" w:hAnsi="Courier New"/>
          <w:sz w:val="16"/>
          <w:szCs w:val="16"/>
          <w:color w:val="auto"/>
        </w:rPr>
        <w:t>March 31, 1996</w:t>
      </w:r>
    </w:p>
    <w:p>
      <w:pPr>
        <w:spacing w:after="0" w:line="4" w:lineRule="exact"/>
        <w:rPr>
          <w:sz w:val="24"/>
          <w:szCs w:val="24"/>
          <w:color w:val="auto"/>
        </w:rPr>
      </w:pPr>
    </w:p>
    <w:p>
      <w:pPr>
        <w:ind w:left="2040"/>
        <w:spacing w:after="0"/>
        <w:rPr>
          <w:sz w:val="20"/>
          <w:szCs w:val="20"/>
          <w:color w:val="auto"/>
        </w:rPr>
      </w:pPr>
      <w:r>
        <w:rPr>
          <w:rFonts w:ascii="Courier New" w:cs="Courier New" w:eastAsia="Courier New" w:hAnsi="Courier New"/>
          <w:sz w:val="17"/>
          <w:szCs w:val="17"/>
          <w:color w:val="auto"/>
        </w:rPr>
        <w:t>--------------------------------------</w:t>
      </w:r>
    </w:p>
    <w:p>
      <w:pPr>
        <w:spacing w:after="0" w:line="4" w:lineRule="exact"/>
        <w:rPr>
          <w:sz w:val="24"/>
          <w:szCs w:val="24"/>
          <w:color w:val="auto"/>
        </w:rPr>
      </w:pPr>
    </w:p>
    <w:p>
      <w:pPr>
        <w:ind w:left="2660"/>
        <w:spacing w:after="0"/>
        <w:rPr>
          <w:sz w:val="20"/>
          <w:szCs w:val="20"/>
          <w:color w:val="auto"/>
        </w:rPr>
      </w:pPr>
      <w:r>
        <w:rPr>
          <w:rFonts w:ascii="Courier New" w:cs="Courier New" w:eastAsia="Courier New" w:hAnsi="Courier New"/>
          <w:sz w:val="17"/>
          <w:szCs w:val="17"/>
          <w:color w:val="auto"/>
        </w:rPr>
        <w:t>Commission File No. 1-7533</w:t>
      </w:r>
    </w:p>
    <w:p>
      <w:pPr>
        <w:spacing w:after="0" w:line="4" w:lineRule="exact"/>
        <w:rPr>
          <w:sz w:val="24"/>
          <w:szCs w:val="24"/>
          <w:color w:val="auto"/>
        </w:rPr>
      </w:pPr>
    </w:p>
    <w:p>
      <w:pPr>
        <w:ind w:left="2660"/>
        <w:spacing w:after="0"/>
        <w:rPr>
          <w:sz w:val="20"/>
          <w:szCs w:val="20"/>
          <w:color w:val="auto"/>
        </w:rPr>
      </w:pPr>
      <w:r>
        <w:rPr>
          <w:rFonts w:ascii="Courier New" w:cs="Courier New" w:eastAsia="Courier New" w:hAnsi="Courier New"/>
          <w:sz w:val="17"/>
          <w:szCs w:val="17"/>
          <w:color w:val="auto"/>
        </w:rPr>
        <w:t>--------------------------</w:t>
      </w:r>
    </w:p>
    <w:p>
      <w:pPr>
        <w:spacing w:after="0" w:line="396" w:lineRule="exact"/>
        <w:rPr>
          <w:sz w:val="24"/>
          <w:szCs w:val="24"/>
          <w:color w:val="auto"/>
        </w:rPr>
      </w:pPr>
    </w:p>
    <w:p>
      <w:pPr>
        <w:ind w:left="2460"/>
        <w:spacing w:after="0"/>
        <w:rPr>
          <w:sz w:val="20"/>
          <w:szCs w:val="20"/>
          <w:color w:val="auto"/>
        </w:rPr>
      </w:pPr>
      <w:r>
        <w:rPr>
          <w:rFonts w:ascii="Courier New" w:cs="Courier New" w:eastAsia="Courier New" w:hAnsi="Courier New"/>
          <w:sz w:val="17"/>
          <w:szCs w:val="17"/>
          <w:color w:val="auto"/>
        </w:rPr>
        <w:t>FEDERAL REALTY INVESTMENT TRUST</w:t>
      </w:r>
    </w:p>
    <w:p>
      <w:pPr>
        <w:spacing w:after="0" w:line="4" w:lineRule="exact"/>
        <w:rPr>
          <w:sz w:val="24"/>
          <w:szCs w:val="24"/>
          <w:color w:val="auto"/>
        </w:rPr>
      </w:pPr>
    </w:p>
    <w:p>
      <w:pPr>
        <w:ind w:left="2460"/>
        <w:spacing w:after="0"/>
        <w:rPr>
          <w:sz w:val="20"/>
          <w:szCs w:val="20"/>
          <w:color w:val="auto"/>
        </w:rPr>
      </w:pPr>
      <w:r>
        <w:rPr>
          <w:rFonts w:ascii="Courier New" w:cs="Courier New" w:eastAsia="Courier New" w:hAnsi="Courier New"/>
          <w:sz w:val="17"/>
          <w:szCs w:val="17"/>
          <w:color w:val="auto"/>
        </w:rPr>
        <w:t>-------------------------------</w:t>
      </w:r>
    </w:p>
    <w:p>
      <w:pPr>
        <w:spacing w:after="0" w:line="4" w:lineRule="exact"/>
        <w:rPr>
          <w:sz w:val="24"/>
          <w:szCs w:val="24"/>
          <w:color w:val="auto"/>
        </w:rPr>
      </w:pPr>
    </w:p>
    <w:p>
      <w:pPr>
        <w:ind w:left="1220"/>
        <w:spacing w:after="0"/>
        <w:rPr>
          <w:sz w:val="20"/>
          <w:szCs w:val="20"/>
          <w:color w:val="auto"/>
        </w:rPr>
      </w:pPr>
      <w:r>
        <w:rPr>
          <w:rFonts w:ascii="Courier New" w:cs="Courier New" w:eastAsia="Courier New" w:hAnsi="Courier New"/>
          <w:sz w:val="17"/>
          <w:szCs w:val="17"/>
          <w:color w:val="auto"/>
        </w:rPr>
        <w:t>(Exact name of registrant as specified in its charter)</w:t>
      </w:r>
    </w:p>
    <w:p>
      <w:pPr>
        <w:spacing w:after="0" w:line="396" w:lineRule="exact"/>
        <w:rPr>
          <w:sz w:val="24"/>
          <w:szCs w:val="24"/>
          <w:color w:val="auto"/>
        </w:rPr>
      </w:pPr>
    </w:p>
    <w:tbl>
      <w:tblPr>
        <w:tblLayout w:type="fixed"/>
        <w:tblInd w:w="620" w:type="dxa"/>
        <w:tblCellMar>
          <w:top w:w="0" w:type="dxa"/>
          <w:left w:w="0" w:type="dxa"/>
          <w:bottom w:w="0" w:type="dxa"/>
          <w:right w:w="0" w:type="dxa"/>
        </w:tblCellMar>
      </w:tblPr>
      <w:tr>
        <w:trPr>
          <w:trHeight w:val="193"/>
        </w:trPr>
        <w:tc>
          <w:tcPr>
            <w:tcW w:w="3260" w:type="dxa"/>
            <w:vAlign w:val="bottom"/>
          </w:tcPr>
          <w:p>
            <w:pPr>
              <w:spacing w:after="0"/>
              <w:rPr>
                <w:sz w:val="20"/>
                <w:szCs w:val="20"/>
                <w:color w:val="auto"/>
              </w:rPr>
            </w:pPr>
            <w:r>
              <w:rPr>
                <w:rFonts w:ascii="Courier New" w:cs="Courier New" w:eastAsia="Courier New" w:hAnsi="Courier New"/>
                <w:sz w:val="17"/>
                <w:szCs w:val="17"/>
                <w:color w:val="auto"/>
              </w:rPr>
              <w:t>District of Columbia</w:t>
            </w:r>
          </w:p>
        </w:tc>
        <w:tc>
          <w:tcPr>
            <w:tcW w:w="2240" w:type="dxa"/>
            <w:vAlign w:val="bottom"/>
          </w:tcPr>
          <w:p>
            <w:pPr>
              <w:jc w:val="right"/>
              <w:spacing w:after="0"/>
              <w:rPr>
                <w:sz w:val="20"/>
                <w:szCs w:val="20"/>
                <w:color w:val="auto"/>
              </w:rPr>
            </w:pPr>
            <w:r>
              <w:rPr>
                <w:rFonts w:ascii="Courier New" w:cs="Courier New" w:eastAsia="Courier New" w:hAnsi="Courier New"/>
                <w:sz w:val="17"/>
                <w:szCs w:val="17"/>
                <w:color w:val="auto"/>
              </w:rPr>
              <w:t>52-0782497</w:t>
            </w:r>
          </w:p>
        </w:tc>
      </w:tr>
    </w:tbl>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389" w:lineRule="exact"/>
        <w:rPr>
          <w:sz w:val="24"/>
          <w:szCs w:val="24"/>
          <w:color w:val="auto"/>
        </w:rPr>
      </w:pPr>
    </w:p>
    <w:p>
      <w:pPr>
        <w:ind w:left="100" w:right="3679" w:hanging="101"/>
        <w:spacing w:after="0" w:line="243" w:lineRule="auto"/>
        <w:rPr>
          <w:sz w:val="20"/>
          <w:szCs w:val="20"/>
          <w:color w:val="auto"/>
        </w:rPr>
      </w:pPr>
      <w:r>
        <w:rPr>
          <w:rFonts w:ascii="Courier New" w:cs="Courier New" w:eastAsia="Courier New" w:hAnsi="Courier New"/>
          <w:sz w:val="17"/>
          <w:szCs w:val="17"/>
          <w:color w:val="auto"/>
        </w:rPr>
        <w:t>(State or other jurisdiction of</w:t>
      </w:r>
      <w:r>
        <w:rPr>
          <w:sz w:val="20"/>
          <w:szCs w:val="20"/>
          <w:color w:val="auto"/>
        </w:rPr>
        <w:t xml:space="preserve"> </w:t>
      </w:r>
      <w:r>
        <w:rPr>
          <w:rFonts w:ascii="Courier New" w:cs="Courier New" w:eastAsia="Courier New" w:hAnsi="Courier New"/>
          <w:sz w:val="17"/>
          <w:szCs w:val="17"/>
          <w:color w:val="auto"/>
        </w:rPr>
        <w:t>(I.R.S. Employer incorporation or organization) Identification No.)</w:t>
      </w:r>
    </w:p>
    <w:p>
      <w:pPr>
        <w:spacing w:after="0" w:line="394" w:lineRule="exact"/>
        <w:rPr>
          <w:sz w:val="24"/>
          <w:szCs w:val="24"/>
          <w:color w:val="auto"/>
        </w:rPr>
      </w:pPr>
    </w:p>
    <w:p>
      <w:pPr>
        <w:ind w:left="1120"/>
        <w:spacing w:after="0"/>
        <w:tabs>
          <w:tab w:leader="none" w:pos="6200" w:val="left"/>
        </w:tabs>
        <w:rPr>
          <w:sz w:val="20"/>
          <w:szCs w:val="20"/>
          <w:color w:val="auto"/>
        </w:rPr>
      </w:pPr>
      <w:r>
        <w:rPr>
          <w:rFonts w:ascii="Courier New" w:cs="Courier New" w:eastAsia="Courier New" w:hAnsi="Courier New"/>
          <w:sz w:val="17"/>
          <w:szCs w:val="17"/>
          <w:color w:val="auto"/>
        </w:rPr>
        <w:t>4800 Hampden Lane, Suite 500, Bethesda, Maryland</w:t>
        <w:tab/>
        <w:t>20814</w:t>
      </w:r>
    </w:p>
    <w:p>
      <w:pPr>
        <w:spacing w:after="0" w:line="4" w:lineRule="exact"/>
        <w:rPr>
          <w:sz w:val="24"/>
          <w:szCs w:val="24"/>
          <w:color w:val="auto"/>
        </w:rPr>
      </w:pPr>
    </w:p>
    <w:p>
      <w:pPr>
        <w:ind w:left="1120"/>
        <w:spacing w:after="0"/>
        <w:rPr>
          <w:sz w:val="20"/>
          <w:szCs w:val="20"/>
          <w:color w:val="auto"/>
        </w:rPr>
      </w:pPr>
      <w:r>
        <w:rPr>
          <w:rFonts w:ascii="Courier New" w:cs="Courier New" w:eastAsia="Courier New" w:hAnsi="Courier New"/>
          <w:sz w:val="17"/>
          <w:szCs w:val="17"/>
          <w:color w:val="auto"/>
        </w:rPr>
        <w:t>-------------------------------------------------------</w:t>
      </w:r>
    </w:p>
    <w:p>
      <w:pPr>
        <w:spacing w:after="0" w:line="4" w:lineRule="exact"/>
        <w:rPr>
          <w:sz w:val="24"/>
          <w:szCs w:val="24"/>
          <w:color w:val="auto"/>
        </w:rPr>
      </w:pPr>
    </w:p>
    <w:p>
      <w:pPr>
        <w:ind w:left="1220"/>
        <w:spacing w:after="0"/>
        <w:tabs>
          <w:tab w:leader="none" w:pos="5700" w:val="left"/>
        </w:tabs>
        <w:rPr>
          <w:sz w:val="20"/>
          <w:szCs w:val="20"/>
          <w:color w:val="auto"/>
        </w:rPr>
      </w:pPr>
      <w:r>
        <w:rPr>
          <w:rFonts w:ascii="Courier New" w:cs="Courier New" w:eastAsia="Courier New" w:hAnsi="Courier New"/>
          <w:sz w:val="17"/>
          <w:szCs w:val="17"/>
          <w:color w:val="auto"/>
        </w:rPr>
        <w:t>(Address of principal executive offices)</w:t>
      </w:r>
      <w:r>
        <w:rPr>
          <w:sz w:val="20"/>
          <w:szCs w:val="20"/>
          <w:color w:val="auto"/>
        </w:rPr>
        <w:tab/>
      </w:r>
      <w:r>
        <w:rPr>
          <w:rFonts w:ascii="Courier New" w:cs="Courier New" w:eastAsia="Courier New" w:hAnsi="Courier New"/>
          <w:sz w:val="16"/>
          <w:szCs w:val="16"/>
          <w:color w:val="auto"/>
        </w:rPr>
        <w:t>(Zip Code)</w:t>
      </w:r>
    </w:p>
    <w:p>
      <w:pPr>
        <w:spacing w:after="0" w:line="396" w:lineRule="exact"/>
        <w:rPr>
          <w:sz w:val="24"/>
          <w:szCs w:val="24"/>
          <w:color w:val="auto"/>
        </w:rPr>
      </w:pPr>
    </w:p>
    <w:p>
      <w:pPr>
        <w:ind w:left="3880" w:hanging="611"/>
        <w:spacing w:after="0"/>
        <w:tabs>
          <w:tab w:leader="none" w:pos="3880" w:val="left"/>
        </w:tabs>
        <w:numPr>
          <w:ilvl w:val="1"/>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652-3360</w:t>
      </w:r>
    </w:p>
    <w:p>
      <w:pPr>
        <w:spacing w:after="0" w:line="3" w:lineRule="exact"/>
        <w:rPr>
          <w:rFonts w:ascii="Courier New" w:cs="Courier New" w:eastAsia="Courier New" w:hAnsi="Courier New"/>
          <w:sz w:val="17"/>
          <w:szCs w:val="17"/>
          <w:color w:val="auto"/>
        </w:rPr>
      </w:pPr>
    </w:p>
    <w:p>
      <w:pPr>
        <w:ind w:left="200" w:hanging="195"/>
        <w:spacing w:after="0"/>
        <w:tabs>
          <w:tab w:leader="none" w:pos="20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3" w:lineRule="exact"/>
        <w:rPr>
          <w:rFonts w:ascii="Courier New" w:cs="Courier New" w:eastAsia="Courier New" w:hAnsi="Courier New"/>
          <w:sz w:val="17"/>
          <w:szCs w:val="17"/>
          <w:color w:val="auto"/>
        </w:rPr>
      </w:pPr>
    </w:p>
    <w:p>
      <w:pPr>
        <w:ind w:left="13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(Registrant's telephone number, including area code)</w:t>
      </w:r>
    </w:p>
    <w:p>
      <w:pPr>
        <w:spacing w:after="0" w:line="201" w:lineRule="exact"/>
        <w:rPr>
          <w:sz w:val="24"/>
          <w:szCs w:val="24"/>
          <w:color w:val="auto"/>
        </w:rPr>
      </w:pPr>
    </w:p>
    <w:p>
      <w:pPr>
        <w:ind w:right="2159" w:firstLine="510"/>
        <w:spacing w:after="0" w:line="244" w:lineRule="auto"/>
        <w:rPr>
          <w:sz w:val="20"/>
          <w:szCs w:val="20"/>
          <w:color w:val="auto"/>
        </w:rPr>
      </w:pPr>
      <w:r>
        <w:rPr>
          <w:rFonts w:ascii="Courier New" w:cs="Courier New" w:eastAsia="Courier New" w:hAnsi="Courier New"/>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ectPr>
          <w:pgSz w:w="11900" w:h="16838" w:orient="portrait"/>
          <w:cols w:equalWidth="0" w:num="1">
            <w:col w:w="10219"/>
          </w:cols>
          <w:pgMar w:left="240" w:top="638" w:right="1440" w:bottom="1440" w:gutter="0" w:footer="0" w:header="0"/>
        </w:sectPr>
      </w:pPr>
    </w:p>
    <w:p>
      <w:pPr>
        <w:spacing w:after="0" w:line="198" w:lineRule="exact"/>
        <w:rPr>
          <w:sz w:val="24"/>
          <w:szCs w:val="24"/>
          <w:color w:val="auto"/>
        </w:rPr>
      </w:pPr>
    </w:p>
    <w:p>
      <w:pPr>
        <w:ind w:left="520"/>
        <w:spacing w:after="0"/>
        <w:rPr>
          <w:sz w:val="20"/>
          <w:szCs w:val="20"/>
          <w:color w:val="auto"/>
        </w:rPr>
      </w:pPr>
      <w:r>
        <w:rPr>
          <w:rFonts w:ascii="Courier New" w:cs="Courier New" w:eastAsia="Courier New" w:hAnsi="Courier New"/>
          <w:sz w:val="16"/>
          <w:szCs w:val="16"/>
          <w:color w:val="auto"/>
        </w:rPr>
        <w:t>Yes</w:t>
      </w:r>
    </w:p>
    <w:p>
      <w:pPr>
        <w:spacing w:after="0" w:line="20" w:lineRule="exact"/>
        <w:rPr>
          <w:sz w:val="24"/>
          <w:szCs w:val="24"/>
          <w:color w:val="auto"/>
        </w:rPr>
      </w:pPr>
      <w:r>
        <w:rPr>
          <w:sz w:val="24"/>
          <w:szCs w:val="24"/>
          <w:color w:val="auto"/>
        </w:rPr>
        <w:br w:type="column"/>
      </w:r>
    </w:p>
    <w:p>
      <w:pPr>
        <w:spacing w:after="0" w:line="177" w:lineRule="exact"/>
        <w:rPr>
          <w:sz w:val="24"/>
          <w:szCs w:val="24"/>
          <w:color w:val="auto"/>
        </w:rPr>
      </w:pPr>
    </w:p>
    <w:p>
      <w:pPr>
        <w:jc w:val="center"/>
        <w:spacing w:after="0"/>
        <w:rPr>
          <w:sz w:val="20"/>
          <w:szCs w:val="20"/>
          <w:color w:val="auto"/>
        </w:rPr>
      </w:pPr>
      <w:r>
        <w:rPr>
          <w:rFonts w:ascii="Courier New" w:cs="Courier New" w:eastAsia="Courier New" w:hAnsi="Courier New"/>
          <w:sz w:val="17"/>
          <w:szCs w:val="17"/>
          <w:color w:val="auto"/>
        </w:rPr>
        <w:t>X</w:t>
      </w:r>
    </w:p>
    <w:p>
      <w:pPr>
        <w:spacing w:after="0" w:line="4" w:lineRule="exact"/>
        <w:rPr>
          <w:sz w:val="24"/>
          <w:szCs w:val="24"/>
          <w:color w:val="auto"/>
        </w:rPr>
      </w:pPr>
    </w:p>
    <w:p>
      <w:pPr>
        <w:jc w:val="center"/>
        <w:spacing w:after="0"/>
        <w:rPr>
          <w:sz w:val="20"/>
          <w:szCs w:val="20"/>
          <w:color w:val="auto"/>
        </w:rPr>
      </w:pPr>
      <w:r>
        <w:rPr>
          <w:rFonts w:ascii="Courier New" w:cs="Courier New" w:eastAsia="Courier New" w:hAnsi="Courier New"/>
          <w:sz w:val="17"/>
          <w:szCs w:val="17"/>
          <w:color w:val="auto"/>
        </w:rPr>
        <w:t>-----</w:t>
      </w:r>
    </w:p>
    <w:p>
      <w:pPr>
        <w:spacing w:after="0" w:line="20" w:lineRule="exact"/>
        <w:rPr>
          <w:sz w:val="24"/>
          <w:szCs w:val="24"/>
          <w:color w:val="auto"/>
        </w:rPr>
      </w:pPr>
      <w:r>
        <w:rPr>
          <w:sz w:val="24"/>
          <w:szCs w:val="24"/>
          <w:color w:val="auto"/>
        </w:rPr>
        <w:br w:type="column"/>
      </w:r>
    </w:p>
    <w:p>
      <w:pPr>
        <w:spacing w:after="0" w:line="17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line="17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No</w:t>
      </w:r>
    </w:p>
    <w:p>
      <w:pPr>
        <w:spacing w:after="0" w:line="20" w:lineRule="exact"/>
        <w:rPr>
          <w:sz w:val="24"/>
          <w:szCs w:val="24"/>
          <w:color w:val="auto"/>
        </w:rPr>
      </w:pPr>
      <w:r>
        <w:rPr>
          <w:sz w:val="24"/>
          <w:szCs w:val="24"/>
          <w:color w:val="auto"/>
        </w:rPr>
        <w:br w:type="column"/>
      </w:r>
    </w:p>
    <w:p>
      <w:pPr>
        <w:spacing w:after="0" w:line="37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line="177"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396" w:lineRule="exact"/>
        <w:rPr>
          <w:sz w:val="24"/>
          <w:szCs w:val="24"/>
          <w:color w:val="auto"/>
        </w:rPr>
      </w:pPr>
    </w:p>
    <w:p>
      <w:pPr>
        <w:sectPr>
          <w:pgSz w:w="11900" w:h="16838" w:orient="portrait"/>
          <w:cols w:equalWidth="0" w:num="6">
            <w:col w:w="820" w:space="100"/>
            <w:col w:w="520" w:space="0"/>
            <w:col w:w="300" w:space="720"/>
            <w:col w:w="200" w:space="100"/>
            <w:col w:w="500" w:space="0"/>
            <w:col w:w="6959"/>
          </w:cols>
          <w:pgMar w:left="240" w:top="638" w:right="1440" w:bottom="1440" w:gutter="0" w:footer="0" w:header="0"/>
          <w:type w:val="continuous"/>
        </w:sectPr>
      </w:pPr>
    </w:p>
    <w:p>
      <w:pPr>
        <w:spacing w:after="0" w:line="1" w:lineRule="exact"/>
        <w:rPr>
          <w:sz w:val="24"/>
          <w:szCs w:val="24"/>
          <w:color w:val="auto"/>
        </w:rPr>
      </w:pPr>
    </w:p>
    <w:p>
      <w:pPr>
        <w:ind w:right="2259" w:firstLine="510"/>
        <w:spacing w:after="0" w:line="243" w:lineRule="auto"/>
        <w:rPr>
          <w:sz w:val="20"/>
          <w:szCs w:val="20"/>
          <w:color w:val="auto"/>
        </w:rPr>
      </w:pPr>
      <w:r>
        <w:rPr>
          <w:rFonts w:ascii="Courier New" w:cs="Courier New" w:eastAsia="Courier New" w:hAnsi="Courier New"/>
          <w:sz w:val="17"/>
          <w:szCs w:val="17"/>
          <w:color w:val="auto"/>
        </w:rPr>
        <w:t>Indicate the number of shares outstanding of each of the issuer's classes of common stock, as of the latest practicable date.</w:t>
      </w:r>
    </w:p>
    <w:p>
      <w:pPr>
        <w:sectPr>
          <w:pgSz w:w="11900" w:h="16838" w:orient="portrait"/>
          <w:cols w:equalWidth="0" w:num="1">
            <w:col w:w="10219"/>
          </w:cols>
          <w:pgMar w:left="240" w:top="638" w:right="1440" w:bottom="1440" w:gutter="0" w:footer="0" w:header="0"/>
          <w:type w:val="continuous"/>
        </w:sectPr>
      </w:pPr>
    </w:p>
    <w:p>
      <w:pPr>
        <w:spacing w:after="0" w:line="394" w:lineRule="exact"/>
        <w:rPr>
          <w:sz w:val="24"/>
          <w:szCs w:val="24"/>
          <w:color w:val="auto"/>
        </w:rPr>
      </w:pPr>
    </w:p>
    <w:p>
      <w:pPr>
        <w:ind w:left="920"/>
        <w:spacing w:after="0"/>
        <w:rPr>
          <w:sz w:val="20"/>
          <w:szCs w:val="20"/>
          <w:color w:val="auto"/>
        </w:rPr>
      </w:pPr>
      <w:r>
        <w:rPr>
          <w:rFonts w:ascii="Courier New" w:cs="Courier New" w:eastAsia="Courier New" w:hAnsi="Courier New"/>
          <w:sz w:val="17"/>
          <w:szCs w:val="17"/>
          <w:color w:val="auto"/>
        </w:rPr>
        <w:t>Class</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Common Shares of Beneficial Interest</w:t>
      </w:r>
    </w:p>
    <w:p>
      <w:pPr>
        <w:spacing w:after="0" w:line="20" w:lineRule="exact"/>
        <w:rPr>
          <w:sz w:val="24"/>
          <w:szCs w:val="24"/>
          <w:color w:val="auto"/>
        </w:rPr>
      </w:pPr>
      <w:r>
        <w:rPr>
          <w:sz w:val="24"/>
          <w:szCs w:val="24"/>
          <w:color w:val="auto"/>
        </w:rPr>
        <w:br w:type="column"/>
      </w:r>
    </w:p>
    <w:p>
      <w:pPr>
        <w:spacing w:after="0" w:line="374"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Outstanding at May 6, 1996</w:t>
      </w:r>
    </w:p>
    <w:p>
      <w:pPr>
        <w:spacing w:after="0" w:line="4" w:lineRule="exact"/>
        <w:rPr>
          <w:sz w:val="24"/>
          <w:szCs w:val="24"/>
          <w:color w:val="auto"/>
        </w:rPr>
      </w:pPr>
    </w:p>
    <w:p>
      <w:pPr>
        <w:ind w:left="200"/>
        <w:spacing w:after="0"/>
        <w:rPr>
          <w:sz w:val="20"/>
          <w:szCs w:val="20"/>
          <w:color w:val="auto"/>
        </w:rPr>
      </w:pPr>
      <w:r>
        <w:rPr>
          <w:rFonts w:ascii="Courier New" w:cs="Courier New" w:eastAsia="Courier New" w:hAnsi="Courier New"/>
          <w:sz w:val="17"/>
          <w:szCs w:val="17"/>
          <w:color w:val="auto"/>
        </w:rPr>
        <w:t>--------------------------</w:t>
      </w:r>
    </w:p>
    <w:p>
      <w:pPr>
        <w:spacing w:after="0" w:line="4" w:lineRule="exact"/>
        <w:rPr>
          <w:sz w:val="24"/>
          <w:szCs w:val="24"/>
          <w:color w:val="auto"/>
        </w:rPr>
      </w:pPr>
    </w:p>
    <w:p>
      <w:pPr>
        <w:ind w:left="520"/>
        <w:spacing w:after="0"/>
        <w:rPr>
          <w:sz w:val="20"/>
          <w:szCs w:val="20"/>
          <w:color w:val="auto"/>
        </w:rPr>
      </w:pPr>
      <w:r>
        <w:rPr>
          <w:rFonts w:ascii="Courier New" w:cs="Courier New" w:eastAsia="Courier New" w:hAnsi="Courier New"/>
          <w:sz w:val="17"/>
          <w:szCs w:val="17"/>
          <w:color w:val="auto"/>
        </w:rPr>
        <w:t>32,233,678</w:t>
      </w:r>
    </w:p>
    <w:p>
      <w:pPr>
        <w:spacing w:after="0" w:line="200" w:lineRule="exact"/>
        <w:rPr>
          <w:sz w:val="24"/>
          <w:szCs w:val="24"/>
          <w:color w:val="auto"/>
        </w:rPr>
      </w:pPr>
    </w:p>
    <w:p>
      <w:pPr>
        <w:sectPr>
          <w:pgSz w:w="11900" w:h="16838" w:orient="portrait"/>
          <w:cols w:equalWidth="0" w:num="2">
            <w:col w:w="4180" w:space="720"/>
            <w:col w:w="5319"/>
          </w:cols>
          <w:pgMar w:left="240" w:top="638" w:right="1440" w:bottom="1440" w:gutter="0" w:footer="0" w:header="0"/>
          <w:type w:val="continuous"/>
        </w:sectPr>
      </w:pPr>
    </w:p>
    <w:p>
      <w:pPr>
        <w:spacing w:after="0" w:line="19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This report contains 17 pages.</w:t>
      </w:r>
    </w:p>
    <w:p>
      <w:pPr>
        <w:sectPr>
          <w:pgSz w:w="11900" w:h="16838" w:orient="portrait"/>
          <w:cols w:equalWidth="0" w:num="1">
            <w:col w:w="10219"/>
          </w:cols>
          <w:pgMar w:left="240" w:top="638" w:right="1440" w:bottom="1440" w:gutter="0" w:footer="0" w:header="0"/>
          <w:type w:val="continuous"/>
        </w:sectPr>
      </w:pPr>
    </w:p>
    <w:bookmarkStart w:id="1" w:name="page2"/>
    <w:bookmarkEnd w:id="1"/>
    <w:p>
      <w:pPr>
        <w:ind w:left="2460"/>
        <w:spacing w:after="0"/>
        <w:rPr>
          <w:sz w:val="20"/>
          <w:szCs w:val="20"/>
          <w:color w:val="auto"/>
        </w:rPr>
      </w:pPr>
      <w:r>
        <w:rPr>
          <w:rFonts w:ascii="Courier New" w:cs="Courier New" w:eastAsia="Courier New" w:hAnsi="Courier New"/>
          <w:sz w:val="17"/>
          <w:szCs w:val="17"/>
          <w:color w:val="auto"/>
        </w:rPr>
        <w:t>FEDERAL REALTY INVESTMENT TRUST</w:t>
      </w:r>
    </w:p>
    <w:p>
      <w:pPr>
        <w:spacing w:after="0" w:line="200" w:lineRule="exact"/>
        <w:rPr>
          <w:sz w:val="20"/>
          <w:szCs w:val="20"/>
          <w:color w:val="auto"/>
        </w:rPr>
      </w:pPr>
    </w:p>
    <w:p>
      <w:pPr>
        <w:jc w:val="center"/>
        <w:ind w:right="2259"/>
        <w:spacing w:after="0"/>
        <w:rPr>
          <w:sz w:val="20"/>
          <w:szCs w:val="20"/>
          <w:color w:val="auto"/>
        </w:rPr>
      </w:pPr>
      <w:r>
        <w:rPr>
          <w:rFonts w:ascii="Courier New" w:cs="Courier New" w:eastAsia="Courier New" w:hAnsi="Courier New"/>
          <w:sz w:val="17"/>
          <w:szCs w:val="17"/>
          <w:color w:val="auto"/>
        </w:rPr>
        <w:t>S.E.C. FORM 10-Q</w:t>
      </w:r>
    </w:p>
    <w:p>
      <w:pPr>
        <w:spacing w:after="0" w:line="200" w:lineRule="exact"/>
        <w:rPr>
          <w:sz w:val="20"/>
          <w:szCs w:val="20"/>
          <w:color w:val="auto"/>
        </w:rPr>
      </w:pPr>
    </w:p>
    <w:p>
      <w:pPr>
        <w:ind w:left="3260"/>
        <w:spacing w:after="0"/>
        <w:rPr>
          <w:sz w:val="20"/>
          <w:szCs w:val="20"/>
          <w:color w:val="auto"/>
        </w:rPr>
      </w:pPr>
      <w:r>
        <w:rPr>
          <w:rFonts w:ascii="Courier New" w:cs="Courier New" w:eastAsia="Courier New" w:hAnsi="Courier New"/>
          <w:sz w:val="17"/>
          <w:szCs w:val="17"/>
          <w:color w:val="auto"/>
        </w:rPr>
        <w:t>March 31, 1996</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180" w:type="dxa"/>
            <w:vAlign w:val="bottom"/>
          </w:tcPr>
          <w:p>
            <w:pPr>
              <w:ind w:left="3580"/>
              <w:spacing w:after="0"/>
              <w:rPr>
                <w:sz w:val="20"/>
                <w:szCs w:val="20"/>
                <w:color w:val="auto"/>
              </w:rPr>
            </w:pPr>
            <w:r>
              <w:rPr>
                <w:rFonts w:ascii="Courier New" w:cs="Courier New" w:eastAsia="Courier New" w:hAnsi="Courier New"/>
                <w:sz w:val="17"/>
                <w:szCs w:val="17"/>
                <w:color w:val="auto"/>
              </w:rPr>
              <w:t>I N D E X</w:t>
            </w:r>
          </w:p>
        </w:tc>
        <w:tc>
          <w:tcPr>
            <w:tcW w:w="1180" w:type="dxa"/>
            <w:vAlign w:val="bottom"/>
          </w:tcPr>
          <w:p>
            <w:pPr>
              <w:spacing w:after="0"/>
              <w:rPr>
                <w:sz w:val="16"/>
                <w:szCs w:val="16"/>
                <w:color w:val="auto"/>
              </w:rPr>
            </w:pPr>
          </w:p>
        </w:tc>
      </w:tr>
      <w:tr>
        <w:trPr>
          <w:trHeight w:val="785"/>
        </w:trPr>
        <w:tc>
          <w:tcPr>
            <w:tcW w:w="6180" w:type="dxa"/>
            <w:vAlign w:val="bottom"/>
          </w:tcPr>
          <w:p>
            <w:pPr>
              <w:spacing w:after="0"/>
              <w:rPr>
                <w:sz w:val="20"/>
                <w:szCs w:val="20"/>
                <w:color w:val="auto"/>
              </w:rPr>
            </w:pPr>
            <w:r>
              <w:rPr>
                <w:rFonts w:ascii="Courier New" w:cs="Courier New" w:eastAsia="Courier New" w:hAnsi="Courier New"/>
                <w:sz w:val="17"/>
                <w:szCs w:val="17"/>
                <w:color w:val="auto"/>
              </w:rPr>
              <w:t>PART I.  FINANCIAL INFORMATION</w:t>
            </w:r>
          </w:p>
        </w:tc>
        <w:tc>
          <w:tcPr>
            <w:tcW w:w="1180" w:type="dxa"/>
            <w:vAlign w:val="bottom"/>
          </w:tcPr>
          <w:p>
            <w:pPr>
              <w:jc w:val="right"/>
              <w:spacing w:after="0"/>
              <w:rPr>
                <w:sz w:val="20"/>
                <w:szCs w:val="20"/>
                <w:color w:val="auto"/>
              </w:rPr>
            </w:pPr>
            <w:r>
              <w:rPr>
                <w:rFonts w:ascii="Courier New" w:cs="Courier New" w:eastAsia="Courier New" w:hAnsi="Courier New"/>
                <w:sz w:val="17"/>
                <w:szCs w:val="17"/>
                <w:color w:val="auto"/>
              </w:rPr>
              <w:t>PAGE NO.</w:t>
            </w:r>
          </w:p>
        </w:tc>
      </w:tr>
      <w:tr>
        <w:trPr>
          <w:trHeight w:val="392"/>
        </w:trPr>
        <w:tc>
          <w:tcPr>
            <w:tcW w:w="6180" w:type="dxa"/>
            <w:vAlign w:val="bottom"/>
          </w:tcPr>
          <w:p>
            <w:pPr>
              <w:ind w:left="920"/>
              <w:spacing w:after="0"/>
              <w:rPr>
                <w:sz w:val="20"/>
                <w:szCs w:val="20"/>
                <w:color w:val="auto"/>
              </w:rPr>
            </w:pPr>
            <w:r>
              <w:rPr>
                <w:rFonts w:ascii="Courier New" w:cs="Courier New" w:eastAsia="Courier New" w:hAnsi="Courier New"/>
                <w:sz w:val="17"/>
                <w:szCs w:val="17"/>
                <w:color w:val="auto"/>
              </w:rPr>
              <w:t>Accountants' Report</w:t>
            </w:r>
          </w:p>
        </w:tc>
        <w:tc>
          <w:tcPr>
            <w:tcW w:w="118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4</w:t>
            </w:r>
          </w:p>
        </w:tc>
      </w:tr>
      <w:tr>
        <w:trPr>
          <w:trHeight w:val="392"/>
        </w:trPr>
        <w:tc>
          <w:tcPr>
            <w:tcW w:w="6180" w:type="dxa"/>
            <w:vAlign w:val="bottom"/>
          </w:tcPr>
          <w:p>
            <w:pPr>
              <w:ind w:left="920"/>
              <w:spacing w:after="0"/>
              <w:rPr>
                <w:sz w:val="20"/>
                <w:szCs w:val="20"/>
                <w:color w:val="auto"/>
              </w:rPr>
            </w:pPr>
            <w:r>
              <w:rPr>
                <w:rFonts w:ascii="Courier New" w:cs="Courier New" w:eastAsia="Courier New" w:hAnsi="Courier New"/>
                <w:sz w:val="17"/>
                <w:szCs w:val="17"/>
                <w:color w:val="auto"/>
              </w:rPr>
              <w:t>Consolidated Balance Sheets</w:t>
            </w:r>
          </w:p>
        </w:tc>
        <w:tc>
          <w:tcPr>
            <w:tcW w:w="118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5</w:t>
            </w:r>
          </w:p>
        </w:tc>
      </w:tr>
      <w:tr>
        <w:trPr>
          <w:trHeight w:val="196"/>
        </w:trPr>
        <w:tc>
          <w:tcPr>
            <w:tcW w:w="6180" w:type="dxa"/>
            <w:vAlign w:val="bottom"/>
          </w:tcPr>
          <w:p>
            <w:pPr>
              <w:ind w:left="920"/>
              <w:spacing w:after="0"/>
              <w:rPr>
                <w:sz w:val="20"/>
                <w:szCs w:val="20"/>
                <w:color w:val="auto"/>
              </w:rPr>
            </w:pPr>
            <w:r>
              <w:rPr>
                <w:rFonts w:ascii="Courier New" w:cs="Courier New" w:eastAsia="Courier New" w:hAnsi="Courier New"/>
                <w:sz w:val="17"/>
                <w:szCs w:val="17"/>
                <w:color w:val="auto"/>
              </w:rPr>
              <w:t>March 31, 1996 (unaudited) and</w:t>
            </w:r>
          </w:p>
        </w:tc>
        <w:tc>
          <w:tcPr>
            <w:tcW w:w="1180" w:type="dxa"/>
            <w:vAlign w:val="bottom"/>
          </w:tcPr>
          <w:p>
            <w:pPr>
              <w:spacing w:after="0"/>
              <w:rPr>
                <w:sz w:val="17"/>
                <w:szCs w:val="17"/>
                <w:color w:val="auto"/>
              </w:rPr>
            </w:pPr>
          </w:p>
        </w:tc>
      </w:tr>
      <w:tr>
        <w:trPr>
          <w:trHeight w:val="196"/>
        </w:trPr>
        <w:tc>
          <w:tcPr>
            <w:tcW w:w="6180" w:type="dxa"/>
            <w:vAlign w:val="bottom"/>
          </w:tcPr>
          <w:p>
            <w:pPr>
              <w:ind w:left="920"/>
              <w:spacing w:after="0"/>
              <w:rPr>
                <w:sz w:val="20"/>
                <w:szCs w:val="20"/>
                <w:color w:val="auto"/>
              </w:rPr>
            </w:pPr>
            <w:r>
              <w:rPr>
                <w:rFonts w:ascii="Courier New" w:cs="Courier New" w:eastAsia="Courier New" w:hAnsi="Courier New"/>
                <w:sz w:val="17"/>
                <w:szCs w:val="17"/>
                <w:color w:val="auto"/>
              </w:rPr>
              <w:t>December 31, 1995 (audited)</w:t>
            </w:r>
          </w:p>
        </w:tc>
        <w:tc>
          <w:tcPr>
            <w:tcW w:w="1180" w:type="dxa"/>
            <w:vAlign w:val="bottom"/>
          </w:tcPr>
          <w:p>
            <w:pPr>
              <w:spacing w:after="0"/>
              <w:rPr>
                <w:sz w:val="17"/>
                <w:szCs w:val="17"/>
                <w:color w:val="auto"/>
              </w:rPr>
            </w:pPr>
          </w:p>
        </w:tc>
      </w:tr>
      <w:tr>
        <w:trPr>
          <w:trHeight w:val="392"/>
        </w:trPr>
        <w:tc>
          <w:tcPr>
            <w:tcW w:w="6180" w:type="dxa"/>
            <w:vAlign w:val="bottom"/>
          </w:tcPr>
          <w:p>
            <w:pPr>
              <w:ind w:left="920"/>
              <w:spacing w:after="0"/>
              <w:rPr>
                <w:sz w:val="20"/>
                <w:szCs w:val="20"/>
                <w:color w:val="auto"/>
              </w:rPr>
            </w:pPr>
            <w:r>
              <w:rPr>
                <w:rFonts w:ascii="Courier New" w:cs="Courier New" w:eastAsia="Courier New" w:hAnsi="Courier New"/>
                <w:sz w:val="17"/>
                <w:szCs w:val="17"/>
                <w:color w:val="auto"/>
              </w:rPr>
              <w:t>Consolidated Statements of Operations (unaudited)</w:t>
            </w:r>
          </w:p>
        </w:tc>
        <w:tc>
          <w:tcPr>
            <w:tcW w:w="118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6</w:t>
            </w:r>
          </w:p>
        </w:tc>
      </w:tr>
      <w:tr>
        <w:trPr>
          <w:trHeight w:val="196"/>
        </w:trPr>
        <w:tc>
          <w:tcPr>
            <w:tcW w:w="6180" w:type="dxa"/>
            <w:vAlign w:val="bottom"/>
          </w:tcPr>
          <w:p>
            <w:pPr>
              <w:ind w:left="920"/>
              <w:spacing w:after="0"/>
              <w:rPr>
                <w:sz w:val="20"/>
                <w:szCs w:val="20"/>
                <w:color w:val="auto"/>
              </w:rPr>
            </w:pPr>
            <w:r>
              <w:rPr>
                <w:rFonts w:ascii="Courier New" w:cs="Courier New" w:eastAsia="Courier New" w:hAnsi="Courier New"/>
                <w:sz w:val="17"/>
                <w:szCs w:val="17"/>
                <w:color w:val="auto"/>
              </w:rPr>
              <w:t>Three months ended March 31, 1996 and 1995</w:t>
            </w:r>
          </w:p>
        </w:tc>
        <w:tc>
          <w:tcPr>
            <w:tcW w:w="1180" w:type="dxa"/>
            <w:vAlign w:val="bottom"/>
          </w:tcPr>
          <w:p>
            <w:pPr>
              <w:spacing w:after="0"/>
              <w:rPr>
                <w:sz w:val="17"/>
                <w:szCs w:val="17"/>
                <w:color w:val="auto"/>
              </w:rPr>
            </w:pPr>
          </w:p>
        </w:tc>
      </w:tr>
      <w:tr>
        <w:trPr>
          <w:trHeight w:val="392"/>
        </w:trPr>
        <w:tc>
          <w:tcPr>
            <w:tcW w:w="6180" w:type="dxa"/>
            <w:vAlign w:val="bottom"/>
          </w:tcPr>
          <w:p>
            <w:pPr>
              <w:ind w:left="920"/>
              <w:spacing w:after="0"/>
              <w:rPr>
                <w:sz w:val="20"/>
                <w:szCs w:val="20"/>
                <w:color w:val="auto"/>
              </w:rPr>
            </w:pPr>
            <w:r>
              <w:rPr>
                <w:rFonts w:ascii="Courier New" w:cs="Courier New" w:eastAsia="Courier New" w:hAnsi="Courier New"/>
                <w:sz w:val="17"/>
                <w:szCs w:val="17"/>
                <w:color w:val="auto"/>
              </w:rPr>
              <w:t>Consolidated Statements</w:t>
            </w:r>
          </w:p>
        </w:tc>
        <w:tc>
          <w:tcPr>
            <w:tcW w:w="118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7</w:t>
            </w:r>
          </w:p>
        </w:tc>
      </w:tr>
      <w:tr>
        <w:trPr>
          <w:trHeight w:val="196"/>
        </w:trPr>
        <w:tc>
          <w:tcPr>
            <w:tcW w:w="6180" w:type="dxa"/>
            <w:vAlign w:val="bottom"/>
          </w:tcPr>
          <w:p>
            <w:pPr>
              <w:ind w:left="920"/>
              <w:spacing w:after="0"/>
              <w:rPr>
                <w:sz w:val="20"/>
                <w:szCs w:val="20"/>
                <w:color w:val="auto"/>
              </w:rPr>
            </w:pPr>
            <w:r>
              <w:rPr>
                <w:rFonts w:ascii="Courier New" w:cs="Courier New" w:eastAsia="Courier New" w:hAnsi="Courier New"/>
                <w:sz w:val="17"/>
                <w:szCs w:val="17"/>
                <w:color w:val="auto"/>
              </w:rPr>
              <w:t>of Shareholders' Equity (unaudited)</w:t>
            </w:r>
          </w:p>
        </w:tc>
        <w:tc>
          <w:tcPr>
            <w:tcW w:w="1180" w:type="dxa"/>
            <w:vAlign w:val="bottom"/>
          </w:tcPr>
          <w:p>
            <w:pPr>
              <w:spacing w:after="0"/>
              <w:rPr>
                <w:sz w:val="17"/>
                <w:szCs w:val="17"/>
                <w:color w:val="auto"/>
              </w:rPr>
            </w:pPr>
          </w:p>
        </w:tc>
      </w:tr>
      <w:tr>
        <w:trPr>
          <w:trHeight w:val="196"/>
        </w:trPr>
        <w:tc>
          <w:tcPr>
            <w:tcW w:w="6180" w:type="dxa"/>
            <w:vAlign w:val="bottom"/>
          </w:tcPr>
          <w:p>
            <w:pPr>
              <w:ind w:left="920"/>
              <w:spacing w:after="0"/>
              <w:rPr>
                <w:sz w:val="20"/>
                <w:szCs w:val="20"/>
                <w:color w:val="auto"/>
              </w:rPr>
            </w:pPr>
            <w:r>
              <w:rPr>
                <w:rFonts w:ascii="Courier New" w:cs="Courier New" w:eastAsia="Courier New" w:hAnsi="Courier New"/>
                <w:sz w:val="17"/>
                <w:szCs w:val="17"/>
                <w:color w:val="auto"/>
              </w:rPr>
              <w:t>Three months ended March 31, 1996 and 1995</w:t>
            </w:r>
          </w:p>
        </w:tc>
        <w:tc>
          <w:tcPr>
            <w:tcW w:w="1180" w:type="dxa"/>
            <w:vAlign w:val="bottom"/>
          </w:tcPr>
          <w:p>
            <w:pPr>
              <w:spacing w:after="0"/>
              <w:rPr>
                <w:sz w:val="17"/>
                <w:szCs w:val="17"/>
                <w:color w:val="auto"/>
              </w:rPr>
            </w:pPr>
          </w:p>
        </w:tc>
      </w:tr>
      <w:tr>
        <w:trPr>
          <w:trHeight w:val="392"/>
        </w:trPr>
        <w:tc>
          <w:tcPr>
            <w:tcW w:w="6180" w:type="dxa"/>
            <w:vAlign w:val="bottom"/>
          </w:tcPr>
          <w:p>
            <w:pPr>
              <w:ind w:left="920"/>
              <w:spacing w:after="0"/>
              <w:rPr>
                <w:sz w:val="20"/>
                <w:szCs w:val="20"/>
                <w:color w:val="auto"/>
              </w:rPr>
            </w:pPr>
            <w:r>
              <w:rPr>
                <w:rFonts w:ascii="Courier New" w:cs="Courier New" w:eastAsia="Courier New" w:hAnsi="Courier New"/>
                <w:sz w:val="17"/>
                <w:szCs w:val="17"/>
                <w:color w:val="auto"/>
              </w:rPr>
              <w:t>Consolidated Statements of Cash Flows (unaudited)</w:t>
            </w:r>
          </w:p>
        </w:tc>
        <w:tc>
          <w:tcPr>
            <w:tcW w:w="118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8</w:t>
            </w:r>
          </w:p>
        </w:tc>
      </w:tr>
      <w:tr>
        <w:trPr>
          <w:trHeight w:val="196"/>
        </w:trPr>
        <w:tc>
          <w:tcPr>
            <w:tcW w:w="6180" w:type="dxa"/>
            <w:vAlign w:val="bottom"/>
          </w:tcPr>
          <w:p>
            <w:pPr>
              <w:ind w:left="920"/>
              <w:spacing w:after="0"/>
              <w:rPr>
                <w:sz w:val="20"/>
                <w:szCs w:val="20"/>
                <w:color w:val="auto"/>
              </w:rPr>
            </w:pPr>
            <w:r>
              <w:rPr>
                <w:rFonts w:ascii="Courier New" w:cs="Courier New" w:eastAsia="Courier New" w:hAnsi="Courier New"/>
                <w:sz w:val="17"/>
                <w:szCs w:val="17"/>
                <w:color w:val="auto"/>
              </w:rPr>
              <w:t>Three months ended March 31, 1996 and 1995</w:t>
            </w:r>
          </w:p>
        </w:tc>
        <w:tc>
          <w:tcPr>
            <w:tcW w:w="1180" w:type="dxa"/>
            <w:vAlign w:val="bottom"/>
          </w:tcPr>
          <w:p>
            <w:pPr>
              <w:spacing w:after="0"/>
              <w:rPr>
                <w:sz w:val="17"/>
                <w:szCs w:val="17"/>
                <w:color w:val="auto"/>
              </w:rPr>
            </w:pPr>
          </w:p>
        </w:tc>
      </w:tr>
      <w:tr>
        <w:trPr>
          <w:trHeight w:val="392"/>
        </w:trPr>
        <w:tc>
          <w:tcPr>
            <w:tcW w:w="6180" w:type="dxa"/>
            <w:vAlign w:val="bottom"/>
          </w:tcPr>
          <w:p>
            <w:pPr>
              <w:ind w:left="920"/>
              <w:spacing w:after="0"/>
              <w:rPr>
                <w:sz w:val="20"/>
                <w:szCs w:val="20"/>
                <w:color w:val="auto"/>
              </w:rPr>
            </w:pPr>
            <w:r>
              <w:rPr>
                <w:rFonts w:ascii="Courier New" w:cs="Courier New" w:eastAsia="Courier New" w:hAnsi="Courier New"/>
                <w:sz w:val="17"/>
                <w:szCs w:val="17"/>
                <w:color w:val="auto"/>
              </w:rPr>
              <w:t>Notes to Financial Statements</w:t>
            </w:r>
          </w:p>
        </w:tc>
        <w:tc>
          <w:tcPr>
            <w:tcW w:w="118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9-11</w:t>
            </w:r>
          </w:p>
        </w:tc>
      </w:tr>
      <w:tr>
        <w:trPr>
          <w:trHeight w:val="392"/>
        </w:trPr>
        <w:tc>
          <w:tcPr>
            <w:tcW w:w="6180" w:type="dxa"/>
            <w:vAlign w:val="bottom"/>
          </w:tcPr>
          <w:p>
            <w:pPr>
              <w:ind w:left="920"/>
              <w:spacing w:after="0"/>
              <w:rPr>
                <w:sz w:val="20"/>
                <w:szCs w:val="20"/>
                <w:color w:val="auto"/>
              </w:rPr>
            </w:pPr>
            <w:r>
              <w:rPr>
                <w:rFonts w:ascii="Courier New" w:cs="Courier New" w:eastAsia="Courier New" w:hAnsi="Courier New"/>
                <w:sz w:val="17"/>
                <w:szCs w:val="17"/>
                <w:color w:val="auto"/>
              </w:rPr>
              <w:t>Management's Discussion and Analysis of</w:t>
            </w:r>
          </w:p>
        </w:tc>
        <w:tc>
          <w:tcPr>
            <w:tcW w:w="118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12-16</w:t>
            </w:r>
          </w:p>
        </w:tc>
      </w:tr>
      <w:tr>
        <w:trPr>
          <w:trHeight w:val="196"/>
        </w:trPr>
        <w:tc>
          <w:tcPr>
            <w:tcW w:w="6180" w:type="dxa"/>
            <w:vAlign w:val="bottom"/>
          </w:tcPr>
          <w:p>
            <w:pPr>
              <w:ind w:left="920"/>
              <w:spacing w:after="0"/>
              <w:rPr>
                <w:sz w:val="20"/>
                <w:szCs w:val="20"/>
                <w:color w:val="auto"/>
              </w:rPr>
            </w:pPr>
            <w:r>
              <w:rPr>
                <w:rFonts w:ascii="Courier New" w:cs="Courier New" w:eastAsia="Courier New" w:hAnsi="Courier New"/>
                <w:sz w:val="17"/>
                <w:szCs w:val="17"/>
                <w:color w:val="auto"/>
              </w:rPr>
              <w:t>Financial Condition and Results of Operations</w:t>
            </w:r>
          </w:p>
        </w:tc>
        <w:tc>
          <w:tcPr>
            <w:tcW w:w="1180" w:type="dxa"/>
            <w:vAlign w:val="bottom"/>
          </w:tcPr>
          <w:p>
            <w:pPr>
              <w:spacing w:after="0"/>
              <w:rPr>
                <w:sz w:val="17"/>
                <w:szCs w:val="17"/>
                <w:color w:val="auto"/>
              </w:rPr>
            </w:pPr>
          </w:p>
        </w:tc>
      </w:tr>
      <w:tr>
        <w:trPr>
          <w:trHeight w:val="392"/>
        </w:trPr>
        <w:tc>
          <w:tcPr>
            <w:tcW w:w="6180" w:type="dxa"/>
            <w:vAlign w:val="bottom"/>
          </w:tcPr>
          <w:p>
            <w:pPr>
              <w:spacing w:after="0"/>
              <w:rPr>
                <w:sz w:val="20"/>
                <w:szCs w:val="20"/>
                <w:color w:val="auto"/>
              </w:rPr>
            </w:pPr>
            <w:r>
              <w:rPr>
                <w:rFonts w:ascii="Courier New" w:cs="Courier New" w:eastAsia="Courier New" w:hAnsi="Courier New"/>
                <w:sz w:val="17"/>
                <w:szCs w:val="17"/>
                <w:color w:val="auto"/>
              </w:rPr>
              <w:t>PART II. OTHER INFORMATION</w:t>
            </w:r>
          </w:p>
        </w:tc>
        <w:tc>
          <w:tcPr>
            <w:tcW w:w="118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17</w:t>
            </w:r>
          </w:p>
        </w:tc>
      </w:tr>
      <w:tr>
        <w:trPr>
          <w:trHeight w:val="589"/>
        </w:trPr>
        <w:tc>
          <w:tcPr>
            <w:tcW w:w="6180" w:type="dxa"/>
            <w:vAlign w:val="bottom"/>
          </w:tcPr>
          <w:p>
            <w:pPr>
              <w:ind w:left="3980"/>
              <w:spacing w:after="0"/>
              <w:rPr>
                <w:sz w:val="20"/>
                <w:szCs w:val="20"/>
                <w:color w:val="auto"/>
              </w:rPr>
            </w:pPr>
            <w:r>
              <w:rPr>
                <w:rFonts w:ascii="Courier New" w:cs="Courier New" w:eastAsia="Courier New" w:hAnsi="Courier New"/>
                <w:sz w:val="17"/>
                <w:szCs w:val="17"/>
                <w:color w:val="auto"/>
              </w:rPr>
              <w:t>2</w:t>
            </w:r>
          </w:p>
        </w:tc>
        <w:tc>
          <w:tcPr>
            <w:tcW w:w="1180" w:type="dxa"/>
            <w:vAlign w:val="bottom"/>
          </w:tcPr>
          <w:p>
            <w:pPr>
              <w:spacing w:after="0"/>
              <w:rPr>
                <w:sz w:val="24"/>
                <w:szCs w:val="24"/>
                <w:color w:val="auto"/>
              </w:rPr>
            </w:pPr>
          </w:p>
        </w:tc>
      </w:tr>
    </w:tbl>
    <w:p>
      <w:pPr>
        <w:sectPr>
          <w:pgSz w:w="11900" w:h="16838" w:orient="portrait"/>
          <w:cols w:equalWidth="0" w:num="1">
            <w:col w:w="10219"/>
          </w:cols>
          <w:pgMar w:left="240" w:top="703" w:right="1440" w:bottom="1440" w:gutter="0" w:footer="0" w:header="0"/>
        </w:sectPr>
      </w:pPr>
    </w:p>
    <w:bookmarkStart w:id="2" w:name="page3"/>
    <w:bookmarkEnd w:id="2"/>
    <w:p>
      <w:pPr>
        <w:ind w:left="2460"/>
        <w:spacing w:after="0"/>
        <w:rPr>
          <w:sz w:val="20"/>
          <w:szCs w:val="20"/>
          <w:color w:val="auto"/>
        </w:rPr>
      </w:pPr>
      <w:r>
        <w:rPr>
          <w:rFonts w:ascii="Courier New" w:cs="Courier New" w:eastAsia="Courier New" w:hAnsi="Courier New"/>
          <w:sz w:val="17"/>
          <w:szCs w:val="17"/>
          <w:color w:val="auto"/>
        </w:rPr>
        <w:t>FEDERAL REALTY INVESTMENT TRUST</w:t>
      </w:r>
    </w:p>
    <w:p>
      <w:pPr>
        <w:spacing w:after="0" w:line="200" w:lineRule="exact"/>
        <w:rPr>
          <w:sz w:val="20"/>
          <w:szCs w:val="20"/>
          <w:color w:val="auto"/>
        </w:rPr>
      </w:pPr>
    </w:p>
    <w:p>
      <w:pPr>
        <w:jc w:val="center"/>
        <w:ind w:right="2259"/>
        <w:spacing w:after="0"/>
        <w:rPr>
          <w:sz w:val="20"/>
          <w:szCs w:val="20"/>
          <w:color w:val="auto"/>
        </w:rPr>
      </w:pPr>
      <w:r>
        <w:rPr>
          <w:rFonts w:ascii="Courier New" w:cs="Courier New" w:eastAsia="Courier New" w:hAnsi="Courier New"/>
          <w:sz w:val="17"/>
          <w:szCs w:val="17"/>
          <w:color w:val="auto"/>
        </w:rPr>
        <w:t>S.E.C. FORM 10-Q</w:t>
      </w:r>
    </w:p>
    <w:p>
      <w:pPr>
        <w:spacing w:after="0" w:line="200" w:lineRule="exact"/>
        <w:rPr>
          <w:sz w:val="20"/>
          <w:szCs w:val="20"/>
          <w:color w:val="auto"/>
        </w:rPr>
      </w:pPr>
    </w:p>
    <w:p>
      <w:pPr>
        <w:ind w:left="3260"/>
        <w:spacing w:after="0"/>
        <w:rPr>
          <w:sz w:val="20"/>
          <w:szCs w:val="20"/>
          <w:color w:val="auto"/>
        </w:rPr>
      </w:pPr>
      <w:r>
        <w:rPr>
          <w:rFonts w:ascii="Courier New" w:cs="Courier New" w:eastAsia="Courier New" w:hAnsi="Courier New"/>
          <w:sz w:val="17"/>
          <w:szCs w:val="17"/>
          <w:color w:val="auto"/>
        </w:rPr>
        <w:t>March 31, 1996</w:t>
      </w:r>
    </w:p>
    <w:p>
      <w:pPr>
        <w:spacing w:after="0" w:line="396" w:lineRule="exact"/>
        <w:rPr>
          <w:sz w:val="20"/>
          <w:szCs w:val="20"/>
          <w:color w:val="auto"/>
        </w:rPr>
      </w:pPr>
    </w:p>
    <w:p>
      <w:pPr>
        <w:spacing w:after="0"/>
        <w:tabs>
          <w:tab w:leader="none" w:pos="1000" w:val="left"/>
        </w:tabs>
        <w:rPr>
          <w:sz w:val="20"/>
          <w:szCs w:val="20"/>
          <w:color w:val="auto"/>
        </w:rPr>
      </w:pPr>
      <w:r>
        <w:rPr>
          <w:rFonts w:ascii="Courier New" w:cs="Courier New" w:eastAsia="Courier New" w:hAnsi="Courier New"/>
          <w:sz w:val="17"/>
          <w:szCs w:val="17"/>
          <w:color w:val="auto"/>
        </w:rPr>
        <w:t>PART I.</w:t>
      </w:r>
      <w:r>
        <w:rPr>
          <w:sz w:val="20"/>
          <w:szCs w:val="20"/>
          <w:color w:val="auto"/>
        </w:rPr>
        <w:tab/>
      </w:r>
      <w:r>
        <w:rPr>
          <w:rFonts w:ascii="Courier New" w:cs="Courier New" w:eastAsia="Courier New" w:hAnsi="Courier New"/>
          <w:sz w:val="16"/>
          <w:szCs w:val="16"/>
          <w:color w:val="auto"/>
        </w:rPr>
        <w:t>FINANCIAL INFORMATION</w:t>
      </w:r>
    </w:p>
    <w:p>
      <w:pPr>
        <w:spacing w:after="0" w:line="201" w:lineRule="exact"/>
        <w:rPr>
          <w:sz w:val="20"/>
          <w:szCs w:val="20"/>
          <w:color w:val="auto"/>
        </w:rPr>
      </w:pPr>
    </w:p>
    <w:p>
      <w:pPr>
        <w:ind w:left="1020" w:right="2259" w:firstLine="510"/>
        <w:spacing w:after="0" w:line="244" w:lineRule="auto"/>
        <w:rPr>
          <w:sz w:val="20"/>
          <w:szCs w:val="20"/>
          <w:color w:val="auto"/>
        </w:rPr>
      </w:pPr>
      <w:r>
        <w:rPr>
          <w:rFonts w:ascii="Courier New" w:cs="Courier New" w:eastAsia="Courier New" w:hAnsi="Courier New"/>
          <w:sz w:val="17"/>
          <w:szCs w:val="17"/>
          <w:color w:val="auto"/>
        </w:rPr>
        <w:t>The following financial information is submitted in response to the requirements of Form 10-Q and does not purport to be financial statements prepared in accordance with generally accepted accounting principles since they do not include all disclosures which might be associated with such statements. In the opinion of management, such information includes all adjustments, consisting only of normal recurring accruals, necessary to a fair statement of the results for the interim periods presented.</w:t>
      </w:r>
    </w:p>
    <w:p>
      <w:pPr>
        <w:spacing w:after="0" w:line="396" w:lineRule="exact"/>
        <w:rPr>
          <w:sz w:val="20"/>
          <w:szCs w:val="20"/>
          <w:color w:val="auto"/>
        </w:rPr>
      </w:pPr>
    </w:p>
    <w:p>
      <w:pPr>
        <w:ind w:left="1020" w:right="2059" w:firstLine="510"/>
        <w:spacing w:after="0" w:line="244" w:lineRule="auto"/>
        <w:rPr>
          <w:sz w:val="20"/>
          <w:szCs w:val="20"/>
          <w:color w:val="auto"/>
        </w:rPr>
      </w:pPr>
      <w:r>
        <w:rPr>
          <w:rFonts w:ascii="Courier New" w:cs="Courier New" w:eastAsia="Courier New" w:hAnsi="Courier New"/>
          <w:sz w:val="17"/>
          <w:szCs w:val="17"/>
          <w:color w:val="auto"/>
        </w:rPr>
        <w:t>The balance sheet as of December 31, 1995 was audited by Grant Thornton LLP, independent public accountants, who expressed an unqualified opinion on it in their report dated February 9, 1996. All other financial information presented is unaudited but has been reviewed as of March 31, 1996 and for each of the three months ended March 31, 1996 and 1995 by Grant Thornton LLP whose report thereon appears on Page 4. All adjustments and disclosures proposed by them have been reflected in the data presented.</w:t>
      </w:r>
    </w:p>
    <w:p>
      <w:pPr>
        <w:spacing w:after="0" w:line="199"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10219"/>
          </w:cols>
          <w:pgMar w:left="240" w:top="703"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7"/>
          <w:szCs w:val="17"/>
          <w:color w:val="auto"/>
        </w:rPr>
        <w:t>Accountants' Review Report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Trustees and Shareholders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Federal Realty Investment Trust</w:t>
      </w:r>
    </w:p>
    <w:p>
      <w:pPr>
        <w:spacing w:after="0" w:line="201" w:lineRule="exact"/>
        <w:rPr>
          <w:sz w:val="20"/>
          <w:szCs w:val="20"/>
          <w:color w:val="auto"/>
        </w:rPr>
      </w:pPr>
    </w:p>
    <w:p>
      <w:pPr>
        <w:ind w:right="2059"/>
        <w:spacing w:after="0" w:line="244" w:lineRule="auto"/>
        <w:rPr>
          <w:sz w:val="20"/>
          <w:szCs w:val="20"/>
          <w:color w:val="auto"/>
        </w:rPr>
      </w:pPr>
      <w:r>
        <w:rPr>
          <w:rFonts w:ascii="Courier New" w:cs="Courier New" w:eastAsia="Courier New" w:hAnsi="Courier New"/>
          <w:sz w:val="17"/>
          <w:szCs w:val="17"/>
          <w:color w:val="auto"/>
        </w:rPr>
        <w:t>We have reviewed the accompanying consolidated balance sheet of Federal Realty Investment Trust as of March 31, 1996 and the related consolidated statements of operations, shareholders' equity and cash flows for the three month periods ended March 31, 1996 and 1995. These financial statements are the responsibility of the Trust's management.</w:t>
      </w:r>
    </w:p>
    <w:p>
      <w:pPr>
        <w:spacing w:after="0" w:line="198" w:lineRule="exact"/>
        <w:rPr>
          <w:sz w:val="20"/>
          <w:szCs w:val="20"/>
          <w:color w:val="auto"/>
        </w:rPr>
      </w:pPr>
    </w:p>
    <w:p>
      <w:pPr>
        <w:ind w:right="2059"/>
        <w:spacing w:after="0" w:line="244" w:lineRule="auto"/>
        <w:rPr>
          <w:sz w:val="20"/>
          <w:szCs w:val="20"/>
          <w:color w:val="auto"/>
        </w:rPr>
      </w:pPr>
      <w:r>
        <w:rPr>
          <w:rFonts w:ascii="Courier New" w:cs="Courier New" w:eastAsia="Courier New" w:hAnsi="Courier New"/>
          <w:sz w:val="17"/>
          <w:szCs w:val="17"/>
          <w:color w:val="auto"/>
        </w:rPr>
        <w:t>We conducted our review in accordance with standards established by the American Institute of Certified Public Accountants. A review of interim financial information consists principally of applying analytical review procedures to financial data and making inquiries of persons responsible for financial and accounting matters. It is substantially less in scope than an audit conducted in accordance with generally accepted auditing standards, the objective of which is the expression of an opinion regarding the financial statements taken as a whole. Accordingly, we do not express such an opinion.</w:t>
      </w:r>
    </w:p>
    <w:p>
      <w:pPr>
        <w:spacing w:after="0" w:line="199" w:lineRule="exact"/>
        <w:rPr>
          <w:sz w:val="20"/>
          <w:szCs w:val="20"/>
          <w:color w:val="auto"/>
        </w:rPr>
      </w:pPr>
    </w:p>
    <w:p>
      <w:pPr>
        <w:ind w:right="2159"/>
        <w:spacing w:after="0" w:line="243" w:lineRule="auto"/>
        <w:rPr>
          <w:sz w:val="20"/>
          <w:szCs w:val="20"/>
          <w:color w:val="auto"/>
        </w:rPr>
      </w:pPr>
      <w:r>
        <w:rPr>
          <w:rFonts w:ascii="Courier New" w:cs="Courier New" w:eastAsia="Courier New" w:hAnsi="Courier New"/>
          <w:sz w:val="17"/>
          <w:szCs w:val="17"/>
          <w:color w:val="auto"/>
        </w:rPr>
        <w:t>Based on our review, we are not aware of any material modifications that should be made to the accompanying financial statements for them to be in conformity with generally accepted accounting principles.</w:t>
      </w:r>
    </w:p>
    <w:p>
      <w:pPr>
        <w:spacing w:after="0" w:line="200" w:lineRule="exact"/>
        <w:rPr>
          <w:sz w:val="20"/>
          <w:szCs w:val="20"/>
          <w:color w:val="auto"/>
        </w:rPr>
      </w:pPr>
    </w:p>
    <w:p>
      <w:pPr>
        <w:ind w:right="2059"/>
        <w:spacing w:after="0" w:line="244" w:lineRule="auto"/>
        <w:rPr>
          <w:sz w:val="20"/>
          <w:szCs w:val="20"/>
          <w:color w:val="auto"/>
        </w:rPr>
      </w:pPr>
      <w:r>
        <w:rPr>
          <w:rFonts w:ascii="Courier New" w:cs="Courier New" w:eastAsia="Courier New" w:hAnsi="Courier New"/>
          <w:sz w:val="17"/>
          <w:szCs w:val="17"/>
          <w:color w:val="auto"/>
        </w:rPr>
        <w:t>We have previously audited, in accordance with generally accepted auditing standards, the consolidated balance sheet as of December 31, 1995 and the related consolidated statements of operations, shareholders' equity and cash flows for the year then ended (not presented herein); and in our report dated February 9, 1996, we expressed an unqualified opinion on those consolidated financial statements. In our opinion, the information set forth in the accompanying condensed consolidated balance sheet as of December 31, 1995 is stated fairly, in all material respects, in relation to the consolidated balance sheet from which it has been derived.</w:t>
      </w:r>
    </w:p>
    <w:p>
      <w:pPr>
        <w:spacing w:after="0" w:line="199" w:lineRule="exact"/>
        <w:rPr>
          <w:sz w:val="20"/>
          <w:szCs w:val="20"/>
          <w:color w:val="auto"/>
        </w:rPr>
      </w:pPr>
    </w:p>
    <w:p>
      <w:pPr>
        <w:ind w:left="3060"/>
        <w:spacing w:after="0"/>
        <w:rPr>
          <w:sz w:val="20"/>
          <w:szCs w:val="20"/>
          <w:color w:val="auto"/>
        </w:rPr>
      </w:pPr>
      <w:r>
        <w:rPr>
          <w:rFonts w:ascii="Courier New" w:cs="Courier New" w:eastAsia="Courier New" w:hAnsi="Courier New"/>
          <w:sz w:val="17"/>
          <w:szCs w:val="17"/>
          <w:color w:val="auto"/>
        </w:rPr>
        <w:t>Grant Thornton LLP</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Washington, D.C.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May 7, 1996</w:t>
      </w:r>
    </w:p>
    <w:p>
      <w:pPr>
        <w:spacing w:after="0" w:line="200"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4</w:t>
      </w:r>
    </w:p>
    <w:p>
      <w:pPr>
        <w:sectPr>
          <w:pgSz w:w="11900" w:h="16838" w:orient="portrait"/>
          <w:cols w:equalWidth="0" w:num="1">
            <w:col w:w="10219"/>
          </w:cols>
          <w:pgMar w:left="240" w:top="703"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7"/>
          <w:szCs w:val="17"/>
          <w:color w:val="auto"/>
        </w:rPr>
        <w:t>Federal Realty Investment Trust</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CONSOLIDATED BALANCE SHEETS</w:t>
      </w: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400" w:type="dxa"/>
            <w:vAlign w:val="bottom"/>
          </w:tcPr>
          <w:p>
            <w:pPr>
              <w:spacing w:after="0"/>
              <w:rPr>
                <w:sz w:val="16"/>
                <w:szCs w:val="16"/>
                <w:color w:val="auto"/>
              </w:rPr>
            </w:pPr>
          </w:p>
        </w:tc>
        <w:tc>
          <w:tcPr>
            <w:tcW w:w="15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March 31,</w:t>
            </w:r>
          </w:p>
        </w:tc>
        <w:tc>
          <w:tcPr>
            <w:tcW w:w="14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December 31,</w:t>
            </w:r>
          </w:p>
        </w:tc>
      </w:tr>
      <w:tr>
        <w:trPr>
          <w:trHeight w:val="196"/>
        </w:trPr>
        <w:tc>
          <w:tcPr>
            <w:tcW w:w="4400" w:type="dxa"/>
            <w:vAlign w:val="bottom"/>
          </w:tcPr>
          <w:p>
            <w:pPr>
              <w:spacing w:after="0"/>
              <w:rPr>
                <w:sz w:val="17"/>
                <w:szCs w:val="17"/>
                <w:color w:val="auto"/>
              </w:rPr>
            </w:pPr>
          </w:p>
        </w:tc>
        <w:tc>
          <w:tcPr>
            <w:tcW w:w="1520" w:type="dxa"/>
            <w:vAlign w:val="bottom"/>
          </w:tcPr>
          <w:p>
            <w:pPr>
              <w:jc w:val="right"/>
              <w:ind w:right="535"/>
              <w:spacing w:after="0"/>
              <w:rPr>
                <w:sz w:val="20"/>
                <w:szCs w:val="20"/>
                <w:color w:val="auto"/>
              </w:rPr>
            </w:pPr>
            <w:r>
              <w:rPr>
                <w:rFonts w:ascii="Courier New" w:cs="Courier New" w:eastAsia="Courier New" w:hAnsi="Courier New"/>
                <w:sz w:val="17"/>
                <w:szCs w:val="17"/>
                <w:color w:val="auto"/>
              </w:rPr>
              <w:t>1996</w:t>
            </w:r>
          </w:p>
        </w:tc>
        <w:tc>
          <w:tcPr>
            <w:tcW w:w="460" w:type="dxa"/>
            <w:vAlign w:val="bottom"/>
          </w:tcPr>
          <w:p>
            <w:pPr>
              <w:spacing w:after="0"/>
              <w:rPr>
                <w:sz w:val="17"/>
                <w:szCs w:val="17"/>
                <w:color w:val="auto"/>
              </w:rPr>
            </w:pPr>
          </w:p>
        </w:tc>
        <w:tc>
          <w:tcPr>
            <w:tcW w:w="980" w:type="dxa"/>
            <w:vAlign w:val="bottom"/>
          </w:tcPr>
          <w:p>
            <w:pPr>
              <w:jc w:val="right"/>
              <w:ind w:right="435"/>
              <w:spacing w:after="0"/>
              <w:rPr>
                <w:sz w:val="20"/>
                <w:szCs w:val="20"/>
                <w:color w:val="auto"/>
              </w:rPr>
            </w:pPr>
            <w:r>
              <w:rPr>
                <w:rFonts w:ascii="Courier New" w:cs="Courier New" w:eastAsia="Courier New" w:hAnsi="Courier New"/>
                <w:sz w:val="17"/>
                <w:szCs w:val="17"/>
                <w:color w:val="auto"/>
              </w:rPr>
              <w:t>1995</w:t>
            </w:r>
          </w:p>
        </w:tc>
      </w:tr>
      <w:tr>
        <w:trPr>
          <w:trHeight w:val="196"/>
        </w:trPr>
        <w:tc>
          <w:tcPr>
            <w:tcW w:w="4400" w:type="dxa"/>
            <w:vAlign w:val="bottom"/>
          </w:tcPr>
          <w:p>
            <w:pPr>
              <w:spacing w:after="0"/>
              <w:rPr>
                <w:sz w:val="17"/>
                <w:szCs w:val="17"/>
                <w:color w:val="auto"/>
              </w:rPr>
            </w:pPr>
          </w:p>
        </w:tc>
        <w:tc>
          <w:tcPr>
            <w:tcW w:w="15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4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6"/>
        </w:trPr>
        <w:tc>
          <w:tcPr>
            <w:tcW w:w="4400" w:type="dxa"/>
            <w:vAlign w:val="bottom"/>
          </w:tcPr>
          <w:p>
            <w:pPr>
              <w:spacing w:after="0"/>
              <w:rPr>
                <w:sz w:val="17"/>
                <w:szCs w:val="17"/>
                <w:color w:val="auto"/>
              </w:rPr>
            </w:pPr>
          </w:p>
        </w:tc>
        <w:tc>
          <w:tcPr>
            <w:tcW w:w="2960" w:type="dxa"/>
            <w:vAlign w:val="bottom"/>
            <w:gridSpan w:val="3"/>
          </w:tcPr>
          <w:p>
            <w:pPr>
              <w:jc w:val="right"/>
              <w:ind w:right="635"/>
              <w:spacing w:after="0"/>
              <w:rPr>
                <w:sz w:val="20"/>
                <w:szCs w:val="20"/>
                <w:color w:val="auto"/>
              </w:rPr>
            </w:pPr>
            <w:r>
              <w:rPr>
                <w:rFonts w:ascii="Courier New" w:cs="Courier New" w:eastAsia="Courier New" w:hAnsi="Courier New"/>
                <w:sz w:val="17"/>
                <w:szCs w:val="17"/>
                <w:color w:val="auto"/>
              </w:rPr>
              <w:t>(in thousands)</w:t>
            </w:r>
          </w:p>
        </w:tc>
      </w:tr>
      <w:tr>
        <w:trPr>
          <w:trHeight w:val="392"/>
        </w:trPr>
        <w:tc>
          <w:tcPr>
            <w:tcW w:w="4400" w:type="dxa"/>
            <w:vAlign w:val="bottom"/>
          </w:tcPr>
          <w:p>
            <w:pPr>
              <w:ind w:left="1840"/>
              <w:spacing w:after="0"/>
              <w:rPr>
                <w:sz w:val="20"/>
                <w:szCs w:val="20"/>
                <w:color w:val="auto"/>
              </w:rPr>
            </w:pPr>
            <w:r>
              <w:rPr>
                <w:rFonts w:ascii="Courier New" w:cs="Courier New" w:eastAsia="Courier New" w:hAnsi="Courier New"/>
                <w:sz w:val="17"/>
                <w:szCs w:val="17"/>
                <w:color w:val="auto"/>
              </w:rPr>
              <w:t>ASSETS</w:t>
            </w:r>
          </w:p>
        </w:tc>
        <w:tc>
          <w:tcPr>
            <w:tcW w:w="1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96"/>
        </w:trPr>
        <w:tc>
          <w:tcPr>
            <w:tcW w:w="4400" w:type="dxa"/>
            <w:vAlign w:val="bottom"/>
          </w:tcPr>
          <w:p>
            <w:pPr>
              <w:spacing w:after="0"/>
              <w:rPr>
                <w:sz w:val="20"/>
                <w:szCs w:val="20"/>
                <w:color w:val="auto"/>
              </w:rPr>
            </w:pPr>
            <w:r>
              <w:rPr>
                <w:rFonts w:ascii="Courier New" w:cs="Courier New" w:eastAsia="Courier New" w:hAnsi="Courier New"/>
                <w:sz w:val="17"/>
                <w:szCs w:val="17"/>
                <w:color w:val="auto"/>
              </w:rPr>
              <w:t>Investments</w:t>
            </w:r>
          </w:p>
        </w:tc>
        <w:tc>
          <w:tcPr>
            <w:tcW w:w="1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96"/>
        </w:trPr>
        <w:tc>
          <w:tcPr>
            <w:tcW w:w="4400" w:type="dxa"/>
            <w:vAlign w:val="bottom"/>
          </w:tcPr>
          <w:p>
            <w:pPr>
              <w:ind w:left="200"/>
              <w:spacing w:after="0"/>
              <w:rPr>
                <w:sz w:val="20"/>
                <w:szCs w:val="20"/>
                <w:color w:val="auto"/>
              </w:rPr>
            </w:pPr>
            <w:r>
              <w:rPr>
                <w:rFonts w:ascii="Courier New" w:cs="Courier New" w:eastAsia="Courier New" w:hAnsi="Courier New"/>
                <w:sz w:val="17"/>
                <w:szCs w:val="17"/>
                <w:color w:val="auto"/>
              </w:rPr>
              <w:t>Real estate, at cost</w:t>
            </w:r>
          </w:p>
        </w:tc>
        <w:tc>
          <w:tcPr>
            <w:tcW w:w="15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$1,024,712</w:t>
            </w:r>
          </w:p>
        </w:tc>
        <w:tc>
          <w:tcPr>
            <w:tcW w:w="1440" w:type="dxa"/>
            <w:vAlign w:val="bottom"/>
            <w:gridSpan w:val="2"/>
          </w:tcPr>
          <w:p>
            <w:pPr>
              <w:jc w:val="right"/>
              <w:ind w:right="35"/>
              <w:spacing w:after="0"/>
              <w:rPr>
                <w:sz w:val="20"/>
                <w:szCs w:val="20"/>
                <w:color w:val="auto"/>
              </w:rPr>
            </w:pPr>
            <w:r>
              <w:rPr>
                <w:rFonts w:ascii="Courier New" w:cs="Courier New" w:eastAsia="Courier New" w:hAnsi="Courier New"/>
                <w:sz w:val="17"/>
                <w:szCs w:val="17"/>
                <w:color w:val="auto"/>
              </w:rPr>
              <w:t>$1,009,682</w:t>
            </w:r>
          </w:p>
        </w:tc>
      </w:tr>
      <w:tr>
        <w:trPr>
          <w:trHeight w:val="196"/>
        </w:trPr>
        <w:tc>
          <w:tcPr>
            <w:tcW w:w="4400" w:type="dxa"/>
            <w:vAlign w:val="bottom"/>
          </w:tcPr>
          <w:p>
            <w:pPr>
              <w:ind w:left="200"/>
              <w:spacing w:after="0"/>
              <w:rPr>
                <w:sz w:val="20"/>
                <w:szCs w:val="20"/>
                <w:color w:val="auto"/>
              </w:rPr>
            </w:pPr>
            <w:r>
              <w:rPr>
                <w:rFonts w:ascii="Courier New" w:cs="Courier New" w:eastAsia="Courier New" w:hAnsi="Courier New"/>
                <w:sz w:val="17"/>
                <w:szCs w:val="17"/>
                <w:color w:val="auto"/>
              </w:rPr>
              <w:t>Less accumulated depreciation and</w:t>
            </w:r>
          </w:p>
        </w:tc>
        <w:tc>
          <w:tcPr>
            <w:tcW w:w="1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96"/>
        </w:trPr>
        <w:tc>
          <w:tcPr>
            <w:tcW w:w="4400" w:type="dxa"/>
            <w:vAlign w:val="bottom"/>
          </w:tcPr>
          <w:p>
            <w:pPr>
              <w:ind w:left="320"/>
              <w:spacing w:after="0"/>
              <w:rPr>
                <w:sz w:val="20"/>
                <w:szCs w:val="20"/>
                <w:color w:val="auto"/>
              </w:rPr>
            </w:pPr>
            <w:r>
              <w:rPr>
                <w:rFonts w:ascii="Courier New" w:cs="Courier New" w:eastAsia="Courier New" w:hAnsi="Courier New"/>
                <w:sz w:val="17"/>
                <w:szCs w:val="17"/>
                <w:color w:val="auto"/>
              </w:rPr>
              <w:t>amortization</w:t>
            </w:r>
          </w:p>
        </w:tc>
        <w:tc>
          <w:tcPr>
            <w:tcW w:w="15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(198,910)</w:t>
            </w:r>
          </w:p>
        </w:tc>
        <w:tc>
          <w:tcPr>
            <w:tcW w:w="4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(190,795)</w:t>
            </w:r>
          </w:p>
        </w:tc>
      </w:tr>
      <w:tr>
        <w:trPr>
          <w:trHeight w:val="196"/>
        </w:trPr>
        <w:tc>
          <w:tcPr>
            <w:tcW w:w="4400" w:type="dxa"/>
            <w:vAlign w:val="bottom"/>
          </w:tcPr>
          <w:p>
            <w:pPr>
              <w:spacing w:after="0"/>
              <w:rPr>
                <w:sz w:val="17"/>
                <w:szCs w:val="17"/>
                <w:color w:val="auto"/>
              </w:rPr>
            </w:pPr>
          </w:p>
        </w:tc>
        <w:tc>
          <w:tcPr>
            <w:tcW w:w="15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1440" w:type="dxa"/>
            <w:vAlign w:val="bottom"/>
            <w:gridSpan w:val="2"/>
          </w:tcPr>
          <w:p>
            <w:pPr>
              <w:jc w:val="right"/>
              <w:ind w:right="35"/>
              <w:spacing w:after="0"/>
              <w:rPr>
                <w:sz w:val="20"/>
                <w:szCs w:val="20"/>
                <w:color w:val="auto"/>
              </w:rPr>
            </w:pPr>
            <w:r>
              <w:rPr>
                <w:rFonts w:ascii="Courier New" w:cs="Courier New" w:eastAsia="Courier New" w:hAnsi="Courier New"/>
                <w:sz w:val="17"/>
                <w:szCs w:val="17"/>
                <w:color w:val="auto"/>
              </w:rPr>
              <w:t>----------</w:t>
            </w:r>
          </w:p>
        </w:tc>
      </w:tr>
      <w:tr>
        <w:trPr>
          <w:trHeight w:val="196"/>
        </w:trPr>
        <w:tc>
          <w:tcPr>
            <w:tcW w:w="4400" w:type="dxa"/>
            <w:vAlign w:val="bottom"/>
          </w:tcPr>
          <w:p>
            <w:pPr>
              <w:spacing w:after="0"/>
              <w:rPr>
                <w:sz w:val="17"/>
                <w:szCs w:val="17"/>
                <w:color w:val="auto"/>
              </w:rPr>
            </w:pPr>
          </w:p>
        </w:tc>
        <w:tc>
          <w:tcPr>
            <w:tcW w:w="15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825,802</w:t>
            </w:r>
          </w:p>
        </w:tc>
        <w:tc>
          <w:tcPr>
            <w:tcW w:w="460" w:type="dxa"/>
            <w:vAlign w:val="bottom"/>
          </w:tcPr>
          <w:p>
            <w:pPr>
              <w:spacing w:after="0"/>
              <w:rPr>
                <w:sz w:val="17"/>
                <w:szCs w:val="17"/>
                <w:color w:val="auto"/>
              </w:rPr>
            </w:pPr>
          </w:p>
        </w:tc>
        <w:tc>
          <w:tcPr>
            <w:tcW w:w="980" w:type="dxa"/>
            <w:vAlign w:val="bottom"/>
          </w:tcPr>
          <w:p>
            <w:pPr>
              <w:jc w:val="right"/>
              <w:ind w:right="35"/>
              <w:spacing w:after="0"/>
              <w:rPr>
                <w:sz w:val="20"/>
                <w:szCs w:val="20"/>
                <w:color w:val="auto"/>
              </w:rPr>
            </w:pPr>
            <w:r>
              <w:rPr>
                <w:rFonts w:ascii="Courier New" w:cs="Courier New" w:eastAsia="Courier New" w:hAnsi="Courier New"/>
                <w:sz w:val="17"/>
                <w:szCs w:val="17"/>
                <w:color w:val="auto"/>
              </w:rPr>
              <w:t>818,887</w:t>
            </w:r>
          </w:p>
        </w:tc>
      </w:tr>
      <w:tr>
        <w:trPr>
          <w:trHeight w:val="196"/>
        </w:trPr>
        <w:tc>
          <w:tcPr>
            <w:tcW w:w="4400" w:type="dxa"/>
            <w:vAlign w:val="bottom"/>
          </w:tcPr>
          <w:p>
            <w:pPr>
              <w:ind w:left="200"/>
              <w:spacing w:after="0"/>
              <w:rPr>
                <w:sz w:val="20"/>
                <w:szCs w:val="20"/>
                <w:color w:val="auto"/>
              </w:rPr>
            </w:pPr>
            <w:r>
              <w:rPr>
                <w:rFonts w:ascii="Courier New" w:cs="Courier New" w:eastAsia="Courier New" w:hAnsi="Courier New"/>
                <w:sz w:val="17"/>
                <w:szCs w:val="17"/>
                <w:color w:val="auto"/>
              </w:rPr>
              <w:t>Mortgage notes receivable</w:t>
            </w:r>
          </w:p>
        </w:tc>
        <w:tc>
          <w:tcPr>
            <w:tcW w:w="15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14,077</w:t>
            </w:r>
          </w:p>
        </w:tc>
        <w:tc>
          <w:tcPr>
            <w:tcW w:w="460" w:type="dxa"/>
            <w:vAlign w:val="bottom"/>
          </w:tcPr>
          <w:p>
            <w:pPr>
              <w:spacing w:after="0"/>
              <w:rPr>
                <w:sz w:val="17"/>
                <w:szCs w:val="17"/>
                <w:color w:val="auto"/>
              </w:rPr>
            </w:pPr>
          </w:p>
        </w:tc>
        <w:tc>
          <w:tcPr>
            <w:tcW w:w="980" w:type="dxa"/>
            <w:vAlign w:val="bottom"/>
          </w:tcPr>
          <w:p>
            <w:pPr>
              <w:jc w:val="right"/>
              <w:ind w:right="35"/>
              <w:spacing w:after="0"/>
              <w:rPr>
                <w:sz w:val="20"/>
                <w:szCs w:val="20"/>
                <w:color w:val="auto"/>
              </w:rPr>
            </w:pPr>
            <w:r>
              <w:rPr>
                <w:rFonts w:ascii="Courier New" w:cs="Courier New" w:eastAsia="Courier New" w:hAnsi="Courier New"/>
                <w:sz w:val="17"/>
                <w:szCs w:val="17"/>
                <w:color w:val="auto"/>
              </w:rPr>
              <w:t>13,561</w:t>
            </w:r>
          </w:p>
        </w:tc>
      </w:tr>
      <w:tr>
        <w:trPr>
          <w:trHeight w:val="196"/>
        </w:trPr>
        <w:tc>
          <w:tcPr>
            <w:tcW w:w="4400" w:type="dxa"/>
            <w:vAlign w:val="bottom"/>
          </w:tcPr>
          <w:p>
            <w:pPr>
              <w:spacing w:after="0"/>
              <w:rPr>
                <w:sz w:val="17"/>
                <w:szCs w:val="17"/>
                <w:color w:val="auto"/>
              </w:rPr>
            </w:pPr>
          </w:p>
        </w:tc>
        <w:tc>
          <w:tcPr>
            <w:tcW w:w="15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1440" w:type="dxa"/>
            <w:vAlign w:val="bottom"/>
            <w:gridSpan w:val="2"/>
          </w:tcPr>
          <w:p>
            <w:pPr>
              <w:jc w:val="right"/>
              <w:ind w:right="35"/>
              <w:spacing w:after="0"/>
              <w:rPr>
                <w:sz w:val="20"/>
                <w:szCs w:val="20"/>
                <w:color w:val="auto"/>
              </w:rPr>
            </w:pPr>
            <w:r>
              <w:rPr>
                <w:rFonts w:ascii="Courier New" w:cs="Courier New" w:eastAsia="Courier New" w:hAnsi="Courier New"/>
                <w:sz w:val="17"/>
                <w:szCs w:val="17"/>
                <w:color w:val="auto"/>
              </w:rPr>
              <w:t>----------</w:t>
            </w:r>
          </w:p>
        </w:tc>
      </w:tr>
      <w:tr>
        <w:trPr>
          <w:trHeight w:val="196"/>
        </w:trPr>
        <w:tc>
          <w:tcPr>
            <w:tcW w:w="4400" w:type="dxa"/>
            <w:vAlign w:val="bottom"/>
          </w:tcPr>
          <w:p>
            <w:pPr>
              <w:spacing w:after="0"/>
              <w:rPr>
                <w:sz w:val="17"/>
                <w:szCs w:val="17"/>
                <w:color w:val="auto"/>
              </w:rPr>
            </w:pPr>
          </w:p>
        </w:tc>
        <w:tc>
          <w:tcPr>
            <w:tcW w:w="15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839,879</w:t>
            </w:r>
          </w:p>
        </w:tc>
        <w:tc>
          <w:tcPr>
            <w:tcW w:w="460" w:type="dxa"/>
            <w:vAlign w:val="bottom"/>
          </w:tcPr>
          <w:p>
            <w:pPr>
              <w:spacing w:after="0"/>
              <w:rPr>
                <w:sz w:val="17"/>
                <w:szCs w:val="17"/>
                <w:color w:val="auto"/>
              </w:rPr>
            </w:pPr>
          </w:p>
        </w:tc>
        <w:tc>
          <w:tcPr>
            <w:tcW w:w="980" w:type="dxa"/>
            <w:vAlign w:val="bottom"/>
          </w:tcPr>
          <w:p>
            <w:pPr>
              <w:jc w:val="right"/>
              <w:ind w:right="35"/>
              <w:spacing w:after="0"/>
              <w:rPr>
                <w:sz w:val="20"/>
                <w:szCs w:val="20"/>
                <w:color w:val="auto"/>
              </w:rPr>
            </w:pPr>
            <w:r>
              <w:rPr>
                <w:rFonts w:ascii="Courier New" w:cs="Courier New" w:eastAsia="Courier New" w:hAnsi="Courier New"/>
                <w:sz w:val="17"/>
                <w:szCs w:val="17"/>
                <w:color w:val="auto"/>
              </w:rPr>
              <w:t>832,448</w:t>
            </w:r>
          </w:p>
        </w:tc>
      </w:tr>
      <w:tr>
        <w:trPr>
          <w:trHeight w:val="196"/>
        </w:trPr>
        <w:tc>
          <w:tcPr>
            <w:tcW w:w="4400" w:type="dxa"/>
            <w:vAlign w:val="bottom"/>
          </w:tcPr>
          <w:p>
            <w:pPr>
              <w:spacing w:after="0"/>
              <w:rPr>
                <w:sz w:val="20"/>
                <w:szCs w:val="20"/>
                <w:color w:val="auto"/>
              </w:rPr>
            </w:pPr>
            <w:r>
              <w:rPr>
                <w:rFonts w:ascii="Courier New" w:cs="Courier New" w:eastAsia="Courier New" w:hAnsi="Courier New"/>
                <w:sz w:val="17"/>
                <w:szCs w:val="17"/>
                <w:color w:val="auto"/>
              </w:rPr>
              <w:t>Other Assets</w:t>
            </w:r>
          </w:p>
        </w:tc>
        <w:tc>
          <w:tcPr>
            <w:tcW w:w="1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96"/>
        </w:trPr>
        <w:tc>
          <w:tcPr>
            <w:tcW w:w="4400" w:type="dxa"/>
            <w:vAlign w:val="bottom"/>
          </w:tcPr>
          <w:p>
            <w:pPr>
              <w:ind w:left="200"/>
              <w:spacing w:after="0"/>
              <w:rPr>
                <w:sz w:val="20"/>
                <w:szCs w:val="20"/>
                <w:color w:val="auto"/>
              </w:rPr>
            </w:pPr>
            <w:r>
              <w:rPr>
                <w:rFonts w:ascii="Courier New" w:cs="Courier New" w:eastAsia="Courier New" w:hAnsi="Courier New"/>
                <w:sz w:val="17"/>
                <w:szCs w:val="17"/>
                <w:color w:val="auto"/>
              </w:rPr>
              <w:t>Cash</w:t>
            </w:r>
          </w:p>
        </w:tc>
        <w:tc>
          <w:tcPr>
            <w:tcW w:w="15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8,252</w:t>
            </w:r>
          </w:p>
        </w:tc>
        <w:tc>
          <w:tcPr>
            <w:tcW w:w="460" w:type="dxa"/>
            <w:vAlign w:val="bottom"/>
          </w:tcPr>
          <w:p>
            <w:pPr>
              <w:spacing w:after="0"/>
              <w:rPr>
                <w:sz w:val="17"/>
                <w:szCs w:val="17"/>
                <w:color w:val="auto"/>
              </w:rPr>
            </w:pPr>
          </w:p>
        </w:tc>
        <w:tc>
          <w:tcPr>
            <w:tcW w:w="980" w:type="dxa"/>
            <w:vAlign w:val="bottom"/>
          </w:tcPr>
          <w:p>
            <w:pPr>
              <w:jc w:val="right"/>
              <w:ind w:right="35"/>
              <w:spacing w:after="0"/>
              <w:rPr>
                <w:sz w:val="20"/>
                <w:szCs w:val="20"/>
                <w:color w:val="auto"/>
              </w:rPr>
            </w:pPr>
            <w:r>
              <w:rPr>
                <w:rFonts w:ascii="Courier New" w:cs="Courier New" w:eastAsia="Courier New" w:hAnsi="Courier New"/>
                <w:sz w:val="17"/>
                <w:szCs w:val="17"/>
                <w:color w:val="auto"/>
              </w:rPr>
              <w:t>10,521</w:t>
            </w:r>
          </w:p>
        </w:tc>
      </w:tr>
      <w:tr>
        <w:trPr>
          <w:trHeight w:val="196"/>
        </w:trPr>
        <w:tc>
          <w:tcPr>
            <w:tcW w:w="4400" w:type="dxa"/>
            <w:vAlign w:val="bottom"/>
          </w:tcPr>
          <w:p>
            <w:pPr>
              <w:ind w:left="200"/>
              <w:spacing w:after="0"/>
              <w:rPr>
                <w:sz w:val="20"/>
                <w:szCs w:val="20"/>
                <w:color w:val="auto"/>
              </w:rPr>
            </w:pPr>
            <w:r>
              <w:rPr>
                <w:rFonts w:ascii="Courier New" w:cs="Courier New" w:eastAsia="Courier New" w:hAnsi="Courier New"/>
                <w:sz w:val="17"/>
                <w:szCs w:val="17"/>
                <w:color w:val="auto"/>
              </w:rPr>
              <w:t>Investments</w:t>
            </w:r>
          </w:p>
        </w:tc>
        <w:tc>
          <w:tcPr>
            <w:tcW w:w="15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485</w:t>
            </w:r>
          </w:p>
        </w:tc>
        <w:tc>
          <w:tcPr>
            <w:tcW w:w="460" w:type="dxa"/>
            <w:vAlign w:val="bottom"/>
          </w:tcPr>
          <w:p>
            <w:pPr>
              <w:spacing w:after="0"/>
              <w:rPr>
                <w:sz w:val="17"/>
                <w:szCs w:val="17"/>
                <w:color w:val="auto"/>
              </w:rPr>
            </w:pPr>
          </w:p>
        </w:tc>
        <w:tc>
          <w:tcPr>
            <w:tcW w:w="980" w:type="dxa"/>
            <w:vAlign w:val="bottom"/>
          </w:tcPr>
          <w:p>
            <w:pPr>
              <w:jc w:val="right"/>
              <w:ind w:right="35"/>
              <w:spacing w:after="0"/>
              <w:rPr>
                <w:sz w:val="20"/>
                <w:szCs w:val="20"/>
                <w:color w:val="auto"/>
              </w:rPr>
            </w:pPr>
            <w:r>
              <w:rPr>
                <w:rFonts w:ascii="Courier New" w:cs="Courier New" w:eastAsia="Courier New" w:hAnsi="Courier New"/>
                <w:sz w:val="17"/>
                <w:szCs w:val="17"/>
                <w:color w:val="auto"/>
              </w:rPr>
              <w:t>261</w:t>
            </w:r>
          </w:p>
        </w:tc>
      </w:tr>
      <w:tr>
        <w:trPr>
          <w:trHeight w:val="196"/>
        </w:trPr>
        <w:tc>
          <w:tcPr>
            <w:tcW w:w="4400" w:type="dxa"/>
            <w:vAlign w:val="bottom"/>
          </w:tcPr>
          <w:p>
            <w:pPr>
              <w:ind w:left="200"/>
              <w:spacing w:after="0"/>
              <w:rPr>
                <w:sz w:val="20"/>
                <w:szCs w:val="20"/>
                <w:color w:val="auto"/>
              </w:rPr>
            </w:pPr>
            <w:r>
              <w:rPr>
                <w:rFonts w:ascii="Courier New" w:cs="Courier New" w:eastAsia="Courier New" w:hAnsi="Courier New"/>
                <w:sz w:val="17"/>
                <w:szCs w:val="17"/>
                <w:color w:val="auto"/>
              </w:rPr>
              <w:t>Notes receivable - officers</w:t>
            </w:r>
          </w:p>
        </w:tc>
        <w:tc>
          <w:tcPr>
            <w:tcW w:w="15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1,195</w:t>
            </w:r>
          </w:p>
        </w:tc>
        <w:tc>
          <w:tcPr>
            <w:tcW w:w="460" w:type="dxa"/>
            <w:vAlign w:val="bottom"/>
          </w:tcPr>
          <w:p>
            <w:pPr>
              <w:spacing w:after="0"/>
              <w:rPr>
                <w:sz w:val="17"/>
                <w:szCs w:val="17"/>
                <w:color w:val="auto"/>
              </w:rPr>
            </w:pPr>
          </w:p>
        </w:tc>
        <w:tc>
          <w:tcPr>
            <w:tcW w:w="980" w:type="dxa"/>
            <w:vAlign w:val="bottom"/>
          </w:tcPr>
          <w:p>
            <w:pPr>
              <w:jc w:val="right"/>
              <w:ind w:right="35"/>
              <w:spacing w:after="0"/>
              <w:rPr>
                <w:sz w:val="20"/>
                <w:szCs w:val="20"/>
                <w:color w:val="auto"/>
              </w:rPr>
            </w:pPr>
            <w:r>
              <w:rPr>
                <w:rFonts w:ascii="Courier New" w:cs="Courier New" w:eastAsia="Courier New" w:hAnsi="Courier New"/>
                <w:sz w:val="17"/>
                <w:szCs w:val="17"/>
                <w:color w:val="auto"/>
              </w:rPr>
              <w:t>1,011</w:t>
            </w:r>
          </w:p>
        </w:tc>
      </w:tr>
      <w:tr>
        <w:trPr>
          <w:trHeight w:val="196"/>
        </w:trPr>
        <w:tc>
          <w:tcPr>
            <w:tcW w:w="4400" w:type="dxa"/>
            <w:vAlign w:val="bottom"/>
          </w:tcPr>
          <w:p>
            <w:pPr>
              <w:ind w:left="200"/>
              <w:spacing w:after="0"/>
              <w:rPr>
                <w:sz w:val="20"/>
                <w:szCs w:val="20"/>
                <w:color w:val="auto"/>
              </w:rPr>
            </w:pPr>
            <w:r>
              <w:rPr>
                <w:rFonts w:ascii="Courier New" w:cs="Courier New" w:eastAsia="Courier New" w:hAnsi="Courier New"/>
                <w:sz w:val="17"/>
                <w:szCs w:val="17"/>
                <w:color w:val="auto"/>
              </w:rPr>
              <w:t>Accounts receivable</w:t>
            </w:r>
          </w:p>
        </w:tc>
        <w:tc>
          <w:tcPr>
            <w:tcW w:w="15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15,813</w:t>
            </w:r>
          </w:p>
        </w:tc>
        <w:tc>
          <w:tcPr>
            <w:tcW w:w="460" w:type="dxa"/>
            <w:vAlign w:val="bottom"/>
          </w:tcPr>
          <w:p>
            <w:pPr>
              <w:spacing w:after="0"/>
              <w:rPr>
                <w:sz w:val="17"/>
                <w:szCs w:val="17"/>
                <w:color w:val="auto"/>
              </w:rPr>
            </w:pPr>
          </w:p>
        </w:tc>
        <w:tc>
          <w:tcPr>
            <w:tcW w:w="980" w:type="dxa"/>
            <w:vAlign w:val="bottom"/>
          </w:tcPr>
          <w:p>
            <w:pPr>
              <w:jc w:val="right"/>
              <w:ind w:right="35"/>
              <w:spacing w:after="0"/>
              <w:rPr>
                <w:sz w:val="20"/>
                <w:szCs w:val="20"/>
                <w:color w:val="auto"/>
              </w:rPr>
            </w:pPr>
            <w:r>
              <w:rPr>
                <w:rFonts w:ascii="Courier New" w:cs="Courier New" w:eastAsia="Courier New" w:hAnsi="Courier New"/>
                <w:sz w:val="17"/>
                <w:szCs w:val="17"/>
                <w:color w:val="auto"/>
              </w:rPr>
              <w:t>15,091</w:t>
            </w:r>
          </w:p>
        </w:tc>
      </w:tr>
      <w:tr>
        <w:trPr>
          <w:trHeight w:val="196"/>
        </w:trPr>
        <w:tc>
          <w:tcPr>
            <w:tcW w:w="4400" w:type="dxa"/>
            <w:vAlign w:val="bottom"/>
          </w:tcPr>
          <w:p>
            <w:pPr>
              <w:ind w:left="200"/>
              <w:spacing w:after="0"/>
              <w:rPr>
                <w:sz w:val="20"/>
                <w:szCs w:val="20"/>
                <w:color w:val="auto"/>
              </w:rPr>
            </w:pPr>
            <w:r>
              <w:rPr>
                <w:rFonts w:ascii="Courier New" w:cs="Courier New" w:eastAsia="Courier New" w:hAnsi="Courier New"/>
                <w:sz w:val="17"/>
                <w:szCs w:val="17"/>
                <w:color w:val="auto"/>
              </w:rPr>
              <w:t>Prepaid expenses and other assets,</w:t>
            </w:r>
          </w:p>
        </w:tc>
        <w:tc>
          <w:tcPr>
            <w:tcW w:w="1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96"/>
        </w:trPr>
        <w:tc>
          <w:tcPr>
            <w:tcW w:w="4400" w:type="dxa"/>
            <w:vAlign w:val="bottom"/>
          </w:tcPr>
          <w:p>
            <w:pPr>
              <w:ind w:left="320"/>
              <w:spacing w:after="0"/>
              <w:rPr>
                <w:sz w:val="20"/>
                <w:szCs w:val="20"/>
                <w:color w:val="auto"/>
              </w:rPr>
            </w:pPr>
            <w:r>
              <w:rPr>
                <w:rFonts w:ascii="Courier New" w:cs="Courier New" w:eastAsia="Courier New" w:hAnsi="Courier New"/>
                <w:sz w:val="17"/>
                <w:szCs w:val="17"/>
                <w:color w:val="auto"/>
              </w:rPr>
              <w:t>principally property taxes and lease</w:t>
            </w:r>
          </w:p>
        </w:tc>
        <w:tc>
          <w:tcPr>
            <w:tcW w:w="1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96"/>
        </w:trPr>
        <w:tc>
          <w:tcPr>
            <w:tcW w:w="4400" w:type="dxa"/>
            <w:vAlign w:val="bottom"/>
          </w:tcPr>
          <w:p>
            <w:pPr>
              <w:ind w:left="320"/>
              <w:spacing w:after="0"/>
              <w:rPr>
                <w:sz w:val="20"/>
                <w:szCs w:val="20"/>
                <w:color w:val="auto"/>
              </w:rPr>
            </w:pPr>
            <w:r>
              <w:rPr>
                <w:rFonts w:ascii="Courier New" w:cs="Courier New" w:eastAsia="Courier New" w:hAnsi="Courier New"/>
                <w:sz w:val="17"/>
                <w:szCs w:val="17"/>
                <w:color w:val="auto"/>
              </w:rPr>
              <w:t>commissions</w:t>
            </w:r>
          </w:p>
        </w:tc>
        <w:tc>
          <w:tcPr>
            <w:tcW w:w="15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23,133</w:t>
            </w:r>
          </w:p>
        </w:tc>
        <w:tc>
          <w:tcPr>
            <w:tcW w:w="460" w:type="dxa"/>
            <w:vAlign w:val="bottom"/>
          </w:tcPr>
          <w:p>
            <w:pPr>
              <w:spacing w:after="0"/>
              <w:rPr>
                <w:sz w:val="17"/>
                <w:szCs w:val="17"/>
                <w:color w:val="auto"/>
              </w:rPr>
            </w:pPr>
          </w:p>
        </w:tc>
        <w:tc>
          <w:tcPr>
            <w:tcW w:w="980" w:type="dxa"/>
            <w:vAlign w:val="bottom"/>
          </w:tcPr>
          <w:p>
            <w:pPr>
              <w:jc w:val="right"/>
              <w:ind w:right="35"/>
              <w:spacing w:after="0"/>
              <w:rPr>
                <w:sz w:val="20"/>
                <w:szCs w:val="20"/>
                <w:color w:val="auto"/>
              </w:rPr>
            </w:pPr>
            <w:r>
              <w:rPr>
                <w:rFonts w:ascii="Courier New" w:cs="Courier New" w:eastAsia="Courier New" w:hAnsi="Courier New"/>
                <w:sz w:val="17"/>
                <w:szCs w:val="17"/>
                <w:color w:val="auto"/>
              </w:rPr>
              <w:t>22,987</w:t>
            </w:r>
          </w:p>
        </w:tc>
      </w:tr>
      <w:tr>
        <w:trPr>
          <w:trHeight w:val="196"/>
        </w:trPr>
        <w:tc>
          <w:tcPr>
            <w:tcW w:w="4400" w:type="dxa"/>
            <w:vAlign w:val="bottom"/>
          </w:tcPr>
          <w:p>
            <w:pPr>
              <w:ind w:left="200"/>
              <w:spacing w:after="0"/>
              <w:rPr>
                <w:sz w:val="20"/>
                <w:szCs w:val="20"/>
                <w:color w:val="auto"/>
              </w:rPr>
            </w:pPr>
            <w:r>
              <w:rPr>
                <w:rFonts w:ascii="Courier New" w:cs="Courier New" w:eastAsia="Courier New" w:hAnsi="Courier New"/>
                <w:sz w:val="17"/>
                <w:szCs w:val="17"/>
                <w:color w:val="auto"/>
              </w:rPr>
              <w:t>Debt issue costs (net of accumulated</w:t>
            </w:r>
          </w:p>
        </w:tc>
        <w:tc>
          <w:tcPr>
            <w:tcW w:w="1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96"/>
        </w:trPr>
        <w:tc>
          <w:tcPr>
            <w:tcW w:w="4400" w:type="dxa"/>
            <w:vAlign w:val="bottom"/>
          </w:tcPr>
          <w:p>
            <w:pPr>
              <w:ind w:left="320"/>
              <w:spacing w:after="0"/>
              <w:rPr>
                <w:sz w:val="20"/>
                <w:szCs w:val="20"/>
                <w:color w:val="auto"/>
              </w:rPr>
            </w:pPr>
            <w:r>
              <w:rPr>
                <w:rFonts w:ascii="Courier New" w:cs="Courier New" w:eastAsia="Courier New" w:hAnsi="Courier New"/>
                <w:sz w:val="17"/>
                <w:szCs w:val="17"/>
                <w:color w:val="auto"/>
              </w:rPr>
              <w:t>amortization of $4,023,000 and</w:t>
            </w:r>
          </w:p>
        </w:tc>
        <w:tc>
          <w:tcPr>
            <w:tcW w:w="1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96"/>
        </w:trPr>
        <w:tc>
          <w:tcPr>
            <w:tcW w:w="4400" w:type="dxa"/>
            <w:vAlign w:val="bottom"/>
          </w:tcPr>
          <w:p>
            <w:pPr>
              <w:ind w:left="320"/>
              <w:spacing w:after="0"/>
              <w:rPr>
                <w:sz w:val="20"/>
                <w:szCs w:val="20"/>
                <w:color w:val="auto"/>
              </w:rPr>
            </w:pPr>
            <w:r>
              <w:rPr>
                <w:rFonts w:ascii="Courier New" w:cs="Courier New" w:eastAsia="Courier New" w:hAnsi="Courier New"/>
                <w:sz w:val="17"/>
                <w:szCs w:val="17"/>
                <w:color w:val="auto"/>
              </w:rPr>
              <w:t>$3,918,000, respectively)</w:t>
            </w:r>
          </w:p>
        </w:tc>
        <w:tc>
          <w:tcPr>
            <w:tcW w:w="15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3,671</w:t>
            </w:r>
          </w:p>
        </w:tc>
        <w:tc>
          <w:tcPr>
            <w:tcW w:w="460" w:type="dxa"/>
            <w:vAlign w:val="bottom"/>
          </w:tcPr>
          <w:p>
            <w:pPr>
              <w:spacing w:after="0"/>
              <w:rPr>
                <w:sz w:val="17"/>
                <w:szCs w:val="17"/>
                <w:color w:val="auto"/>
              </w:rPr>
            </w:pPr>
          </w:p>
        </w:tc>
        <w:tc>
          <w:tcPr>
            <w:tcW w:w="980" w:type="dxa"/>
            <w:vAlign w:val="bottom"/>
          </w:tcPr>
          <w:p>
            <w:pPr>
              <w:jc w:val="right"/>
              <w:ind w:right="35"/>
              <w:spacing w:after="0"/>
              <w:rPr>
                <w:sz w:val="20"/>
                <w:szCs w:val="20"/>
                <w:color w:val="auto"/>
              </w:rPr>
            </w:pPr>
            <w:r>
              <w:rPr>
                <w:rFonts w:ascii="Courier New" w:cs="Courier New" w:eastAsia="Courier New" w:hAnsi="Courier New"/>
                <w:sz w:val="17"/>
                <w:szCs w:val="17"/>
                <w:color w:val="auto"/>
              </w:rPr>
              <w:t>3,835</w:t>
            </w:r>
          </w:p>
        </w:tc>
      </w:tr>
      <w:tr>
        <w:trPr>
          <w:trHeight w:val="196"/>
        </w:trPr>
        <w:tc>
          <w:tcPr>
            <w:tcW w:w="4400" w:type="dxa"/>
            <w:vAlign w:val="bottom"/>
          </w:tcPr>
          <w:p>
            <w:pPr>
              <w:spacing w:after="0"/>
              <w:rPr>
                <w:sz w:val="17"/>
                <w:szCs w:val="17"/>
                <w:color w:val="auto"/>
              </w:rPr>
            </w:pPr>
          </w:p>
        </w:tc>
        <w:tc>
          <w:tcPr>
            <w:tcW w:w="15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1440" w:type="dxa"/>
            <w:vAlign w:val="bottom"/>
            <w:gridSpan w:val="2"/>
          </w:tcPr>
          <w:p>
            <w:pPr>
              <w:jc w:val="right"/>
              <w:ind w:right="35"/>
              <w:spacing w:after="0"/>
              <w:rPr>
                <w:sz w:val="20"/>
                <w:szCs w:val="20"/>
                <w:color w:val="auto"/>
              </w:rPr>
            </w:pPr>
            <w:r>
              <w:rPr>
                <w:rFonts w:ascii="Courier New" w:cs="Courier New" w:eastAsia="Courier New" w:hAnsi="Courier New"/>
                <w:sz w:val="17"/>
                <w:szCs w:val="17"/>
                <w:color w:val="auto"/>
              </w:rPr>
              <w:t>----------</w:t>
            </w:r>
          </w:p>
        </w:tc>
      </w:tr>
      <w:tr>
        <w:trPr>
          <w:trHeight w:val="196"/>
        </w:trPr>
        <w:tc>
          <w:tcPr>
            <w:tcW w:w="4400" w:type="dxa"/>
            <w:vAlign w:val="bottom"/>
          </w:tcPr>
          <w:p>
            <w:pPr>
              <w:spacing w:after="0"/>
              <w:rPr>
                <w:sz w:val="17"/>
                <w:szCs w:val="17"/>
                <w:color w:val="auto"/>
              </w:rPr>
            </w:pPr>
          </w:p>
        </w:tc>
        <w:tc>
          <w:tcPr>
            <w:tcW w:w="15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$ 892,428</w:t>
            </w: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35"/>
              <w:spacing w:after="0"/>
              <w:rPr>
                <w:sz w:val="20"/>
                <w:szCs w:val="20"/>
                <w:color w:val="auto"/>
              </w:rPr>
            </w:pPr>
            <w:r>
              <w:rPr>
                <w:rFonts w:ascii="Courier New" w:cs="Courier New" w:eastAsia="Courier New" w:hAnsi="Courier New"/>
                <w:sz w:val="17"/>
                <w:szCs w:val="17"/>
                <w:color w:val="auto"/>
              </w:rPr>
              <w:t>886,154</w:t>
            </w:r>
          </w:p>
        </w:tc>
      </w:tr>
      <w:tr>
        <w:trPr>
          <w:trHeight w:val="196"/>
        </w:trPr>
        <w:tc>
          <w:tcPr>
            <w:tcW w:w="4400" w:type="dxa"/>
            <w:vAlign w:val="bottom"/>
          </w:tcPr>
          <w:p>
            <w:pPr>
              <w:spacing w:after="0"/>
              <w:rPr>
                <w:sz w:val="17"/>
                <w:szCs w:val="17"/>
                <w:color w:val="auto"/>
              </w:rPr>
            </w:pPr>
          </w:p>
        </w:tc>
        <w:tc>
          <w:tcPr>
            <w:tcW w:w="15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1440" w:type="dxa"/>
            <w:vAlign w:val="bottom"/>
            <w:gridSpan w:val="2"/>
          </w:tcPr>
          <w:p>
            <w:pPr>
              <w:jc w:val="right"/>
              <w:ind w:right="35"/>
              <w:spacing w:after="0"/>
              <w:rPr>
                <w:sz w:val="20"/>
                <w:szCs w:val="20"/>
                <w:color w:val="auto"/>
              </w:rPr>
            </w:pPr>
            <w:r>
              <w:rPr>
                <w:rFonts w:ascii="Courier New" w:cs="Courier New" w:eastAsia="Courier New" w:hAnsi="Courier New"/>
                <w:sz w:val="17"/>
                <w:szCs w:val="17"/>
                <w:color w:val="auto"/>
              </w:rPr>
              <w:t>==========</w:t>
            </w:r>
          </w:p>
        </w:tc>
      </w:tr>
      <w:tr>
        <w:trPr>
          <w:trHeight w:val="392"/>
        </w:trPr>
        <w:tc>
          <w:tcPr>
            <w:tcW w:w="4400" w:type="dxa"/>
            <w:vAlign w:val="bottom"/>
          </w:tcPr>
          <w:p>
            <w:pPr>
              <w:spacing w:after="0"/>
              <w:rPr>
                <w:sz w:val="20"/>
                <w:szCs w:val="20"/>
                <w:color w:val="auto"/>
              </w:rPr>
            </w:pPr>
            <w:r>
              <w:rPr>
                <w:rFonts w:ascii="Courier New" w:cs="Courier New" w:eastAsia="Courier New" w:hAnsi="Courier New"/>
                <w:sz w:val="17"/>
                <w:szCs w:val="17"/>
                <w:color w:val="auto"/>
              </w:rPr>
              <w:t>LIABILITIES AND SHAREHOLDERS' EQUITY</w:t>
            </w:r>
          </w:p>
        </w:tc>
        <w:tc>
          <w:tcPr>
            <w:tcW w:w="1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92"/>
        </w:trPr>
        <w:tc>
          <w:tcPr>
            <w:tcW w:w="4400" w:type="dxa"/>
            <w:vAlign w:val="bottom"/>
          </w:tcPr>
          <w:p>
            <w:pPr>
              <w:spacing w:after="0"/>
              <w:rPr>
                <w:sz w:val="20"/>
                <w:szCs w:val="20"/>
                <w:color w:val="auto"/>
              </w:rPr>
            </w:pPr>
            <w:r>
              <w:rPr>
                <w:rFonts w:ascii="Courier New" w:cs="Courier New" w:eastAsia="Courier New" w:hAnsi="Courier New"/>
                <w:sz w:val="17"/>
                <w:szCs w:val="17"/>
                <w:color w:val="auto"/>
              </w:rPr>
              <w:t>Liabilities</w:t>
            </w:r>
          </w:p>
        </w:tc>
        <w:tc>
          <w:tcPr>
            <w:tcW w:w="1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96"/>
        </w:trPr>
        <w:tc>
          <w:tcPr>
            <w:tcW w:w="4400" w:type="dxa"/>
            <w:vAlign w:val="bottom"/>
          </w:tcPr>
          <w:p>
            <w:pPr>
              <w:ind w:left="200"/>
              <w:spacing w:after="0"/>
              <w:rPr>
                <w:sz w:val="20"/>
                <w:szCs w:val="20"/>
                <w:color w:val="auto"/>
              </w:rPr>
            </w:pPr>
            <w:r>
              <w:rPr>
                <w:rFonts w:ascii="Courier New" w:cs="Courier New" w:eastAsia="Courier New" w:hAnsi="Courier New"/>
                <w:sz w:val="17"/>
                <w:szCs w:val="17"/>
                <w:color w:val="auto"/>
              </w:rPr>
              <w:t>Obligations under capital leases</w:t>
            </w:r>
          </w:p>
        </w:tc>
        <w:tc>
          <w:tcPr>
            <w:tcW w:w="15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$ 131,537</w:t>
            </w: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35"/>
              <w:spacing w:after="0"/>
              <w:rPr>
                <w:sz w:val="20"/>
                <w:szCs w:val="20"/>
                <w:color w:val="auto"/>
              </w:rPr>
            </w:pPr>
            <w:r>
              <w:rPr>
                <w:rFonts w:ascii="Courier New" w:cs="Courier New" w:eastAsia="Courier New" w:hAnsi="Courier New"/>
                <w:sz w:val="17"/>
                <w:szCs w:val="17"/>
                <w:color w:val="auto"/>
              </w:rPr>
              <w:t>131,829</w:t>
            </w:r>
          </w:p>
        </w:tc>
      </w:tr>
      <w:tr>
        <w:trPr>
          <w:trHeight w:val="196"/>
        </w:trPr>
        <w:tc>
          <w:tcPr>
            <w:tcW w:w="4400" w:type="dxa"/>
            <w:vAlign w:val="bottom"/>
          </w:tcPr>
          <w:p>
            <w:pPr>
              <w:ind w:left="200"/>
              <w:spacing w:after="0"/>
              <w:rPr>
                <w:sz w:val="20"/>
                <w:szCs w:val="20"/>
                <w:color w:val="auto"/>
              </w:rPr>
            </w:pPr>
            <w:r>
              <w:rPr>
                <w:rFonts w:ascii="Courier New" w:cs="Courier New" w:eastAsia="Courier New" w:hAnsi="Courier New"/>
                <w:sz w:val="17"/>
                <w:szCs w:val="17"/>
                <w:color w:val="auto"/>
              </w:rPr>
              <w:t>Mortgages payable</w:t>
            </w:r>
          </w:p>
        </w:tc>
        <w:tc>
          <w:tcPr>
            <w:tcW w:w="15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90,171</w:t>
            </w:r>
          </w:p>
        </w:tc>
        <w:tc>
          <w:tcPr>
            <w:tcW w:w="460" w:type="dxa"/>
            <w:vAlign w:val="bottom"/>
          </w:tcPr>
          <w:p>
            <w:pPr>
              <w:spacing w:after="0"/>
              <w:rPr>
                <w:sz w:val="17"/>
                <w:szCs w:val="17"/>
                <w:color w:val="auto"/>
              </w:rPr>
            </w:pPr>
          </w:p>
        </w:tc>
        <w:tc>
          <w:tcPr>
            <w:tcW w:w="980" w:type="dxa"/>
            <w:vAlign w:val="bottom"/>
          </w:tcPr>
          <w:p>
            <w:pPr>
              <w:jc w:val="right"/>
              <w:ind w:right="35"/>
              <w:spacing w:after="0"/>
              <w:rPr>
                <w:sz w:val="20"/>
                <w:szCs w:val="20"/>
                <w:color w:val="auto"/>
              </w:rPr>
            </w:pPr>
            <w:r>
              <w:rPr>
                <w:rFonts w:ascii="Courier New" w:cs="Courier New" w:eastAsia="Courier New" w:hAnsi="Courier New"/>
                <w:sz w:val="17"/>
                <w:szCs w:val="17"/>
                <w:color w:val="auto"/>
              </w:rPr>
              <w:t>90,488</w:t>
            </w:r>
          </w:p>
        </w:tc>
      </w:tr>
      <w:tr>
        <w:trPr>
          <w:trHeight w:val="196"/>
        </w:trPr>
        <w:tc>
          <w:tcPr>
            <w:tcW w:w="4400" w:type="dxa"/>
            <w:vAlign w:val="bottom"/>
          </w:tcPr>
          <w:p>
            <w:pPr>
              <w:ind w:left="200"/>
              <w:spacing w:after="0"/>
              <w:rPr>
                <w:sz w:val="20"/>
                <w:szCs w:val="20"/>
                <w:color w:val="auto"/>
              </w:rPr>
            </w:pPr>
            <w:r>
              <w:rPr>
                <w:rFonts w:ascii="Courier New" w:cs="Courier New" w:eastAsia="Courier New" w:hAnsi="Courier New"/>
                <w:sz w:val="17"/>
                <w:szCs w:val="17"/>
                <w:color w:val="auto"/>
              </w:rPr>
              <w:t>Notes payable</w:t>
            </w:r>
          </w:p>
        </w:tc>
        <w:tc>
          <w:tcPr>
            <w:tcW w:w="15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66,347</w:t>
            </w:r>
          </w:p>
        </w:tc>
        <w:tc>
          <w:tcPr>
            <w:tcW w:w="460" w:type="dxa"/>
            <w:vAlign w:val="bottom"/>
          </w:tcPr>
          <w:p>
            <w:pPr>
              <w:spacing w:after="0"/>
              <w:rPr>
                <w:sz w:val="17"/>
                <w:szCs w:val="17"/>
                <w:color w:val="auto"/>
              </w:rPr>
            </w:pPr>
          </w:p>
        </w:tc>
        <w:tc>
          <w:tcPr>
            <w:tcW w:w="980" w:type="dxa"/>
            <w:vAlign w:val="bottom"/>
          </w:tcPr>
          <w:p>
            <w:pPr>
              <w:jc w:val="right"/>
              <w:ind w:right="35"/>
              <w:spacing w:after="0"/>
              <w:rPr>
                <w:sz w:val="20"/>
                <w:szCs w:val="20"/>
                <w:color w:val="auto"/>
              </w:rPr>
            </w:pPr>
            <w:r>
              <w:rPr>
                <w:rFonts w:ascii="Courier New" w:cs="Courier New" w:eastAsia="Courier New" w:hAnsi="Courier New"/>
                <w:sz w:val="17"/>
                <w:szCs w:val="17"/>
                <w:color w:val="auto"/>
              </w:rPr>
              <w:t>49,980</w:t>
            </w:r>
          </w:p>
        </w:tc>
      </w:tr>
      <w:tr>
        <w:trPr>
          <w:trHeight w:val="196"/>
        </w:trPr>
        <w:tc>
          <w:tcPr>
            <w:tcW w:w="4400" w:type="dxa"/>
            <w:vAlign w:val="bottom"/>
          </w:tcPr>
          <w:p>
            <w:pPr>
              <w:ind w:left="200"/>
              <w:spacing w:after="0"/>
              <w:rPr>
                <w:sz w:val="20"/>
                <w:szCs w:val="20"/>
                <w:color w:val="auto"/>
              </w:rPr>
            </w:pPr>
            <w:r>
              <w:rPr>
                <w:rFonts w:ascii="Courier New" w:cs="Courier New" w:eastAsia="Courier New" w:hAnsi="Courier New"/>
                <w:sz w:val="17"/>
                <w:szCs w:val="17"/>
                <w:color w:val="auto"/>
              </w:rPr>
              <w:t>Accrued expenses</w:t>
            </w:r>
          </w:p>
        </w:tc>
        <w:tc>
          <w:tcPr>
            <w:tcW w:w="15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17,905</w:t>
            </w:r>
          </w:p>
        </w:tc>
        <w:tc>
          <w:tcPr>
            <w:tcW w:w="460" w:type="dxa"/>
            <w:vAlign w:val="bottom"/>
          </w:tcPr>
          <w:p>
            <w:pPr>
              <w:spacing w:after="0"/>
              <w:rPr>
                <w:sz w:val="17"/>
                <w:szCs w:val="17"/>
                <w:color w:val="auto"/>
              </w:rPr>
            </w:pPr>
          </w:p>
        </w:tc>
        <w:tc>
          <w:tcPr>
            <w:tcW w:w="980" w:type="dxa"/>
            <w:vAlign w:val="bottom"/>
          </w:tcPr>
          <w:p>
            <w:pPr>
              <w:jc w:val="right"/>
              <w:ind w:right="35"/>
              <w:spacing w:after="0"/>
              <w:rPr>
                <w:sz w:val="20"/>
                <w:szCs w:val="20"/>
                <w:color w:val="auto"/>
              </w:rPr>
            </w:pPr>
            <w:r>
              <w:rPr>
                <w:rFonts w:ascii="Courier New" w:cs="Courier New" w:eastAsia="Courier New" w:hAnsi="Courier New"/>
                <w:sz w:val="17"/>
                <w:szCs w:val="17"/>
                <w:color w:val="auto"/>
              </w:rPr>
              <w:t>19,048</w:t>
            </w:r>
          </w:p>
        </w:tc>
      </w:tr>
      <w:tr>
        <w:trPr>
          <w:trHeight w:val="196"/>
        </w:trPr>
        <w:tc>
          <w:tcPr>
            <w:tcW w:w="4400" w:type="dxa"/>
            <w:vAlign w:val="bottom"/>
          </w:tcPr>
          <w:p>
            <w:pPr>
              <w:ind w:left="200"/>
              <w:spacing w:after="0"/>
              <w:rPr>
                <w:sz w:val="20"/>
                <w:szCs w:val="20"/>
                <w:color w:val="auto"/>
              </w:rPr>
            </w:pPr>
            <w:r>
              <w:rPr>
                <w:rFonts w:ascii="Courier New" w:cs="Courier New" w:eastAsia="Courier New" w:hAnsi="Courier New"/>
                <w:sz w:val="17"/>
                <w:szCs w:val="17"/>
                <w:color w:val="auto"/>
              </w:rPr>
              <w:t>Accounts payable</w:t>
            </w:r>
          </w:p>
        </w:tc>
        <w:tc>
          <w:tcPr>
            <w:tcW w:w="15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5,660</w:t>
            </w:r>
          </w:p>
        </w:tc>
        <w:tc>
          <w:tcPr>
            <w:tcW w:w="460" w:type="dxa"/>
            <w:vAlign w:val="bottom"/>
          </w:tcPr>
          <w:p>
            <w:pPr>
              <w:spacing w:after="0"/>
              <w:rPr>
                <w:sz w:val="17"/>
                <w:szCs w:val="17"/>
                <w:color w:val="auto"/>
              </w:rPr>
            </w:pPr>
          </w:p>
        </w:tc>
        <w:tc>
          <w:tcPr>
            <w:tcW w:w="980" w:type="dxa"/>
            <w:vAlign w:val="bottom"/>
          </w:tcPr>
          <w:p>
            <w:pPr>
              <w:jc w:val="right"/>
              <w:ind w:right="35"/>
              <w:spacing w:after="0"/>
              <w:rPr>
                <w:sz w:val="20"/>
                <w:szCs w:val="20"/>
                <w:color w:val="auto"/>
              </w:rPr>
            </w:pPr>
            <w:r>
              <w:rPr>
                <w:rFonts w:ascii="Courier New" w:cs="Courier New" w:eastAsia="Courier New" w:hAnsi="Courier New"/>
                <w:sz w:val="17"/>
                <w:szCs w:val="17"/>
                <w:color w:val="auto"/>
              </w:rPr>
              <w:t>8,571</w:t>
            </w:r>
          </w:p>
        </w:tc>
      </w:tr>
      <w:tr>
        <w:trPr>
          <w:trHeight w:val="196"/>
        </w:trPr>
        <w:tc>
          <w:tcPr>
            <w:tcW w:w="4400" w:type="dxa"/>
            <w:vAlign w:val="bottom"/>
          </w:tcPr>
          <w:p>
            <w:pPr>
              <w:ind w:left="200"/>
              <w:spacing w:after="0"/>
              <w:rPr>
                <w:sz w:val="20"/>
                <w:szCs w:val="20"/>
                <w:color w:val="auto"/>
              </w:rPr>
            </w:pPr>
            <w:r>
              <w:rPr>
                <w:rFonts w:ascii="Courier New" w:cs="Courier New" w:eastAsia="Courier New" w:hAnsi="Courier New"/>
                <w:sz w:val="17"/>
                <w:szCs w:val="17"/>
                <w:color w:val="auto"/>
              </w:rPr>
              <w:t>Dividends payable</w:t>
            </w:r>
          </w:p>
        </w:tc>
        <w:tc>
          <w:tcPr>
            <w:tcW w:w="15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13,213</w:t>
            </w:r>
          </w:p>
        </w:tc>
        <w:tc>
          <w:tcPr>
            <w:tcW w:w="460" w:type="dxa"/>
            <w:vAlign w:val="bottom"/>
          </w:tcPr>
          <w:p>
            <w:pPr>
              <w:spacing w:after="0"/>
              <w:rPr>
                <w:sz w:val="17"/>
                <w:szCs w:val="17"/>
                <w:color w:val="auto"/>
              </w:rPr>
            </w:pPr>
          </w:p>
        </w:tc>
        <w:tc>
          <w:tcPr>
            <w:tcW w:w="980" w:type="dxa"/>
            <w:vAlign w:val="bottom"/>
          </w:tcPr>
          <w:p>
            <w:pPr>
              <w:jc w:val="right"/>
              <w:ind w:right="35"/>
              <w:spacing w:after="0"/>
              <w:rPr>
                <w:sz w:val="20"/>
                <w:szCs w:val="20"/>
                <w:color w:val="auto"/>
              </w:rPr>
            </w:pPr>
            <w:r>
              <w:rPr>
                <w:rFonts w:ascii="Courier New" w:cs="Courier New" w:eastAsia="Courier New" w:hAnsi="Courier New"/>
                <w:sz w:val="17"/>
                <w:szCs w:val="17"/>
                <w:color w:val="auto"/>
              </w:rPr>
              <w:t>13,191</w:t>
            </w:r>
          </w:p>
        </w:tc>
      </w:tr>
      <w:tr>
        <w:trPr>
          <w:trHeight w:val="196"/>
        </w:trPr>
        <w:tc>
          <w:tcPr>
            <w:tcW w:w="4400" w:type="dxa"/>
            <w:vAlign w:val="bottom"/>
          </w:tcPr>
          <w:p>
            <w:pPr>
              <w:ind w:left="200"/>
              <w:spacing w:after="0"/>
              <w:rPr>
                <w:sz w:val="20"/>
                <w:szCs w:val="20"/>
                <w:color w:val="auto"/>
              </w:rPr>
            </w:pPr>
            <w:r>
              <w:rPr>
                <w:rFonts w:ascii="Courier New" w:cs="Courier New" w:eastAsia="Courier New" w:hAnsi="Courier New"/>
                <w:sz w:val="17"/>
                <w:szCs w:val="17"/>
                <w:color w:val="auto"/>
              </w:rPr>
              <w:t>Security deposits</w:t>
            </w:r>
          </w:p>
        </w:tc>
        <w:tc>
          <w:tcPr>
            <w:tcW w:w="15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3,110</w:t>
            </w:r>
          </w:p>
        </w:tc>
        <w:tc>
          <w:tcPr>
            <w:tcW w:w="460" w:type="dxa"/>
            <w:vAlign w:val="bottom"/>
          </w:tcPr>
          <w:p>
            <w:pPr>
              <w:spacing w:after="0"/>
              <w:rPr>
                <w:sz w:val="17"/>
                <w:szCs w:val="17"/>
                <w:color w:val="auto"/>
              </w:rPr>
            </w:pPr>
          </w:p>
        </w:tc>
        <w:tc>
          <w:tcPr>
            <w:tcW w:w="980" w:type="dxa"/>
            <w:vAlign w:val="bottom"/>
          </w:tcPr>
          <w:p>
            <w:pPr>
              <w:jc w:val="right"/>
              <w:ind w:right="35"/>
              <w:spacing w:after="0"/>
              <w:rPr>
                <w:sz w:val="20"/>
                <w:szCs w:val="20"/>
                <w:color w:val="auto"/>
              </w:rPr>
            </w:pPr>
            <w:r>
              <w:rPr>
                <w:rFonts w:ascii="Courier New" w:cs="Courier New" w:eastAsia="Courier New" w:hAnsi="Courier New"/>
                <w:sz w:val="17"/>
                <w:szCs w:val="17"/>
                <w:color w:val="auto"/>
              </w:rPr>
              <w:t>3,083</w:t>
            </w:r>
          </w:p>
        </w:tc>
      </w:tr>
      <w:tr>
        <w:trPr>
          <w:trHeight w:val="196"/>
        </w:trPr>
        <w:tc>
          <w:tcPr>
            <w:tcW w:w="4400" w:type="dxa"/>
            <w:vAlign w:val="bottom"/>
          </w:tcPr>
          <w:p>
            <w:pPr>
              <w:ind w:left="200"/>
              <w:spacing w:after="0"/>
              <w:rPr>
                <w:sz w:val="20"/>
                <w:szCs w:val="20"/>
                <w:color w:val="auto"/>
              </w:rPr>
            </w:pPr>
            <w:r>
              <w:rPr>
                <w:rFonts w:ascii="Courier New" w:cs="Courier New" w:eastAsia="Courier New" w:hAnsi="Courier New"/>
                <w:sz w:val="17"/>
                <w:szCs w:val="17"/>
                <w:color w:val="auto"/>
              </w:rPr>
              <w:t>Prepaid rents</w:t>
            </w:r>
          </w:p>
        </w:tc>
        <w:tc>
          <w:tcPr>
            <w:tcW w:w="15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1,108</w:t>
            </w:r>
          </w:p>
        </w:tc>
        <w:tc>
          <w:tcPr>
            <w:tcW w:w="460" w:type="dxa"/>
            <w:vAlign w:val="bottom"/>
          </w:tcPr>
          <w:p>
            <w:pPr>
              <w:spacing w:after="0"/>
              <w:rPr>
                <w:sz w:val="17"/>
                <w:szCs w:val="17"/>
                <w:color w:val="auto"/>
              </w:rPr>
            </w:pPr>
          </w:p>
        </w:tc>
        <w:tc>
          <w:tcPr>
            <w:tcW w:w="980" w:type="dxa"/>
            <w:vAlign w:val="bottom"/>
          </w:tcPr>
          <w:p>
            <w:pPr>
              <w:jc w:val="right"/>
              <w:ind w:right="35"/>
              <w:spacing w:after="0"/>
              <w:rPr>
                <w:sz w:val="20"/>
                <w:szCs w:val="20"/>
                <w:color w:val="auto"/>
              </w:rPr>
            </w:pPr>
            <w:r>
              <w:rPr>
                <w:rFonts w:ascii="Courier New" w:cs="Courier New" w:eastAsia="Courier New" w:hAnsi="Courier New"/>
                <w:sz w:val="17"/>
                <w:szCs w:val="17"/>
                <w:color w:val="auto"/>
              </w:rPr>
              <w:t>787</w:t>
            </w:r>
          </w:p>
        </w:tc>
      </w:tr>
      <w:tr>
        <w:trPr>
          <w:trHeight w:val="196"/>
        </w:trPr>
        <w:tc>
          <w:tcPr>
            <w:tcW w:w="4400" w:type="dxa"/>
            <w:vAlign w:val="bottom"/>
          </w:tcPr>
          <w:p>
            <w:pPr>
              <w:spacing w:after="0"/>
              <w:rPr>
                <w:sz w:val="20"/>
                <w:szCs w:val="20"/>
                <w:color w:val="auto"/>
              </w:rPr>
            </w:pPr>
            <w:r>
              <w:rPr>
                <w:rFonts w:ascii="Courier New" w:cs="Courier New" w:eastAsia="Courier New" w:hAnsi="Courier New"/>
                <w:sz w:val="17"/>
                <w:szCs w:val="17"/>
                <w:color w:val="auto"/>
              </w:rPr>
              <w:t>Senior notes</w:t>
            </w:r>
          </w:p>
        </w:tc>
        <w:tc>
          <w:tcPr>
            <w:tcW w:w="15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165,000</w:t>
            </w:r>
          </w:p>
        </w:tc>
        <w:tc>
          <w:tcPr>
            <w:tcW w:w="460" w:type="dxa"/>
            <w:vAlign w:val="bottom"/>
          </w:tcPr>
          <w:p>
            <w:pPr>
              <w:spacing w:after="0"/>
              <w:rPr>
                <w:sz w:val="17"/>
                <w:szCs w:val="17"/>
                <w:color w:val="auto"/>
              </w:rPr>
            </w:pPr>
          </w:p>
        </w:tc>
        <w:tc>
          <w:tcPr>
            <w:tcW w:w="980" w:type="dxa"/>
            <w:vAlign w:val="bottom"/>
          </w:tcPr>
          <w:p>
            <w:pPr>
              <w:jc w:val="right"/>
              <w:ind w:right="35"/>
              <w:spacing w:after="0"/>
              <w:rPr>
                <w:sz w:val="20"/>
                <w:szCs w:val="20"/>
                <w:color w:val="auto"/>
              </w:rPr>
            </w:pPr>
            <w:r>
              <w:rPr>
                <w:rFonts w:ascii="Courier New" w:cs="Courier New" w:eastAsia="Courier New" w:hAnsi="Courier New"/>
                <w:sz w:val="17"/>
                <w:szCs w:val="17"/>
                <w:color w:val="auto"/>
              </w:rPr>
              <w:t>165,000</w:t>
            </w:r>
          </w:p>
        </w:tc>
      </w:tr>
      <w:tr>
        <w:trPr>
          <w:trHeight w:val="196"/>
        </w:trPr>
        <w:tc>
          <w:tcPr>
            <w:tcW w:w="4400" w:type="dxa"/>
            <w:vAlign w:val="bottom"/>
          </w:tcPr>
          <w:p>
            <w:pPr>
              <w:spacing w:after="0"/>
              <w:rPr>
                <w:sz w:val="20"/>
                <w:szCs w:val="20"/>
                <w:color w:val="auto"/>
              </w:rPr>
            </w:pPr>
            <w:r>
              <w:rPr>
                <w:rFonts w:ascii="Courier New" w:cs="Courier New" w:eastAsia="Courier New" w:hAnsi="Courier New"/>
                <w:sz w:val="17"/>
                <w:szCs w:val="17"/>
                <w:color w:val="auto"/>
              </w:rPr>
              <w:t>5 1/4% Convertible subordinated debentures</w:t>
            </w:r>
          </w:p>
        </w:tc>
        <w:tc>
          <w:tcPr>
            <w:tcW w:w="15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75,289</w:t>
            </w:r>
          </w:p>
        </w:tc>
        <w:tc>
          <w:tcPr>
            <w:tcW w:w="460" w:type="dxa"/>
            <w:vAlign w:val="bottom"/>
          </w:tcPr>
          <w:p>
            <w:pPr>
              <w:spacing w:after="0"/>
              <w:rPr>
                <w:sz w:val="17"/>
                <w:szCs w:val="17"/>
                <w:color w:val="auto"/>
              </w:rPr>
            </w:pPr>
          </w:p>
        </w:tc>
        <w:tc>
          <w:tcPr>
            <w:tcW w:w="980" w:type="dxa"/>
            <w:vAlign w:val="bottom"/>
          </w:tcPr>
          <w:p>
            <w:pPr>
              <w:jc w:val="right"/>
              <w:ind w:right="35"/>
              <w:spacing w:after="0"/>
              <w:rPr>
                <w:sz w:val="20"/>
                <w:szCs w:val="20"/>
                <w:color w:val="auto"/>
              </w:rPr>
            </w:pPr>
            <w:r>
              <w:rPr>
                <w:rFonts w:ascii="Courier New" w:cs="Courier New" w:eastAsia="Courier New" w:hAnsi="Courier New"/>
                <w:sz w:val="17"/>
                <w:szCs w:val="17"/>
                <w:color w:val="auto"/>
              </w:rPr>
              <w:t>75,289</w:t>
            </w:r>
          </w:p>
        </w:tc>
      </w:tr>
      <w:tr>
        <w:trPr>
          <w:trHeight w:val="196"/>
        </w:trPr>
        <w:tc>
          <w:tcPr>
            <w:tcW w:w="4400" w:type="dxa"/>
            <w:vAlign w:val="bottom"/>
          </w:tcPr>
          <w:p>
            <w:pPr>
              <w:spacing w:after="0"/>
              <w:rPr>
                <w:sz w:val="20"/>
                <w:szCs w:val="20"/>
                <w:color w:val="auto"/>
              </w:rPr>
            </w:pPr>
            <w:r>
              <w:rPr>
                <w:rFonts w:ascii="Courier New" w:cs="Courier New" w:eastAsia="Courier New" w:hAnsi="Courier New"/>
                <w:sz w:val="17"/>
                <w:szCs w:val="17"/>
                <w:color w:val="auto"/>
              </w:rPr>
              <w:t>Investors' interest in consolidated assets</w:t>
            </w:r>
          </w:p>
        </w:tc>
        <w:tc>
          <w:tcPr>
            <w:tcW w:w="15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1,262</w:t>
            </w:r>
          </w:p>
        </w:tc>
        <w:tc>
          <w:tcPr>
            <w:tcW w:w="460" w:type="dxa"/>
            <w:vAlign w:val="bottom"/>
          </w:tcPr>
          <w:p>
            <w:pPr>
              <w:spacing w:after="0"/>
              <w:rPr>
                <w:sz w:val="17"/>
                <w:szCs w:val="17"/>
                <w:color w:val="auto"/>
              </w:rPr>
            </w:pPr>
          </w:p>
        </w:tc>
        <w:tc>
          <w:tcPr>
            <w:tcW w:w="980" w:type="dxa"/>
            <w:vAlign w:val="bottom"/>
          </w:tcPr>
          <w:p>
            <w:pPr>
              <w:jc w:val="right"/>
              <w:ind w:right="35"/>
              <w:spacing w:after="0"/>
              <w:rPr>
                <w:sz w:val="20"/>
                <w:szCs w:val="20"/>
                <w:color w:val="auto"/>
              </w:rPr>
            </w:pPr>
            <w:r>
              <w:rPr>
                <w:rFonts w:ascii="Courier New" w:cs="Courier New" w:eastAsia="Courier New" w:hAnsi="Courier New"/>
                <w:sz w:val="17"/>
                <w:szCs w:val="17"/>
                <w:color w:val="auto"/>
              </w:rPr>
              <w:t>1,420</w:t>
            </w:r>
          </w:p>
        </w:tc>
      </w:tr>
      <w:tr>
        <w:trPr>
          <w:trHeight w:val="196"/>
        </w:trPr>
        <w:tc>
          <w:tcPr>
            <w:tcW w:w="4400" w:type="dxa"/>
            <w:vAlign w:val="bottom"/>
          </w:tcPr>
          <w:p>
            <w:pPr>
              <w:spacing w:after="0"/>
              <w:rPr>
                <w:sz w:val="20"/>
                <w:szCs w:val="20"/>
                <w:color w:val="auto"/>
              </w:rPr>
            </w:pPr>
            <w:r>
              <w:rPr>
                <w:rFonts w:ascii="Courier New" w:cs="Courier New" w:eastAsia="Courier New" w:hAnsi="Courier New"/>
                <w:sz w:val="17"/>
                <w:szCs w:val="17"/>
                <w:color w:val="auto"/>
              </w:rPr>
              <w:t>Commitments and contingencies</w:t>
            </w:r>
          </w:p>
        </w:tc>
        <w:tc>
          <w:tcPr>
            <w:tcW w:w="15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spacing w:after="0"/>
              <w:rPr>
                <w:sz w:val="17"/>
                <w:szCs w:val="17"/>
                <w:color w:val="auto"/>
              </w:rPr>
            </w:pPr>
          </w:p>
        </w:tc>
        <w:tc>
          <w:tcPr>
            <w:tcW w:w="980" w:type="dxa"/>
            <w:vAlign w:val="bottom"/>
          </w:tcPr>
          <w:p>
            <w:pPr>
              <w:jc w:val="right"/>
              <w:ind w:right="35"/>
              <w:spacing w:after="0"/>
              <w:rPr>
                <w:sz w:val="20"/>
                <w:szCs w:val="20"/>
                <w:color w:val="auto"/>
              </w:rPr>
            </w:pPr>
            <w:r>
              <w:rPr>
                <w:rFonts w:ascii="Courier New" w:cs="Courier New" w:eastAsia="Courier New" w:hAnsi="Courier New"/>
                <w:sz w:val="17"/>
                <w:szCs w:val="17"/>
                <w:color w:val="auto"/>
              </w:rPr>
              <w:t>-</w:t>
            </w:r>
          </w:p>
        </w:tc>
      </w:tr>
      <w:tr>
        <w:trPr>
          <w:trHeight w:val="392"/>
        </w:trPr>
        <w:tc>
          <w:tcPr>
            <w:tcW w:w="4400" w:type="dxa"/>
            <w:vAlign w:val="bottom"/>
          </w:tcPr>
          <w:p>
            <w:pPr>
              <w:spacing w:after="0"/>
              <w:rPr>
                <w:sz w:val="20"/>
                <w:szCs w:val="20"/>
                <w:color w:val="auto"/>
              </w:rPr>
            </w:pPr>
            <w:r>
              <w:rPr>
                <w:rFonts w:ascii="Courier New" w:cs="Courier New" w:eastAsia="Courier New" w:hAnsi="Courier New"/>
                <w:sz w:val="17"/>
                <w:szCs w:val="17"/>
                <w:color w:val="auto"/>
              </w:rPr>
              <w:t>Shareholders' equity</w:t>
            </w:r>
          </w:p>
        </w:tc>
        <w:tc>
          <w:tcPr>
            <w:tcW w:w="1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96"/>
        </w:trPr>
        <w:tc>
          <w:tcPr>
            <w:tcW w:w="4400" w:type="dxa"/>
            <w:vAlign w:val="bottom"/>
          </w:tcPr>
          <w:p>
            <w:pPr>
              <w:ind w:left="200"/>
              <w:spacing w:after="0"/>
              <w:rPr>
                <w:sz w:val="20"/>
                <w:szCs w:val="20"/>
                <w:color w:val="auto"/>
              </w:rPr>
            </w:pPr>
            <w:r>
              <w:rPr>
                <w:rFonts w:ascii="Courier New" w:cs="Courier New" w:eastAsia="Courier New" w:hAnsi="Courier New"/>
                <w:sz w:val="17"/>
                <w:szCs w:val="17"/>
                <w:color w:val="auto"/>
              </w:rPr>
              <w:t>Common shares of beneficial interest, no</w:t>
            </w:r>
          </w:p>
        </w:tc>
        <w:tc>
          <w:tcPr>
            <w:tcW w:w="1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96"/>
        </w:trPr>
        <w:tc>
          <w:tcPr>
            <w:tcW w:w="4400" w:type="dxa"/>
            <w:vAlign w:val="bottom"/>
          </w:tcPr>
          <w:p>
            <w:pPr>
              <w:ind w:left="320"/>
              <w:spacing w:after="0"/>
              <w:rPr>
                <w:sz w:val="20"/>
                <w:szCs w:val="20"/>
                <w:color w:val="auto"/>
              </w:rPr>
            </w:pPr>
            <w:r>
              <w:rPr>
                <w:rFonts w:ascii="Courier New" w:cs="Courier New" w:eastAsia="Courier New" w:hAnsi="Courier New"/>
                <w:sz w:val="17"/>
                <w:szCs w:val="17"/>
                <w:color w:val="auto"/>
              </w:rPr>
              <w:t>par or stated value, unlimited</w:t>
            </w:r>
          </w:p>
        </w:tc>
        <w:tc>
          <w:tcPr>
            <w:tcW w:w="1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96"/>
        </w:trPr>
        <w:tc>
          <w:tcPr>
            <w:tcW w:w="4400" w:type="dxa"/>
            <w:vAlign w:val="bottom"/>
          </w:tcPr>
          <w:p>
            <w:pPr>
              <w:ind w:left="320"/>
              <w:spacing w:after="0"/>
              <w:rPr>
                <w:sz w:val="20"/>
                <w:szCs w:val="20"/>
                <w:color w:val="auto"/>
              </w:rPr>
            </w:pPr>
            <w:r>
              <w:rPr>
                <w:rFonts w:ascii="Courier New" w:cs="Courier New" w:eastAsia="Courier New" w:hAnsi="Courier New"/>
                <w:sz w:val="17"/>
                <w:szCs w:val="17"/>
                <w:color w:val="auto"/>
              </w:rPr>
              <w:t>authorization, issued 32,288,818 and</w:t>
            </w:r>
          </w:p>
        </w:tc>
        <w:tc>
          <w:tcPr>
            <w:tcW w:w="1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96"/>
        </w:trPr>
        <w:tc>
          <w:tcPr>
            <w:tcW w:w="4400" w:type="dxa"/>
            <w:vAlign w:val="bottom"/>
          </w:tcPr>
          <w:p>
            <w:pPr>
              <w:ind w:left="320"/>
              <w:spacing w:after="0"/>
              <w:rPr>
                <w:sz w:val="20"/>
                <w:szCs w:val="20"/>
                <w:color w:val="auto"/>
              </w:rPr>
            </w:pPr>
            <w:r>
              <w:rPr>
                <w:rFonts w:ascii="Courier New" w:cs="Courier New" w:eastAsia="Courier New" w:hAnsi="Courier New"/>
                <w:sz w:val="17"/>
                <w:szCs w:val="17"/>
                <w:color w:val="auto"/>
              </w:rPr>
              <w:t>32,221,670 shares, respectively</w:t>
            </w:r>
          </w:p>
        </w:tc>
        <w:tc>
          <w:tcPr>
            <w:tcW w:w="15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510,313</w:t>
            </w:r>
          </w:p>
        </w:tc>
        <w:tc>
          <w:tcPr>
            <w:tcW w:w="460" w:type="dxa"/>
            <w:vAlign w:val="bottom"/>
          </w:tcPr>
          <w:p>
            <w:pPr>
              <w:spacing w:after="0"/>
              <w:rPr>
                <w:sz w:val="17"/>
                <w:szCs w:val="17"/>
                <w:color w:val="auto"/>
              </w:rPr>
            </w:pPr>
          </w:p>
        </w:tc>
        <w:tc>
          <w:tcPr>
            <w:tcW w:w="980" w:type="dxa"/>
            <w:vAlign w:val="bottom"/>
          </w:tcPr>
          <w:p>
            <w:pPr>
              <w:jc w:val="right"/>
              <w:ind w:right="35"/>
              <w:spacing w:after="0"/>
              <w:rPr>
                <w:sz w:val="20"/>
                <w:szCs w:val="20"/>
                <w:color w:val="auto"/>
              </w:rPr>
            </w:pPr>
            <w:r>
              <w:rPr>
                <w:rFonts w:ascii="Courier New" w:cs="Courier New" w:eastAsia="Courier New" w:hAnsi="Courier New"/>
                <w:sz w:val="17"/>
                <w:szCs w:val="17"/>
                <w:color w:val="auto"/>
              </w:rPr>
              <w:t>508,870</w:t>
            </w:r>
          </w:p>
        </w:tc>
      </w:tr>
      <w:tr>
        <w:trPr>
          <w:trHeight w:val="196"/>
        </w:trPr>
        <w:tc>
          <w:tcPr>
            <w:tcW w:w="4400" w:type="dxa"/>
            <w:vAlign w:val="bottom"/>
          </w:tcPr>
          <w:p>
            <w:pPr>
              <w:spacing w:after="0"/>
              <w:rPr>
                <w:sz w:val="20"/>
                <w:szCs w:val="20"/>
                <w:color w:val="auto"/>
              </w:rPr>
            </w:pPr>
            <w:r>
              <w:rPr>
                <w:rFonts w:ascii="Courier New" w:cs="Courier New" w:eastAsia="Courier New" w:hAnsi="Courier New"/>
                <w:sz w:val="17"/>
                <w:szCs w:val="17"/>
                <w:color w:val="auto"/>
              </w:rPr>
              <w:t>Accumulated dividends in excess of Trust</w:t>
            </w:r>
          </w:p>
        </w:tc>
        <w:tc>
          <w:tcPr>
            <w:tcW w:w="1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96"/>
        </w:trPr>
        <w:tc>
          <w:tcPr>
            <w:tcW w:w="4400" w:type="dxa"/>
            <w:vAlign w:val="bottom"/>
          </w:tcPr>
          <w:p>
            <w:pPr>
              <w:ind w:left="100"/>
              <w:spacing w:after="0"/>
              <w:rPr>
                <w:sz w:val="20"/>
                <w:szCs w:val="20"/>
                <w:color w:val="auto"/>
              </w:rPr>
            </w:pPr>
            <w:r>
              <w:rPr>
                <w:rFonts w:ascii="Courier New" w:cs="Courier New" w:eastAsia="Courier New" w:hAnsi="Courier New"/>
                <w:sz w:val="17"/>
                <w:szCs w:val="17"/>
                <w:color w:val="auto"/>
              </w:rPr>
              <w:t>net income</w:t>
            </w:r>
          </w:p>
        </w:tc>
        <w:tc>
          <w:tcPr>
            <w:tcW w:w="15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(180,022)</w:t>
            </w:r>
          </w:p>
        </w:tc>
        <w:tc>
          <w:tcPr>
            <w:tcW w:w="4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(172,835)</w:t>
            </w:r>
          </w:p>
        </w:tc>
      </w:tr>
      <w:tr>
        <w:trPr>
          <w:trHeight w:val="196"/>
        </w:trPr>
        <w:tc>
          <w:tcPr>
            <w:tcW w:w="4400" w:type="dxa"/>
            <w:vAlign w:val="bottom"/>
          </w:tcPr>
          <w:p>
            <w:pPr>
              <w:spacing w:after="0"/>
              <w:rPr>
                <w:sz w:val="20"/>
                <w:szCs w:val="20"/>
                <w:color w:val="auto"/>
              </w:rPr>
            </w:pPr>
            <w:r>
              <w:rPr>
                <w:rFonts w:ascii="Courier New" w:cs="Courier New" w:eastAsia="Courier New" w:hAnsi="Courier New"/>
                <w:sz w:val="17"/>
                <w:szCs w:val="17"/>
                <w:color w:val="auto"/>
              </w:rPr>
              <w:t>Allowance for unrealized loss on</w:t>
            </w:r>
          </w:p>
        </w:tc>
        <w:tc>
          <w:tcPr>
            <w:tcW w:w="1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96"/>
        </w:trPr>
        <w:tc>
          <w:tcPr>
            <w:tcW w:w="4400" w:type="dxa"/>
            <w:vAlign w:val="bottom"/>
          </w:tcPr>
          <w:p>
            <w:pPr>
              <w:ind w:left="100"/>
              <w:spacing w:after="0"/>
              <w:rPr>
                <w:sz w:val="20"/>
                <w:szCs w:val="20"/>
                <w:color w:val="auto"/>
              </w:rPr>
            </w:pPr>
            <w:r>
              <w:rPr>
                <w:rFonts w:ascii="Courier New" w:cs="Courier New" w:eastAsia="Courier New" w:hAnsi="Courier New"/>
                <w:sz w:val="17"/>
                <w:szCs w:val="17"/>
                <w:color w:val="auto"/>
              </w:rPr>
              <w:t>marketable securities</w:t>
            </w:r>
          </w:p>
        </w:tc>
        <w:tc>
          <w:tcPr>
            <w:tcW w:w="15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spacing w:after="0"/>
              <w:rPr>
                <w:sz w:val="17"/>
                <w:szCs w:val="17"/>
                <w:color w:val="auto"/>
              </w:rPr>
            </w:pPr>
          </w:p>
        </w:tc>
        <w:tc>
          <w:tcPr>
            <w:tcW w:w="980" w:type="dxa"/>
            <w:vAlign w:val="bottom"/>
          </w:tcPr>
          <w:p>
            <w:pPr>
              <w:jc w:val="right"/>
              <w:ind w:right="35"/>
              <w:spacing w:after="0"/>
              <w:rPr>
                <w:sz w:val="20"/>
                <w:szCs w:val="20"/>
                <w:color w:val="auto"/>
              </w:rPr>
            </w:pPr>
            <w:r>
              <w:rPr>
                <w:rFonts w:ascii="Courier New" w:cs="Courier New" w:eastAsia="Courier New" w:hAnsi="Courier New"/>
                <w:sz w:val="17"/>
                <w:szCs w:val="17"/>
                <w:color w:val="auto"/>
              </w:rPr>
              <w:t>-</w:t>
            </w:r>
          </w:p>
        </w:tc>
      </w:tr>
      <w:tr>
        <w:trPr>
          <w:trHeight w:val="196"/>
        </w:trPr>
        <w:tc>
          <w:tcPr>
            <w:tcW w:w="4400" w:type="dxa"/>
            <w:vAlign w:val="bottom"/>
          </w:tcPr>
          <w:p>
            <w:pPr>
              <w:spacing w:after="0"/>
              <w:rPr>
                <w:sz w:val="17"/>
                <w:szCs w:val="17"/>
                <w:color w:val="auto"/>
              </w:rPr>
            </w:pPr>
          </w:p>
        </w:tc>
        <w:tc>
          <w:tcPr>
            <w:tcW w:w="15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1440" w:type="dxa"/>
            <w:vAlign w:val="bottom"/>
            <w:gridSpan w:val="2"/>
          </w:tcPr>
          <w:p>
            <w:pPr>
              <w:jc w:val="right"/>
              <w:ind w:right="35"/>
              <w:spacing w:after="0"/>
              <w:rPr>
                <w:sz w:val="20"/>
                <w:szCs w:val="20"/>
                <w:color w:val="auto"/>
              </w:rPr>
            </w:pPr>
            <w:r>
              <w:rPr>
                <w:rFonts w:ascii="Courier New" w:cs="Courier New" w:eastAsia="Courier New" w:hAnsi="Courier New"/>
                <w:sz w:val="17"/>
                <w:szCs w:val="17"/>
                <w:color w:val="auto"/>
              </w:rPr>
              <w:t>----------</w:t>
            </w:r>
          </w:p>
        </w:tc>
      </w:tr>
      <w:tr>
        <w:trPr>
          <w:trHeight w:val="196"/>
        </w:trPr>
        <w:tc>
          <w:tcPr>
            <w:tcW w:w="4400" w:type="dxa"/>
            <w:vAlign w:val="bottom"/>
          </w:tcPr>
          <w:p>
            <w:pPr>
              <w:spacing w:after="0"/>
              <w:rPr>
                <w:sz w:val="17"/>
                <w:szCs w:val="17"/>
                <w:color w:val="auto"/>
              </w:rPr>
            </w:pPr>
          </w:p>
        </w:tc>
        <w:tc>
          <w:tcPr>
            <w:tcW w:w="15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330,291</w:t>
            </w:r>
          </w:p>
        </w:tc>
        <w:tc>
          <w:tcPr>
            <w:tcW w:w="460" w:type="dxa"/>
            <w:vAlign w:val="bottom"/>
          </w:tcPr>
          <w:p>
            <w:pPr>
              <w:spacing w:after="0"/>
              <w:rPr>
                <w:sz w:val="17"/>
                <w:szCs w:val="17"/>
                <w:color w:val="auto"/>
              </w:rPr>
            </w:pPr>
          </w:p>
        </w:tc>
        <w:tc>
          <w:tcPr>
            <w:tcW w:w="980" w:type="dxa"/>
            <w:vAlign w:val="bottom"/>
          </w:tcPr>
          <w:p>
            <w:pPr>
              <w:jc w:val="right"/>
              <w:ind w:right="35"/>
              <w:spacing w:after="0"/>
              <w:rPr>
                <w:sz w:val="20"/>
                <w:szCs w:val="20"/>
                <w:color w:val="auto"/>
              </w:rPr>
            </w:pPr>
            <w:r>
              <w:rPr>
                <w:rFonts w:ascii="Courier New" w:cs="Courier New" w:eastAsia="Courier New" w:hAnsi="Courier New"/>
                <w:sz w:val="17"/>
                <w:szCs w:val="17"/>
                <w:color w:val="auto"/>
              </w:rPr>
              <w:t>336,035</w:t>
            </w:r>
          </w:p>
        </w:tc>
      </w:tr>
      <w:tr>
        <w:trPr>
          <w:trHeight w:val="392"/>
        </w:trPr>
        <w:tc>
          <w:tcPr>
            <w:tcW w:w="4400" w:type="dxa"/>
            <w:vAlign w:val="bottom"/>
          </w:tcPr>
          <w:p>
            <w:pPr>
              <w:spacing w:after="0"/>
              <w:rPr>
                <w:sz w:val="20"/>
                <w:szCs w:val="20"/>
                <w:color w:val="auto"/>
              </w:rPr>
            </w:pPr>
            <w:r>
              <w:rPr>
                <w:rFonts w:ascii="Courier New" w:cs="Courier New" w:eastAsia="Courier New" w:hAnsi="Courier New"/>
                <w:sz w:val="17"/>
                <w:szCs w:val="17"/>
                <w:color w:val="auto"/>
              </w:rPr>
              <w:t>Less 62,386 and 61,328 common shares in</w:t>
            </w:r>
          </w:p>
        </w:tc>
        <w:tc>
          <w:tcPr>
            <w:tcW w:w="1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96"/>
        </w:trPr>
        <w:tc>
          <w:tcPr>
            <w:tcW w:w="4400" w:type="dxa"/>
            <w:vAlign w:val="bottom"/>
          </w:tcPr>
          <w:p>
            <w:pPr>
              <w:spacing w:after="0"/>
              <w:rPr>
                <w:sz w:val="20"/>
                <w:szCs w:val="20"/>
                <w:color w:val="auto"/>
              </w:rPr>
            </w:pPr>
            <w:r>
              <w:rPr>
                <w:rFonts w:ascii="Courier New" w:cs="Courier New" w:eastAsia="Courier New" w:hAnsi="Courier New"/>
                <w:sz w:val="17"/>
                <w:szCs w:val="17"/>
                <w:color w:val="auto"/>
              </w:rPr>
              <w:t>treasury-at cost, respectively, deferred</w:t>
            </w:r>
          </w:p>
        </w:tc>
        <w:tc>
          <w:tcPr>
            <w:tcW w:w="1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96"/>
        </w:trPr>
        <w:tc>
          <w:tcPr>
            <w:tcW w:w="4400" w:type="dxa"/>
            <w:vAlign w:val="bottom"/>
          </w:tcPr>
          <w:p>
            <w:pPr>
              <w:spacing w:after="0"/>
              <w:rPr>
                <w:sz w:val="20"/>
                <w:szCs w:val="20"/>
                <w:color w:val="auto"/>
              </w:rPr>
            </w:pPr>
            <w:r>
              <w:rPr>
                <w:rFonts w:ascii="Courier New" w:cs="Courier New" w:eastAsia="Courier New" w:hAnsi="Courier New"/>
                <w:sz w:val="17"/>
                <w:szCs w:val="17"/>
                <w:color w:val="auto"/>
              </w:rPr>
              <w:t>compensation and subscriptions receivable</w:t>
            </w:r>
          </w:p>
        </w:tc>
        <w:tc>
          <w:tcPr>
            <w:tcW w:w="15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(8,465)</w:t>
            </w:r>
          </w:p>
        </w:tc>
        <w:tc>
          <w:tcPr>
            <w:tcW w:w="4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(8,567)</w:t>
            </w:r>
          </w:p>
        </w:tc>
      </w:tr>
      <w:tr>
        <w:trPr>
          <w:trHeight w:val="196"/>
        </w:trPr>
        <w:tc>
          <w:tcPr>
            <w:tcW w:w="4400" w:type="dxa"/>
            <w:vAlign w:val="bottom"/>
          </w:tcPr>
          <w:p>
            <w:pPr>
              <w:spacing w:after="0"/>
              <w:rPr>
                <w:sz w:val="17"/>
                <w:szCs w:val="17"/>
                <w:color w:val="auto"/>
              </w:rPr>
            </w:pPr>
          </w:p>
        </w:tc>
        <w:tc>
          <w:tcPr>
            <w:tcW w:w="15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1440" w:type="dxa"/>
            <w:vAlign w:val="bottom"/>
            <w:gridSpan w:val="2"/>
          </w:tcPr>
          <w:p>
            <w:pPr>
              <w:jc w:val="right"/>
              <w:ind w:right="35"/>
              <w:spacing w:after="0"/>
              <w:rPr>
                <w:sz w:val="20"/>
                <w:szCs w:val="20"/>
                <w:color w:val="auto"/>
              </w:rPr>
            </w:pPr>
            <w:r>
              <w:rPr>
                <w:rFonts w:ascii="Courier New" w:cs="Courier New" w:eastAsia="Courier New" w:hAnsi="Courier New"/>
                <w:sz w:val="17"/>
                <w:szCs w:val="17"/>
                <w:color w:val="auto"/>
              </w:rPr>
              <w:t>----------</w:t>
            </w:r>
          </w:p>
        </w:tc>
      </w:tr>
      <w:tr>
        <w:trPr>
          <w:trHeight w:val="196"/>
        </w:trPr>
        <w:tc>
          <w:tcPr>
            <w:tcW w:w="4400" w:type="dxa"/>
            <w:vAlign w:val="bottom"/>
          </w:tcPr>
          <w:p>
            <w:pPr>
              <w:spacing w:after="0"/>
              <w:rPr>
                <w:sz w:val="17"/>
                <w:szCs w:val="17"/>
                <w:color w:val="auto"/>
              </w:rPr>
            </w:pPr>
          </w:p>
        </w:tc>
        <w:tc>
          <w:tcPr>
            <w:tcW w:w="15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321,826</w:t>
            </w:r>
          </w:p>
        </w:tc>
        <w:tc>
          <w:tcPr>
            <w:tcW w:w="460" w:type="dxa"/>
            <w:vAlign w:val="bottom"/>
          </w:tcPr>
          <w:p>
            <w:pPr>
              <w:spacing w:after="0"/>
              <w:rPr>
                <w:sz w:val="17"/>
                <w:szCs w:val="17"/>
                <w:color w:val="auto"/>
              </w:rPr>
            </w:pPr>
          </w:p>
        </w:tc>
        <w:tc>
          <w:tcPr>
            <w:tcW w:w="980" w:type="dxa"/>
            <w:vAlign w:val="bottom"/>
          </w:tcPr>
          <w:p>
            <w:pPr>
              <w:jc w:val="right"/>
              <w:ind w:right="35"/>
              <w:spacing w:after="0"/>
              <w:rPr>
                <w:sz w:val="20"/>
                <w:szCs w:val="20"/>
                <w:color w:val="auto"/>
              </w:rPr>
            </w:pPr>
            <w:r>
              <w:rPr>
                <w:rFonts w:ascii="Courier New" w:cs="Courier New" w:eastAsia="Courier New" w:hAnsi="Courier New"/>
                <w:sz w:val="17"/>
                <w:szCs w:val="17"/>
                <w:color w:val="auto"/>
              </w:rPr>
              <w:t>327,468</w:t>
            </w:r>
          </w:p>
        </w:tc>
      </w:tr>
      <w:tr>
        <w:trPr>
          <w:trHeight w:val="196"/>
        </w:trPr>
        <w:tc>
          <w:tcPr>
            <w:tcW w:w="4400" w:type="dxa"/>
            <w:vAlign w:val="bottom"/>
          </w:tcPr>
          <w:p>
            <w:pPr>
              <w:spacing w:after="0"/>
              <w:rPr>
                <w:sz w:val="17"/>
                <w:szCs w:val="17"/>
                <w:color w:val="auto"/>
              </w:rPr>
            </w:pPr>
          </w:p>
        </w:tc>
        <w:tc>
          <w:tcPr>
            <w:tcW w:w="15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1440" w:type="dxa"/>
            <w:vAlign w:val="bottom"/>
            <w:gridSpan w:val="2"/>
          </w:tcPr>
          <w:p>
            <w:pPr>
              <w:jc w:val="right"/>
              <w:ind w:right="35"/>
              <w:spacing w:after="0"/>
              <w:rPr>
                <w:sz w:val="20"/>
                <w:szCs w:val="20"/>
                <w:color w:val="auto"/>
              </w:rPr>
            </w:pPr>
            <w:r>
              <w:rPr>
                <w:rFonts w:ascii="Courier New" w:cs="Courier New" w:eastAsia="Courier New" w:hAnsi="Courier New"/>
                <w:sz w:val="17"/>
                <w:szCs w:val="17"/>
                <w:color w:val="auto"/>
              </w:rPr>
              <w:t>----------</w:t>
            </w:r>
          </w:p>
        </w:tc>
      </w:tr>
      <w:tr>
        <w:trPr>
          <w:trHeight w:val="196"/>
        </w:trPr>
        <w:tc>
          <w:tcPr>
            <w:tcW w:w="4400" w:type="dxa"/>
            <w:vAlign w:val="bottom"/>
          </w:tcPr>
          <w:p>
            <w:pPr>
              <w:spacing w:after="0"/>
              <w:rPr>
                <w:sz w:val="17"/>
                <w:szCs w:val="17"/>
                <w:color w:val="auto"/>
              </w:rPr>
            </w:pPr>
          </w:p>
        </w:tc>
        <w:tc>
          <w:tcPr>
            <w:tcW w:w="15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  892,428</w:t>
            </w: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35"/>
              <w:spacing w:after="0"/>
              <w:rPr>
                <w:sz w:val="20"/>
                <w:szCs w:val="20"/>
                <w:color w:val="auto"/>
              </w:rPr>
            </w:pPr>
            <w:r>
              <w:rPr>
                <w:rFonts w:ascii="Courier New" w:cs="Courier New" w:eastAsia="Courier New" w:hAnsi="Courier New"/>
                <w:sz w:val="17"/>
                <w:szCs w:val="17"/>
                <w:color w:val="auto"/>
              </w:rPr>
              <w:t>886,154</w:t>
            </w:r>
          </w:p>
        </w:tc>
      </w:tr>
      <w:tr>
        <w:trPr>
          <w:trHeight w:val="196"/>
        </w:trPr>
        <w:tc>
          <w:tcPr>
            <w:tcW w:w="4400" w:type="dxa"/>
            <w:vAlign w:val="bottom"/>
          </w:tcPr>
          <w:p>
            <w:pPr>
              <w:spacing w:after="0"/>
              <w:rPr>
                <w:sz w:val="17"/>
                <w:szCs w:val="17"/>
                <w:color w:val="auto"/>
              </w:rPr>
            </w:pPr>
          </w:p>
        </w:tc>
        <w:tc>
          <w:tcPr>
            <w:tcW w:w="15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1440" w:type="dxa"/>
            <w:vAlign w:val="bottom"/>
            <w:gridSpan w:val="2"/>
          </w:tcPr>
          <w:p>
            <w:pPr>
              <w:jc w:val="right"/>
              <w:ind w:right="35"/>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accompanying notes are an integral part of these statements.</w:t>
      </w:r>
    </w:p>
    <w:p>
      <w:pPr>
        <w:spacing w:after="0" w:line="200"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5</w:t>
      </w:r>
    </w:p>
    <w:p>
      <w:pPr>
        <w:sectPr>
          <w:pgSz w:w="11900" w:h="16838" w:orient="portrait"/>
          <w:cols w:equalWidth="0" w:num="1">
            <w:col w:w="10219"/>
          </w:cols>
          <w:pgMar w:left="240" w:top="703" w:right="1440" w:bottom="663" w:gutter="0" w:footer="0" w:header="0"/>
        </w:sectPr>
      </w:pPr>
    </w:p>
    <w:bookmarkStart w:id="5" w:name="page6"/>
    <w:bookmarkEnd w:id="5"/>
    <w:p>
      <w:pPr>
        <w:spacing w:after="0"/>
        <w:rPr>
          <w:sz w:val="20"/>
          <w:szCs w:val="20"/>
          <w:color w:val="auto"/>
        </w:rPr>
      </w:pPr>
      <w:r>
        <w:rPr>
          <w:rFonts w:ascii="Courier New" w:cs="Courier New" w:eastAsia="Courier New" w:hAnsi="Courier New"/>
          <w:sz w:val="17"/>
          <w:szCs w:val="17"/>
          <w:color w:val="auto"/>
        </w:rPr>
        <w:t>Federal Realty Investment Trust</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CONSOLIDATED STATEMENTS OF OPERATIONS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(see accountants' review report)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(unaudited)</w:t>
      </w: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280" w:type="dxa"/>
            <w:vAlign w:val="bottom"/>
          </w:tcPr>
          <w:p>
            <w:pPr>
              <w:spacing w:after="0"/>
              <w:rPr>
                <w:sz w:val="16"/>
                <w:szCs w:val="16"/>
                <w:color w:val="auto"/>
              </w:rPr>
            </w:pPr>
          </w:p>
        </w:tc>
        <w:tc>
          <w:tcPr>
            <w:tcW w:w="30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Three months ended March 31,</w:t>
            </w:r>
          </w:p>
        </w:tc>
      </w:tr>
      <w:tr>
        <w:trPr>
          <w:trHeight w:val="196"/>
        </w:trPr>
        <w:tc>
          <w:tcPr>
            <w:tcW w:w="4280" w:type="dxa"/>
            <w:vAlign w:val="bottom"/>
          </w:tcPr>
          <w:p>
            <w:pPr>
              <w:spacing w:after="0"/>
              <w:rPr>
                <w:sz w:val="17"/>
                <w:szCs w:val="17"/>
                <w:color w:val="auto"/>
              </w:rPr>
            </w:pPr>
          </w:p>
        </w:tc>
        <w:tc>
          <w:tcPr>
            <w:tcW w:w="1640" w:type="dxa"/>
            <w:vAlign w:val="bottom"/>
          </w:tcPr>
          <w:p>
            <w:pPr>
              <w:jc w:val="right"/>
              <w:ind w:right="535"/>
              <w:spacing w:after="0"/>
              <w:rPr>
                <w:sz w:val="20"/>
                <w:szCs w:val="20"/>
                <w:color w:val="auto"/>
              </w:rPr>
            </w:pPr>
            <w:r>
              <w:rPr>
                <w:rFonts w:ascii="Courier New" w:cs="Courier New" w:eastAsia="Courier New" w:hAnsi="Courier New"/>
                <w:sz w:val="17"/>
                <w:szCs w:val="17"/>
                <w:color w:val="auto"/>
              </w:rPr>
              <w:t>1996</w:t>
            </w:r>
          </w:p>
        </w:tc>
        <w:tc>
          <w:tcPr>
            <w:tcW w:w="144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1995</w:t>
            </w:r>
          </w:p>
        </w:tc>
      </w:tr>
      <w:tr>
        <w:trPr>
          <w:trHeight w:val="196"/>
        </w:trPr>
        <w:tc>
          <w:tcPr>
            <w:tcW w:w="4280" w:type="dxa"/>
            <w:vAlign w:val="bottom"/>
          </w:tcPr>
          <w:p>
            <w:pPr>
              <w:spacing w:after="0"/>
              <w:rPr>
                <w:sz w:val="17"/>
                <w:szCs w:val="17"/>
                <w:color w:val="auto"/>
              </w:rPr>
            </w:pPr>
          </w:p>
        </w:tc>
        <w:tc>
          <w:tcPr>
            <w:tcW w:w="164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14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6"/>
        </w:trPr>
        <w:tc>
          <w:tcPr>
            <w:tcW w:w="4280" w:type="dxa"/>
            <w:vAlign w:val="bottom"/>
          </w:tcPr>
          <w:p>
            <w:pPr>
              <w:spacing w:after="0"/>
              <w:rPr>
                <w:sz w:val="20"/>
                <w:szCs w:val="20"/>
                <w:color w:val="auto"/>
              </w:rPr>
            </w:pPr>
            <w:r>
              <w:rPr>
                <w:rFonts w:ascii="Courier New" w:cs="Courier New" w:eastAsia="Courier New" w:hAnsi="Courier New"/>
                <w:sz w:val="17"/>
                <w:szCs w:val="17"/>
                <w:color w:val="auto"/>
              </w:rPr>
              <w:t>(In thousands, except per share data)</w:t>
            </w:r>
          </w:p>
        </w:tc>
        <w:tc>
          <w:tcPr>
            <w:tcW w:w="164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392"/>
        </w:trPr>
        <w:tc>
          <w:tcPr>
            <w:tcW w:w="4280" w:type="dxa"/>
            <w:vAlign w:val="bottom"/>
          </w:tcPr>
          <w:p>
            <w:pPr>
              <w:spacing w:after="0"/>
              <w:rPr>
                <w:sz w:val="20"/>
                <w:szCs w:val="20"/>
                <w:color w:val="auto"/>
              </w:rPr>
            </w:pPr>
            <w:r>
              <w:rPr>
                <w:rFonts w:ascii="Courier New" w:cs="Courier New" w:eastAsia="Courier New" w:hAnsi="Courier New"/>
                <w:sz w:val="17"/>
                <w:szCs w:val="17"/>
                <w:color w:val="auto"/>
              </w:rPr>
              <w:t>Revenue</w:t>
            </w:r>
          </w:p>
        </w:tc>
        <w:tc>
          <w:tcPr>
            <w:tcW w:w="16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96"/>
        </w:trPr>
        <w:tc>
          <w:tcPr>
            <w:tcW w:w="4280" w:type="dxa"/>
            <w:vAlign w:val="bottom"/>
          </w:tcPr>
          <w:p>
            <w:pPr>
              <w:ind w:left="200"/>
              <w:spacing w:after="0"/>
              <w:rPr>
                <w:sz w:val="20"/>
                <w:szCs w:val="20"/>
                <w:color w:val="auto"/>
              </w:rPr>
            </w:pPr>
            <w:r>
              <w:rPr>
                <w:rFonts w:ascii="Courier New" w:cs="Courier New" w:eastAsia="Courier New" w:hAnsi="Courier New"/>
                <w:sz w:val="17"/>
                <w:szCs w:val="17"/>
                <w:color w:val="auto"/>
              </w:rPr>
              <w:t>Rental income</w:t>
            </w:r>
          </w:p>
        </w:tc>
        <w:tc>
          <w:tcPr>
            <w:tcW w:w="1640" w:type="dxa"/>
            <w:vAlign w:val="bottom"/>
          </w:tcPr>
          <w:p>
            <w:pPr>
              <w:jc w:val="right"/>
              <w:ind w:right="415"/>
              <w:spacing w:after="0"/>
              <w:rPr>
                <w:sz w:val="20"/>
                <w:szCs w:val="20"/>
                <w:color w:val="auto"/>
              </w:rPr>
            </w:pPr>
            <w:r>
              <w:rPr>
                <w:rFonts w:ascii="Courier New" w:cs="Courier New" w:eastAsia="Courier New" w:hAnsi="Courier New"/>
                <w:sz w:val="17"/>
                <w:szCs w:val="17"/>
                <w:color w:val="auto"/>
              </w:rPr>
              <w:t>$40,747</w:t>
            </w:r>
          </w:p>
        </w:tc>
        <w:tc>
          <w:tcPr>
            <w:tcW w:w="1440" w:type="dxa"/>
            <w:vAlign w:val="bottom"/>
          </w:tcPr>
          <w:p>
            <w:pPr>
              <w:jc w:val="right"/>
              <w:ind w:right="35"/>
              <w:spacing w:after="0"/>
              <w:rPr>
                <w:sz w:val="20"/>
                <w:szCs w:val="20"/>
                <w:color w:val="auto"/>
              </w:rPr>
            </w:pPr>
            <w:r>
              <w:rPr>
                <w:rFonts w:ascii="Courier New" w:cs="Courier New" w:eastAsia="Courier New" w:hAnsi="Courier New"/>
                <w:sz w:val="17"/>
                <w:szCs w:val="17"/>
                <w:color w:val="auto"/>
              </w:rPr>
              <w:t>$34,407</w:t>
            </w:r>
          </w:p>
        </w:tc>
      </w:tr>
      <w:tr>
        <w:trPr>
          <w:trHeight w:val="196"/>
        </w:trPr>
        <w:tc>
          <w:tcPr>
            <w:tcW w:w="4280" w:type="dxa"/>
            <w:vAlign w:val="bottom"/>
          </w:tcPr>
          <w:p>
            <w:pPr>
              <w:ind w:left="200"/>
              <w:spacing w:after="0"/>
              <w:rPr>
                <w:sz w:val="20"/>
                <w:szCs w:val="20"/>
                <w:color w:val="auto"/>
              </w:rPr>
            </w:pPr>
            <w:r>
              <w:rPr>
                <w:rFonts w:ascii="Courier New" w:cs="Courier New" w:eastAsia="Courier New" w:hAnsi="Courier New"/>
                <w:sz w:val="17"/>
                <w:szCs w:val="17"/>
                <w:color w:val="auto"/>
              </w:rPr>
              <w:t>Interest</w:t>
            </w:r>
          </w:p>
        </w:tc>
        <w:tc>
          <w:tcPr>
            <w:tcW w:w="1640" w:type="dxa"/>
            <w:vAlign w:val="bottom"/>
          </w:tcPr>
          <w:p>
            <w:pPr>
              <w:jc w:val="right"/>
              <w:ind w:right="415"/>
              <w:spacing w:after="0"/>
              <w:rPr>
                <w:sz w:val="20"/>
                <w:szCs w:val="20"/>
                <w:color w:val="auto"/>
              </w:rPr>
            </w:pPr>
            <w:r>
              <w:rPr>
                <w:rFonts w:ascii="Courier New" w:cs="Courier New" w:eastAsia="Courier New" w:hAnsi="Courier New"/>
                <w:sz w:val="17"/>
                <w:szCs w:val="17"/>
                <w:color w:val="auto"/>
              </w:rPr>
              <w:t>863</w:t>
            </w:r>
          </w:p>
        </w:tc>
        <w:tc>
          <w:tcPr>
            <w:tcW w:w="1440" w:type="dxa"/>
            <w:vAlign w:val="bottom"/>
          </w:tcPr>
          <w:p>
            <w:pPr>
              <w:jc w:val="right"/>
              <w:ind w:right="35"/>
              <w:spacing w:after="0"/>
              <w:rPr>
                <w:sz w:val="20"/>
                <w:szCs w:val="20"/>
                <w:color w:val="auto"/>
              </w:rPr>
            </w:pPr>
            <w:r>
              <w:rPr>
                <w:rFonts w:ascii="Courier New" w:cs="Courier New" w:eastAsia="Courier New" w:hAnsi="Courier New"/>
                <w:sz w:val="17"/>
                <w:szCs w:val="17"/>
                <w:color w:val="auto"/>
              </w:rPr>
              <w:t>1,006</w:t>
            </w:r>
          </w:p>
        </w:tc>
      </w:tr>
      <w:tr>
        <w:trPr>
          <w:trHeight w:val="196"/>
        </w:trPr>
        <w:tc>
          <w:tcPr>
            <w:tcW w:w="4280" w:type="dxa"/>
            <w:vAlign w:val="bottom"/>
          </w:tcPr>
          <w:p>
            <w:pPr>
              <w:ind w:left="200"/>
              <w:spacing w:after="0"/>
              <w:rPr>
                <w:sz w:val="20"/>
                <w:szCs w:val="20"/>
                <w:color w:val="auto"/>
              </w:rPr>
            </w:pPr>
            <w:r>
              <w:rPr>
                <w:rFonts w:ascii="Courier New" w:cs="Courier New" w:eastAsia="Courier New" w:hAnsi="Courier New"/>
                <w:sz w:val="17"/>
                <w:szCs w:val="17"/>
                <w:color w:val="auto"/>
              </w:rPr>
              <w:t>Other income</w:t>
            </w:r>
          </w:p>
        </w:tc>
        <w:tc>
          <w:tcPr>
            <w:tcW w:w="1640" w:type="dxa"/>
            <w:vAlign w:val="bottom"/>
          </w:tcPr>
          <w:p>
            <w:pPr>
              <w:jc w:val="right"/>
              <w:ind w:right="415"/>
              <w:spacing w:after="0"/>
              <w:rPr>
                <w:sz w:val="20"/>
                <w:szCs w:val="20"/>
                <w:color w:val="auto"/>
              </w:rPr>
            </w:pPr>
            <w:r>
              <w:rPr>
                <w:rFonts w:ascii="Courier New" w:cs="Courier New" w:eastAsia="Courier New" w:hAnsi="Courier New"/>
                <w:sz w:val="17"/>
                <w:szCs w:val="17"/>
                <w:color w:val="auto"/>
              </w:rPr>
              <w:t>2,162</w:t>
            </w:r>
          </w:p>
        </w:tc>
        <w:tc>
          <w:tcPr>
            <w:tcW w:w="1440" w:type="dxa"/>
            <w:vAlign w:val="bottom"/>
          </w:tcPr>
          <w:p>
            <w:pPr>
              <w:jc w:val="right"/>
              <w:ind w:right="35"/>
              <w:spacing w:after="0"/>
              <w:rPr>
                <w:sz w:val="20"/>
                <w:szCs w:val="20"/>
                <w:color w:val="auto"/>
              </w:rPr>
            </w:pPr>
            <w:r>
              <w:rPr>
                <w:rFonts w:ascii="Courier New" w:cs="Courier New" w:eastAsia="Courier New" w:hAnsi="Courier New"/>
                <w:sz w:val="17"/>
                <w:szCs w:val="17"/>
                <w:color w:val="auto"/>
              </w:rPr>
              <w:t>1,514</w:t>
            </w:r>
          </w:p>
        </w:tc>
      </w:tr>
      <w:tr>
        <w:trPr>
          <w:trHeight w:val="196"/>
        </w:trPr>
        <w:tc>
          <w:tcPr>
            <w:tcW w:w="4280" w:type="dxa"/>
            <w:vAlign w:val="bottom"/>
          </w:tcPr>
          <w:p>
            <w:pPr>
              <w:spacing w:after="0"/>
              <w:rPr>
                <w:sz w:val="17"/>
                <w:szCs w:val="17"/>
                <w:color w:val="auto"/>
              </w:rPr>
            </w:pPr>
          </w:p>
        </w:tc>
        <w:tc>
          <w:tcPr>
            <w:tcW w:w="1640" w:type="dxa"/>
            <w:vAlign w:val="bottom"/>
          </w:tcPr>
          <w:p>
            <w:pPr>
              <w:jc w:val="right"/>
              <w:ind w:right="415"/>
              <w:spacing w:after="0"/>
              <w:rPr>
                <w:sz w:val="20"/>
                <w:szCs w:val="20"/>
                <w:color w:val="auto"/>
              </w:rPr>
            </w:pPr>
            <w:r>
              <w:rPr>
                <w:rFonts w:ascii="Courier New" w:cs="Courier New" w:eastAsia="Courier New" w:hAnsi="Courier New"/>
                <w:sz w:val="17"/>
                <w:szCs w:val="17"/>
                <w:color w:val="auto"/>
              </w:rPr>
              <w:t>-------</w:t>
            </w:r>
          </w:p>
        </w:tc>
        <w:tc>
          <w:tcPr>
            <w:tcW w:w="1440" w:type="dxa"/>
            <w:vAlign w:val="bottom"/>
          </w:tcPr>
          <w:p>
            <w:pPr>
              <w:jc w:val="right"/>
              <w:ind w:right="35"/>
              <w:spacing w:after="0"/>
              <w:rPr>
                <w:sz w:val="20"/>
                <w:szCs w:val="20"/>
                <w:color w:val="auto"/>
              </w:rPr>
            </w:pPr>
            <w:r>
              <w:rPr>
                <w:rFonts w:ascii="Courier New" w:cs="Courier New" w:eastAsia="Courier New" w:hAnsi="Courier New"/>
                <w:sz w:val="17"/>
                <w:szCs w:val="17"/>
                <w:color w:val="auto"/>
              </w:rPr>
              <w:t>-------</w:t>
            </w:r>
          </w:p>
        </w:tc>
      </w:tr>
      <w:tr>
        <w:trPr>
          <w:trHeight w:val="196"/>
        </w:trPr>
        <w:tc>
          <w:tcPr>
            <w:tcW w:w="4280" w:type="dxa"/>
            <w:vAlign w:val="bottom"/>
          </w:tcPr>
          <w:p>
            <w:pPr>
              <w:spacing w:after="0"/>
              <w:rPr>
                <w:sz w:val="17"/>
                <w:szCs w:val="17"/>
                <w:color w:val="auto"/>
              </w:rPr>
            </w:pPr>
          </w:p>
        </w:tc>
        <w:tc>
          <w:tcPr>
            <w:tcW w:w="1640" w:type="dxa"/>
            <w:vAlign w:val="bottom"/>
          </w:tcPr>
          <w:p>
            <w:pPr>
              <w:jc w:val="right"/>
              <w:ind w:right="415"/>
              <w:spacing w:after="0"/>
              <w:rPr>
                <w:sz w:val="20"/>
                <w:szCs w:val="20"/>
                <w:color w:val="auto"/>
              </w:rPr>
            </w:pPr>
            <w:r>
              <w:rPr>
                <w:rFonts w:ascii="Courier New" w:cs="Courier New" w:eastAsia="Courier New" w:hAnsi="Courier New"/>
                <w:sz w:val="17"/>
                <w:szCs w:val="17"/>
                <w:color w:val="auto"/>
              </w:rPr>
              <w:t>43,772</w:t>
            </w:r>
          </w:p>
        </w:tc>
        <w:tc>
          <w:tcPr>
            <w:tcW w:w="1440" w:type="dxa"/>
            <w:vAlign w:val="bottom"/>
          </w:tcPr>
          <w:p>
            <w:pPr>
              <w:jc w:val="right"/>
              <w:ind w:right="35"/>
              <w:spacing w:after="0"/>
              <w:rPr>
                <w:sz w:val="20"/>
                <w:szCs w:val="20"/>
                <w:color w:val="auto"/>
              </w:rPr>
            </w:pPr>
            <w:r>
              <w:rPr>
                <w:rFonts w:ascii="Courier New" w:cs="Courier New" w:eastAsia="Courier New" w:hAnsi="Courier New"/>
                <w:sz w:val="17"/>
                <w:szCs w:val="17"/>
                <w:color w:val="auto"/>
              </w:rPr>
              <w:t>36,927</w:t>
            </w:r>
          </w:p>
        </w:tc>
      </w:tr>
      <w:tr>
        <w:trPr>
          <w:trHeight w:val="392"/>
        </w:trPr>
        <w:tc>
          <w:tcPr>
            <w:tcW w:w="4280" w:type="dxa"/>
            <w:vAlign w:val="bottom"/>
          </w:tcPr>
          <w:p>
            <w:pPr>
              <w:spacing w:after="0"/>
              <w:rPr>
                <w:sz w:val="20"/>
                <w:szCs w:val="20"/>
                <w:color w:val="auto"/>
              </w:rPr>
            </w:pPr>
            <w:r>
              <w:rPr>
                <w:rFonts w:ascii="Courier New" w:cs="Courier New" w:eastAsia="Courier New" w:hAnsi="Courier New"/>
                <w:sz w:val="17"/>
                <w:szCs w:val="17"/>
                <w:color w:val="auto"/>
              </w:rPr>
              <w:t>Expenses</w:t>
            </w:r>
          </w:p>
        </w:tc>
        <w:tc>
          <w:tcPr>
            <w:tcW w:w="16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96"/>
        </w:trPr>
        <w:tc>
          <w:tcPr>
            <w:tcW w:w="4280" w:type="dxa"/>
            <w:vAlign w:val="bottom"/>
          </w:tcPr>
          <w:p>
            <w:pPr>
              <w:ind w:left="200"/>
              <w:spacing w:after="0"/>
              <w:rPr>
                <w:sz w:val="20"/>
                <w:szCs w:val="20"/>
                <w:color w:val="auto"/>
              </w:rPr>
            </w:pPr>
            <w:r>
              <w:rPr>
                <w:rFonts w:ascii="Courier New" w:cs="Courier New" w:eastAsia="Courier New" w:hAnsi="Courier New"/>
                <w:sz w:val="17"/>
                <w:szCs w:val="17"/>
                <w:color w:val="auto"/>
              </w:rPr>
              <w:t>Rental</w:t>
            </w:r>
          </w:p>
        </w:tc>
        <w:tc>
          <w:tcPr>
            <w:tcW w:w="1640" w:type="dxa"/>
            <w:vAlign w:val="bottom"/>
          </w:tcPr>
          <w:p>
            <w:pPr>
              <w:jc w:val="right"/>
              <w:ind w:right="415"/>
              <w:spacing w:after="0"/>
              <w:rPr>
                <w:sz w:val="20"/>
                <w:szCs w:val="20"/>
                <w:color w:val="auto"/>
              </w:rPr>
            </w:pPr>
            <w:r>
              <w:rPr>
                <w:rFonts w:ascii="Courier New" w:cs="Courier New" w:eastAsia="Courier New" w:hAnsi="Courier New"/>
                <w:sz w:val="17"/>
                <w:szCs w:val="17"/>
                <w:color w:val="auto"/>
              </w:rPr>
              <w:t>11,793</w:t>
            </w:r>
          </w:p>
        </w:tc>
        <w:tc>
          <w:tcPr>
            <w:tcW w:w="1440" w:type="dxa"/>
            <w:vAlign w:val="bottom"/>
          </w:tcPr>
          <w:p>
            <w:pPr>
              <w:jc w:val="right"/>
              <w:ind w:right="35"/>
              <w:spacing w:after="0"/>
              <w:rPr>
                <w:sz w:val="20"/>
                <w:szCs w:val="20"/>
                <w:color w:val="auto"/>
              </w:rPr>
            </w:pPr>
            <w:r>
              <w:rPr>
                <w:rFonts w:ascii="Courier New" w:cs="Courier New" w:eastAsia="Courier New" w:hAnsi="Courier New"/>
                <w:sz w:val="17"/>
                <w:szCs w:val="17"/>
                <w:color w:val="auto"/>
              </w:rPr>
              <w:t>7,955</w:t>
            </w:r>
          </w:p>
        </w:tc>
      </w:tr>
      <w:tr>
        <w:trPr>
          <w:trHeight w:val="196"/>
        </w:trPr>
        <w:tc>
          <w:tcPr>
            <w:tcW w:w="4280" w:type="dxa"/>
            <w:vAlign w:val="bottom"/>
          </w:tcPr>
          <w:p>
            <w:pPr>
              <w:ind w:left="200"/>
              <w:spacing w:after="0"/>
              <w:rPr>
                <w:sz w:val="20"/>
                <w:szCs w:val="20"/>
                <w:color w:val="auto"/>
              </w:rPr>
            </w:pPr>
            <w:r>
              <w:rPr>
                <w:rFonts w:ascii="Courier New" w:cs="Courier New" w:eastAsia="Courier New" w:hAnsi="Courier New"/>
                <w:sz w:val="17"/>
                <w:szCs w:val="17"/>
                <w:color w:val="auto"/>
              </w:rPr>
              <w:t>Real estate taxes</w:t>
            </w:r>
          </w:p>
        </w:tc>
        <w:tc>
          <w:tcPr>
            <w:tcW w:w="1640" w:type="dxa"/>
            <w:vAlign w:val="bottom"/>
          </w:tcPr>
          <w:p>
            <w:pPr>
              <w:jc w:val="right"/>
              <w:ind w:right="415"/>
              <w:spacing w:after="0"/>
              <w:rPr>
                <w:sz w:val="20"/>
                <w:szCs w:val="20"/>
                <w:color w:val="auto"/>
              </w:rPr>
            </w:pPr>
            <w:r>
              <w:rPr>
                <w:rFonts w:ascii="Courier New" w:cs="Courier New" w:eastAsia="Courier New" w:hAnsi="Courier New"/>
                <w:sz w:val="17"/>
                <w:szCs w:val="17"/>
                <w:color w:val="auto"/>
              </w:rPr>
              <w:t>3,924</w:t>
            </w:r>
          </w:p>
        </w:tc>
        <w:tc>
          <w:tcPr>
            <w:tcW w:w="1440" w:type="dxa"/>
            <w:vAlign w:val="bottom"/>
          </w:tcPr>
          <w:p>
            <w:pPr>
              <w:jc w:val="right"/>
              <w:ind w:right="35"/>
              <w:spacing w:after="0"/>
              <w:rPr>
                <w:sz w:val="20"/>
                <w:szCs w:val="20"/>
                <w:color w:val="auto"/>
              </w:rPr>
            </w:pPr>
            <w:r>
              <w:rPr>
                <w:rFonts w:ascii="Courier New" w:cs="Courier New" w:eastAsia="Courier New" w:hAnsi="Courier New"/>
                <w:sz w:val="17"/>
                <w:szCs w:val="17"/>
                <w:color w:val="auto"/>
              </w:rPr>
              <w:t>3,397</w:t>
            </w:r>
          </w:p>
        </w:tc>
      </w:tr>
      <w:tr>
        <w:trPr>
          <w:trHeight w:val="196"/>
        </w:trPr>
        <w:tc>
          <w:tcPr>
            <w:tcW w:w="4280" w:type="dxa"/>
            <w:vAlign w:val="bottom"/>
          </w:tcPr>
          <w:p>
            <w:pPr>
              <w:ind w:left="200"/>
              <w:spacing w:after="0"/>
              <w:rPr>
                <w:sz w:val="20"/>
                <w:szCs w:val="20"/>
                <w:color w:val="auto"/>
              </w:rPr>
            </w:pPr>
            <w:r>
              <w:rPr>
                <w:rFonts w:ascii="Courier New" w:cs="Courier New" w:eastAsia="Courier New" w:hAnsi="Courier New"/>
                <w:sz w:val="17"/>
                <w:szCs w:val="17"/>
                <w:color w:val="auto"/>
              </w:rPr>
              <w:t>Interest</w:t>
            </w:r>
          </w:p>
        </w:tc>
        <w:tc>
          <w:tcPr>
            <w:tcW w:w="1640" w:type="dxa"/>
            <w:vAlign w:val="bottom"/>
          </w:tcPr>
          <w:p>
            <w:pPr>
              <w:jc w:val="right"/>
              <w:ind w:right="415"/>
              <w:spacing w:after="0"/>
              <w:rPr>
                <w:sz w:val="20"/>
                <w:szCs w:val="20"/>
                <w:color w:val="auto"/>
              </w:rPr>
            </w:pPr>
            <w:r>
              <w:rPr>
                <w:rFonts w:ascii="Courier New" w:cs="Courier New" w:eastAsia="Courier New" w:hAnsi="Courier New"/>
                <w:sz w:val="17"/>
                <w:szCs w:val="17"/>
                <w:color w:val="auto"/>
              </w:rPr>
              <w:t>11,149</w:t>
            </w:r>
          </w:p>
        </w:tc>
        <w:tc>
          <w:tcPr>
            <w:tcW w:w="1440" w:type="dxa"/>
            <w:vAlign w:val="bottom"/>
          </w:tcPr>
          <w:p>
            <w:pPr>
              <w:jc w:val="right"/>
              <w:ind w:right="35"/>
              <w:spacing w:after="0"/>
              <w:rPr>
                <w:sz w:val="20"/>
                <w:szCs w:val="20"/>
                <w:color w:val="auto"/>
              </w:rPr>
            </w:pPr>
            <w:r>
              <w:rPr>
                <w:rFonts w:ascii="Courier New" w:cs="Courier New" w:eastAsia="Courier New" w:hAnsi="Courier New"/>
                <w:sz w:val="17"/>
                <w:szCs w:val="17"/>
                <w:color w:val="auto"/>
              </w:rPr>
              <w:t>9,157</w:t>
            </w:r>
          </w:p>
        </w:tc>
      </w:tr>
      <w:tr>
        <w:trPr>
          <w:trHeight w:val="196"/>
        </w:trPr>
        <w:tc>
          <w:tcPr>
            <w:tcW w:w="4280" w:type="dxa"/>
            <w:vAlign w:val="bottom"/>
          </w:tcPr>
          <w:p>
            <w:pPr>
              <w:ind w:left="200"/>
              <w:spacing w:after="0"/>
              <w:rPr>
                <w:sz w:val="20"/>
                <w:szCs w:val="20"/>
                <w:color w:val="auto"/>
              </w:rPr>
            </w:pPr>
            <w:r>
              <w:rPr>
                <w:rFonts w:ascii="Courier New" w:cs="Courier New" w:eastAsia="Courier New" w:hAnsi="Courier New"/>
                <w:sz w:val="17"/>
                <w:szCs w:val="17"/>
                <w:color w:val="auto"/>
              </w:rPr>
              <w:t>Administrative</w:t>
            </w:r>
          </w:p>
        </w:tc>
        <w:tc>
          <w:tcPr>
            <w:tcW w:w="1640" w:type="dxa"/>
            <w:vAlign w:val="bottom"/>
          </w:tcPr>
          <w:p>
            <w:pPr>
              <w:jc w:val="right"/>
              <w:ind w:right="415"/>
              <w:spacing w:after="0"/>
              <w:rPr>
                <w:sz w:val="20"/>
                <w:szCs w:val="20"/>
                <w:color w:val="auto"/>
              </w:rPr>
            </w:pPr>
            <w:r>
              <w:rPr>
                <w:rFonts w:ascii="Courier New" w:cs="Courier New" w:eastAsia="Courier New" w:hAnsi="Courier New"/>
                <w:sz w:val="17"/>
                <w:szCs w:val="17"/>
                <w:color w:val="auto"/>
              </w:rPr>
              <w:t>1,686</w:t>
            </w:r>
          </w:p>
        </w:tc>
        <w:tc>
          <w:tcPr>
            <w:tcW w:w="1440" w:type="dxa"/>
            <w:vAlign w:val="bottom"/>
          </w:tcPr>
          <w:p>
            <w:pPr>
              <w:jc w:val="right"/>
              <w:ind w:right="35"/>
              <w:spacing w:after="0"/>
              <w:rPr>
                <w:sz w:val="20"/>
                <w:szCs w:val="20"/>
                <w:color w:val="auto"/>
              </w:rPr>
            </w:pPr>
            <w:r>
              <w:rPr>
                <w:rFonts w:ascii="Courier New" w:cs="Courier New" w:eastAsia="Courier New" w:hAnsi="Courier New"/>
                <w:sz w:val="17"/>
                <w:szCs w:val="17"/>
                <w:color w:val="auto"/>
              </w:rPr>
              <w:t>1,427</w:t>
            </w:r>
          </w:p>
        </w:tc>
      </w:tr>
      <w:tr>
        <w:trPr>
          <w:trHeight w:val="196"/>
        </w:trPr>
        <w:tc>
          <w:tcPr>
            <w:tcW w:w="4280" w:type="dxa"/>
            <w:vAlign w:val="bottom"/>
          </w:tcPr>
          <w:p>
            <w:pPr>
              <w:ind w:left="200"/>
              <w:spacing w:after="0"/>
              <w:rPr>
                <w:sz w:val="20"/>
                <w:szCs w:val="20"/>
                <w:color w:val="auto"/>
              </w:rPr>
            </w:pPr>
            <w:r>
              <w:rPr>
                <w:rFonts w:ascii="Courier New" w:cs="Courier New" w:eastAsia="Courier New" w:hAnsi="Courier New"/>
                <w:sz w:val="17"/>
                <w:szCs w:val="17"/>
                <w:color w:val="auto"/>
              </w:rPr>
              <w:t>Depreciation and amortization</w:t>
            </w:r>
          </w:p>
        </w:tc>
        <w:tc>
          <w:tcPr>
            <w:tcW w:w="1640" w:type="dxa"/>
            <w:vAlign w:val="bottom"/>
          </w:tcPr>
          <w:p>
            <w:pPr>
              <w:jc w:val="right"/>
              <w:ind w:right="415"/>
              <w:spacing w:after="0"/>
              <w:rPr>
                <w:sz w:val="20"/>
                <w:szCs w:val="20"/>
                <w:color w:val="auto"/>
              </w:rPr>
            </w:pPr>
            <w:r>
              <w:rPr>
                <w:rFonts w:ascii="Courier New" w:cs="Courier New" w:eastAsia="Courier New" w:hAnsi="Courier New"/>
                <w:sz w:val="17"/>
                <w:szCs w:val="17"/>
                <w:color w:val="auto"/>
              </w:rPr>
              <w:t>9,332</w:t>
            </w:r>
          </w:p>
        </w:tc>
        <w:tc>
          <w:tcPr>
            <w:tcW w:w="1440" w:type="dxa"/>
            <w:vAlign w:val="bottom"/>
          </w:tcPr>
          <w:p>
            <w:pPr>
              <w:jc w:val="right"/>
              <w:ind w:right="35"/>
              <w:spacing w:after="0"/>
              <w:rPr>
                <w:sz w:val="20"/>
                <w:szCs w:val="20"/>
                <w:color w:val="auto"/>
              </w:rPr>
            </w:pPr>
            <w:r>
              <w:rPr>
                <w:rFonts w:ascii="Courier New" w:cs="Courier New" w:eastAsia="Courier New" w:hAnsi="Courier New"/>
                <w:sz w:val="17"/>
                <w:szCs w:val="17"/>
                <w:color w:val="auto"/>
              </w:rPr>
              <w:t>8,369</w:t>
            </w:r>
          </w:p>
        </w:tc>
      </w:tr>
      <w:tr>
        <w:trPr>
          <w:trHeight w:val="196"/>
        </w:trPr>
        <w:tc>
          <w:tcPr>
            <w:tcW w:w="4280" w:type="dxa"/>
            <w:vAlign w:val="bottom"/>
          </w:tcPr>
          <w:p>
            <w:pPr>
              <w:spacing w:after="0"/>
              <w:rPr>
                <w:sz w:val="17"/>
                <w:szCs w:val="17"/>
                <w:color w:val="auto"/>
              </w:rPr>
            </w:pPr>
          </w:p>
        </w:tc>
        <w:tc>
          <w:tcPr>
            <w:tcW w:w="1640" w:type="dxa"/>
            <w:vAlign w:val="bottom"/>
          </w:tcPr>
          <w:p>
            <w:pPr>
              <w:jc w:val="right"/>
              <w:ind w:right="415"/>
              <w:spacing w:after="0"/>
              <w:rPr>
                <w:sz w:val="20"/>
                <w:szCs w:val="20"/>
                <w:color w:val="auto"/>
              </w:rPr>
            </w:pPr>
            <w:r>
              <w:rPr>
                <w:rFonts w:ascii="Courier New" w:cs="Courier New" w:eastAsia="Courier New" w:hAnsi="Courier New"/>
                <w:sz w:val="17"/>
                <w:szCs w:val="17"/>
                <w:color w:val="auto"/>
              </w:rPr>
              <w:t>-------</w:t>
            </w:r>
          </w:p>
        </w:tc>
        <w:tc>
          <w:tcPr>
            <w:tcW w:w="1440" w:type="dxa"/>
            <w:vAlign w:val="bottom"/>
          </w:tcPr>
          <w:p>
            <w:pPr>
              <w:jc w:val="right"/>
              <w:ind w:right="35"/>
              <w:spacing w:after="0"/>
              <w:rPr>
                <w:sz w:val="20"/>
                <w:szCs w:val="20"/>
                <w:color w:val="auto"/>
              </w:rPr>
            </w:pPr>
            <w:r>
              <w:rPr>
                <w:rFonts w:ascii="Courier New" w:cs="Courier New" w:eastAsia="Courier New" w:hAnsi="Courier New"/>
                <w:sz w:val="17"/>
                <w:szCs w:val="17"/>
                <w:color w:val="auto"/>
              </w:rPr>
              <w:t>-------</w:t>
            </w:r>
          </w:p>
        </w:tc>
      </w:tr>
      <w:tr>
        <w:trPr>
          <w:trHeight w:val="196"/>
        </w:trPr>
        <w:tc>
          <w:tcPr>
            <w:tcW w:w="4280" w:type="dxa"/>
            <w:vAlign w:val="bottom"/>
          </w:tcPr>
          <w:p>
            <w:pPr>
              <w:spacing w:after="0"/>
              <w:rPr>
                <w:sz w:val="17"/>
                <w:szCs w:val="17"/>
                <w:color w:val="auto"/>
              </w:rPr>
            </w:pPr>
          </w:p>
        </w:tc>
        <w:tc>
          <w:tcPr>
            <w:tcW w:w="1640" w:type="dxa"/>
            <w:vAlign w:val="bottom"/>
          </w:tcPr>
          <w:p>
            <w:pPr>
              <w:jc w:val="right"/>
              <w:ind w:right="415"/>
              <w:spacing w:after="0"/>
              <w:rPr>
                <w:sz w:val="20"/>
                <w:szCs w:val="20"/>
                <w:color w:val="auto"/>
              </w:rPr>
            </w:pPr>
            <w:r>
              <w:rPr>
                <w:rFonts w:ascii="Courier New" w:cs="Courier New" w:eastAsia="Courier New" w:hAnsi="Courier New"/>
                <w:sz w:val="17"/>
                <w:szCs w:val="17"/>
                <w:color w:val="auto"/>
              </w:rPr>
              <w:t>37,884</w:t>
            </w:r>
          </w:p>
        </w:tc>
        <w:tc>
          <w:tcPr>
            <w:tcW w:w="1440" w:type="dxa"/>
            <w:vAlign w:val="bottom"/>
          </w:tcPr>
          <w:p>
            <w:pPr>
              <w:jc w:val="right"/>
              <w:ind w:right="35"/>
              <w:spacing w:after="0"/>
              <w:rPr>
                <w:sz w:val="20"/>
                <w:szCs w:val="20"/>
                <w:color w:val="auto"/>
              </w:rPr>
            </w:pPr>
            <w:r>
              <w:rPr>
                <w:rFonts w:ascii="Courier New" w:cs="Courier New" w:eastAsia="Courier New" w:hAnsi="Courier New"/>
                <w:sz w:val="17"/>
                <w:szCs w:val="17"/>
                <w:color w:val="auto"/>
              </w:rPr>
              <w:t>30,305</w:t>
            </w:r>
          </w:p>
        </w:tc>
      </w:tr>
      <w:tr>
        <w:trPr>
          <w:trHeight w:val="196"/>
        </w:trPr>
        <w:tc>
          <w:tcPr>
            <w:tcW w:w="4280" w:type="dxa"/>
            <w:vAlign w:val="bottom"/>
          </w:tcPr>
          <w:p>
            <w:pPr>
              <w:spacing w:after="0"/>
              <w:rPr>
                <w:sz w:val="17"/>
                <w:szCs w:val="17"/>
                <w:color w:val="auto"/>
              </w:rPr>
            </w:pPr>
          </w:p>
        </w:tc>
        <w:tc>
          <w:tcPr>
            <w:tcW w:w="1640" w:type="dxa"/>
            <w:vAlign w:val="bottom"/>
          </w:tcPr>
          <w:p>
            <w:pPr>
              <w:jc w:val="right"/>
              <w:ind w:right="415"/>
              <w:spacing w:after="0"/>
              <w:rPr>
                <w:sz w:val="20"/>
                <w:szCs w:val="20"/>
                <w:color w:val="auto"/>
              </w:rPr>
            </w:pPr>
            <w:r>
              <w:rPr>
                <w:rFonts w:ascii="Courier New" w:cs="Courier New" w:eastAsia="Courier New" w:hAnsi="Courier New"/>
                <w:sz w:val="17"/>
                <w:szCs w:val="17"/>
                <w:color w:val="auto"/>
              </w:rPr>
              <w:t>-------</w:t>
            </w:r>
          </w:p>
        </w:tc>
        <w:tc>
          <w:tcPr>
            <w:tcW w:w="1440" w:type="dxa"/>
            <w:vAlign w:val="bottom"/>
          </w:tcPr>
          <w:p>
            <w:pPr>
              <w:jc w:val="right"/>
              <w:ind w:right="35"/>
              <w:spacing w:after="0"/>
              <w:rPr>
                <w:sz w:val="20"/>
                <w:szCs w:val="20"/>
                <w:color w:val="auto"/>
              </w:rPr>
            </w:pPr>
            <w:r>
              <w:rPr>
                <w:rFonts w:ascii="Courier New" w:cs="Courier New" w:eastAsia="Courier New" w:hAnsi="Courier New"/>
                <w:sz w:val="17"/>
                <w:szCs w:val="17"/>
                <w:color w:val="auto"/>
              </w:rPr>
              <w:t>-------</w:t>
            </w:r>
          </w:p>
        </w:tc>
      </w:tr>
      <w:tr>
        <w:trPr>
          <w:trHeight w:val="196"/>
        </w:trPr>
        <w:tc>
          <w:tcPr>
            <w:tcW w:w="4280" w:type="dxa"/>
            <w:vAlign w:val="bottom"/>
          </w:tcPr>
          <w:p>
            <w:pPr>
              <w:spacing w:after="0"/>
              <w:rPr>
                <w:sz w:val="20"/>
                <w:szCs w:val="20"/>
                <w:color w:val="auto"/>
              </w:rPr>
            </w:pPr>
            <w:r>
              <w:rPr>
                <w:rFonts w:ascii="Courier New" w:cs="Courier New" w:eastAsia="Courier New" w:hAnsi="Courier New"/>
                <w:sz w:val="17"/>
                <w:szCs w:val="17"/>
                <w:color w:val="auto"/>
              </w:rPr>
              <w:t>Operating income before investors'</w:t>
            </w:r>
          </w:p>
        </w:tc>
        <w:tc>
          <w:tcPr>
            <w:tcW w:w="164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196"/>
        </w:trPr>
        <w:tc>
          <w:tcPr>
            <w:tcW w:w="4280" w:type="dxa"/>
            <w:vAlign w:val="bottom"/>
          </w:tcPr>
          <w:p>
            <w:pPr>
              <w:ind w:left="100"/>
              <w:spacing w:after="0"/>
              <w:rPr>
                <w:sz w:val="20"/>
                <w:szCs w:val="20"/>
                <w:color w:val="auto"/>
              </w:rPr>
            </w:pPr>
            <w:r>
              <w:rPr>
                <w:rFonts w:ascii="Courier New" w:cs="Courier New" w:eastAsia="Courier New" w:hAnsi="Courier New"/>
                <w:sz w:val="17"/>
                <w:szCs w:val="17"/>
                <w:color w:val="auto"/>
              </w:rPr>
              <w:t>share of operations</w:t>
            </w:r>
          </w:p>
        </w:tc>
        <w:tc>
          <w:tcPr>
            <w:tcW w:w="1640" w:type="dxa"/>
            <w:vAlign w:val="bottom"/>
          </w:tcPr>
          <w:p>
            <w:pPr>
              <w:jc w:val="right"/>
              <w:ind w:right="415"/>
              <w:spacing w:after="0"/>
              <w:rPr>
                <w:sz w:val="20"/>
                <w:szCs w:val="20"/>
                <w:color w:val="auto"/>
              </w:rPr>
            </w:pPr>
            <w:r>
              <w:rPr>
                <w:rFonts w:ascii="Courier New" w:cs="Courier New" w:eastAsia="Courier New" w:hAnsi="Courier New"/>
                <w:sz w:val="17"/>
                <w:szCs w:val="17"/>
                <w:color w:val="auto"/>
              </w:rPr>
              <w:t>5,888</w:t>
            </w:r>
          </w:p>
        </w:tc>
        <w:tc>
          <w:tcPr>
            <w:tcW w:w="1440" w:type="dxa"/>
            <w:vAlign w:val="bottom"/>
          </w:tcPr>
          <w:p>
            <w:pPr>
              <w:jc w:val="right"/>
              <w:ind w:right="35"/>
              <w:spacing w:after="0"/>
              <w:rPr>
                <w:sz w:val="20"/>
                <w:szCs w:val="20"/>
                <w:color w:val="auto"/>
              </w:rPr>
            </w:pPr>
            <w:r>
              <w:rPr>
                <w:rFonts w:ascii="Courier New" w:cs="Courier New" w:eastAsia="Courier New" w:hAnsi="Courier New"/>
                <w:sz w:val="17"/>
                <w:szCs w:val="17"/>
                <w:color w:val="auto"/>
              </w:rPr>
              <w:t>6,622</w:t>
            </w:r>
          </w:p>
        </w:tc>
      </w:tr>
      <w:tr>
        <w:trPr>
          <w:trHeight w:val="392"/>
        </w:trPr>
        <w:tc>
          <w:tcPr>
            <w:tcW w:w="4280" w:type="dxa"/>
            <w:vAlign w:val="bottom"/>
          </w:tcPr>
          <w:p>
            <w:pPr>
              <w:ind w:left="200"/>
              <w:spacing w:after="0"/>
              <w:rPr>
                <w:sz w:val="20"/>
                <w:szCs w:val="20"/>
                <w:color w:val="auto"/>
              </w:rPr>
            </w:pPr>
            <w:r>
              <w:rPr>
                <w:rFonts w:ascii="Courier New" w:cs="Courier New" w:eastAsia="Courier New" w:hAnsi="Courier New"/>
                <w:sz w:val="17"/>
                <w:szCs w:val="17"/>
                <w:color w:val="auto"/>
              </w:rPr>
              <w:t>Investors' share of operations</w:t>
            </w:r>
          </w:p>
        </w:tc>
        <w:tc>
          <w:tcPr>
            <w:tcW w:w="1640" w:type="dxa"/>
            <w:vAlign w:val="bottom"/>
          </w:tcPr>
          <w:p>
            <w:pPr>
              <w:jc w:val="right"/>
              <w:ind w:right="415"/>
              <w:spacing w:after="0"/>
              <w:rPr>
                <w:sz w:val="20"/>
                <w:szCs w:val="20"/>
                <w:color w:val="auto"/>
              </w:rPr>
            </w:pPr>
            <w:r>
              <w:rPr>
                <w:rFonts w:ascii="Courier New" w:cs="Courier New" w:eastAsia="Courier New" w:hAnsi="Courier New"/>
                <w:sz w:val="17"/>
                <w:szCs w:val="17"/>
                <w:color w:val="auto"/>
              </w:rPr>
              <w:t>138</w:t>
            </w:r>
          </w:p>
        </w:tc>
        <w:tc>
          <w:tcPr>
            <w:tcW w:w="1440" w:type="dxa"/>
            <w:vAlign w:val="bottom"/>
          </w:tcPr>
          <w:p>
            <w:pPr>
              <w:jc w:val="right"/>
              <w:ind w:right="35"/>
              <w:spacing w:after="0"/>
              <w:rPr>
                <w:sz w:val="20"/>
                <w:szCs w:val="20"/>
                <w:color w:val="auto"/>
              </w:rPr>
            </w:pPr>
            <w:r>
              <w:rPr>
                <w:rFonts w:ascii="Courier New" w:cs="Courier New" w:eastAsia="Courier New" w:hAnsi="Courier New"/>
                <w:sz w:val="17"/>
                <w:szCs w:val="17"/>
                <w:color w:val="auto"/>
              </w:rPr>
              <w:t>1</w:t>
            </w:r>
          </w:p>
        </w:tc>
      </w:tr>
      <w:tr>
        <w:trPr>
          <w:trHeight w:val="196"/>
        </w:trPr>
        <w:tc>
          <w:tcPr>
            <w:tcW w:w="4280" w:type="dxa"/>
            <w:vAlign w:val="bottom"/>
          </w:tcPr>
          <w:p>
            <w:pPr>
              <w:spacing w:after="0"/>
              <w:rPr>
                <w:sz w:val="17"/>
                <w:szCs w:val="17"/>
                <w:color w:val="auto"/>
              </w:rPr>
            </w:pPr>
          </w:p>
        </w:tc>
        <w:tc>
          <w:tcPr>
            <w:tcW w:w="1640" w:type="dxa"/>
            <w:vAlign w:val="bottom"/>
          </w:tcPr>
          <w:p>
            <w:pPr>
              <w:jc w:val="right"/>
              <w:ind w:right="415"/>
              <w:spacing w:after="0"/>
              <w:rPr>
                <w:sz w:val="20"/>
                <w:szCs w:val="20"/>
                <w:color w:val="auto"/>
              </w:rPr>
            </w:pPr>
            <w:r>
              <w:rPr>
                <w:rFonts w:ascii="Courier New" w:cs="Courier New" w:eastAsia="Courier New" w:hAnsi="Courier New"/>
                <w:sz w:val="17"/>
                <w:szCs w:val="17"/>
                <w:color w:val="auto"/>
              </w:rPr>
              <w:t>-------</w:t>
            </w:r>
          </w:p>
        </w:tc>
        <w:tc>
          <w:tcPr>
            <w:tcW w:w="1440" w:type="dxa"/>
            <w:vAlign w:val="bottom"/>
          </w:tcPr>
          <w:p>
            <w:pPr>
              <w:jc w:val="right"/>
              <w:ind w:right="35"/>
              <w:spacing w:after="0"/>
              <w:rPr>
                <w:sz w:val="20"/>
                <w:szCs w:val="20"/>
                <w:color w:val="auto"/>
              </w:rPr>
            </w:pPr>
            <w:r>
              <w:rPr>
                <w:rFonts w:ascii="Courier New" w:cs="Courier New" w:eastAsia="Courier New" w:hAnsi="Courier New"/>
                <w:sz w:val="17"/>
                <w:szCs w:val="17"/>
                <w:color w:val="auto"/>
              </w:rPr>
              <w:t>-------</w:t>
            </w:r>
          </w:p>
        </w:tc>
      </w:tr>
      <w:tr>
        <w:trPr>
          <w:trHeight w:val="392"/>
        </w:trPr>
        <w:tc>
          <w:tcPr>
            <w:tcW w:w="4280" w:type="dxa"/>
            <w:vAlign w:val="bottom"/>
          </w:tcPr>
          <w:p>
            <w:pPr>
              <w:spacing w:after="0"/>
              <w:rPr>
                <w:sz w:val="20"/>
                <w:szCs w:val="20"/>
                <w:color w:val="auto"/>
              </w:rPr>
            </w:pPr>
            <w:r>
              <w:rPr>
                <w:rFonts w:ascii="Courier New" w:cs="Courier New" w:eastAsia="Courier New" w:hAnsi="Courier New"/>
                <w:sz w:val="17"/>
                <w:szCs w:val="17"/>
                <w:color w:val="auto"/>
              </w:rPr>
              <w:t>Net Income</w:t>
            </w:r>
          </w:p>
        </w:tc>
        <w:tc>
          <w:tcPr>
            <w:tcW w:w="1640" w:type="dxa"/>
            <w:vAlign w:val="bottom"/>
          </w:tcPr>
          <w:p>
            <w:pPr>
              <w:jc w:val="right"/>
              <w:ind w:right="415"/>
              <w:spacing w:after="0"/>
              <w:rPr>
                <w:sz w:val="20"/>
                <w:szCs w:val="20"/>
                <w:color w:val="auto"/>
              </w:rPr>
            </w:pPr>
            <w:r>
              <w:rPr>
                <w:rFonts w:ascii="Courier New" w:cs="Courier New" w:eastAsia="Courier New" w:hAnsi="Courier New"/>
                <w:sz w:val="17"/>
                <w:szCs w:val="17"/>
                <w:color w:val="auto"/>
              </w:rPr>
              <w:t>$ 6,026</w:t>
            </w:r>
          </w:p>
        </w:tc>
        <w:tc>
          <w:tcPr>
            <w:tcW w:w="1440" w:type="dxa"/>
            <w:vAlign w:val="bottom"/>
          </w:tcPr>
          <w:p>
            <w:pPr>
              <w:jc w:val="right"/>
              <w:ind w:right="35"/>
              <w:spacing w:after="0"/>
              <w:rPr>
                <w:sz w:val="20"/>
                <w:szCs w:val="20"/>
                <w:color w:val="auto"/>
              </w:rPr>
            </w:pPr>
            <w:r>
              <w:rPr>
                <w:rFonts w:ascii="Courier New" w:cs="Courier New" w:eastAsia="Courier New" w:hAnsi="Courier New"/>
                <w:sz w:val="17"/>
                <w:szCs w:val="17"/>
                <w:color w:val="auto"/>
              </w:rPr>
              <w:t>$ 6,623</w:t>
            </w:r>
          </w:p>
        </w:tc>
      </w:tr>
      <w:tr>
        <w:trPr>
          <w:trHeight w:val="196"/>
        </w:trPr>
        <w:tc>
          <w:tcPr>
            <w:tcW w:w="4280" w:type="dxa"/>
            <w:vAlign w:val="bottom"/>
          </w:tcPr>
          <w:p>
            <w:pPr>
              <w:spacing w:after="0"/>
              <w:rPr>
                <w:sz w:val="17"/>
                <w:szCs w:val="17"/>
                <w:color w:val="auto"/>
              </w:rPr>
            </w:pPr>
          </w:p>
        </w:tc>
        <w:tc>
          <w:tcPr>
            <w:tcW w:w="1640" w:type="dxa"/>
            <w:vAlign w:val="bottom"/>
          </w:tcPr>
          <w:p>
            <w:pPr>
              <w:jc w:val="right"/>
              <w:ind w:right="415"/>
              <w:spacing w:after="0"/>
              <w:rPr>
                <w:sz w:val="20"/>
                <w:szCs w:val="20"/>
                <w:color w:val="auto"/>
              </w:rPr>
            </w:pPr>
            <w:r>
              <w:rPr>
                <w:rFonts w:ascii="Courier New" w:cs="Courier New" w:eastAsia="Courier New" w:hAnsi="Courier New"/>
                <w:sz w:val="17"/>
                <w:szCs w:val="17"/>
                <w:color w:val="auto"/>
              </w:rPr>
              <w:t>=======</w:t>
            </w:r>
          </w:p>
        </w:tc>
        <w:tc>
          <w:tcPr>
            <w:tcW w:w="1440" w:type="dxa"/>
            <w:vAlign w:val="bottom"/>
          </w:tcPr>
          <w:p>
            <w:pPr>
              <w:jc w:val="right"/>
              <w:ind w:right="35"/>
              <w:spacing w:after="0"/>
              <w:rPr>
                <w:sz w:val="20"/>
                <w:szCs w:val="20"/>
                <w:color w:val="auto"/>
              </w:rPr>
            </w:pPr>
            <w:r>
              <w:rPr>
                <w:rFonts w:ascii="Courier New" w:cs="Courier New" w:eastAsia="Courier New" w:hAnsi="Courier New"/>
                <w:sz w:val="17"/>
                <w:szCs w:val="17"/>
                <w:color w:val="auto"/>
              </w:rPr>
              <w:t>=======</w:t>
            </w:r>
          </w:p>
        </w:tc>
      </w:tr>
      <w:tr>
        <w:trPr>
          <w:trHeight w:val="392"/>
        </w:trPr>
        <w:tc>
          <w:tcPr>
            <w:tcW w:w="4280" w:type="dxa"/>
            <w:vAlign w:val="bottom"/>
          </w:tcPr>
          <w:p>
            <w:pPr>
              <w:spacing w:after="0"/>
              <w:rPr>
                <w:sz w:val="20"/>
                <w:szCs w:val="20"/>
                <w:color w:val="auto"/>
              </w:rPr>
            </w:pPr>
            <w:r>
              <w:rPr>
                <w:rFonts w:ascii="Courier New" w:cs="Courier New" w:eastAsia="Courier New" w:hAnsi="Courier New"/>
                <w:sz w:val="17"/>
                <w:szCs w:val="17"/>
                <w:color w:val="auto"/>
              </w:rPr>
              <w:t>Weighted Average Number of Common Shares</w:t>
            </w:r>
          </w:p>
        </w:tc>
        <w:tc>
          <w:tcPr>
            <w:tcW w:w="1640" w:type="dxa"/>
            <w:vAlign w:val="bottom"/>
          </w:tcPr>
          <w:p>
            <w:pPr>
              <w:jc w:val="right"/>
              <w:ind w:right="415"/>
              <w:spacing w:after="0"/>
              <w:rPr>
                <w:sz w:val="20"/>
                <w:szCs w:val="20"/>
                <w:color w:val="auto"/>
              </w:rPr>
            </w:pPr>
            <w:r>
              <w:rPr>
                <w:rFonts w:ascii="Courier New" w:cs="Courier New" w:eastAsia="Courier New" w:hAnsi="Courier New"/>
                <w:sz w:val="17"/>
                <w:szCs w:val="17"/>
                <w:color w:val="auto"/>
              </w:rPr>
              <w:t>32,265</w:t>
            </w:r>
          </w:p>
        </w:tc>
        <w:tc>
          <w:tcPr>
            <w:tcW w:w="1440" w:type="dxa"/>
            <w:vAlign w:val="bottom"/>
          </w:tcPr>
          <w:p>
            <w:pPr>
              <w:jc w:val="right"/>
              <w:ind w:right="35"/>
              <w:spacing w:after="0"/>
              <w:rPr>
                <w:sz w:val="20"/>
                <w:szCs w:val="20"/>
                <w:color w:val="auto"/>
              </w:rPr>
            </w:pPr>
            <w:r>
              <w:rPr>
                <w:rFonts w:ascii="Courier New" w:cs="Courier New" w:eastAsia="Courier New" w:hAnsi="Courier New"/>
                <w:sz w:val="17"/>
                <w:szCs w:val="17"/>
                <w:color w:val="auto"/>
              </w:rPr>
              <w:t>31,658</w:t>
            </w:r>
          </w:p>
        </w:tc>
      </w:tr>
      <w:tr>
        <w:trPr>
          <w:trHeight w:val="196"/>
        </w:trPr>
        <w:tc>
          <w:tcPr>
            <w:tcW w:w="4280" w:type="dxa"/>
            <w:vAlign w:val="bottom"/>
          </w:tcPr>
          <w:p>
            <w:pPr>
              <w:spacing w:after="0"/>
              <w:rPr>
                <w:sz w:val="17"/>
                <w:szCs w:val="17"/>
                <w:color w:val="auto"/>
              </w:rPr>
            </w:pPr>
          </w:p>
        </w:tc>
        <w:tc>
          <w:tcPr>
            <w:tcW w:w="1640" w:type="dxa"/>
            <w:vAlign w:val="bottom"/>
          </w:tcPr>
          <w:p>
            <w:pPr>
              <w:jc w:val="right"/>
              <w:ind w:right="415"/>
              <w:spacing w:after="0"/>
              <w:rPr>
                <w:sz w:val="20"/>
                <w:szCs w:val="20"/>
                <w:color w:val="auto"/>
              </w:rPr>
            </w:pPr>
            <w:r>
              <w:rPr>
                <w:rFonts w:ascii="Courier New" w:cs="Courier New" w:eastAsia="Courier New" w:hAnsi="Courier New"/>
                <w:sz w:val="17"/>
                <w:szCs w:val="17"/>
                <w:color w:val="auto"/>
              </w:rPr>
              <w:t>=======</w:t>
            </w:r>
          </w:p>
        </w:tc>
        <w:tc>
          <w:tcPr>
            <w:tcW w:w="1440" w:type="dxa"/>
            <w:vAlign w:val="bottom"/>
          </w:tcPr>
          <w:p>
            <w:pPr>
              <w:jc w:val="right"/>
              <w:ind w:right="35"/>
              <w:spacing w:after="0"/>
              <w:rPr>
                <w:sz w:val="20"/>
                <w:szCs w:val="20"/>
                <w:color w:val="auto"/>
              </w:rPr>
            </w:pPr>
            <w:r>
              <w:rPr>
                <w:rFonts w:ascii="Courier New" w:cs="Courier New" w:eastAsia="Courier New" w:hAnsi="Courier New"/>
                <w:sz w:val="17"/>
                <w:szCs w:val="17"/>
                <w:color w:val="auto"/>
              </w:rPr>
              <w:t>=======</w:t>
            </w:r>
          </w:p>
        </w:tc>
      </w:tr>
      <w:tr>
        <w:trPr>
          <w:trHeight w:val="392"/>
        </w:trPr>
        <w:tc>
          <w:tcPr>
            <w:tcW w:w="4280" w:type="dxa"/>
            <w:vAlign w:val="bottom"/>
          </w:tcPr>
          <w:p>
            <w:pPr>
              <w:spacing w:after="0"/>
              <w:rPr>
                <w:sz w:val="20"/>
                <w:szCs w:val="20"/>
                <w:color w:val="auto"/>
              </w:rPr>
            </w:pPr>
            <w:r>
              <w:rPr>
                <w:rFonts w:ascii="Courier New" w:cs="Courier New" w:eastAsia="Courier New" w:hAnsi="Courier New"/>
                <w:sz w:val="17"/>
                <w:szCs w:val="17"/>
                <w:color w:val="auto"/>
              </w:rPr>
              <w:t>Earnings per share</w:t>
            </w:r>
          </w:p>
        </w:tc>
        <w:tc>
          <w:tcPr>
            <w:tcW w:w="1640" w:type="dxa"/>
            <w:vAlign w:val="bottom"/>
          </w:tcPr>
          <w:p>
            <w:pPr>
              <w:jc w:val="right"/>
              <w:ind w:right="415"/>
              <w:spacing w:after="0"/>
              <w:rPr>
                <w:sz w:val="20"/>
                <w:szCs w:val="20"/>
                <w:color w:val="auto"/>
              </w:rPr>
            </w:pPr>
            <w:r>
              <w:rPr>
                <w:rFonts w:ascii="Courier New" w:cs="Courier New" w:eastAsia="Courier New" w:hAnsi="Courier New"/>
                <w:sz w:val="17"/>
                <w:szCs w:val="17"/>
                <w:color w:val="auto"/>
              </w:rPr>
              <w:t>$0.19</w:t>
            </w:r>
          </w:p>
        </w:tc>
        <w:tc>
          <w:tcPr>
            <w:tcW w:w="1440" w:type="dxa"/>
            <w:vAlign w:val="bottom"/>
          </w:tcPr>
          <w:p>
            <w:pPr>
              <w:jc w:val="right"/>
              <w:ind w:right="35"/>
              <w:spacing w:after="0"/>
              <w:rPr>
                <w:sz w:val="20"/>
                <w:szCs w:val="20"/>
                <w:color w:val="auto"/>
              </w:rPr>
            </w:pPr>
            <w:r>
              <w:rPr>
                <w:rFonts w:ascii="Courier New" w:cs="Courier New" w:eastAsia="Courier New" w:hAnsi="Courier New"/>
                <w:sz w:val="17"/>
                <w:szCs w:val="17"/>
                <w:color w:val="auto"/>
              </w:rPr>
              <w:t>$0.21</w:t>
            </w:r>
          </w:p>
        </w:tc>
      </w:tr>
      <w:tr>
        <w:trPr>
          <w:trHeight w:val="196"/>
        </w:trPr>
        <w:tc>
          <w:tcPr>
            <w:tcW w:w="4280" w:type="dxa"/>
            <w:vAlign w:val="bottom"/>
          </w:tcPr>
          <w:p>
            <w:pPr>
              <w:spacing w:after="0"/>
              <w:rPr>
                <w:sz w:val="17"/>
                <w:szCs w:val="17"/>
                <w:color w:val="auto"/>
              </w:rPr>
            </w:pPr>
          </w:p>
        </w:tc>
        <w:tc>
          <w:tcPr>
            <w:tcW w:w="1640" w:type="dxa"/>
            <w:vAlign w:val="bottom"/>
          </w:tcPr>
          <w:p>
            <w:pPr>
              <w:jc w:val="right"/>
              <w:ind w:right="415"/>
              <w:spacing w:after="0"/>
              <w:rPr>
                <w:sz w:val="20"/>
                <w:szCs w:val="20"/>
                <w:color w:val="auto"/>
              </w:rPr>
            </w:pPr>
            <w:r>
              <w:rPr>
                <w:rFonts w:ascii="Courier New" w:cs="Courier New" w:eastAsia="Courier New" w:hAnsi="Courier New"/>
                <w:sz w:val="17"/>
                <w:szCs w:val="17"/>
                <w:color w:val="auto"/>
              </w:rPr>
              <w:t>=======</w:t>
            </w:r>
          </w:p>
        </w:tc>
        <w:tc>
          <w:tcPr>
            <w:tcW w:w="1440" w:type="dxa"/>
            <w:vAlign w:val="bottom"/>
          </w:tcPr>
          <w:p>
            <w:pPr>
              <w:jc w:val="right"/>
              <w:ind w:right="35"/>
              <w:spacing w:after="0"/>
              <w:rPr>
                <w:sz w:val="20"/>
                <w:szCs w:val="20"/>
                <w:color w:val="auto"/>
              </w:rPr>
            </w:pPr>
            <w:r>
              <w:rPr>
                <w:rFonts w:ascii="Courier New" w:cs="Courier New" w:eastAsia="Courier New" w:hAnsi="Courier New"/>
                <w:sz w:val="17"/>
                <w:szCs w:val="17"/>
                <w:color w:val="auto"/>
              </w:rPr>
              <w:t>=======</w:t>
            </w:r>
          </w:p>
        </w:tc>
      </w:tr>
    </w:tbl>
    <w:p>
      <w:pPr>
        <w:spacing w:after="0" w:line="3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accompanying notes are an integral part of these statements.</w:t>
      </w:r>
    </w:p>
    <w:p>
      <w:pPr>
        <w:spacing w:after="0" w:line="396"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6</w:t>
      </w:r>
    </w:p>
    <w:p>
      <w:pPr>
        <w:sectPr>
          <w:pgSz w:w="11900" w:h="16838" w:orient="portrait"/>
          <w:cols w:equalWidth="0" w:num="1">
            <w:col w:w="10219"/>
          </w:cols>
          <w:pgMar w:left="240" w:top="703"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7"/>
          <w:szCs w:val="17"/>
          <w:color w:val="auto"/>
        </w:rPr>
        <w:t>Federal Realty Investment Trust</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CONSOLIDATED STATEMENTS OF SHAREHOLDERS' EQUITY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(see accountants' review report)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(unaudited)</w:t>
      </w: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7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900" w:type="dxa"/>
            <w:vAlign w:val="bottom"/>
            <w:gridSpan w:val="3"/>
          </w:tcPr>
          <w:p>
            <w:pPr>
              <w:jc w:val="right"/>
              <w:spacing w:after="0"/>
              <w:rPr>
                <w:sz w:val="20"/>
                <w:szCs w:val="20"/>
                <w:color w:val="auto"/>
              </w:rPr>
            </w:pPr>
            <w:r>
              <w:rPr>
                <w:rFonts w:ascii="Courier New" w:cs="Courier New" w:eastAsia="Courier New" w:hAnsi="Courier New"/>
                <w:sz w:val="17"/>
                <w:szCs w:val="17"/>
                <w:color w:val="auto"/>
                <w:w w:val="98"/>
              </w:rPr>
              <w:t>Three months ended March 31,</w:t>
            </w: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6"/>
        </w:trPr>
        <w:tc>
          <w:tcPr>
            <w:tcW w:w="576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Courier New" w:cs="Courier New" w:eastAsia="Courier New" w:hAnsi="Courier New"/>
                <w:sz w:val="17"/>
                <w:szCs w:val="17"/>
                <w:color w:val="auto"/>
              </w:rPr>
              <w:t>1996</w:t>
            </w: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Courier New" w:cs="Courier New" w:eastAsia="Courier New" w:hAnsi="Courier New"/>
                <w:sz w:val="17"/>
                <w:szCs w:val="17"/>
                <w:color w:val="auto"/>
              </w:rPr>
              <w:t>1995</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96"/>
        </w:trPr>
        <w:tc>
          <w:tcPr>
            <w:tcW w:w="5760" w:type="dxa"/>
            <w:vAlign w:val="bottom"/>
          </w:tcPr>
          <w:p>
            <w:pPr>
              <w:spacing w:after="0"/>
              <w:rPr>
                <w:sz w:val="20"/>
                <w:szCs w:val="20"/>
                <w:color w:val="auto"/>
              </w:rPr>
            </w:pPr>
            <w:r>
              <w:rPr>
                <w:rFonts w:ascii="Courier New" w:cs="Courier New" w:eastAsia="Courier New" w:hAnsi="Courier New"/>
                <w:sz w:val="17"/>
                <w:szCs w:val="17"/>
                <w:color w:val="auto"/>
              </w:rPr>
              <w:t>(In thousands, except per share amounts)</w:t>
            </w:r>
          </w:p>
        </w:tc>
        <w:tc>
          <w:tcPr>
            <w:tcW w:w="1700" w:type="dxa"/>
            <w:vAlign w:val="bottom"/>
          </w:tcPr>
          <w:p>
            <w:pPr>
              <w:jc w:val="right"/>
              <w:ind w:right="435"/>
              <w:spacing w:after="0"/>
              <w:rPr>
                <w:sz w:val="20"/>
                <w:szCs w:val="20"/>
                <w:color w:val="auto"/>
              </w:rPr>
            </w:pPr>
            <w:r>
              <w:rPr>
                <w:rFonts w:ascii="Courier New" w:cs="Courier New" w:eastAsia="Courier New" w:hAnsi="Courier New"/>
                <w:sz w:val="17"/>
                <w:szCs w:val="17"/>
                <w:color w:val="auto"/>
              </w:rPr>
              <w:t>Shares</w:t>
            </w:r>
          </w:p>
        </w:tc>
        <w:tc>
          <w:tcPr>
            <w:tcW w:w="140" w:type="dxa"/>
            <w:vAlign w:val="bottom"/>
          </w:tcPr>
          <w:p>
            <w:pPr>
              <w:spacing w:after="0"/>
              <w:rPr>
                <w:sz w:val="17"/>
                <w:szCs w:val="17"/>
                <w:color w:val="auto"/>
              </w:rPr>
            </w:pPr>
          </w:p>
        </w:tc>
        <w:tc>
          <w:tcPr>
            <w:tcW w:w="112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Amount</w:t>
            </w:r>
          </w:p>
        </w:tc>
        <w:tc>
          <w:tcPr>
            <w:tcW w:w="164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Shares</w:t>
            </w:r>
          </w:p>
        </w:tc>
        <w:tc>
          <w:tcPr>
            <w:tcW w:w="260" w:type="dxa"/>
            <w:vAlign w:val="bottom"/>
          </w:tcPr>
          <w:p>
            <w:pPr>
              <w:spacing w:after="0"/>
              <w:rPr>
                <w:sz w:val="17"/>
                <w:szCs w:val="17"/>
                <w:color w:val="auto"/>
              </w:rPr>
            </w:pPr>
          </w:p>
        </w:tc>
        <w:tc>
          <w:tcPr>
            <w:tcW w:w="900" w:type="dxa"/>
            <w:vAlign w:val="bottom"/>
          </w:tcPr>
          <w:p>
            <w:pPr>
              <w:jc w:val="right"/>
              <w:ind w:right="215"/>
              <w:spacing w:after="0"/>
              <w:rPr>
                <w:sz w:val="20"/>
                <w:szCs w:val="20"/>
                <w:color w:val="auto"/>
              </w:rPr>
            </w:pPr>
            <w:r>
              <w:rPr>
                <w:rFonts w:ascii="Courier New" w:cs="Courier New" w:eastAsia="Courier New" w:hAnsi="Courier New"/>
                <w:sz w:val="17"/>
                <w:szCs w:val="17"/>
                <w:color w:val="auto"/>
                <w:w w:val="94"/>
              </w:rPr>
              <w:t>Amount</w:t>
            </w:r>
          </w:p>
        </w:tc>
      </w:tr>
      <w:tr>
        <w:trPr>
          <w:trHeight w:val="196"/>
        </w:trPr>
        <w:tc>
          <w:tcPr>
            <w:tcW w:w="5760" w:type="dxa"/>
            <w:vAlign w:val="bottom"/>
          </w:tcPr>
          <w:p>
            <w:pPr>
              <w:spacing w:after="0"/>
              <w:rPr>
                <w:sz w:val="17"/>
                <w:szCs w:val="17"/>
                <w:color w:val="auto"/>
              </w:rPr>
            </w:pPr>
          </w:p>
        </w:tc>
        <w:tc>
          <w:tcPr>
            <w:tcW w:w="170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w:t>
            </w:r>
          </w:p>
        </w:tc>
        <w:tc>
          <w:tcPr>
            <w:tcW w:w="1260" w:type="dxa"/>
            <w:vAlign w:val="bottom"/>
            <w:gridSpan w:val="2"/>
          </w:tcPr>
          <w:p>
            <w:pPr>
              <w:spacing w:after="0"/>
              <w:rPr>
                <w:sz w:val="20"/>
                <w:szCs w:val="20"/>
                <w:color w:val="auto"/>
              </w:rPr>
            </w:pPr>
            <w:r>
              <w:rPr>
                <w:rFonts w:ascii="Courier New" w:cs="Courier New" w:eastAsia="Courier New" w:hAnsi="Courier New"/>
                <w:sz w:val="17"/>
                <w:szCs w:val="17"/>
                <w:color w:val="auto"/>
              </w:rPr>
              <w:t>----------</w:t>
            </w:r>
          </w:p>
        </w:tc>
        <w:tc>
          <w:tcPr>
            <w:tcW w:w="164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392"/>
        </w:trPr>
        <w:tc>
          <w:tcPr>
            <w:tcW w:w="5760" w:type="dxa"/>
            <w:vAlign w:val="bottom"/>
          </w:tcPr>
          <w:p>
            <w:pPr>
              <w:spacing w:after="0"/>
              <w:rPr>
                <w:sz w:val="20"/>
                <w:szCs w:val="20"/>
                <w:color w:val="auto"/>
              </w:rPr>
            </w:pPr>
            <w:r>
              <w:rPr>
                <w:rFonts w:ascii="Courier New" w:cs="Courier New" w:eastAsia="Courier New" w:hAnsi="Courier New"/>
                <w:sz w:val="17"/>
                <w:szCs w:val="17"/>
                <w:color w:val="auto"/>
              </w:rPr>
              <w:t>Common Shares of Beneficial Interest</w:t>
            </w:r>
          </w:p>
        </w:tc>
        <w:tc>
          <w:tcPr>
            <w:tcW w:w="1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96"/>
        </w:trPr>
        <w:tc>
          <w:tcPr>
            <w:tcW w:w="5760" w:type="dxa"/>
            <w:vAlign w:val="bottom"/>
          </w:tcPr>
          <w:p>
            <w:pPr>
              <w:ind w:left="200"/>
              <w:spacing w:after="0"/>
              <w:rPr>
                <w:sz w:val="20"/>
                <w:szCs w:val="20"/>
                <w:color w:val="auto"/>
              </w:rPr>
            </w:pPr>
            <w:r>
              <w:rPr>
                <w:rFonts w:ascii="Courier New" w:cs="Courier New" w:eastAsia="Courier New" w:hAnsi="Courier New"/>
                <w:sz w:val="17"/>
                <w:szCs w:val="17"/>
                <w:color w:val="auto"/>
              </w:rPr>
              <w:t>Balance, beginning of period</w:t>
            </w:r>
          </w:p>
        </w:tc>
        <w:tc>
          <w:tcPr>
            <w:tcW w:w="170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32,221,670</w:t>
            </w:r>
          </w:p>
        </w:tc>
        <w:tc>
          <w:tcPr>
            <w:tcW w:w="1260" w:type="dxa"/>
            <w:vAlign w:val="bottom"/>
            <w:gridSpan w:val="2"/>
          </w:tcPr>
          <w:p>
            <w:pPr>
              <w:jc w:val="right"/>
              <w:ind w:right="255"/>
              <w:spacing w:after="0"/>
              <w:rPr>
                <w:sz w:val="20"/>
                <w:szCs w:val="20"/>
                <w:color w:val="auto"/>
              </w:rPr>
            </w:pPr>
            <w:r>
              <w:rPr>
                <w:rFonts w:ascii="Courier New" w:cs="Courier New" w:eastAsia="Courier New" w:hAnsi="Courier New"/>
                <w:sz w:val="17"/>
                <w:szCs w:val="17"/>
                <w:color w:val="auto"/>
                <w:w w:val="97"/>
              </w:rPr>
              <w:t>$ 508,870</w:t>
            </w:r>
          </w:p>
        </w:tc>
        <w:tc>
          <w:tcPr>
            <w:tcW w:w="164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31,669,434</w:t>
            </w:r>
          </w:p>
        </w:tc>
        <w:tc>
          <w:tcPr>
            <w:tcW w:w="11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$ 496,958</w:t>
            </w:r>
          </w:p>
        </w:tc>
      </w:tr>
      <w:tr>
        <w:trPr>
          <w:trHeight w:val="196"/>
        </w:trPr>
        <w:tc>
          <w:tcPr>
            <w:tcW w:w="5760" w:type="dxa"/>
            <w:vAlign w:val="bottom"/>
          </w:tcPr>
          <w:p>
            <w:pPr>
              <w:ind w:left="200"/>
              <w:spacing w:after="0"/>
              <w:rPr>
                <w:sz w:val="20"/>
                <w:szCs w:val="20"/>
                <w:color w:val="auto"/>
              </w:rPr>
            </w:pPr>
            <w:r>
              <w:rPr>
                <w:rFonts w:ascii="Courier New" w:cs="Courier New" w:eastAsia="Courier New" w:hAnsi="Courier New"/>
                <w:sz w:val="17"/>
                <w:szCs w:val="17"/>
                <w:color w:val="auto"/>
              </w:rPr>
              <w:t>Exercise of stock options</w:t>
            </w:r>
          </w:p>
        </w:tc>
        <w:tc>
          <w:tcPr>
            <w:tcW w:w="170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20,667</w:t>
            </w:r>
          </w:p>
        </w:tc>
        <w:tc>
          <w:tcPr>
            <w:tcW w:w="140" w:type="dxa"/>
            <w:vAlign w:val="bottom"/>
          </w:tcPr>
          <w:p>
            <w:pPr>
              <w:spacing w:after="0"/>
              <w:rPr>
                <w:sz w:val="17"/>
                <w:szCs w:val="17"/>
                <w:color w:val="auto"/>
              </w:rPr>
            </w:pPr>
          </w:p>
        </w:tc>
        <w:tc>
          <w:tcPr>
            <w:tcW w:w="1120" w:type="dxa"/>
            <w:vAlign w:val="bottom"/>
          </w:tcPr>
          <w:p>
            <w:pPr>
              <w:jc w:val="right"/>
              <w:ind w:right="255"/>
              <w:spacing w:after="0"/>
              <w:rPr>
                <w:sz w:val="20"/>
                <w:szCs w:val="20"/>
                <w:color w:val="auto"/>
              </w:rPr>
            </w:pPr>
            <w:r>
              <w:rPr>
                <w:rFonts w:ascii="Courier New" w:cs="Courier New" w:eastAsia="Courier New" w:hAnsi="Courier New"/>
                <w:sz w:val="17"/>
                <w:szCs w:val="17"/>
                <w:color w:val="auto"/>
              </w:rPr>
              <w:t>410</w:t>
            </w:r>
          </w:p>
        </w:tc>
        <w:tc>
          <w:tcPr>
            <w:tcW w:w="164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7,744</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122</w:t>
            </w:r>
          </w:p>
        </w:tc>
      </w:tr>
      <w:tr>
        <w:trPr>
          <w:trHeight w:val="196"/>
        </w:trPr>
        <w:tc>
          <w:tcPr>
            <w:tcW w:w="5760" w:type="dxa"/>
            <w:vAlign w:val="bottom"/>
          </w:tcPr>
          <w:p>
            <w:pPr>
              <w:ind w:left="200"/>
              <w:spacing w:after="0"/>
              <w:rPr>
                <w:sz w:val="20"/>
                <w:szCs w:val="20"/>
                <w:color w:val="auto"/>
              </w:rPr>
            </w:pPr>
            <w:r>
              <w:rPr>
                <w:rFonts w:ascii="Courier New" w:cs="Courier New" w:eastAsia="Courier New" w:hAnsi="Courier New"/>
                <w:sz w:val="17"/>
                <w:szCs w:val="17"/>
                <w:color w:val="auto"/>
              </w:rPr>
              <w:t>Shares issued under dividend reinvestment plan</w:t>
            </w:r>
          </w:p>
        </w:tc>
        <w:tc>
          <w:tcPr>
            <w:tcW w:w="170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46,481</w:t>
            </w:r>
          </w:p>
        </w:tc>
        <w:tc>
          <w:tcPr>
            <w:tcW w:w="140" w:type="dxa"/>
            <w:vAlign w:val="bottom"/>
          </w:tcPr>
          <w:p>
            <w:pPr>
              <w:spacing w:after="0"/>
              <w:rPr>
                <w:sz w:val="17"/>
                <w:szCs w:val="17"/>
                <w:color w:val="auto"/>
              </w:rPr>
            </w:pPr>
          </w:p>
        </w:tc>
        <w:tc>
          <w:tcPr>
            <w:tcW w:w="1120" w:type="dxa"/>
            <w:vAlign w:val="bottom"/>
          </w:tcPr>
          <w:p>
            <w:pPr>
              <w:jc w:val="right"/>
              <w:ind w:right="255"/>
              <w:spacing w:after="0"/>
              <w:rPr>
                <w:sz w:val="20"/>
                <w:szCs w:val="20"/>
                <w:color w:val="auto"/>
              </w:rPr>
            </w:pPr>
            <w:r>
              <w:rPr>
                <w:rFonts w:ascii="Courier New" w:cs="Courier New" w:eastAsia="Courier New" w:hAnsi="Courier New"/>
                <w:sz w:val="17"/>
                <w:szCs w:val="17"/>
                <w:color w:val="auto"/>
              </w:rPr>
              <w:t>1,033</w:t>
            </w:r>
          </w:p>
        </w:tc>
        <w:tc>
          <w:tcPr>
            <w:tcW w:w="164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50,002</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1,036</w:t>
            </w:r>
          </w:p>
        </w:tc>
      </w:tr>
      <w:tr>
        <w:trPr>
          <w:trHeight w:val="196"/>
        </w:trPr>
        <w:tc>
          <w:tcPr>
            <w:tcW w:w="5760" w:type="dxa"/>
            <w:vAlign w:val="bottom"/>
          </w:tcPr>
          <w:p>
            <w:pPr>
              <w:spacing w:after="0"/>
              <w:rPr>
                <w:sz w:val="17"/>
                <w:szCs w:val="17"/>
                <w:color w:val="auto"/>
              </w:rPr>
            </w:pPr>
          </w:p>
        </w:tc>
        <w:tc>
          <w:tcPr>
            <w:tcW w:w="170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w:t>
            </w:r>
          </w:p>
        </w:tc>
        <w:tc>
          <w:tcPr>
            <w:tcW w:w="1260" w:type="dxa"/>
            <w:vAlign w:val="bottom"/>
            <w:gridSpan w:val="2"/>
          </w:tcPr>
          <w:p>
            <w:pPr>
              <w:jc w:val="right"/>
              <w:ind w:right="255"/>
              <w:spacing w:after="0"/>
              <w:rPr>
                <w:sz w:val="20"/>
                <w:szCs w:val="20"/>
                <w:color w:val="auto"/>
              </w:rPr>
            </w:pPr>
            <w:r>
              <w:rPr>
                <w:rFonts w:ascii="Courier New" w:cs="Courier New" w:eastAsia="Courier New" w:hAnsi="Courier New"/>
                <w:sz w:val="17"/>
                <w:szCs w:val="17"/>
                <w:color w:val="auto"/>
                <w:w w:val="97"/>
              </w:rPr>
              <w:t>---------</w:t>
            </w:r>
          </w:p>
        </w:tc>
        <w:tc>
          <w:tcPr>
            <w:tcW w:w="164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6"/>
        </w:trPr>
        <w:tc>
          <w:tcPr>
            <w:tcW w:w="5760" w:type="dxa"/>
            <w:vAlign w:val="bottom"/>
          </w:tcPr>
          <w:p>
            <w:pPr>
              <w:ind w:left="200"/>
              <w:spacing w:after="0"/>
              <w:rPr>
                <w:sz w:val="20"/>
                <w:szCs w:val="20"/>
                <w:color w:val="auto"/>
              </w:rPr>
            </w:pPr>
            <w:r>
              <w:rPr>
                <w:rFonts w:ascii="Courier New" w:cs="Courier New" w:eastAsia="Courier New" w:hAnsi="Courier New"/>
                <w:sz w:val="17"/>
                <w:szCs w:val="17"/>
                <w:color w:val="auto"/>
              </w:rPr>
              <w:t>Balance, end of period</w:t>
            </w:r>
          </w:p>
        </w:tc>
        <w:tc>
          <w:tcPr>
            <w:tcW w:w="170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32,288,818</w:t>
            </w:r>
          </w:p>
        </w:tc>
        <w:tc>
          <w:tcPr>
            <w:tcW w:w="1260" w:type="dxa"/>
            <w:vAlign w:val="bottom"/>
            <w:gridSpan w:val="2"/>
          </w:tcPr>
          <w:p>
            <w:pPr>
              <w:jc w:val="right"/>
              <w:ind w:right="255"/>
              <w:spacing w:after="0"/>
              <w:rPr>
                <w:sz w:val="20"/>
                <w:szCs w:val="20"/>
                <w:color w:val="auto"/>
              </w:rPr>
            </w:pPr>
            <w:r>
              <w:rPr>
                <w:rFonts w:ascii="Courier New" w:cs="Courier New" w:eastAsia="Courier New" w:hAnsi="Courier New"/>
                <w:sz w:val="17"/>
                <w:szCs w:val="17"/>
                <w:color w:val="auto"/>
                <w:w w:val="97"/>
              </w:rPr>
              <w:t>$ 510,313</w:t>
            </w:r>
          </w:p>
        </w:tc>
        <w:tc>
          <w:tcPr>
            <w:tcW w:w="164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31,727,180</w:t>
            </w:r>
          </w:p>
        </w:tc>
        <w:tc>
          <w:tcPr>
            <w:tcW w:w="11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$ 498,116</w:t>
            </w:r>
          </w:p>
        </w:tc>
      </w:tr>
      <w:tr>
        <w:trPr>
          <w:trHeight w:val="196"/>
        </w:trPr>
        <w:tc>
          <w:tcPr>
            <w:tcW w:w="5760" w:type="dxa"/>
            <w:vAlign w:val="bottom"/>
          </w:tcPr>
          <w:p>
            <w:pPr>
              <w:spacing w:after="0"/>
              <w:rPr>
                <w:sz w:val="17"/>
                <w:szCs w:val="17"/>
                <w:color w:val="auto"/>
              </w:rPr>
            </w:pPr>
          </w:p>
        </w:tc>
        <w:tc>
          <w:tcPr>
            <w:tcW w:w="170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w:t>
            </w:r>
          </w:p>
        </w:tc>
        <w:tc>
          <w:tcPr>
            <w:tcW w:w="1260" w:type="dxa"/>
            <w:vAlign w:val="bottom"/>
            <w:gridSpan w:val="2"/>
          </w:tcPr>
          <w:p>
            <w:pPr>
              <w:jc w:val="right"/>
              <w:ind w:right="255"/>
              <w:spacing w:after="0"/>
              <w:rPr>
                <w:sz w:val="20"/>
                <w:szCs w:val="20"/>
                <w:color w:val="auto"/>
              </w:rPr>
            </w:pPr>
            <w:r>
              <w:rPr>
                <w:rFonts w:ascii="Courier New" w:cs="Courier New" w:eastAsia="Courier New" w:hAnsi="Courier New"/>
                <w:sz w:val="17"/>
                <w:szCs w:val="17"/>
                <w:color w:val="auto"/>
                <w:w w:val="97"/>
              </w:rPr>
              <w:t>=========</w:t>
            </w:r>
          </w:p>
        </w:tc>
        <w:tc>
          <w:tcPr>
            <w:tcW w:w="164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392"/>
        </w:trPr>
        <w:tc>
          <w:tcPr>
            <w:tcW w:w="5760" w:type="dxa"/>
            <w:vAlign w:val="bottom"/>
          </w:tcPr>
          <w:p>
            <w:pPr>
              <w:spacing w:after="0"/>
              <w:rPr>
                <w:sz w:val="20"/>
                <w:szCs w:val="20"/>
                <w:color w:val="auto"/>
              </w:rPr>
            </w:pPr>
            <w:r>
              <w:rPr>
                <w:rFonts w:ascii="Courier New" w:cs="Courier New" w:eastAsia="Courier New" w:hAnsi="Courier New"/>
                <w:sz w:val="17"/>
                <w:szCs w:val="17"/>
                <w:color w:val="auto"/>
              </w:rPr>
              <w:t>Common Shares of Beneficial Interest</w:t>
            </w:r>
          </w:p>
        </w:tc>
        <w:tc>
          <w:tcPr>
            <w:tcW w:w="1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96"/>
        </w:trPr>
        <w:tc>
          <w:tcPr>
            <w:tcW w:w="5760" w:type="dxa"/>
            <w:vAlign w:val="bottom"/>
          </w:tcPr>
          <w:p>
            <w:pPr>
              <w:ind w:left="100"/>
              <w:spacing w:after="0"/>
              <w:rPr>
                <w:sz w:val="20"/>
                <w:szCs w:val="20"/>
                <w:color w:val="auto"/>
              </w:rPr>
            </w:pPr>
            <w:r>
              <w:rPr>
                <w:rFonts w:ascii="Courier New" w:cs="Courier New" w:eastAsia="Courier New" w:hAnsi="Courier New"/>
                <w:sz w:val="17"/>
                <w:szCs w:val="17"/>
                <w:color w:val="auto"/>
              </w:rPr>
              <w:t>in Treasury, Deferred Compensation and</w:t>
            </w:r>
          </w:p>
        </w:tc>
        <w:tc>
          <w:tcPr>
            <w:tcW w:w="1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96"/>
        </w:trPr>
        <w:tc>
          <w:tcPr>
            <w:tcW w:w="5760" w:type="dxa"/>
            <w:vAlign w:val="bottom"/>
          </w:tcPr>
          <w:p>
            <w:pPr>
              <w:ind w:left="100"/>
              <w:spacing w:after="0"/>
              <w:rPr>
                <w:sz w:val="20"/>
                <w:szCs w:val="20"/>
                <w:color w:val="auto"/>
              </w:rPr>
            </w:pPr>
            <w:r>
              <w:rPr>
                <w:rFonts w:ascii="Courier New" w:cs="Courier New" w:eastAsia="Courier New" w:hAnsi="Courier New"/>
                <w:sz w:val="17"/>
                <w:szCs w:val="17"/>
                <w:color w:val="auto"/>
              </w:rPr>
              <w:t>Subscriptions Receivable</w:t>
            </w:r>
          </w:p>
        </w:tc>
        <w:tc>
          <w:tcPr>
            <w:tcW w:w="1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96"/>
        </w:trPr>
        <w:tc>
          <w:tcPr>
            <w:tcW w:w="5760" w:type="dxa"/>
            <w:vAlign w:val="bottom"/>
          </w:tcPr>
          <w:p>
            <w:pPr>
              <w:ind w:left="200"/>
              <w:spacing w:after="0"/>
              <w:rPr>
                <w:sz w:val="20"/>
                <w:szCs w:val="20"/>
                <w:color w:val="auto"/>
              </w:rPr>
            </w:pPr>
            <w:r>
              <w:rPr>
                <w:rFonts w:ascii="Courier New" w:cs="Courier New" w:eastAsia="Courier New" w:hAnsi="Courier New"/>
                <w:sz w:val="17"/>
                <w:szCs w:val="17"/>
                <w:color w:val="auto"/>
              </w:rPr>
              <w:t>Balance, beginning of period</w:t>
            </w:r>
          </w:p>
        </w:tc>
        <w:tc>
          <w:tcPr>
            <w:tcW w:w="170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(500,095)</w:t>
            </w:r>
          </w:p>
        </w:tc>
        <w:tc>
          <w:tcPr>
            <w:tcW w:w="140" w:type="dxa"/>
            <w:vAlign w:val="bottom"/>
          </w:tcPr>
          <w:p>
            <w:pPr>
              <w:spacing w:after="0"/>
              <w:rPr>
                <w:sz w:val="20"/>
                <w:szCs w:val="20"/>
                <w:color w:val="auto"/>
              </w:rPr>
            </w:pPr>
            <w:r>
              <w:rPr>
                <w:rFonts w:ascii="Courier New" w:cs="Courier New" w:eastAsia="Courier New" w:hAnsi="Courier New"/>
                <w:sz w:val="17"/>
                <w:szCs w:val="17"/>
                <w:color w:val="auto"/>
              </w:rPr>
              <w:t>$</w:t>
            </w:r>
          </w:p>
        </w:tc>
        <w:tc>
          <w:tcPr>
            <w:tcW w:w="112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(8,567)</w:t>
            </w:r>
          </w:p>
        </w:tc>
        <w:tc>
          <w:tcPr>
            <w:tcW w:w="164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(539,188)</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(9,130)</w:t>
            </w:r>
          </w:p>
        </w:tc>
      </w:tr>
      <w:tr>
        <w:trPr>
          <w:trHeight w:val="196"/>
        </w:trPr>
        <w:tc>
          <w:tcPr>
            <w:tcW w:w="5760" w:type="dxa"/>
            <w:vAlign w:val="bottom"/>
          </w:tcPr>
          <w:p>
            <w:pPr>
              <w:ind w:left="200"/>
              <w:spacing w:after="0"/>
              <w:rPr>
                <w:sz w:val="20"/>
                <w:szCs w:val="20"/>
                <w:color w:val="auto"/>
              </w:rPr>
            </w:pPr>
            <w:r>
              <w:rPr>
                <w:rFonts w:ascii="Courier New" w:cs="Courier New" w:eastAsia="Courier New" w:hAnsi="Courier New"/>
                <w:sz w:val="17"/>
                <w:szCs w:val="17"/>
                <w:color w:val="auto"/>
              </w:rPr>
              <w:t>Amortization of deferred compensation</w:t>
            </w:r>
          </w:p>
        </w:tc>
        <w:tc>
          <w:tcPr>
            <w:tcW w:w="170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30,250</w:t>
            </w:r>
          </w:p>
        </w:tc>
        <w:tc>
          <w:tcPr>
            <w:tcW w:w="140" w:type="dxa"/>
            <w:vAlign w:val="bottom"/>
          </w:tcPr>
          <w:p>
            <w:pPr>
              <w:spacing w:after="0"/>
              <w:rPr>
                <w:sz w:val="17"/>
                <w:szCs w:val="17"/>
                <w:color w:val="auto"/>
              </w:rPr>
            </w:pPr>
          </w:p>
        </w:tc>
        <w:tc>
          <w:tcPr>
            <w:tcW w:w="1120" w:type="dxa"/>
            <w:vAlign w:val="bottom"/>
          </w:tcPr>
          <w:p>
            <w:pPr>
              <w:jc w:val="right"/>
              <w:ind w:right="255"/>
              <w:spacing w:after="0"/>
              <w:rPr>
                <w:sz w:val="20"/>
                <w:szCs w:val="20"/>
                <w:color w:val="auto"/>
              </w:rPr>
            </w:pPr>
            <w:r>
              <w:rPr>
                <w:rFonts w:ascii="Courier New" w:cs="Courier New" w:eastAsia="Courier New" w:hAnsi="Courier New"/>
                <w:sz w:val="17"/>
                <w:szCs w:val="17"/>
                <w:color w:val="auto"/>
              </w:rPr>
              <w:t>482</w:t>
            </w:r>
          </w:p>
        </w:tc>
        <w:tc>
          <w:tcPr>
            <w:tcW w:w="164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32,875</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547</w:t>
            </w:r>
          </w:p>
        </w:tc>
      </w:tr>
      <w:tr>
        <w:trPr>
          <w:trHeight w:val="196"/>
        </w:trPr>
        <w:tc>
          <w:tcPr>
            <w:tcW w:w="5760" w:type="dxa"/>
            <w:vAlign w:val="bottom"/>
          </w:tcPr>
          <w:p>
            <w:pPr>
              <w:ind w:left="200"/>
              <w:spacing w:after="0"/>
              <w:rPr>
                <w:sz w:val="20"/>
                <w:szCs w:val="20"/>
                <w:color w:val="auto"/>
              </w:rPr>
            </w:pPr>
            <w:r>
              <w:rPr>
                <w:rFonts w:ascii="Courier New" w:cs="Courier New" w:eastAsia="Courier New" w:hAnsi="Courier New"/>
                <w:sz w:val="17"/>
                <w:szCs w:val="17"/>
                <w:color w:val="auto"/>
              </w:rPr>
              <w:t>Purchase of shares under share purchase plan</w:t>
            </w:r>
          </w:p>
        </w:tc>
        <w:tc>
          <w:tcPr>
            <w:tcW w:w="170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1,250</w:t>
            </w:r>
          </w:p>
        </w:tc>
        <w:tc>
          <w:tcPr>
            <w:tcW w:w="140" w:type="dxa"/>
            <w:vAlign w:val="bottom"/>
          </w:tcPr>
          <w:p>
            <w:pPr>
              <w:spacing w:after="0"/>
              <w:rPr>
                <w:sz w:val="17"/>
                <w:szCs w:val="17"/>
                <w:color w:val="auto"/>
              </w:rPr>
            </w:pPr>
          </w:p>
        </w:tc>
        <w:tc>
          <w:tcPr>
            <w:tcW w:w="1120" w:type="dxa"/>
            <w:vAlign w:val="bottom"/>
          </w:tcPr>
          <w:p>
            <w:pPr>
              <w:jc w:val="right"/>
              <w:ind w:right="255"/>
              <w:spacing w:after="0"/>
              <w:rPr>
                <w:sz w:val="20"/>
                <w:szCs w:val="20"/>
                <w:color w:val="auto"/>
              </w:rPr>
            </w:pPr>
            <w:r>
              <w:rPr>
                <w:rFonts w:ascii="Courier New" w:cs="Courier New" w:eastAsia="Courier New" w:hAnsi="Courier New"/>
                <w:sz w:val="17"/>
                <w:szCs w:val="17"/>
                <w:color w:val="auto"/>
              </w:rPr>
              <w:t>19</w:t>
            </w:r>
          </w:p>
        </w:tc>
        <w:tc>
          <w:tcPr>
            <w:tcW w:w="1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96"/>
        </w:trPr>
        <w:tc>
          <w:tcPr>
            <w:tcW w:w="5760" w:type="dxa"/>
            <w:vAlign w:val="bottom"/>
          </w:tcPr>
          <w:p>
            <w:pPr>
              <w:ind w:left="200"/>
              <w:spacing w:after="0"/>
              <w:rPr>
                <w:sz w:val="20"/>
                <w:szCs w:val="20"/>
                <w:color w:val="auto"/>
              </w:rPr>
            </w:pPr>
            <w:r>
              <w:rPr>
                <w:rFonts w:ascii="Courier New" w:cs="Courier New" w:eastAsia="Courier New" w:hAnsi="Courier New"/>
                <w:sz w:val="17"/>
                <w:szCs w:val="17"/>
                <w:color w:val="auto"/>
              </w:rPr>
              <w:t>Purchase of treasury shares</w:t>
            </w:r>
          </w:p>
        </w:tc>
        <w:tc>
          <w:tcPr>
            <w:tcW w:w="170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(1,058)</w:t>
            </w:r>
          </w:p>
        </w:tc>
        <w:tc>
          <w:tcPr>
            <w:tcW w:w="140" w:type="dxa"/>
            <w:vAlign w:val="bottom"/>
          </w:tcPr>
          <w:p>
            <w:pPr>
              <w:spacing w:after="0"/>
              <w:rPr>
                <w:sz w:val="17"/>
                <w:szCs w:val="17"/>
                <w:color w:val="auto"/>
              </w:rPr>
            </w:pPr>
          </w:p>
        </w:tc>
        <w:tc>
          <w:tcPr>
            <w:tcW w:w="112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(24)</w:t>
            </w:r>
          </w:p>
        </w:tc>
        <w:tc>
          <w:tcPr>
            <w:tcW w:w="1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96"/>
        </w:trPr>
        <w:tc>
          <w:tcPr>
            <w:tcW w:w="5760" w:type="dxa"/>
            <w:vAlign w:val="bottom"/>
          </w:tcPr>
          <w:p>
            <w:pPr>
              <w:ind w:left="200"/>
              <w:spacing w:after="0"/>
              <w:rPr>
                <w:sz w:val="20"/>
                <w:szCs w:val="20"/>
                <w:color w:val="auto"/>
              </w:rPr>
            </w:pPr>
            <w:r>
              <w:rPr>
                <w:rFonts w:ascii="Courier New" w:cs="Courier New" w:eastAsia="Courier New" w:hAnsi="Courier New"/>
                <w:sz w:val="17"/>
                <w:szCs w:val="17"/>
                <w:color w:val="auto"/>
              </w:rPr>
              <w:t>Increase in stock option loans</w:t>
            </w:r>
          </w:p>
        </w:tc>
        <w:tc>
          <w:tcPr>
            <w:tcW w:w="170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(19,000)</w:t>
            </w:r>
          </w:p>
        </w:tc>
        <w:tc>
          <w:tcPr>
            <w:tcW w:w="140" w:type="dxa"/>
            <w:vAlign w:val="bottom"/>
          </w:tcPr>
          <w:p>
            <w:pPr>
              <w:spacing w:after="0"/>
              <w:rPr>
                <w:sz w:val="17"/>
                <w:szCs w:val="17"/>
                <w:color w:val="auto"/>
              </w:rPr>
            </w:pPr>
          </w:p>
        </w:tc>
        <w:tc>
          <w:tcPr>
            <w:tcW w:w="112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(375)</w:t>
            </w:r>
          </w:p>
        </w:tc>
        <w:tc>
          <w:tcPr>
            <w:tcW w:w="164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(244)</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(5)</w:t>
            </w:r>
          </w:p>
        </w:tc>
      </w:tr>
      <w:tr>
        <w:trPr>
          <w:trHeight w:val="196"/>
        </w:trPr>
        <w:tc>
          <w:tcPr>
            <w:tcW w:w="5760" w:type="dxa"/>
            <w:vAlign w:val="bottom"/>
          </w:tcPr>
          <w:p>
            <w:pPr>
              <w:spacing w:after="0"/>
              <w:rPr>
                <w:sz w:val="17"/>
                <w:szCs w:val="17"/>
                <w:color w:val="auto"/>
              </w:rPr>
            </w:pPr>
          </w:p>
        </w:tc>
        <w:tc>
          <w:tcPr>
            <w:tcW w:w="170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w:t>
            </w:r>
          </w:p>
        </w:tc>
        <w:tc>
          <w:tcPr>
            <w:tcW w:w="1260" w:type="dxa"/>
            <w:vAlign w:val="bottom"/>
            <w:gridSpan w:val="2"/>
          </w:tcPr>
          <w:p>
            <w:pPr>
              <w:jc w:val="right"/>
              <w:ind w:right="255"/>
              <w:spacing w:after="0"/>
              <w:rPr>
                <w:sz w:val="20"/>
                <w:szCs w:val="20"/>
                <w:color w:val="auto"/>
              </w:rPr>
            </w:pPr>
            <w:r>
              <w:rPr>
                <w:rFonts w:ascii="Courier New" w:cs="Courier New" w:eastAsia="Courier New" w:hAnsi="Courier New"/>
                <w:sz w:val="17"/>
                <w:szCs w:val="17"/>
                <w:color w:val="auto"/>
                <w:w w:val="97"/>
              </w:rPr>
              <w:t>---------</w:t>
            </w:r>
          </w:p>
        </w:tc>
        <w:tc>
          <w:tcPr>
            <w:tcW w:w="164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6"/>
        </w:trPr>
        <w:tc>
          <w:tcPr>
            <w:tcW w:w="5760" w:type="dxa"/>
            <w:vAlign w:val="bottom"/>
          </w:tcPr>
          <w:p>
            <w:pPr>
              <w:ind w:left="200"/>
              <w:spacing w:after="0"/>
              <w:rPr>
                <w:sz w:val="20"/>
                <w:szCs w:val="20"/>
                <w:color w:val="auto"/>
              </w:rPr>
            </w:pPr>
            <w:r>
              <w:rPr>
                <w:rFonts w:ascii="Courier New" w:cs="Courier New" w:eastAsia="Courier New" w:hAnsi="Courier New"/>
                <w:sz w:val="17"/>
                <w:szCs w:val="17"/>
                <w:color w:val="auto"/>
              </w:rPr>
              <w:t>Balance, end of period</w:t>
            </w:r>
          </w:p>
        </w:tc>
        <w:tc>
          <w:tcPr>
            <w:tcW w:w="170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(488,653)</w:t>
            </w:r>
          </w:p>
        </w:tc>
        <w:tc>
          <w:tcPr>
            <w:tcW w:w="140" w:type="dxa"/>
            <w:vAlign w:val="bottom"/>
          </w:tcPr>
          <w:p>
            <w:pPr>
              <w:spacing w:after="0"/>
              <w:rPr>
                <w:sz w:val="20"/>
                <w:szCs w:val="20"/>
                <w:color w:val="auto"/>
              </w:rPr>
            </w:pPr>
            <w:r>
              <w:rPr>
                <w:rFonts w:ascii="Courier New" w:cs="Courier New" w:eastAsia="Courier New" w:hAnsi="Courier New"/>
                <w:sz w:val="17"/>
                <w:szCs w:val="17"/>
                <w:color w:val="auto"/>
              </w:rPr>
              <w:t>$</w:t>
            </w:r>
          </w:p>
        </w:tc>
        <w:tc>
          <w:tcPr>
            <w:tcW w:w="112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(8,465)</w:t>
            </w:r>
          </w:p>
        </w:tc>
        <w:tc>
          <w:tcPr>
            <w:tcW w:w="164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(506,557)</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(8,588)</w:t>
            </w:r>
          </w:p>
        </w:tc>
      </w:tr>
      <w:tr>
        <w:trPr>
          <w:trHeight w:val="196"/>
        </w:trPr>
        <w:tc>
          <w:tcPr>
            <w:tcW w:w="5760" w:type="dxa"/>
            <w:vAlign w:val="bottom"/>
          </w:tcPr>
          <w:p>
            <w:pPr>
              <w:spacing w:after="0"/>
              <w:rPr>
                <w:sz w:val="17"/>
                <w:szCs w:val="17"/>
                <w:color w:val="auto"/>
              </w:rPr>
            </w:pPr>
          </w:p>
        </w:tc>
        <w:tc>
          <w:tcPr>
            <w:tcW w:w="170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w:t>
            </w:r>
          </w:p>
        </w:tc>
        <w:tc>
          <w:tcPr>
            <w:tcW w:w="1260" w:type="dxa"/>
            <w:vAlign w:val="bottom"/>
            <w:gridSpan w:val="2"/>
          </w:tcPr>
          <w:p>
            <w:pPr>
              <w:jc w:val="right"/>
              <w:ind w:right="255"/>
              <w:spacing w:after="0"/>
              <w:rPr>
                <w:sz w:val="20"/>
                <w:szCs w:val="20"/>
                <w:color w:val="auto"/>
              </w:rPr>
            </w:pPr>
            <w:r>
              <w:rPr>
                <w:rFonts w:ascii="Courier New" w:cs="Courier New" w:eastAsia="Courier New" w:hAnsi="Courier New"/>
                <w:sz w:val="17"/>
                <w:szCs w:val="17"/>
                <w:color w:val="auto"/>
                <w:w w:val="97"/>
              </w:rPr>
              <w:t>=========</w:t>
            </w:r>
          </w:p>
        </w:tc>
        <w:tc>
          <w:tcPr>
            <w:tcW w:w="164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392"/>
        </w:trPr>
        <w:tc>
          <w:tcPr>
            <w:tcW w:w="5760" w:type="dxa"/>
            <w:vAlign w:val="bottom"/>
          </w:tcPr>
          <w:p>
            <w:pPr>
              <w:spacing w:after="0"/>
              <w:rPr>
                <w:sz w:val="20"/>
                <w:szCs w:val="20"/>
                <w:color w:val="auto"/>
              </w:rPr>
            </w:pPr>
            <w:r>
              <w:rPr>
                <w:rFonts w:ascii="Courier New" w:cs="Courier New" w:eastAsia="Courier New" w:hAnsi="Courier New"/>
                <w:sz w:val="17"/>
                <w:szCs w:val="17"/>
                <w:color w:val="auto"/>
              </w:rPr>
              <w:t>Allowance for Unrealized Loss on Marketable Securities</w:t>
            </w:r>
          </w:p>
        </w:tc>
        <w:tc>
          <w:tcPr>
            <w:tcW w:w="1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96"/>
        </w:trPr>
        <w:tc>
          <w:tcPr>
            <w:tcW w:w="5760" w:type="dxa"/>
            <w:vAlign w:val="bottom"/>
          </w:tcPr>
          <w:p>
            <w:pPr>
              <w:ind w:left="200"/>
              <w:spacing w:after="0"/>
              <w:rPr>
                <w:sz w:val="20"/>
                <w:szCs w:val="20"/>
                <w:color w:val="auto"/>
              </w:rPr>
            </w:pPr>
            <w:r>
              <w:rPr>
                <w:rFonts w:ascii="Courier New" w:cs="Courier New" w:eastAsia="Courier New" w:hAnsi="Courier New"/>
                <w:sz w:val="17"/>
                <w:szCs w:val="17"/>
                <w:color w:val="auto"/>
              </w:rPr>
              <w:t>Balance, beginning of period</w:t>
            </w:r>
          </w:p>
        </w:tc>
        <w:tc>
          <w:tcPr>
            <w:tcW w:w="1700" w:type="dxa"/>
            <w:vAlign w:val="bottom"/>
          </w:tcPr>
          <w:p>
            <w:pPr>
              <w:spacing w:after="0"/>
              <w:rPr>
                <w:sz w:val="17"/>
                <w:szCs w:val="17"/>
                <w:color w:val="auto"/>
              </w:rPr>
            </w:pPr>
          </w:p>
        </w:tc>
        <w:tc>
          <w:tcPr>
            <w:tcW w:w="140" w:type="dxa"/>
            <w:vAlign w:val="bottom"/>
          </w:tcPr>
          <w:p>
            <w:pPr>
              <w:spacing w:after="0"/>
              <w:rPr>
                <w:sz w:val="20"/>
                <w:szCs w:val="20"/>
                <w:color w:val="auto"/>
              </w:rPr>
            </w:pPr>
            <w:r>
              <w:rPr>
                <w:rFonts w:ascii="Courier New" w:cs="Courier New" w:eastAsia="Courier New" w:hAnsi="Courier New"/>
                <w:sz w:val="17"/>
                <w:szCs w:val="17"/>
                <w:color w:val="auto"/>
              </w:rPr>
              <w:t>$</w:t>
            </w:r>
          </w:p>
        </w:tc>
        <w:tc>
          <w:tcPr>
            <w:tcW w:w="1120" w:type="dxa"/>
            <w:vAlign w:val="bottom"/>
          </w:tcPr>
          <w:p>
            <w:pPr>
              <w:jc w:val="right"/>
              <w:ind w:right="255"/>
              <w:spacing w:after="0"/>
              <w:rPr>
                <w:sz w:val="20"/>
                <w:szCs w:val="20"/>
                <w:color w:val="auto"/>
              </w:rPr>
            </w:pPr>
            <w:r>
              <w:rPr>
                <w:rFonts w:ascii="Courier New" w:cs="Courier New" w:eastAsia="Courier New" w:hAnsi="Courier New"/>
                <w:sz w:val="17"/>
                <w:szCs w:val="17"/>
                <w:color w:val="auto"/>
              </w:rPr>
              <w:t>0</w:t>
            </w:r>
          </w:p>
        </w:tc>
        <w:tc>
          <w:tcPr>
            <w:tcW w:w="164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(53)</w:t>
            </w:r>
          </w:p>
        </w:tc>
      </w:tr>
      <w:tr>
        <w:trPr>
          <w:trHeight w:val="196"/>
        </w:trPr>
        <w:tc>
          <w:tcPr>
            <w:tcW w:w="5760" w:type="dxa"/>
            <w:vAlign w:val="bottom"/>
          </w:tcPr>
          <w:p>
            <w:pPr>
              <w:ind w:left="200"/>
              <w:spacing w:after="0"/>
              <w:rPr>
                <w:sz w:val="20"/>
                <w:szCs w:val="20"/>
                <w:color w:val="auto"/>
              </w:rPr>
            </w:pPr>
            <w:r>
              <w:rPr>
                <w:rFonts w:ascii="Courier New" w:cs="Courier New" w:eastAsia="Courier New" w:hAnsi="Courier New"/>
                <w:sz w:val="17"/>
                <w:szCs w:val="17"/>
                <w:color w:val="auto"/>
              </w:rPr>
              <w:t>Unrealized (loss) recovery</w:t>
            </w:r>
          </w:p>
        </w:tc>
        <w:tc>
          <w:tcPr>
            <w:tcW w:w="1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ind w:right="255"/>
              <w:spacing w:after="0"/>
              <w:rPr>
                <w:sz w:val="20"/>
                <w:szCs w:val="20"/>
                <w:color w:val="auto"/>
              </w:rPr>
            </w:pPr>
            <w:r>
              <w:rPr>
                <w:rFonts w:ascii="Courier New" w:cs="Courier New" w:eastAsia="Courier New" w:hAnsi="Courier New"/>
                <w:sz w:val="17"/>
                <w:szCs w:val="17"/>
                <w:color w:val="auto"/>
              </w:rPr>
              <w:t>0</w:t>
            </w:r>
          </w:p>
        </w:tc>
        <w:tc>
          <w:tcPr>
            <w:tcW w:w="1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47</w:t>
            </w:r>
          </w:p>
        </w:tc>
      </w:tr>
      <w:tr>
        <w:trPr>
          <w:trHeight w:val="196"/>
        </w:trPr>
        <w:tc>
          <w:tcPr>
            <w:tcW w:w="57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60" w:type="dxa"/>
            <w:vAlign w:val="bottom"/>
            <w:gridSpan w:val="2"/>
          </w:tcPr>
          <w:p>
            <w:pPr>
              <w:jc w:val="right"/>
              <w:ind w:right="255"/>
              <w:spacing w:after="0"/>
              <w:rPr>
                <w:sz w:val="20"/>
                <w:szCs w:val="20"/>
                <w:color w:val="auto"/>
              </w:rPr>
            </w:pPr>
            <w:r>
              <w:rPr>
                <w:rFonts w:ascii="Courier New" w:cs="Courier New" w:eastAsia="Courier New" w:hAnsi="Courier New"/>
                <w:sz w:val="17"/>
                <w:szCs w:val="17"/>
                <w:color w:val="auto"/>
                <w:w w:val="97"/>
              </w:rPr>
              <w:t>---------</w:t>
            </w:r>
          </w:p>
        </w:tc>
        <w:tc>
          <w:tcPr>
            <w:tcW w:w="1640" w:type="dxa"/>
            <w:vAlign w:val="bottom"/>
          </w:tcPr>
          <w:p>
            <w:pPr>
              <w:spacing w:after="0"/>
              <w:rPr>
                <w:sz w:val="17"/>
                <w:szCs w:val="17"/>
                <w:color w:val="auto"/>
              </w:rPr>
            </w:pPr>
          </w:p>
        </w:tc>
        <w:tc>
          <w:tcPr>
            <w:tcW w:w="11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6"/>
        </w:trPr>
        <w:tc>
          <w:tcPr>
            <w:tcW w:w="5760" w:type="dxa"/>
            <w:vAlign w:val="bottom"/>
          </w:tcPr>
          <w:p>
            <w:pPr>
              <w:ind w:left="200"/>
              <w:spacing w:after="0"/>
              <w:rPr>
                <w:sz w:val="20"/>
                <w:szCs w:val="20"/>
                <w:color w:val="auto"/>
              </w:rPr>
            </w:pPr>
            <w:r>
              <w:rPr>
                <w:rFonts w:ascii="Courier New" w:cs="Courier New" w:eastAsia="Courier New" w:hAnsi="Courier New"/>
                <w:sz w:val="17"/>
                <w:szCs w:val="17"/>
                <w:color w:val="auto"/>
              </w:rPr>
              <w:t>Balance, end of period</w:t>
            </w:r>
          </w:p>
        </w:tc>
        <w:tc>
          <w:tcPr>
            <w:tcW w:w="1700" w:type="dxa"/>
            <w:vAlign w:val="bottom"/>
          </w:tcPr>
          <w:p>
            <w:pPr>
              <w:spacing w:after="0"/>
              <w:rPr>
                <w:sz w:val="17"/>
                <w:szCs w:val="17"/>
                <w:color w:val="auto"/>
              </w:rPr>
            </w:pPr>
          </w:p>
        </w:tc>
        <w:tc>
          <w:tcPr>
            <w:tcW w:w="140" w:type="dxa"/>
            <w:vAlign w:val="bottom"/>
          </w:tcPr>
          <w:p>
            <w:pPr>
              <w:spacing w:after="0"/>
              <w:rPr>
                <w:sz w:val="20"/>
                <w:szCs w:val="20"/>
                <w:color w:val="auto"/>
              </w:rPr>
            </w:pPr>
            <w:r>
              <w:rPr>
                <w:rFonts w:ascii="Courier New" w:cs="Courier New" w:eastAsia="Courier New" w:hAnsi="Courier New"/>
                <w:sz w:val="17"/>
                <w:szCs w:val="17"/>
                <w:color w:val="auto"/>
              </w:rPr>
              <w:t>$</w:t>
            </w:r>
          </w:p>
        </w:tc>
        <w:tc>
          <w:tcPr>
            <w:tcW w:w="1120" w:type="dxa"/>
            <w:vAlign w:val="bottom"/>
          </w:tcPr>
          <w:p>
            <w:pPr>
              <w:jc w:val="right"/>
              <w:ind w:right="255"/>
              <w:spacing w:after="0"/>
              <w:rPr>
                <w:sz w:val="20"/>
                <w:szCs w:val="20"/>
                <w:color w:val="auto"/>
              </w:rPr>
            </w:pPr>
            <w:r>
              <w:rPr>
                <w:rFonts w:ascii="Courier New" w:cs="Courier New" w:eastAsia="Courier New" w:hAnsi="Courier New"/>
                <w:sz w:val="17"/>
                <w:szCs w:val="17"/>
                <w:color w:val="auto"/>
              </w:rPr>
              <w:t>0</w:t>
            </w:r>
          </w:p>
        </w:tc>
        <w:tc>
          <w:tcPr>
            <w:tcW w:w="164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(6)</w:t>
            </w:r>
          </w:p>
        </w:tc>
      </w:tr>
      <w:tr>
        <w:trPr>
          <w:trHeight w:val="196"/>
        </w:trPr>
        <w:tc>
          <w:tcPr>
            <w:tcW w:w="57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60" w:type="dxa"/>
            <w:vAlign w:val="bottom"/>
            <w:gridSpan w:val="2"/>
          </w:tcPr>
          <w:p>
            <w:pPr>
              <w:jc w:val="right"/>
              <w:ind w:right="255"/>
              <w:spacing w:after="0"/>
              <w:rPr>
                <w:sz w:val="20"/>
                <w:szCs w:val="20"/>
                <w:color w:val="auto"/>
              </w:rPr>
            </w:pPr>
            <w:r>
              <w:rPr>
                <w:rFonts w:ascii="Courier New" w:cs="Courier New" w:eastAsia="Courier New" w:hAnsi="Courier New"/>
                <w:sz w:val="17"/>
                <w:szCs w:val="17"/>
                <w:color w:val="auto"/>
                <w:w w:val="97"/>
              </w:rPr>
              <w:t>=========</w:t>
            </w:r>
          </w:p>
        </w:tc>
        <w:tc>
          <w:tcPr>
            <w:tcW w:w="1640" w:type="dxa"/>
            <w:vAlign w:val="bottom"/>
          </w:tcPr>
          <w:p>
            <w:pPr>
              <w:spacing w:after="0"/>
              <w:rPr>
                <w:sz w:val="17"/>
                <w:szCs w:val="17"/>
                <w:color w:val="auto"/>
              </w:rPr>
            </w:pPr>
          </w:p>
        </w:tc>
        <w:tc>
          <w:tcPr>
            <w:tcW w:w="11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392"/>
        </w:trPr>
        <w:tc>
          <w:tcPr>
            <w:tcW w:w="5760" w:type="dxa"/>
            <w:vAlign w:val="bottom"/>
          </w:tcPr>
          <w:p>
            <w:pPr>
              <w:spacing w:after="0"/>
              <w:rPr>
                <w:sz w:val="20"/>
                <w:szCs w:val="20"/>
                <w:color w:val="auto"/>
              </w:rPr>
            </w:pPr>
            <w:r>
              <w:rPr>
                <w:rFonts w:ascii="Courier New" w:cs="Courier New" w:eastAsia="Courier New" w:hAnsi="Courier New"/>
                <w:sz w:val="17"/>
                <w:szCs w:val="17"/>
                <w:color w:val="auto"/>
              </w:rPr>
              <w:t>Accumulated Dividends in Excess of Trust Net Income</w:t>
            </w:r>
          </w:p>
        </w:tc>
        <w:tc>
          <w:tcPr>
            <w:tcW w:w="1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96"/>
        </w:trPr>
        <w:tc>
          <w:tcPr>
            <w:tcW w:w="5760" w:type="dxa"/>
            <w:vAlign w:val="bottom"/>
          </w:tcPr>
          <w:p>
            <w:pPr>
              <w:ind w:left="200"/>
              <w:spacing w:after="0"/>
              <w:rPr>
                <w:sz w:val="20"/>
                <w:szCs w:val="20"/>
                <w:color w:val="auto"/>
              </w:rPr>
            </w:pPr>
            <w:r>
              <w:rPr>
                <w:rFonts w:ascii="Courier New" w:cs="Courier New" w:eastAsia="Courier New" w:hAnsi="Courier New"/>
                <w:sz w:val="17"/>
                <w:szCs w:val="17"/>
                <w:color w:val="auto"/>
              </w:rPr>
              <w:t>Balance, beginning of period</w:t>
            </w:r>
          </w:p>
        </w:tc>
        <w:tc>
          <w:tcPr>
            <w:tcW w:w="1700" w:type="dxa"/>
            <w:vAlign w:val="bottom"/>
          </w:tcPr>
          <w:p>
            <w:pPr>
              <w:spacing w:after="0"/>
              <w:rPr>
                <w:sz w:val="17"/>
                <w:szCs w:val="17"/>
                <w:color w:val="auto"/>
              </w:rPr>
            </w:pPr>
          </w:p>
        </w:tc>
        <w:tc>
          <w:tcPr>
            <w:tcW w:w="1260" w:type="dxa"/>
            <w:vAlign w:val="bottom"/>
            <w:gridSpan w:val="2"/>
          </w:tcPr>
          <w:p>
            <w:pPr>
              <w:jc w:val="right"/>
              <w:ind w:right="155"/>
              <w:spacing w:after="0"/>
              <w:rPr>
                <w:sz w:val="20"/>
                <w:szCs w:val="20"/>
                <w:color w:val="auto"/>
              </w:rPr>
            </w:pPr>
            <w:r>
              <w:rPr>
                <w:rFonts w:ascii="Courier New" w:cs="Courier New" w:eastAsia="Courier New" w:hAnsi="Courier New"/>
                <w:sz w:val="17"/>
                <w:szCs w:val="17"/>
                <w:color w:val="auto"/>
                <w:w w:val="97"/>
              </w:rPr>
              <w:t>$(172,835)</w:t>
            </w:r>
          </w:p>
        </w:tc>
        <w:tc>
          <w:tcPr>
            <w:tcW w:w="1640" w:type="dxa"/>
            <w:vAlign w:val="bottom"/>
          </w:tcPr>
          <w:p>
            <w:pPr>
              <w:spacing w:after="0"/>
              <w:rPr>
                <w:sz w:val="17"/>
                <w:szCs w:val="17"/>
                <w:color w:val="auto"/>
              </w:rPr>
            </w:pPr>
          </w:p>
        </w:tc>
        <w:tc>
          <w:tcPr>
            <w:tcW w:w="11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$(144,553)</w:t>
            </w:r>
          </w:p>
        </w:tc>
      </w:tr>
      <w:tr>
        <w:trPr>
          <w:trHeight w:val="196"/>
        </w:trPr>
        <w:tc>
          <w:tcPr>
            <w:tcW w:w="5760" w:type="dxa"/>
            <w:vAlign w:val="bottom"/>
          </w:tcPr>
          <w:p>
            <w:pPr>
              <w:ind w:left="200"/>
              <w:spacing w:after="0"/>
              <w:rPr>
                <w:sz w:val="20"/>
                <w:szCs w:val="20"/>
                <w:color w:val="auto"/>
              </w:rPr>
            </w:pPr>
            <w:r>
              <w:rPr>
                <w:rFonts w:ascii="Courier New" w:cs="Courier New" w:eastAsia="Courier New" w:hAnsi="Courier New"/>
                <w:sz w:val="17"/>
                <w:szCs w:val="17"/>
                <w:color w:val="auto"/>
              </w:rPr>
              <w:t>Net income</w:t>
            </w:r>
          </w:p>
        </w:tc>
        <w:tc>
          <w:tcPr>
            <w:tcW w:w="1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ind w:right="255"/>
              <w:spacing w:after="0"/>
              <w:rPr>
                <w:sz w:val="20"/>
                <w:szCs w:val="20"/>
                <w:color w:val="auto"/>
              </w:rPr>
            </w:pPr>
            <w:r>
              <w:rPr>
                <w:rFonts w:ascii="Courier New" w:cs="Courier New" w:eastAsia="Courier New" w:hAnsi="Courier New"/>
                <w:sz w:val="17"/>
                <w:szCs w:val="17"/>
                <w:color w:val="auto"/>
              </w:rPr>
              <w:t>6,026</w:t>
            </w:r>
          </w:p>
        </w:tc>
        <w:tc>
          <w:tcPr>
            <w:tcW w:w="1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6,623</w:t>
            </w:r>
          </w:p>
        </w:tc>
      </w:tr>
      <w:tr>
        <w:trPr>
          <w:trHeight w:val="196"/>
        </w:trPr>
        <w:tc>
          <w:tcPr>
            <w:tcW w:w="5760" w:type="dxa"/>
            <w:vAlign w:val="bottom"/>
          </w:tcPr>
          <w:p>
            <w:pPr>
              <w:ind w:left="200"/>
              <w:spacing w:after="0"/>
              <w:rPr>
                <w:sz w:val="20"/>
                <w:szCs w:val="20"/>
                <w:color w:val="auto"/>
              </w:rPr>
            </w:pPr>
            <w:r>
              <w:rPr>
                <w:rFonts w:ascii="Courier New" w:cs="Courier New" w:eastAsia="Courier New" w:hAnsi="Courier New"/>
                <w:sz w:val="17"/>
                <w:szCs w:val="17"/>
                <w:color w:val="auto"/>
              </w:rPr>
              <w:t>Dividends declared to shareholders</w:t>
            </w:r>
          </w:p>
        </w:tc>
        <w:tc>
          <w:tcPr>
            <w:tcW w:w="1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(13,213)</w:t>
            </w:r>
          </w:p>
        </w:tc>
        <w:tc>
          <w:tcPr>
            <w:tcW w:w="1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(12,508)</w:t>
            </w:r>
          </w:p>
        </w:tc>
      </w:tr>
      <w:tr>
        <w:trPr>
          <w:trHeight w:val="196"/>
        </w:trPr>
        <w:tc>
          <w:tcPr>
            <w:tcW w:w="57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60" w:type="dxa"/>
            <w:vAlign w:val="bottom"/>
            <w:gridSpan w:val="2"/>
          </w:tcPr>
          <w:p>
            <w:pPr>
              <w:jc w:val="right"/>
              <w:ind w:right="255"/>
              <w:spacing w:after="0"/>
              <w:rPr>
                <w:sz w:val="20"/>
                <w:szCs w:val="20"/>
                <w:color w:val="auto"/>
              </w:rPr>
            </w:pPr>
            <w:r>
              <w:rPr>
                <w:rFonts w:ascii="Courier New" w:cs="Courier New" w:eastAsia="Courier New" w:hAnsi="Courier New"/>
                <w:sz w:val="17"/>
                <w:szCs w:val="17"/>
                <w:color w:val="auto"/>
                <w:w w:val="97"/>
              </w:rPr>
              <w:t>---------</w:t>
            </w:r>
          </w:p>
        </w:tc>
        <w:tc>
          <w:tcPr>
            <w:tcW w:w="1640" w:type="dxa"/>
            <w:vAlign w:val="bottom"/>
          </w:tcPr>
          <w:p>
            <w:pPr>
              <w:spacing w:after="0"/>
              <w:rPr>
                <w:sz w:val="17"/>
                <w:szCs w:val="17"/>
                <w:color w:val="auto"/>
              </w:rPr>
            </w:pPr>
          </w:p>
        </w:tc>
        <w:tc>
          <w:tcPr>
            <w:tcW w:w="11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6"/>
        </w:trPr>
        <w:tc>
          <w:tcPr>
            <w:tcW w:w="5760" w:type="dxa"/>
            <w:vAlign w:val="bottom"/>
          </w:tcPr>
          <w:p>
            <w:pPr>
              <w:ind w:left="200"/>
              <w:spacing w:after="0"/>
              <w:rPr>
                <w:sz w:val="20"/>
                <w:szCs w:val="20"/>
                <w:color w:val="auto"/>
              </w:rPr>
            </w:pPr>
            <w:r>
              <w:rPr>
                <w:rFonts w:ascii="Courier New" w:cs="Courier New" w:eastAsia="Courier New" w:hAnsi="Courier New"/>
                <w:sz w:val="17"/>
                <w:szCs w:val="17"/>
                <w:color w:val="auto"/>
              </w:rPr>
              <w:t>Balance, end of period</w:t>
            </w:r>
          </w:p>
        </w:tc>
        <w:tc>
          <w:tcPr>
            <w:tcW w:w="1700" w:type="dxa"/>
            <w:vAlign w:val="bottom"/>
          </w:tcPr>
          <w:p>
            <w:pPr>
              <w:spacing w:after="0"/>
              <w:rPr>
                <w:sz w:val="17"/>
                <w:szCs w:val="17"/>
                <w:color w:val="auto"/>
              </w:rPr>
            </w:pPr>
          </w:p>
        </w:tc>
        <w:tc>
          <w:tcPr>
            <w:tcW w:w="1260" w:type="dxa"/>
            <w:vAlign w:val="bottom"/>
            <w:gridSpan w:val="2"/>
          </w:tcPr>
          <w:p>
            <w:pPr>
              <w:jc w:val="right"/>
              <w:ind w:right="155"/>
              <w:spacing w:after="0"/>
              <w:rPr>
                <w:sz w:val="20"/>
                <w:szCs w:val="20"/>
                <w:color w:val="auto"/>
              </w:rPr>
            </w:pPr>
            <w:r>
              <w:rPr>
                <w:rFonts w:ascii="Courier New" w:cs="Courier New" w:eastAsia="Courier New" w:hAnsi="Courier New"/>
                <w:sz w:val="17"/>
                <w:szCs w:val="17"/>
                <w:color w:val="auto"/>
                <w:w w:val="97"/>
              </w:rPr>
              <w:t>$(180,022)</w:t>
            </w:r>
          </w:p>
        </w:tc>
        <w:tc>
          <w:tcPr>
            <w:tcW w:w="1640" w:type="dxa"/>
            <w:vAlign w:val="bottom"/>
          </w:tcPr>
          <w:p>
            <w:pPr>
              <w:spacing w:after="0"/>
              <w:rPr>
                <w:sz w:val="17"/>
                <w:szCs w:val="17"/>
                <w:color w:val="auto"/>
              </w:rPr>
            </w:pPr>
          </w:p>
        </w:tc>
        <w:tc>
          <w:tcPr>
            <w:tcW w:w="11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$(150,438)</w:t>
            </w:r>
          </w:p>
        </w:tc>
      </w:tr>
      <w:tr>
        <w:trPr>
          <w:trHeight w:val="196"/>
        </w:trPr>
        <w:tc>
          <w:tcPr>
            <w:tcW w:w="57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60" w:type="dxa"/>
            <w:vAlign w:val="bottom"/>
            <w:gridSpan w:val="2"/>
          </w:tcPr>
          <w:p>
            <w:pPr>
              <w:jc w:val="right"/>
              <w:ind w:right="255"/>
              <w:spacing w:after="0"/>
              <w:rPr>
                <w:sz w:val="20"/>
                <w:szCs w:val="20"/>
                <w:color w:val="auto"/>
              </w:rPr>
            </w:pPr>
            <w:r>
              <w:rPr>
                <w:rFonts w:ascii="Courier New" w:cs="Courier New" w:eastAsia="Courier New" w:hAnsi="Courier New"/>
                <w:sz w:val="17"/>
                <w:szCs w:val="17"/>
                <w:color w:val="auto"/>
                <w:w w:val="97"/>
              </w:rPr>
              <w:t>=========</w:t>
            </w:r>
          </w:p>
        </w:tc>
        <w:tc>
          <w:tcPr>
            <w:tcW w:w="1640" w:type="dxa"/>
            <w:vAlign w:val="bottom"/>
          </w:tcPr>
          <w:p>
            <w:pPr>
              <w:spacing w:after="0"/>
              <w:rPr>
                <w:sz w:val="17"/>
                <w:szCs w:val="17"/>
                <w:color w:val="auto"/>
              </w:rPr>
            </w:pPr>
          </w:p>
        </w:tc>
        <w:tc>
          <w:tcPr>
            <w:tcW w:w="11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bl>
    <w:p>
      <w:pPr>
        <w:spacing w:after="0" w:line="3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7</w:t>
      </w:r>
    </w:p>
    <w:p>
      <w:pPr>
        <w:sectPr>
          <w:pgSz w:w="11900" w:h="16838" w:orient="portrait"/>
          <w:cols w:equalWidth="0" w:num="1">
            <w:col w:w="11520"/>
          </w:cols>
          <w:pgMar w:left="240" w:top="703" w:right="139"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7"/>
          <w:szCs w:val="17"/>
          <w:color w:val="auto"/>
        </w:rPr>
        <w:t>Federal Realty Investment Trust</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CONSOLIDATED STATEMENTS OF CASH FLOWS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(see accountants' review report)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(unaudited)</w:t>
      </w: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260" w:type="dxa"/>
            <w:vAlign w:val="bottom"/>
          </w:tcPr>
          <w:p>
            <w:pPr>
              <w:spacing w:after="0"/>
              <w:rPr>
                <w:sz w:val="16"/>
                <w:szCs w:val="16"/>
                <w:color w:val="auto"/>
              </w:rPr>
            </w:pPr>
          </w:p>
        </w:tc>
        <w:tc>
          <w:tcPr>
            <w:tcW w:w="3000" w:type="dxa"/>
            <w:vAlign w:val="bottom"/>
            <w:gridSpan w:val="3"/>
          </w:tcPr>
          <w:p>
            <w:pPr>
              <w:ind w:left="160"/>
              <w:spacing w:after="0"/>
              <w:rPr>
                <w:sz w:val="20"/>
                <w:szCs w:val="20"/>
                <w:color w:val="auto"/>
              </w:rPr>
            </w:pPr>
            <w:r>
              <w:rPr>
                <w:rFonts w:ascii="Courier New" w:cs="Courier New" w:eastAsia="Courier New" w:hAnsi="Courier New"/>
                <w:sz w:val="17"/>
                <w:szCs w:val="17"/>
                <w:color w:val="auto"/>
                <w:w w:val="98"/>
              </w:rPr>
              <w:t>Three months ended March 31,</w:t>
            </w:r>
          </w:p>
        </w:tc>
      </w:tr>
      <w:tr>
        <w:trPr>
          <w:trHeight w:val="196"/>
        </w:trPr>
        <w:tc>
          <w:tcPr>
            <w:tcW w:w="5260" w:type="dxa"/>
            <w:vAlign w:val="bottom"/>
          </w:tcPr>
          <w:p>
            <w:pPr>
              <w:spacing w:after="0"/>
              <w:rPr>
                <w:sz w:val="20"/>
                <w:szCs w:val="20"/>
                <w:color w:val="auto"/>
              </w:rPr>
            </w:pPr>
            <w:r>
              <w:rPr>
                <w:rFonts w:ascii="Courier New" w:cs="Courier New" w:eastAsia="Courier New" w:hAnsi="Courier New"/>
                <w:sz w:val="17"/>
                <w:szCs w:val="17"/>
                <w:color w:val="auto"/>
              </w:rPr>
              <w:t>(In thousands)</w:t>
            </w:r>
          </w:p>
        </w:tc>
        <w:tc>
          <w:tcPr>
            <w:tcW w:w="460" w:type="dxa"/>
            <w:vAlign w:val="bottom"/>
          </w:tcPr>
          <w:p>
            <w:pPr>
              <w:spacing w:after="0"/>
              <w:rPr>
                <w:sz w:val="17"/>
                <w:szCs w:val="17"/>
                <w:color w:val="auto"/>
              </w:rPr>
            </w:pPr>
          </w:p>
        </w:tc>
        <w:tc>
          <w:tcPr>
            <w:tcW w:w="1060" w:type="dxa"/>
            <w:vAlign w:val="bottom"/>
          </w:tcPr>
          <w:p>
            <w:pPr>
              <w:jc w:val="right"/>
              <w:ind w:right="475"/>
              <w:spacing w:after="0"/>
              <w:rPr>
                <w:sz w:val="20"/>
                <w:szCs w:val="20"/>
                <w:color w:val="auto"/>
              </w:rPr>
            </w:pPr>
            <w:r>
              <w:rPr>
                <w:rFonts w:ascii="Courier New" w:cs="Courier New" w:eastAsia="Courier New" w:hAnsi="Courier New"/>
                <w:sz w:val="17"/>
                <w:szCs w:val="17"/>
                <w:color w:val="auto"/>
              </w:rPr>
              <w:t>1996</w:t>
            </w:r>
          </w:p>
        </w:tc>
        <w:tc>
          <w:tcPr>
            <w:tcW w:w="1480" w:type="dxa"/>
            <w:vAlign w:val="bottom"/>
          </w:tcPr>
          <w:p>
            <w:pPr>
              <w:ind w:left="580"/>
              <w:spacing w:after="0"/>
              <w:rPr>
                <w:sz w:val="20"/>
                <w:szCs w:val="20"/>
                <w:color w:val="auto"/>
              </w:rPr>
            </w:pPr>
            <w:r>
              <w:rPr>
                <w:rFonts w:ascii="Courier New" w:cs="Courier New" w:eastAsia="Courier New" w:hAnsi="Courier New"/>
                <w:sz w:val="17"/>
                <w:szCs w:val="17"/>
                <w:color w:val="auto"/>
              </w:rPr>
              <w:t>1995</w:t>
            </w:r>
          </w:p>
        </w:tc>
      </w:tr>
      <w:tr>
        <w:trPr>
          <w:trHeight w:val="196"/>
        </w:trPr>
        <w:tc>
          <w:tcPr>
            <w:tcW w:w="5260" w:type="dxa"/>
            <w:vAlign w:val="bottom"/>
          </w:tcPr>
          <w:p>
            <w:pPr>
              <w:spacing w:after="0"/>
              <w:rPr>
                <w:sz w:val="17"/>
                <w:szCs w:val="17"/>
                <w:color w:val="auto"/>
              </w:rPr>
            </w:pPr>
          </w:p>
        </w:tc>
        <w:tc>
          <w:tcPr>
            <w:tcW w:w="152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w:t>
            </w:r>
          </w:p>
        </w:tc>
        <w:tc>
          <w:tcPr>
            <w:tcW w:w="14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w:t>
            </w:r>
          </w:p>
        </w:tc>
      </w:tr>
      <w:tr>
        <w:trPr>
          <w:trHeight w:val="392"/>
        </w:trPr>
        <w:tc>
          <w:tcPr>
            <w:tcW w:w="5260" w:type="dxa"/>
            <w:vAlign w:val="bottom"/>
          </w:tcPr>
          <w:p>
            <w:pPr>
              <w:spacing w:after="0"/>
              <w:rPr>
                <w:sz w:val="20"/>
                <w:szCs w:val="20"/>
                <w:color w:val="auto"/>
              </w:rPr>
            </w:pPr>
            <w:r>
              <w:rPr>
                <w:rFonts w:ascii="Courier New" w:cs="Courier New" w:eastAsia="Courier New" w:hAnsi="Courier New"/>
                <w:sz w:val="17"/>
                <w:szCs w:val="17"/>
                <w:color w:val="auto"/>
              </w:rPr>
              <w:t>OPERATING ACTIVITIES</w:t>
            </w:r>
          </w:p>
        </w:tc>
        <w:tc>
          <w:tcPr>
            <w:tcW w:w="4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96"/>
        </w:trPr>
        <w:tc>
          <w:tcPr>
            <w:tcW w:w="5260" w:type="dxa"/>
            <w:vAlign w:val="bottom"/>
          </w:tcPr>
          <w:p>
            <w:pPr>
              <w:ind w:left="200"/>
              <w:spacing w:after="0"/>
              <w:rPr>
                <w:sz w:val="20"/>
                <w:szCs w:val="20"/>
                <w:color w:val="auto"/>
              </w:rPr>
            </w:pPr>
            <w:r>
              <w:rPr>
                <w:rFonts w:ascii="Courier New" w:cs="Courier New" w:eastAsia="Courier New" w:hAnsi="Courier New"/>
                <w:sz w:val="17"/>
                <w:szCs w:val="17"/>
                <w:color w:val="auto"/>
              </w:rPr>
              <w:t>Net income</w:t>
            </w: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255"/>
              <w:spacing w:after="0"/>
              <w:rPr>
                <w:sz w:val="20"/>
                <w:szCs w:val="20"/>
                <w:color w:val="auto"/>
              </w:rPr>
            </w:pPr>
            <w:r>
              <w:rPr>
                <w:rFonts w:ascii="Courier New" w:cs="Courier New" w:eastAsia="Courier New" w:hAnsi="Courier New"/>
                <w:sz w:val="17"/>
                <w:szCs w:val="17"/>
                <w:color w:val="auto"/>
              </w:rPr>
              <w:t>6,026</w:t>
            </w:r>
          </w:p>
        </w:tc>
        <w:tc>
          <w:tcPr>
            <w:tcW w:w="148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  6,623</w:t>
            </w:r>
          </w:p>
        </w:tc>
      </w:tr>
      <w:tr>
        <w:trPr>
          <w:trHeight w:val="196"/>
        </w:trPr>
        <w:tc>
          <w:tcPr>
            <w:tcW w:w="5260" w:type="dxa"/>
            <w:vAlign w:val="bottom"/>
          </w:tcPr>
          <w:p>
            <w:pPr>
              <w:ind w:left="200"/>
              <w:spacing w:after="0"/>
              <w:rPr>
                <w:sz w:val="20"/>
                <w:szCs w:val="20"/>
                <w:color w:val="auto"/>
              </w:rPr>
            </w:pPr>
            <w:r>
              <w:rPr>
                <w:rFonts w:ascii="Courier New" w:cs="Courier New" w:eastAsia="Courier New" w:hAnsi="Courier New"/>
                <w:sz w:val="17"/>
                <w:szCs w:val="17"/>
                <w:color w:val="auto"/>
              </w:rPr>
              <w:t>Adjustments to reconcile net income</w:t>
            </w:r>
          </w:p>
        </w:tc>
        <w:tc>
          <w:tcPr>
            <w:tcW w:w="4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196"/>
        </w:trPr>
        <w:tc>
          <w:tcPr>
            <w:tcW w:w="5260" w:type="dxa"/>
            <w:vAlign w:val="bottom"/>
          </w:tcPr>
          <w:p>
            <w:pPr>
              <w:ind w:left="320"/>
              <w:spacing w:after="0"/>
              <w:rPr>
                <w:sz w:val="20"/>
                <w:szCs w:val="20"/>
                <w:color w:val="auto"/>
              </w:rPr>
            </w:pPr>
            <w:r>
              <w:rPr>
                <w:rFonts w:ascii="Courier New" w:cs="Courier New" w:eastAsia="Courier New" w:hAnsi="Courier New"/>
                <w:sz w:val="17"/>
                <w:szCs w:val="17"/>
                <w:color w:val="auto"/>
              </w:rPr>
              <w:t>to net cash provided by operations</w:t>
            </w:r>
          </w:p>
        </w:tc>
        <w:tc>
          <w:tcPr>
            <w:tcW w:w="4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196"/>
        </w:trPr>
        <w:tc>
          <w:tcPr>
            <w:tcW w:w="5260" w:type="dxa"/>
            <w:vAlign w:val="bottom"/>
          </w:tcPr>
          <w:p>
            <w:pPr>
              <w:ind w:left="420"/>
              <w:spacing w:after="0"/>
              <w:rPr>
                <w:sz w:val="20"/>
                <w:szCs w:val="20"/>
                <w:color w:val="auto"/>
              </w:rPr>
            </w:pPr>
            <w:r>
              <w:rPr>
                <w:rFonts w:ascii="Courier New" w:cs="Courier New" w:eastAsia="Courier New" w:hAnsi="Courier New"/>
                <w:sz w:val="17"/>
                <w:szCs w:val="17"/>
                <w:color w:val="auto"/>
              </w:rPr>
              <w:t>Depreciation and amortization</w:t>
            </w:r>
          </w:p>
        </w:tc>
        <w:tc>
          <w:tcPr>
            <w:tcW w:w="460" w:type="dxa"/>
            <w:vAlign w:val="bottom"/>
          </w:tcPr>
          <w:p>
            <w:pPr>
              <w:spacing w:after="0"/>
              <w:rPr>
                <w:sz w:val="17"/>
                <w:szCs w:val="17"/>
                <w:color w:val="auto"/>
              </w:rPr>
            </w:pPr>
          </w:p>
        </w:tc>
        <w:tc>
          <w:tcPr>
            <w:tcW w:w="1060" w:type="dxa"/>
            <w:vAlign w:val="bottom"/>
          </w:tcPr>
          <w:p>
            <w:pPr>
              <w:jc w:val="right"/>
              <w:ind w:right="355"/>
              <w:spacing w:after="0"/>
              <w:rPr>
                <w:sz w:val="20"/>
                <w:szCs w:val="20"/>
                <w:color w:val="auto"/>
              </w:rPr>
            </w:pPr>
            <w:r>
              <w:rPr>
                <w:rFonts w:ascii="Courier New" w:cs="Courier New" w:eastAsia="Courier New" w:hAnsi="Courier New"/>
                <w:sz w:val="17"/>
                <w:szCs w:val="17"/>
                <w:color w:val="auto"/>
              </w:rPr>
              <w:t>9,332</w:t>
            </w:r>
          </w:p>
        </w:tc>
        <w:tc>
          <w:tcPr>
            <w:tcW w:w="1480" w:type="dxa"/>
            <w:vAlign w:val="bottom"/>
          </w:tcPr>
          <w:p>
            <w:pPr>
              <w:ind w:left="580"/>
              <w:spacing w:after="0"/>
              <w:rPr>
                <w:sz w:val="20"/>
                <w:szCs w:val="20"/>
                <w:color w:val="auto"/>
              </w:rPr>
            </w:pPr>
            <w:r>
              <w:rPr>
                <w:rFonts w:ascii="Courier New" w:cs="Courier New" w:eastAsia="Courier New" w:hAnsi="Courier New"/>
                <w:sz w:val="17"/>
                <w:szCs w:val="17"/>
                <w:color w:val="auto"/>
              </w:rPr>
              <w:t>8,368</w:t>
            </w:r>
          </w:p>
        </w:tc>
      </w:tr>
      <w:tr>
        <w:trPr>
          <w:trHeight w:val="196"/>
        </w:trPr>
        <w:tc>
          <w:tcPr>
            <w:tcW w:w="5260" w:type="dxa"/>
            <w:vAlign w:val="bottom"/>
          </w:tcPr>
          <w:p>
            <w:pPr>
              <w:ind w:left="420"/>
              <w:spacing w:after="0"/>
              <w:rPr>
                <w:sz w:val="20"/>
                <w:szCs w:val="20"/>
                <w:color w:val="auto"/>
              </w:rPr>
            </w:pPr>
            <w:r>
              <w:rPr>
                <w:rFonts w:ascii="Courier New" w:cs="Courier New" w:eastAsia="Courier New" w:hAnsi="Courier New"/>
                <w:sz w:val="17"/>
                <w:szCs w:val="17"/>
                <w:color w:val="auto"/>
              </w:rPr>
              <w:t>Rent abatements in lieu of leasehold</w:t>
            </w:r>
          </w:p>
        </w:tc>
        <w:tc>
          <w:tcPr>
            <w:tcW w:w="4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196"/>
        </w:trPr>
        <w:tc>
          <w:tcPr>
            <w:tcW w:w="5260" w:type="dxa"/>
            <w:vAlign w:val="bottom"/>
          </w:tcPr>
          <w:p>
            <w:pPr>
              <w:ind w:left="520"/>
              <w:spacing w:after="0"/>
              <w:rPr>
                <w:sz w:val="20"/>
                <w:szCs w:val="20"/>
                <w:color w:val="auto"/>
              </w:rPr>
            </w:pPr>
            <w:r>
              <w:rPr>
                <w:rFonts w:ascii="Courier New" w:cs="Courier New" w:eastAsia="Courier New" w:hAnsi="Courier New"/>
                <w:sz w:val="17"/>
                <w:szCs w:val="17"/>
                <w:color w:val="auto"/>
              </w:rPr>
              <w:t>improvements, net of tenant</w:t>
            </w:r>
          </w:p>
        </w:tc>
        <w:tc>
          <w:tcPr>
            <w:tcW w:w="4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196"/>
        </w:trPr>
        <w:tc>
          <w:tcPr>
            <w:tcW w:w="5260" w:type="dxa"/>
            <w:vAlign w:val="bottom"/>
          </w:tcPr>
          <w:p>
            <w:pPr>
              <w:ind w:left="520"/>
              <w:spacing w:after="0"/>
              <w:rPr>
                <w:sz w:val="20"/>
                <w:szCs w:val="20"/>
                <w:color w:val="auto"/>
              </w:rPr>
            </w:pPr>
            <w:r>
              <w:rPr>
                <w:rFonts w:ascii="Courier New" w:cs="Courier New" w:eastAsia="Courier New" w:hAnsi="Courier New"/>
                <w:sz w:val="17"/>
                <w:szCs w:val="17"/>
                <w:color w:val="auto"/>
              </w:rPr>
              <w:t>improvements retired</w:t>
            </w:r>
          </w:p>
        </w:tc>
        <w:tc>
          <w:tcPr>
            <w:tcW w:w="460" w:type="dxa"/>
            <w:vAlign w:val="bottom"/>
          </w:tcPr>
          <w:p>
            <w:pPr>
              <w:spacing w:after="0"/>
              <w:rPr>
                <w:sz w:val="17"/>
                <w:szCs w:val="17"/>
                <w:color w:val="auto"/>
              </w:rPr>
            </w:pPr>
          </w:p>
        </w:tc>
        <w:tc>
          <w:tcPr>
            <w:tcW w:w="106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(147)</w:t>
            </w:r>
          </w:p>
        </w:tc>
        <w:tc>
          <w:tcPr>
            <w:tcW w:w="14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(454)</w:t>
            </w:r>
          </w:p>
        </w:tc>
      </w:tr>
      <w:tr>
        <w:trPr>
          <w:trHeight w:val="196"/>
        </w:trPr>
        <w:tc>
          <w:tcPr>
            <w:tcW w:w="5260" w:type="dxa"/>
            <w:vAlign w:val="bottom"/>
          </w:tcPr>
          <w:p>
            <w:pPr>
              <w:ind w:left="420"/>
              <w:spacing w:after="0"/>
              <w:rPr>
                <w:sz w:val="20"/>
                <w:szCs w:val="20"/>
                <w:color w:val="auto"/>
              </w:rPr>
            </w:pPr>
            <w:r>
              <w:rPr>
                <w:rFonts w:ascii="Courier New" w:cs="Courier New" w:eastAsia="Courier New" w:hAnsi="Courier New"/>
                <w:sz w:val="17"/>
                <w:szCs w:val="17"/>
                <w:color w:val="auto"/>
              </w:rPr>
              <w:t>Imputed interest and amortization of</w:t>
            </w:r>
          </w:p>
        </w:tc>
        <w:tc>
          <w:tcPr>
            <w:tcW w:w="4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196"/>
        </w:trPr>
        <w:tc>
          <w:tcPr>
            <w:tcW w:w="5260" w:type="dxa"/>
            <w:vAlign w:val="bottom"/>
          </w:tcPr>
          <w:p>
            <w:pPr>
              <w:ind w:left="520"/>
              <w:spacing w:after="0"/>
              <w:rPr>
                <w:sz w:val="20"/>
                <w:szCs w:val="20"/>
                <w:color w:val="auto"/>
              </w:rPr>
            </w:pPr>
            <w:r>
              <w:rPr>
                <w:rFonts w:ascii="Courier New" w:cs="Courier New" w:eastAsia="Courier New" w:hAnsi="Courier New"/>
                <w:sz w:val="17"/>
                <w:szCs w:val="17"/>
                <w:color w:val="auto"/>
              </w:rPr>
              <w:t>debt cost</w:t>
            </w:r>
          </w:p>
        </w:tc>
        <w:tc>
          <w:tcPr>
            <w:tcW w:w="460" w:type="dxa"/>
            <w:vAlign w:val="bottom"/>
          </w:tcPr>
          <w:p>
            <w:pPr>
              <w:spacing w:after="0"/>
              <w:rPr>
                <w:sz w:val="17"/>
                <w:szCs w:val="17"/>
                <w:color w:val="auto"/>
              </w:rPr>
            </w:pPr>
          </w:p>
        </w:tc>
        <w:tc>
          <w:tcPr>
            <w:tcW w:w="1060" w:type="dxa"/>
            <w:vAlign w:val="bottom"/>
          </w:tcPr>
          <w:p>
            <w:pPr>
              <w:jc w:val="right"/>
              <w:ind w:right="255"/>
              <w:spacing w:after="0"/>
              <w:rPr>
                <w:sz w:val="20"/>
                <w:szCs w:val="20"/>
                <w:color w:val="auto"/>
              </w:rPr>
            </w:pPr>
            <w:r>
              <w:rPr>
                <w:rFonts w:ascii="Courier New" w:cs="Courier New" w:eastAsia="Courier New" w:hAnsi="Courier New"/>
                <w:sz w:val="17"/>
                <w:szCs w:val="17"/>
                <w:color w:val="auto"/>
              </w:rPr>
              <w:t>187</w:t>
            </w:r>
          </w:p>
        </w:tc>
        <w:tc>
          <w:tcPr>
            <w:tcW w:w="148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171</w:t>
            </w:r>
          </w:p>
        </w:tc>
      </w:tr>
      <w:tr>
        <w:trPr>
          <w:trHeight w:val="196"/>
        </w:trPr>
        <w:tc>
          <w:tcPr>
            <w:tcW w:w="5260" w:type="dxa"/>
            <w:vAlign w:val="bottom"/>
          </w:tcPr>
          <w:p>
            <w:pPr>
              <w:ind w:left="420"/>
              <w:spacing w:after="0"/>
              <w:rPr>
                <w:sz w:val="20"/>
                <w:szCs w:val="20"/>
                <w:color w:val="auto"/>
              </w:rPr>
            </w:pPr>
            <w:r>
              <w:rPr>
                <w:rFonts w:ascii="Courier New" w:cs="Courier New" w:eastAsia="Courier New" w:hAnsi="Courier New"/>
                <w:sz w:val="17"/>
                <w:szCs w:val="17"/>
                <w:color w:val="auto"/>
              </w:rPr>
              <w:t>Amortization of deferred compensation</w:t>
            </w:r>
          </w:p>
        </w:tc>
        <w:tc>
          <w:tcPr>
            <w:tcW w:w="4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196"/>
        </w:trPr>
        <w:tc>
          <w:tcPr>
            <w:tcW w:w="5260" w:type="dxa"/>
            <w:vAlign w:val="bottom"/>
          </w:tcPr>
          <w:p>
            <w:pPr>
              <w:ind w:left="520"/>
              <w:spacing w:after="0"/>
              <w:rPr>
                <w:sz w:val="20"/>
                <w:szCs w:val="20"/>
                <w:color w:val="auto"/>
              </w:rPr>
            </w:pPr>
            <w:r>
              <w:rPr>
                <w:rFonts w:ascii="Courier New" w:cs="Courier New" w:eastAsia="Courier New" w:hAnsi="Courier New"/>
                <w:sz w:val="17"/>
                <w:szCs w:val="17"/>
                <w:color w:val="auto"/>
              </w:rPr>
              <w:t>and forgiveness of officers' notes</w:t>
            </w:r>
          </w:p>
        </w:tc>
        <w:tc>
          <w:tcPr>
            <w:tcW w:w="460" w:type="dxa"/>
            <w:vAlign w:val="bottom"/>
          </w:tcPr>
          <w:p>
            <w:pPr>
              <w:spacing w:after="0"/>
              <w:rPr>
                <w:sz w:val="17"/>
                <w:szCs w:val="17"/>
                <w:color w:val="auto"/>
              </w:rPr>
            </w:pPr>
          </w:p>
        </w:tc>
        <w:tc>
          <w:tcPr>
            <w:tcW w:w="1060" w:type="dxa"/>
            <w:vAlign w:val="bottom"/>
          </w:tcPr>
          <w:p>
            <w:pPr>
              <w:jc w:val="right"/>
              <w:ind w:right="255"/>
              <w:spacing w:after="0"/>
              <w:rPr>
                <w:sz w:val="20"/>
                <w:szCs w:val="20"/>
                <w:color w:val="auto"/>
              </w:rPr>
            </w:pPr>
            <w:r>
              <w:rPr>
                <w:rFonts w:ascii="Courier New" w:cs="Courier New" w:eastAsia="Courier New" w:hAnsi="Courier New"/>
                <w:sz w:val="17"/>
                <w:szCs w:val="17"/>
                <w:color w:val="auto"/>
              </w:rPr>
              <w:t>124</w:t>
            </w:r>
          </w:p>
        </w:tc>
        <w:tc>
          <w:tcPr>
            <w:tcW w:w="148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133</w:t>
            </w:r>
          </w:p>
        </w:tc>
      </w:tr>
      <w:tr>
        <w:trPr>
          <w:trHeight w:val="196"/>
        </w:trPr>
        <w:tc>
          <w:tcPr>
            <w:tcW w:w="5260" w:type="dxa"/>
            <w:vAlign w:val="bottom"/>
          </w:tcPr>
          <w:p>
            <w:pPr>
              <w:ind w:left="200"/>
              <w:spacing w:after="0"/>
              <w:rPr>
                <w:sz w:val="20"/>
                <w:szCs w:val="20"/>
                <w:color w:val="auto"/>
              </w:rPr>
            </w:pPr>
            <w:r>
              <w:rPr>
                <w:rFonts w:ascii="Courier New" w:cs="Courier New" w:eastAsia="Courier New" w:hAnsi="Courier New"/>
                <w:sz w:val="17"/>
                <w:szCs w:val="17"/>
                <w:color w:val="auto"/>
              </w:rPr>
              <w:t>Changes in assets and liabilities</w:t>
            </w:r>
          </w:p>
        </w:tc>
        <w:tc>
          <w:tcPr>
            <w:tcW w:w="4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196"/>
        </w:trPr>
        <w:tc>
          <w:tcPr>
            <w:tcW w:w="5260" w:type="dxa"/>
            <w:vAlign w:val="bottom"/>
          </w:tcPr>
          <w:p>
            <w:pPr>
              <w:ind w:left="420"/>
              <w:spacing w:after="0"/>
              <w:rPr>
                <w:sz w:val="20"/>
                <w:szCs w:val="20"/>
                <w:color w:val="auto"/>
              </w:rPr>
            </w:pPr>
            <w:r>
              <w:rPr>
                <w:rFonts w:ascii="Courier New" w:cs="Courier New" w:eastAsia="Courier New" w:hAnsi="Courier New"/>
                <w:sz w:val="17"/>
                <w:szCs w:val="17"/>
                <w:color w:val="auto"/>
              </w:rPr>
              <w:t>(Increase) decrease in accounts</w:t>
            </w:r>
          </w:p>
        </w:tc>
        <w:tc>
          <w:tcPr>
            <w:tcW w:w="4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196"/>
        </w:trPr>
        <w:tc>
          <w:tcPr>
            <w:tcW w:w="5260" w:type="dxa"/>
            <w:vAlign w:val="bottom"/>
          </w:tcPr>
          <w:p>
            <w:pPr>
              <w:ind w:left="520"/>
              <w:spacing w:after="0"/>
              <w:rPr>
                <w:sz w:val="20"/>
                <w:szCs w:val="20"/>
                <w:color w:val="auto"/>
              </w:rPr>
            </w:pPr>
            <w:r>
              <w:rPr>
                <w:rFonts w:ascii="Courier New" w:cs="Courier New" w:eastAsia="Courier New" w:hAnsi="Courier New"/>
                <w:sz w:val="17"/>
                <w:szCs w:val="17"/>
                <w:color w:val="auto"/>
              </w:rPr>
              <w:t>receivable</w:t>
            </w:r>
          </w:p>
        </w:tc>
        <w:tc>
          <w:tcPr>
            <w:tcW w:w="460" w:type="dxa"/>
            <w:vAlign w:val="bottom"/>
          </w:tcPr>
          <w:p>
            <w:pPr>
              <w:spacing w:after="0"/>
              <w:rPr>
                <w:sz w:val="17"/>
                <w:szCs w:val="17"/>
                <w:color w:val="auto"/>
              </w:rPr>
            </w:pPr>
          </w:p>
        </w:tc>
        <w:tc>
          <w:tcPr>
            <w:tcW w:w="106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(722)</w:t>
            </w:r>
          </w:p>
        </w:tc>
        <w:tc>
          <w:tcPr>
            <w:tcW w:w="148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1,730</w:t>
            </w:r>
          </w:p>
        </w:tc>
      </w:tr>
      <w:tr>
        <w:trPr>
          <w:trHeight w:val="196"/>
        </w:trPr>
        <w:tc>
          <w:tcPr>
            <w:tcW w:w="5260" w:type="dxa"/>
            <w:vAlign w:val="bottom"/>
          </w:tcPr>
          <w:p>
            <w:pPr>
              <w:ind w:left="420"/>
              <w:spacing w:after="0"/>
              <w:rPr>
                <w:sz w:val="20"/>
                <w:szCs w:val="20"/>
                <w:color w:val="auto"/>
              </w:rPr>
            </w:pPr>
            <w:r>
              <w:rPr>
                <w:rFonts w:ascii="Courier New" w:cs="Courier New" w:eastAsia="Courier New" w:hAnsi="Courier New"/>
                <w:sz w:val="17"/>
                <w:szCs w:val="17"/>
                <w:color w:val="auto"/>
              </w:rPr>
              <w:t>Increase in prepaid expenses and</w:t>
            </w:r>
          </w:p>
        </w:tc>
        <w:tc>
          <w:tcPr>
            <w:tcW w:w="4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196"/>
        </w:trPr>
        <w:tc>
          <w:tcPr>
            <w:tcW w:w="5260" w:type="dxa"/>
            <w:vAlign w:val="bottom"/>
          </w:tcPr>
          <w:p>
            <w:pPr>
              <w:ind w:left="520"/>
              <w:spacing w:after="0"/>
              <w:rPr>
                <w:sz w:val="20"/>
                <w:szCs w:val="20"/>
                <w:color w:val="auto"/>
              </w:rPr>
            </w:pPr>
            <w:r>
              <w:rPr>
                <w:rFonts w:ascii="Courier New" w:cs="Courier New" w:eastAsia="Courier New" w:hAnsi="Courier New"/>
                <w:sz w:val="17"/>
                <w:szCs w:val="17"/>
                <w:color w:val="auto"/>
              </w:rPr>
              <w:t>other assets before depreciation and</w:t>
            </w:r>
          </w:p>
        </w:tc>
        <w:tc>
          <w:tcPr>
            <w:tcW w:w="4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196"/>
        </w:trPr>
        <w:tc>
          <w:tcPr>
            <w:tcW w:w="5260" w:type="dxa"/>
            <w:vAlign w:val="bottom"/>
          </w:tcPr>
          <w:p>
            <w:pPr>
              <w:ind w:left="520"/>
              <w:spacing w:after="0"/>
              <w:rPr>
                <w:sz w:val="20"/>
                <w:szCs w:val="20"/>
                <w:color w:val="auto"/>
              </w:rPr>
            </w:pPr>
            <w:r>
              <w:rPr>
                <w:rFonts w:ascii="Courier New" w:cs="Courier New" w:eastAsia="Courier New" w:hAnsi="Courier New"/>
                <w:sz w:val="17"/>
                <w:szCs w:val="17"/>
                <w:color w:val="auto"/>
              </w:rPr>
              <w:t>amortization</w:t>
            </w:r>
          </w:p>
        </w:tc>
        <w:tc>
          <w:tcPr>
            <w:tcW w:w="460" w:type="dxa"/>
            <w:vAlign w:val="bottom"/>
          </w:tcPr>
          <w:p>
            <w:pPr>
              <w:spacing w:after="0"/>
              <w:rPr>
                <w:sz w:val="17"/>
                <w:szCs w:val="17"/>
                <w:color w:val="auto"/>
              </w:rPr>
            </w:pPr>
          </w:p>
        </w:tc>
        <w:tc>
          <w:tcPr>
            <w:tcW w:w="106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(1,004)</w:t>
            </w:r>
          </w:p>
        </w:tc>
        <w:tc>
          <w:tcPr>
            <w:tcW w:w="14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(1,828)</w:t>
            </w:r>
          </w:p>
        </w:tc>
      </w:tr>
      <w:tr>
        <w:trPr>
          <w:trHeight w:val="196"/>
        </w:trPr>
        <w:tc>
          <w:tcPr>
            <w:tcW w:w="5260" w:type="dxa"/>
            <w:vAlign w:val="bottom"/>
          </w:tcPr>
          <w:p>
            <w:pPr>
              <w:ind w:left="420"/>
              <w:spacing w:after="0"/>
              <w:rPr>
                <w:sz w:val="20"/>
                <w:szCs w:val="20"/>
                <w:color w:val="auto"/>
              </w:rPr>
            </w:pPr>
            <w:r>
              <w:rPr>
                <w:rFonts w:ascii="Courier New" w:cs="Courier New" w:eastAsia="Courier New" w:hAnsi="Courier New"/>
                <w:sz w:val="17"/>
                <w:szCs w:val="17"/>
                <w:color w:val="auto"/>
              </w:rPr>
              <w:t>Decrease in operating accounts</w:t>
            </w:r>
          </w:p>
        </w:tc>
        <w:tc>
          <w:tcPr>
            <w:tcW w:w="4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196"/>
        </w:trPr>
        <w:tc>
          <w:tcPr>
            <w:tcW w:w="5260" w:type="dxa"/>
            <w:vAlign w:val="bottom"/>
          </w:tcPr>
          <w:p>
            <w:pPr>
              <w:ind w:left="520"/>
              <w:spacing w:after="0"/>
              <w:rPr>
                <w:sz w:val="20"/>
                <w:szCs w:val="20"/>
                <w:color w:val="auto"/>
              </w:rPr>
            </w:pPr>
            <w:r>
              <w:rPr>
                <w:rFonts w:ascii="Courier New" w:cs="Courier New" w:eastAsia="Courier New" w:hAnsi="Courier New"/>
                <w:sz w:val="17"/>
                <w:szCs w:val="17"/>
                <w:color w:val="auto"/>
              </w:rPr>
              <w:t>payable, security deposits and</w:t>
            </w:r>
          </w:p>
        </w:tc>
        <w:tc>
          <w:tcPr>
            <w:tcW w:w="4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196"/>
        </w:trPr>
        <w:tc>
          <w:tcPr>
            <w:tcW w:w="5260" w:type="dxa"/>
            <w:vAlign w:val="bottom"/>
          </w:tcPr>
          <w:p>
            <w:pPr>
              <w:ind w:left="520"/>
              <w:spacing w:after="0"/>
              <w:rPr>
                <w:sz w:val="20"/>
                <w:szCs w:val="20"/>
                <w:color w:val="auto"/>
              </w:rPr>
            </w:pPr>
            <w:r>
              <w:rPr>
                <w:rFonts w:ascii="Courier New" w:cs="Courier New" w:eastAsia="Courier New" w:hAnsi="Courier New"/>
                <w:sz w:val="17"/>
                <w:szCs w:val="17"/>
                <w:color w:val="auto"/>
              </w:rPr>
              <w:t>prepaid rent</w:t>
            </w:r>
          </w:p>
        </w:tc>
        <w:tc>
          <w:tcPr>
            <w:tcW w:w="460" w:type="dxa"/>
            <w:vAlign w:val="bottom"/>
          </w:tcPr>
          <w:p>
            <w:pPr>
              <w:spacing w:after="0"/>
              <w:rPr>
                <w:sz w:val="17"/>
                <w:szCs w:val="17"/>
                <w:color w:val="auto"/>
              </w:rPr>
            </w:pPr>
          </w:p>
        </w:tc>
        <w:tc>
          <w:tcPr>
            <w:tcW w:w="106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(686)</w:t>
            </w:r>
          </w:p>
        </w:tc>
        <w:tc>
          <w:tcPr>
            <w:tcW w:w="14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(1,252)</w:t>
            </w:r>
          </w:p>
        </w:tc>
      </w:tr>
      <w:tr>
        <w:trPr>
          <w:trHeight w:val="196"/>
        </w:trPr>
        <w:tc>
          <w:tcPr>
            <w:tcW w:w="5260" w:type="dxa"/>
            <w:vAlign w:val="bottom"/>
          </w:tcPr>
          <w:p>
            <w:pPr>
              <w:ind w:left="420"/>
              <w:spacing w:after="0"/>
              <w:rPr>
                <w:sz w:val="20"/>
                <w:szCs w:val="20"/>
                <w:color w:val="auto"/>
              </w:rPr>
            </w:pPr>
            <w:r>
              <w:rPr>
                <w:rFonts w:ascii="Courier New" w:cs="Courier New" w:eastAsia="Courier New" w:hAnsi="Courier New"/>
                <w:sz w:val="17"/>
                <w:szCs w:val="17"/>
                <w:color w:val="auto"/>
              </w:rPr>
              <w:t>(Decrease) increase in accrued expenses</w:t>
            </w:r>
          </w:p>
        </w:tc>
        <w:tc>
          <w:tcPr>
            <w:tcW w:w="460" w:type="dxa"/>
            <w:vAlign w:val="bottom"/>
          </w:tcPr>
          <w:p>
            <w:pPr>
              <w:spacing w:after="0"/>
              <w:rPr>
                <w:sz w:val="17"/>
                <w:szCs w:val="17"/>
                <w:color w:val="auto"/>
              </w:rPr>
            </w:pPr>
          </w:p>
        </w:tc>
        <w:tc>
          <w:tcPr>
            <w:tcW w:w="106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(766)</w:t>
            </w:r>
          </w:p>
        </w:tc>
        <w:tc>
          <w:tcPr>
            <w:tcW w:w="14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(2,616)</w:t>
            </w:r>
          </w:p>
        </w:tc>
      </w:tr>
      <w:tr>
        <w:trPr>
          <w:trHeight w:val="196"/>
        </w:trPr>
        <w:tc>
          <w:tcPr>
            <w:tcW w:w="5260" w:type="dxa"/>
            <w:vAlign w:val="bottom"/>
          </w:tcPr>
          <w:p>
            <w:pPr>
              <w:spacing w:after="0"/>
              <w:rPr>
                <w:sz w:val="17"/>
                <w:szCs w:val="17"/>
                <w:color w:val="auto"/>
              </w:rPr>
            </w:pPr>
          </w:p>
        </w:tc>
        <w:tc>
          <w:tcPr>
            <w:tcW w:w="1520" w:type="dxa"/>
            <w:vAlign w:val="bottom"/>
            <w:gridSpan w:val="2"/>
          </w:tcPr>
          <w:p>
            <w:pPr>
              <w:jc w:val="right"/>
              <w:ind w:right="255"/>
              <w:spacing w:after="0"/>
              <w:rPr>
                <w:sz w:val="20"/>
                <w:szCs w:val="20"/>
                <w:color w:val="auto"/>
              </w:rPr>
            </w:pPr>
            <w:r>
              <w:rPr>
                <w:rFonts w:ascii="Courier New" w:cs="Courier New" w:eastAsia="Courier New" w:hAnsi="Courier New"/>
                <w:sz w:val="17"/>
                <w:szCs w:val="17"/>
                <w:color w:val="auto"/>
              </w:rPr>
              <w:t>--------</w:t>
            </w:r>
          </w:p>
        </w:tc>
        <w:tc>
          <w:tcPr>
            <w:tcW w:w="148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w:t>
            </w:r>
          </w:p>
        </w:tc>
      </w:tr>
      <w:tr>
        <w:trPr>
          <w:trHeight w:val="196"/>
        </w:trPr>
        <w:tc>
          <w:tcPr>
            <w:tcW w:w="5260" w:type="dxa"/>
            <w:vAlign w:val="bottom"/>
          </w:tcPr>
          <w:p>
            <w:pPr>
              <w:ind w:left="200"/>
              <w:spacing w:after="0"/>
              <w:rPr>
                <w:sz w:val="20"/>
                <w:szCs w:val="20"/>
                <w:color w:val="auto"/>
              </w:rPr>
            </w:pPr>
            <w:r>
              <w:rPr>
                <w:rFonts w:ascii="Courier New" w:cs="Courier New" w:eastAsia="Courier New" w:hAnsi="Courier New"/>
                <w:sz w:val="17"/>
                <w:szCs w:val="17"/>
                <w:color w:val="auto"/>
              </w:rPr>
              <w:t>Net cash provided by operating activities</w:t>
            </w:r>
          </w:p>
        </w:tc>
        <w:tc>
          <w:tcPr>
            <w:tcW w:w="460" w:type="dxa"/>
            <w:vAlign w:val="bottom"/>
          </w:tcPr>
          <w:p>
            <w:pPr>
              <w:spacing w:after="0"/>
              <w:rPr>
                <w:sz w:val="17"/>
                <w:szCs w:val="17"/>
                <w:color w:val="auto"/>
              </w:rPr>
            </w:pPr>
          </w:p>
        </w:tc>
        <w:tc>
          <w:tcPr>
            <w:tcW w:w="1060" w:type="dxa"/>
            <w:vAlign w:val="bottom"/>
          </w:tcPr>
          <w:p>
            <w:pPr>
              <w:jc w:val="right"/>
              <w:ind w:right="255"/>
              <w:spacing w:after="0"/>
              <w:rPr>
                <w:sz w:val="20"/>
                <w:szCs w:val="20"/>
                <w:color w:val="auto"/>
              </w:rPr>
            </w:pPr>
            <w:r>
              <w:rPr>
                <w:rFonts w:ascii="Courier New" w:cs="Courier New" w:eastAsia="Courier New" w:hAnsi="Courier New"/>
                <w:sz w:val="17"/>
                <w:szCs w:val="17"/>
                <w:color w:val="auto"/>
              </w:rPr>
              <w:t>12,344</w:t>
            </w:r>
          </w:p>
        </w:tc>
        <w:tc>
          <w:tcPr>
            <w:tcW w:w="148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16,107</w:t>
            </w:r>
          </w:p>
        </w:tc>
      </w:tr>
      <w:tr>
        <w:trPr>
          <w:trHeight w:val="589"/>
        </w:trPr>
        <w:tc>
          <w:tcPr>
            <w:tcW w:w="5260" w:type="dxa"/>
            <w:vAlign w:val="bottom"/>
          </w:tcPr>
          <w:p>
            <w:pPr>
              <w:spacing w:after="0"/>
              <w:rPr>
                <w:sz w:val="20"/>
                <w:szCs w:val="20"/>
                <w:color w:val="auto"/>
              </w:rPr>
            </w:pPr>
            <w:r>
              <w:rPr>
                <w:rFonts w:ascii="Courier New" w:cs="Courier New" w:eastAsia="Courier New" w:hAnsi="Courier New"/>
                <w:sz w:val="17"/>
                <w:szCs w:val="17"/>
                <w:color w:val="auto"/>
              </w:rPr>
              <w:t>INVESTING ACTIVITIES</w:t>
            </w:r>
          </w:p>
        </w:tc>
        <w:tc>
          <w:tcPr>
            <w:tcW w:w="4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96"/>
        </w:trPr>
        <w:tc>
          <w:tcPr>
            <w:tcW w:w="5260" w:type="dxa"/>
            <w:vAlign w:val="bottom"/>
          </w:tcPr>
          <w:p>
            <w:pPr>
              <w:ind w:left="200"/>
              <w:spacing w:after="0"/>
              <w:rPr>
                <w:sz w:val="20"/>
                <w:szCs w:val="20"/>
                <w:color w:val="auto"/>
              </w:rPr>
            </w:pPr>
            <w:r>
              <w:rPr>
                <w:rFonts w:ascii="Courier New" w:cs="Courier New" w:eastAsia="Courier New" w:hAnsi="Courier New"/>
                <w:sz w:val="17"/>
                <w:szCs w:val="17"/>
                <w:color w:val="auto"/>
              </w:rPr>
              <w:t>Acquisition of real estate</w:t>
            </w:r>
          </w:p>
        </w:tc>
        <w:tc>
          <w:tcPr>
            <w:tcW w:w="460" w:type="dxa"/>
            <w:vAlign w:val="bottom"/>
          </w:tcPr>
          <w:p>
            <w:pPr>
              <w:spacing w:after="0"/>
              <w:rPr>
                <w:sz w:val="17"/>
                <w:szCs w:val="17"/>
                <w:color w:val="auto"/>
              </w:rPr>
            </w:pPr>
          </w:p>
        </w:tc>
        <w:tc>
          <w:tcPr>
            <w:tcW w:w="106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(6,799)</w:t>
            </w:r>
          </w:p>
        </w:tc>
        <w:tc>
          <w:tcPr>
            <w:tcW w:w="14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(2,025)</w:t>
            </w:r>
          </w:p>
        </w:tc>
      </w:tr>
      <w:tr>
        <w:trPr>
          <w:trHeight w:val="196"/>
        </w:trPr>
        <w:tc>
          <w:tcPr>
            <w:tcW w:w="5260" w:type="dxa"/>
            <w:vAlign w:val="bottom"/>
          </w:tcPr>
          <w:p>
            <w:pPr>
              <w:ind w:left="200"/>
              <w:spacing w:after="0"/>
              <w:rPr>
                <w:sz w:val="20"/>
                <w:szCs w:val="20"/>
                <w:color w:val="auto"/>
              </w:rPr>
            </w:pPr>
            <w:r>
              <w:rPr>
                <w:rFonts w:ascii="Courier New" w:cs="Courier New" w:eastAsia="Courier New" w:hAnsi="Courier New"/>
                <w:sz w:val="17"/>
                <w:szCs w:val="17"/>
                <w:color w:val="auto"/>
              </w:rPr>
              <w:t>Capital expenditures</w:t>
            </w:r>
          </w:p>
        </w:tc>
        <w:tc>
          <w:tcPr>
            <w:tcW w:w="460" w:type="dxa"/>
            <w:vAlign w:val="bottom"/>
          </w:tcPr>
          <w:p>
            <w:pPr>
              <w:spacing w:after="0"/>
              <w:rPr>
                <w:sz w:val="17"/>
                <w:szCs w:val="17"/>
                <w:color w:val="auto"/>
              </w:rPr>
            </w:pPr>
          </w:p>
        </w:tc>
        <w:tc>
          <w:tcPr>
            <w:tcW w:w="1060" w:type="dxa"/>
            <w:vAlign w:val="bottom"/>
          </w:tcPr>
          <w:p>
            <w:pPr>
              <w:jc w:val="right"/>
              <w:ind w:right="155"/>
              <w:spacing w:after="0"/>
              <w:rPr>
                <w:sz w:val="20"/>
                <w:szCs w:val="20"/>
                <w:color w:val="auto"/>
              </w:rPr>
            </w:pPr>
            <w:r>
              <w:rPr>
                <w:rFonts w:ascii="Courier New" w:cs="Courier New" w:eastAsia="Courier New" w:hAnsi="Courier New"/>
                <w:sz w:val="17"/>
                <w:szCs w:val="17"/>
                <w:color w:val="auto"/>
                <w:w w:val="97"/>
              </w:rPr>
              <w:t>(10,337)</w:t>
            </w:r>
          </w:p>
        </w:tc>
        <w:tc>
          <w:tcPr>
            <w:tcW w:w="14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(8,627)</w:t>
            </w:r>
          </w:p>
        </w:tc>
      </w:tr>
      <w:tr>
        <w:trPr>
          <w:trHeight w:val="196"/>
        </w:trPr>
        <w:tc>
          <w:tcPr>
            <w:tcW w:w="5260" w:type="dxa"/>
            <w:vAlign w:val="bottom"/>
          </w:tcPr>
          <w:p>
            <w:pPr>
              <w:ind w:left="200"/>
              <w:spacing w:after="0"/>
              <w:rPr>
                <w:sz w:val="20"/>
                <w:szCs w:val="20"/>
                <w:color w:val="auto"/>
              </w:rPr>
            </w:pPr>
            <w:r>
              <w:rPr>
                <w:rFonts w:ascii="Courier New" w:cs="Courier New" w:eastAsia="Courier New" w:hAnsi="Courier New"/>
                <w:sz w:val="17"/>
                <w:szCs w:val="17"/>
                <w:color w:val="auto"/>
              </w:rPr>
              <w:t>Net increase in notes receivable</w:t>
            </w:r>
          </w:p>
        </w:tc>
        <w:tc>
          <w:tcPr>
            <w:tcW w:w="460" w:type="dxa"/>
            <w:vAlign w:val="bottom"/>
          </w:tcPr>
          <w:p>
            <w:pPr>
              <w:spacing w:after="0"/>
              <w:rPr>
                <w:sz w:val="17"/>
                <w:szCs w:val="17"/>
                <w:color w:val="auto"/>
              </w:rPr>
            </w:pPr>
          </w:p>
        </w:tc>
        <w:tc>
          <w:tcPr>
            <w:tcW w:w="106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(704)</w:t>
            </w:r>
          </w:p>
        </w:tc>
        <w:tc>
          <w:tcPr>
            <w:tcW w:w="14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(218)</w:t>
            </w:r>
          </w:p>
        </w:tc>
      </w:tr>
      <w:tr>
        <w:trPr>
          <w:trHeight w:val="196"/>
        </w:trPr>
        <w:tc>
          <w:tcPr>
            <w:tcW w:w="5260" w:type="dxa"/>
            <w:vAlign w:val="bottom"/>
          </w:tcPr>
          <w:p>
            <w:pPr>
              <w:ind w:left="200"/>
              <w:spacing w:after="0"/>
              <w:rPr>
                <w:sz w:val="20"/>
                <w:szCs w:val="20"/>
                <w:color w:val="auto"/>
              </w:rPr>
            </w:pPr>
            <w:r>
              <w:rPr>
                <w:rFonts w:ascii="Courier New" w:cs="Courier New" w:eastAsia="Courier New" w:hAnsi="Courier New"/>
                <w:sz w:val="17"/>
                <w:szCs w:val="17"/>
                <w:color w:val="auto"/>
              </w:rPr>
              <w:t>Net (increase) decrease in temporary investments</w:t>
            </w:r>
          </w:p>
        </w:tc>
        <w:tc>
          <w:tcPr>
            <w:tcW w:w="460" w:type="dxa"/>
            <w:vAlign w:val="bottom"/>
          </w:tcPr>
          <w:p>
            <w:pPr>
              <w:spacing w:after="0"/>
              <w:rPr>
                <w:sz w:val="17"/>
                <w:szCs w:val="17"/>
                <w:color w:val="auto"/>
              </w:rPr>
            </w:pPr>
          </w:p>
        </w:tc>
        <w:tc>
          <w:tcPr>
            <w:tcW w:w="106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(224)</w:t>
            </w:r>
          </w:p>
        </w:tc>
        <w:tc>
          <w:tcPr>
            <w:tcW w:w="148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69</w:t>
            </w:r>
          </w:p>
        </w:tc>
      </w:tr>
      <w:tr>
        <w:trPr>
          <w:trHeight w:val="196"/>
        </w:trPr>
        <w:tc>
          <w:tcPr>
            <w:tcW w:w="5260" w:type="dxa"/>
            <w:vAlign w:val="bottom"/>
          </w:tcPr>
          <w:p>
            <w:pPr>
              <w:spacing w:after="0"/>
              <w:rPr>
                <w:sz w:val="17"/>
                <w:szCs w:val="17"/>
                <w:color w:val="auto"/>
              </w:rPr>
            </w:pPr>
          </w:p>
        </w:tc>
        <w:tc>
          <w:tcPr>
            <w:tcW w:w="1520" w:type="dxa"/>
            <w:vAlign w:val="bottom"/>
            <w:gridSpan w:val="2"/>
          </w:tcPr>
          <w:p>
            <w:pPr>
              <w:jc w:val="right"/>
              <w:ind w:right="255"/>
              <w:spacing w:after="0"/>
              <w:rPr>
                <w:sz w:val="20"/>
                <w:szCs w:val="20"/>
                <w:color w:val="auto"/>
              </w:rPr>
            </w:pPr>
            <w:r>
              <w:rPr>
                <w:rFonts w:ascii="Courier New" w:cs="Courier New" w:eastAsia="Courier New" w:hAnsi="Courier New"/>
                <w:sz w:val="17"/>
                <w:szCs w:val="17"/>
                <w:color w:val="auto"/>
              </w:rPr>
              <w:t>--------</w:t>
            </w:r>
          </w:p>
        </w:tc>
        <w:tc>
          <w:tcPr>
            <w:tcW w:w="148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w:t>
            </w:r>
          </w:p>
        </w:tc>
      </w:tr>
      <w:tr>
        <w:trPr>
          <w:trHeight w:val="196"/>
        </w:trPr>
        <w:tc>
          <w:tcPr>
            <w:tcW w:w="5260" w:type="dxa"/>
            <w:vAlign w:val="bottom"/>
          </w:tcPr>
          <w:p>
            <w:pPr>
              <w:ind w:left="200"/>
              <w:spacing w:after="0"/>
              <w:rPr>
                <w:sz w:val="20"/>
                <w:szCs w:val="20"/>
                <w:color w:val="auto"/>
              </w:rPr>
            </w:pPr>
            <w:r>
              <w:rPr>
                <w:rFonts w:ascii="Courier New" w:cs="Courier New" w:eastAsia="Courier New" w:hAnsi="Courier New"/>
                <w:sz w:val="17"/>
                <w:szCs w:val="17"/>
                <w:color w:val="auto"/>
              </w:rPr>
              <w:t>Net cash used in investing activities</w:t>
            </w:r>
          </w:p>
        </w:tc>
        <w:tc>
          <w:tcPr>
            <w:tcW w:w="460" w:type="dxa"/>
            <w:vAlign w:val="bottom"/>
          </w:tcPr>
          <w:p>
            <w:pPr>
              <w:spacing w:after="0"/>
              <w:rPr>
                <w:sz w:val="17"/>
                <w:szCs w:val="17"/>
                <w:color w:val="auto"/>
              </w:rPr>
            </w:pPr>
          </w:p>
        </w:tc>
        <w:tc>
          <w:tcPr>
            <w:tcW w:w="1060" w:type="dxa"/>
            <w:vAlign w:val="bottom"/>
          </w:tcPr>
          <w:p>
            <w:pPr>
              <w:jc w:val="right"/>
              <w:ind w:right="155"/>
              <w:spacing w:after="0"/>
              <w:rPr>
                <w:sz w:val="20"/>
                <w:szCs w:val="20"/>
                <w:color w:val="auto"/>
              </w:rPr>
            </w:pPr>
            <w:r>
              <w:rPr>
                <w:rFonts w:ascii="Courier New" w:cs="Courier New" w:eastAsia="Courier New" w:hAnsi="Courier New"/>
                <w:sz w:val="17"/>
                <w:szCs w:val="17"/>
                <w:color w:val="auto"/>
                <w:w w:val="97"/>
              </w:rPr>
              <w:t>(18,064)</w:t>
            </w:r>
          </w:p>
        </w:tc>
        <w:tc>
          <w:tcPr>
            <w:tcW w:w="14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(10,801)</w:t>
            </w:r>
          </w:p>
        </w:tc>
      </w:tr>
      <w:tr>
        <w:trPr>
          <w:trHeight w:val="392"/>
        </w:trPr>
        <w:tc>
          <w:tcPr>
            <w:tcW w:w="5260" w:type="dxa"/>
            <w:vAlign w:val="bottom"/>
          </w:tcPr>
          <w:p>
            <w:pPr>
              <w:spacing w:after="0"/>
              <w:rPr>
                <w:sz w:val="20"/>
                <w:szCs w:val="20"/>
                <w:color w:val="auto"/>
              </w:rPr>
            </w:pPr>
            <w:r>
              <w:rPr>
                <w:rFonts w:ascii="Courier New" w:cs="Courier New" w:eastAsia="Courier New" w:hAnsi="Courier New"/>
                <w:sz w:val="17"/>
                <w:szCs w:val="17"/>
                <w:color w:val="auto"/>
              </w:rPr>
              <w:t>FINANCING ACTIVITIES</w:t>
            </w:r>
          </w:p>
        </w:tc>
        <w:tc>
          <w:tcPr>
            <w:tcW w:w="4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96"/>
        </w:trPr>
        <w:tc>
          <w:tcPr>
            <w:tcW w:w="5260" w:type="dxa"/>
            <w:vAlign w:val="bottom"/>
          </w:tcPr>
          <w:p>
            <w:pPr>
              <w:ind w:left="200"/>
              <w:spacing w:after="0"/>
              <w:rPr>
                <w:sz w:val="20"/>
                <w:szCs w:val="20"/>
                <w:color w:val="auto"/>
              </w:rPr>
            </w:pPr>
            <w:r>
              <w:rPr>
                <w:rFonts w:ascii="Courier New" w:cs="Courier New" w:eastAsia="Courier New" w:hAnsi="Courier New"/>
                <w:sz w:val="17"/>
                <w:szCs w:val="17"/>
                <w:color w:val="auto"/>
              </w:rPr>
              <w:t>Regular payments on mortgages, capital</w:t>
            </w:r>
          </w:p>
        </w:tc>
        <w:tc>
          <w:tcPr>
            <w:tcW w:w="4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196"/>
        </w:trPr>
        <w:tc>
          <w:tcPr>
            <w:tcW w:w="5260" w:type="dxa"/>
            <w:vAlign w:val="bottom"/>
          </w:tcPr>
          <w:p>
            <w:pPr>
              <w:ind w:left="320"/>
              <w:spacing w:after="0"/>
              <w:rPr>
                <w:sz w:val="20"/>
                <w:szCs w:val="20"/>
                <w:color w:val="auto"/>
              </w:rPr>
            </w:pPr>
            <w:r>
              <w:rPr>
                <w:rFonts w:ascii="Courier New" w:cs="Courier New" w:eastAsia="Courier New" w:hAnsi="Courier New"/>
                <w:sz w:val="17"/>
                <w:szCs w:val="17"/>
                <w:color w:val="auto"/>
              </w:rPr>
              <w:t>leases, and notes payable</w:t>
            </w:r>
          </w:p>
        </w:tc>
        <w:tc>
          <w:tcPr>
            <w:tcW w:w="460" w:type="dxa"/>
            <w:vAlign w:val="bottom"/>
          </w:tcPr>
          <w:p>
            <w:pPr>
              <w:spacing w:after="0"/>
              <w:rPr>
                <w:sz w:val="17"/>
                <w:szCs w:val="17"/>
                <w:color w:val="auto"/>
              </w:rPr>
            </w:pPr>
          </w:p>
        </w:tc>
        <w:tc>
          <w:tcPr>
            <w:tcW w:w="106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(718)</w:t>
            </w:r>
          </w:p>
        </w:tc>
        <w:tc>
          <w:tcPr>
            <w:tcW w:w="14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(540)</w:t>
            </w:r>
          </w:p>
        </w:tc>
      </w:tr>
      <w:tr>
        <w:trPr>
          <w:trHeight w:val="196"/>
        </w:trPr>
        <w:tc>
          <w:tcPr>
            <w:tcW w:w="5260" w:type="dxa"/>
            <w:vAlign w:val="bottom"/>
          </w:tcPr>
          <w:p>
            <w:pPr>
              <w:ind w:left="200"/>
              <w:spacing w:after="0"/>
              <w:rPr>
                <w:sz w:val="20"/>
                <w:szCs w:val="20"/>
                <w:color w:val="auto"/>
              </w:rPr>
            </w:pPr>
            <w:r>
              <w:rPr>
                <w:rFonts w:ascii="Courier New" w:cs="Courier New" w:eastAsia="Courier New" w:hAnsi="Courier New"/>
                <w:sz w:val="17"/>
                <w:szCs w:val="17"/>
                <w:color w:val="auto"/>
              </w:rPr>
              <w:t>Balloon payments on mortgages and notes payable</w:t>
            </w:r>
          </w:p>
        </w:tc>
        <w:tc>
          <w:tcPr>
            <w:tcW w:w="460" w:type="dxa"/>
            <w:vAlign w:val="bottom"/>
          </w:tcPr>
          <w:p>
            <w:pPr>
              <w:spacing w:after="0"/>
              <w:rPr>
                <w:sz w:val="17"/>
                <w:szCs w:val="17"/>
                <w:color w:val="auto"/>
              </w:rPr>
            </w:pPr>
          </w:p>
        </w:tc>
        <w:tc>
          <w:tcPr>
            <w:tcW w:w="1060" w:type="dxa"/>
            <w:vAlign w:val="bottom"/>
          </w:tcPr>
          <w:p>
            <w:pPr>
              <w:jc w:val="right"/>
              <w:ind w:right="355"/>
              <w:spacing w:after="0"/>
              <w:rPr>
                <w:sz w:val="20"/>
                <w:szCs w:val="20"/>
                <w:color w:val="auto"/>
              </w:rPr>
            </w:pPr>
            <w:r>
              <w:rPr>
                <w:rFonts w:ascii="Courier New" w:cs="Courier New" w:eastAsia="Courier New" w:hAnsi="Courier New"/>
                <w:sz w:val="17"/>
                <w:szCs w:val="17"/>
                <w:color w:val="auto"/>
              </w:rPr>
              <w:t>-</w:t>
            </w:r>
          </w:p>
        </w:tc>
        <w:tc>
          <w:tcPr>
            <w:tcW w:w="14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(23,601)</w:t>
            </w:r>
          </w:p>
        </w:tc>
      </w:tr>
      <w:tr>
        <w:trPr>
          <w:trHeight w:val="196"/>
        </w:trPr>
        <w:tc>
          <w:tcPr>
            <w:tcW w:w="5260" w:type="dxa"/>
            <w:vAlign w:val="bottom"/>
          </w:tcPr>
          <w:p>
            <w:pPr>
              <w:ind w:left="200"/>
              <w:spacing w:after="0"/>
              <w:rPr>
                <w:sz w:val="20"/>
                <w:szCs w:val="20"/>
                <w:color w:val="auto"/>
              </w:rPr>
            </w:pPr>
            <w:r>
              <w:rPr>
                <w:rFonts w:ascii="Courier New" w:cs="Courier New" w:eastAsia="Courier New" w:hAnsi="Courier New"/>
                <w:sz w:val="17"/>
                <w:szCs w:val="17"/>
                <w:color w:val="auto"/>
              </w:rPr>
              <w:t>Borrowing (repayments) of short-term debt, net</w:t>
            </w:r>
          </w:p>
        </w:tc>
        <w:tc>
          <w:tcPr>
            <w:tcW w:w="460" w:type="dxa"/>
            <w:vAlign w:val="bottom"/>
          </w:tcPr>
          <w:p>
            <w:pPr>
              <w:spacing w:after="0"/>
              <w:rPr>
                <w:sz w:val="17"/>
                <w:szCs w:val="17"/>
                <w:color w:val="auto"/>
              </w:rPr>
            </w:pPr>
          </w:p>
        </w:tc>
        <w:tc>
          <w:tcPr>
            <w:tcW w:w="1060" w:type="dxa"/>
            <w:vAlign w:val="bottom"/>
          </w:tcPr>
          <w:p>
            <w:pPr>
              <w:jc w:val="right"/>
              <w:ind w:right="255"/>
              <w:spacing w:after="0"/>
              <w:rPr>
                <w:sz w:val="20"/>
                <w:szCs w:val="20"/>
                <w:color w:val="auto"/>
              </w:rPr>
            </w:pPr>
            <w:r>
              <w:rPr>
                <w:rFonts w:ascii="Courier New" w:cs="Courier New" w:eastAsia="Courier New" w:hAnsi="Courier New"/>
                <w:sz w:val="17"/>
                <w:szCs w:val="17"/>
                <w:color w:val="auto"/>
              </w:rPr>
              <w:t>16,455</w:t>
            </w:r>
          </w:p>
        </w:tc>
        <w:tc>
          <w:tcPr>
            <w:tcW w:w="14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(54,745)</w:t>
            </w:r>
          </w:p>
        </w:tc>
      </w:tr>
      <w:tr>
        <w:trPr>
          <w:trHeight w:val="196"/>
        </w:trPr>
        <w:tc>
          <w:tcPr>
            <w:tcW w:w="5260" w:type="dxa"/>
            <w:vAlign w:val="bottom"/>
          </w:tcPr>
          <w:p>
            <w:pPr>
              <w:ind w:left="200"/>
              <w:spacing w:after="0"/>
              <w:rPr>
                <w:sz w:val="20"/>
                <w:szCs w:val="20"/>
                <w:color w:val="auto"/>
              </w:rPr>
            </w:pPr>
            <w:r>
              <w:rPr>
                <w:rFonts w:ascii="Courier New" w:cs="Courier New" w:eastAsia="Courier New" w:hAnsi="Courier New"/>
                <w:sz w:val="17"/>
                <w:szCs w:val="17"/>
                <w:color w:val="auto"/>
              </w:rPr>
              <w:t>Proceeds from senior notes</w:t>
            </w:r>
          </w:p>
        </w:tc>
        <w:tc>
          <w:tcPr>
            <w:tcW w:w="460" w:type="dxa"/>
            <w:vAlign w:val="bottom"/>
          </w:tcPr>
          <w:p>
            <w:pPr>
              <w:spacing w:after="0"/>
              <w:rPr>
                <w:sz w:val="17"/>
                <w:szCs w:val="17"/>
                <w:color w:val="auto"/>
              </w:rPr>
            </w:pPr>
          </w:p>
        </w:tc>
        <w:tc>
          <w:tcPr>
            <w:tcW w:w="1060" w:type="dxa"/>
            <w:vAlign w:val="bottom"/>
          </w:tcPr>
          <w:p>
            <w:pPr>
              <w:jc w:val="right"/>
              <w:ind w:right="355"/>
              <w:spacing w:after="0"/>
              <w:rPr>
                <w:sz w:val="20"/>
                <w:szCs w:val="20"/>
                <w:color w:val="auto"/>
              </w:rPr>
            </w:pPr>
            <w:r>
              <w:rPr>
                <w:rFonts w:ascii="Courier New" w:cs="Courier New" w:eastAsia="Courier New" w:hAnsi="Courier New"/>
                <w:sz w:val="17"/>
                <w:szCs w:val="17"/>
                <w:color w:val="auto"/>
              </w:rPr>
              <w:t>-</w:t>
            </w:r>
          </w:p>
        </w:tc>
        <w:tc>
          <w:tcPr>
            <w:tcW w:w="148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98,906</w:t>
            </w:r>
          </w:p>
        </w:tc>
      </w:tr>
      <w:tr>
        <w:trPr>
          <w:trHeight w:val="196"/>
        </w:trPr>
        <w:tc>
          <w:tcPr>
            <w:tcW w:w="5260" w:type="dxa"/>
            <w:vAlign w:val="bottom"/>
          </w:tcPr>
          <w:p>
            <w:pPr>
              <w:ind w:left="200"/>
              <w:spacing w:after="0"/>
              <w:rPr>
                <w:sz w:val="20"/>
                <w:szCs w:val="20"/>
                <w:color w:val="auto"/>
              </w:rPr>
            </w:pPr>
            <w:r>
              <w:rPr>
                <w:rFonts w:ascii="Courier New" w:cs="Courier New" w:eastAsia="Courier New" w:hAnsi="Courier New"/>
                <w:sz w:val="17"/>
                <w:szCs w:val="17"/>
                <w:color w:val="auto"/>
              </w:rPr>
              <w:t>Dividends paid</w:t>
            </w:r>
          </w:p>
        </w:tc>
        <w:tc>
          <w:tcPr>
            <w:tcW w:w="460" w:type="dxa"/>
            <w:vAlign w:val="bottom"/>
          </w:tcPr>
          <w:p>
            <w:pPr>
              <w:spacing w:after="0"/>
              <w:rPr>
                <w:sz w:val="17"/>
                <w:szCs w:val="17"/>
                <w:color w:val="auto"/>
              </w:rPr>
            </w:pPr>
          </w:p>
        </w:tc>
        <w:tc>
          <w:tcPr>
            <w:tcW w:w="1060" w:type="dxa"/>
            <w:vAlign w:val="bottom"/>
          </w:tcPr>
          <w:p>
            <w:pPr>
              <w:jc w:val="right"/>
              <w:ind w:right="155"/>
              <w:spacing w:after="0"/>
              <w:rPr>
                <w:sz w:val="20"/>
                <w:szCs w:val="20"/>
                <w:color w:val="auto"/>
              </w:rPr>
            </w:pPr>
            <w:r>
              <w:rPr>
                <w:rFonts w:ascii="Courier New" w:cs="Courier New" w:eastAsia="Courier New" w:hAnsi="Courier New"/>
                <w:sz w:val="17"/>
                <w:szCs w:val="17"/>
                <w:color w:val="auto"/>
                <w:w w:val="97"/>
              </w:rPr>
              <w:t>(12,546)</w:t>
            </w:r>
          </w:p>
        </w:tc>
        <w:tc>
          <w:tcPr>
            <w:tcW w:w="14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(11,804)</w:t>
            </w:r>
          </w:p>
        </w:tc>
      </w:tr>
      <w:tr>
        <w:trPr>
          <w:trHeight w:val="196"/>
        </w:trPr>
        <w:tc>
          <w:tcPr>
            <w:tcW w:w="5260" w:type="dxa"/>
            <w:vAlign w:val="bottom"/>
          </w:tcPr>
          <w:p>
            <w:pPr>
              <w:ind w:left="200"/>
              <w:spacing w:after="0"/>
              <w:rPr>
                <w:sz w:val="20"/>
                <w:szCs w:val="20"/>
                <w:color w:val="auto"/>
              </w:rPr>
            </w:pPr>
            <w:r>
              <w:rPr>
                <w:rFonts w:ascii="Courier New" w:cs="Courier New" w:eastAsia="Courier New" w:hAnsi="Courier New"/>
                <w:sz w:val="17"/>
                <w:szCs w:val="17"/>
                <w:color w:val="auto"/>
              </w:rPr>
              <w:t>Issuance of shares of beneficial interest</w:t>
            </w:r>
          </w:p>
        </w:tc>
        <w:tc>
          <w:tcPr>
            <w:tcW w:w="460" w:type="dxa"/>
            <w:vAlign w:val="bottom"/>
          </w:tcPr>
          <w:p>
            <w:pPr>
              <w:spacing w:after="0"/>
              <w:rPr>
                <w:sz w:val="17"/>
                <w:szCs w:val="17"/>
                <w:color w:val="auto"/>
              </w:rPr>
            </w:pPr>
          </w:p>
        </w:tc>
        <w:tc>
          <w:tcPr>
            <w:tcW w:w="1060" w:type="dxa"/>
            <w:vAlign w:val="bottom"/>
          </w:tcPr>
          <w:p>
            <w:pPr>
              <w:jc w:val="right"/>
              <w:ind w:right="255"/>
              <w:spacing w:after="0"/>
              <w:rPr>
                <w:sz w:val="20"/>
                <w:szCs w:val="20"/>
                <w:color w:val="auto"/>
              </w:rPr>
            </w:pPr>
            <w:r>
              <w:rPr>
                <w:rFonts w:ascii="Courier New" w:cs="Courier New" w:eastAsia="Courier New" w:hAnsi="Courier New"/>
                <w:sz w:val="17"/>
                <w:szCs w:val="17"/>
                <w:color w:val="auto"/>
              </w:rPr>
              <w:t>418</w:t>
            </w:r>
          </w:p>
        </w:tc>
        <w:tc>
          <w:tcPr>
            <w:tcW w:w="148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471</w:t>
            </w:r>
          </w:p>
        </w:tc>
      </w:tr>
      <w:tr>
        <w:trPr>
          <w:trHeight w:val="196"/>
        </w:trPr>
        <w:tc>
          <w:tcPr>
            <w:tcW w:w="5260" w:type="dxa"/>
            <w:vAlign w:val="bottom"/>
          </w:tcPr>
          <w:p>
            <w:pPr>
              <w:ind w:left="200"/>
              <w:spacing w:after="0"/>
              <w:rPr>
                <w:sz w:val="20"/>
                <w:szCs w:val="20"/>
                <w:color w:val="auto"/>
              </w:rPr>
            </w:pPr>
            <w:r>
              <w:rPr>
                <w:rFonts w:ascii="Courier New" w:cs="Courier New" w:eastAsia="Courier New" w:hAnsi="Courier New"/>
                <w:sz w:val="17"/>
                <w:szCs w:val="17"/>
                <w:color w:val="auto"/>
              </w:rPr>
              <w:t>Decrease in minority interest</w:t>
            </w:r>
          </w:p>
        </w:tc>
        <w:tc>
          <w:tcPr>
            <w:tcW w:w="460" w:type="dxa"/>
            <w:vAlign w:val="bottom"/>
          </w:tcPr>
          <w:p>
            <w:pPr>
              <w:spacing w:after="0"/>
              <w:rPr>
                <w:sz w:val="17"/>
                <w:szCs w:val="17"/>
                <w:color w:val="auto"/>
              </w:rPr>
            </w:pPr>
          </w:p>
        </w:tc>
        <w:tc>
          <w:tcPr>
            <w:tcW w:w="106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(158)</w:t>
            </w:r>
          </w:p>
        </w:tc>
        <w:tc>
          <w:tcPr>
            <w:tcW w:w="14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(29)</w:t>
            </w:r>
          </w:p>
        </w:tc>
      </w:tr>
      <w:tr>
        <w:trPr>
          <w:trHeight w:val="196"/>
        </w:trPr>
        <w:tc>
          <w:tcPr>
            <w:tcW w:w="5260" w:type="dxa"/>
            <w:vAlign w:val="bottom"/>
          </w:tcPr>
          <w:p>
            <w:pPr>
              <w:spacing w:after="0"/>
              <w:rPr>
                <w:sz w:val="17"/>
                <w:szCs w:val="17"/>
                <w:color w:val="auto"/>
              </w:rPr>
            </w:pPr>
          </w:p>
        </w:tc>
        <w:tc>
          <w:tcPr>
            <w:tcW w:w="1520" w:type="dxa"/>
            <w:vAlign w:val="bottom"/>
            <w:gridSpan w:val="2"/>
          </w:tcPr>
          <w:p>
            <w:pPr>
              <w:jc w:val="right"/>
              <w:ind w:right="255"/>
              <w:spacing w:after="0"/>
              <w:rPr>
                <w:sz w:val="20"/>
                <w:szCs w:val="20"/>
                <w:color w:val="auto"/>
              </w:rPr>
            </w:pPr>
            <w:r>
              <w:rPr>
                <w:rFonts w:ascii="Courier New" w:cs="Courier New" w:eastAsia="Courier New" w:hAnsi="Courier New"/>
                <w:sz w:val="17"/>
                <w:szCs w:val="17"/>
                <w:color w:val="auto"/>
              </w:rPr>
              <w:t>--------</w:t>
            </w:r>
          </w:p>
        </w:tc>
        <w:tc>
          <w:tcPr>
            <w:tcW w:w="148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w:t>
            </w:r>
          </w:p>
        </w:tc>
      </w:tr>
      <w:tr>
        <w:trPr>
          <w:trHeight w:val="196"/>
        </w:trPr>
        <w:tc>
          <w:tcPr>
            <w:tcW w:w="5260" w:type="dxa"/>
            <w:vAlign w:val="bottom"/>
          </w:tcPr>
          <w:p>
            <w:pPr>
              <w:ind w:left="200"/>
              <w:spacing w:after="0"/>
              <w:rPr>
                <w:sz w:val="20"/>
                <w:szCs w:val="20"/>
                <w:color w:val="auto"/>
              </w:rPr>
            </w:pPr>
            <w:r>
              <w:rPr>
                <w:rFonts w:ascii="Courier New" w:cs="Courier New" w:eastAsia="Courier New" w:hAnsi="Courier New"/>
                <w:sz w:val="17"/>
                <w:szCs w:val="17"/>
                <w:color w:val="auto"/>
              </w:rPr>
              <w:t>Net cash provided by financing activities</w:t>
            </w:r>
          </w:p>
        </w:tc>
        <w:tc>
          <w:tcPr>
            <w:tcW w:w="460" w:type="dxa"/>
            <w:vAlign w:val="bottom"/>
          </w:tcPr>
          <w:p>
            <w:pPr>
              <w:spacing w:after="0"/>
              <w:rPr>
                <w:sz w:val="17"/>
                <w:szCs w:val="17"/>
                <w:color w:val="auto"/>
              </w:rPr>
            </w:pPr>
          </w:p>
        </w:tc>
        <w:tc>
          <w:tcPr>
            <w:tcW w:w="1060" w:type="dxa"/>
            <w:vAlign w:val="bottom"/>
          </w:tcPr>
          <w:p>
            <w:pPr>
              <w:jc w:val="right"/>
              <w:ind w:right="255"/>
              <w:spacing w:after="0"/>
              <w:rPr>
                <w:sz w:val="20"/>
                <w:szCs w:val="20"/>
                <w:color w:val="auto"/>
              </w:rPr>
            </w:pPr>
            <w:r>
              <w:rPr>
                <w:rFonts w:ascii="Courier New" w:cs="Courier New" w:eastAsia="Courier New" w:hAnsi="Courier New"/>
                <w:sz w:val="17"/>
                <w:szCs w:val="17"/>
                <w:color w:val="auto"/>
              </w:rPr>
              <w:t>3,451</w:t>
            </w:r>
          </w:p>
        </w:tc>
        <w:tc>
          <w:tcPr>
            <w:tcW w:w="148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8,658</w:t>
            </w:r>
          </w:p>
        </w:tc>
      </w:tr>
      <w:tr>
        <w:trPr>
          <w:trHeight w:val="196"/>
        </w:trPr>
        <w:tc>
          <w:tcPr>
            <w:tcW w:w="5260" w:type="dxa"/>
            <w:vAlign w:val="bottom"/>
          </w:tcPr>
          <w:p>
            <w:pPr>
              <w:spacing w:after="0"/>
              <w:rPr>
                <w:sz w:val="17"/>
                <w:szCs w:val="17"/>
                <w:color w:val="auto"/>
              </w:rPr>
            </w:pPr>
          </w:p>
        </w:tc>
        <w:tc>
          <w:tcPr>
            <w:tcW w:w="1520" w:type="dxa"/>
            <w:vAlign w:val="bottom"/>
            <w:gridSpan w:val="2"/>
          </w:tcPr>
          <w:p>
            <w:pPr>
              <w:jc w:val="right"/>
              <w:ind w:right="255"/>
              <w:spacing w:after="0"/>
              <w:rPr>
                <w:sz w:val="20"/>
                <w:szCs w:val="20"/>
                <w:color w:val="auto"/>
              </w:rPr>
            </w:pPr>
            <w:r>
              <w:rPr>
                <w:rFonts w:ascii="Courier New" w:cs="Courier New" w:eastAsia="Courier New" w:hAnsi="Courier New"/>
                <w:sz w:val="17"/>
                <w:szCs w:val="17"/>
                <w:color w:val="auto"/>
              </w:rPr>
              <w:t>--------</w:t>
            </w:r>
          </w:p>
        </w:tc>
        <w:tc>
          <w:tcPr>
            <w:tcW w:w="148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w:t>
            </w:r>
          </w:p>
        </w:tc>
      </w:tr>
      <w:tr>
        <w:trPr>
          <w:trHeight w:val="392"/>
        </w:trPr>
        <w:tc>
          <w:tcPr>
            <w:tcW w:w="5260" w:type="dxa"/>
            <w:vAlign w:val="bottom"/>
          </w:tcPr>
          <w:p>
            <w:pPr>
              <w:spacing w:after="0"/>
              <w:rPr>
                <w:sz w:val="20"/>
                <w:szCs w:val="20"/>
                <w:color w:val="auto"/>
              </w:rPr>
            </w:pPr>
            <w:r>
              <w:rPr>
                <w:rFonts w:ascii="Courier New" w:cs="Courier New" w:eastAsia="Courier New" w:hAnsi="Courier New"/>
                <w:sz w:val="17"/>
                <w:szCs w:val="17"/>
                <w:color w:val="auto"/>
              </w:rPr>
              <w:t>Increase (decrease) in cash</w:t>
            </w:r>
          </w:p>
        </w:tc>
        <w:tc>
          <w:tcPr>
            <w:tcW w:w="460" w:type="dxa"/>
            <w:vAlign w:val="bottom"/>
          </w:tcPr>
          <w:p>
            <w:pPr>
              <w:spacing w:after="0"/>
              <w:rPr>
                <w:sz w:val="24"/>
                <w:szCs w:val="24"/>
                <w:color w:val="auto"/>
              </w:rPr>
            </w:pPr>
          </w:p>
        </w:tc>
        <w:tc>
          <w:tcPr>
            <w:tcW w:w="106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(2,269)</w:t>
            </w:r>
          </w:p>
        </w:tc>
        <w:tc>
          <w:tcPr>
            <w:tcW w:w="148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13,964</w:t>
            </w:r>
          </w:p>
        </w:tc>
      </w:tr>
      <w:tr>
        <w:trPr>
          <w:trHeight w:val="392"/>
        </w:trPr>
        <w:tc>
          <w:tcPr>
            <w:tcW w:w="5260" w:type="dxa"/>
            <w:vAlign w:val="bottom"/>
          </w:tcPr>
          <w:p>
            <w:pPr>
              <w:spacing w:after="0"/>
              <w:rPr>
                <w:sz w:val="20"/>
                <w:szCs w:val="20"/>
                <w:color w:val="auto"/>
              </w:rPr>
            </w:pPr>
            <w:r>
              <w:rPr>
                <w:rFonts w:ascii="Courier New" w:cs="Courier New" w:eastAsia="Courier New" w:hAnsi="Courier New"/>
                <w:sz w:val="17"/>
                <w:szCs w:val="17"/>
                <w:color w:val="auto"/>
              </w:rPr>
              <w:t>Cash at beginning of period</w:t>
            </w:r>
          </w:p>
        </w:tc>
        <w:tc>
          <w:tcPr>
            <w:tcW w:w="460" w:type="dxa"/>
            <w:vAlign w:val="bottom"/>
          </w:tcPr>
          <w:p>
            <w:pPr>
              <w:spacing w:after="0"/>
              <w:rPr>
                <w:sz w:val="24"/>
                <w:szCs w:val="24"/>
                <w:color w:val="auto"/>
              </w:rPr>
            </w:pPr>
          </w:p>
        </w:tc>
        <w:tc>
          <w:tcPr>
            <w:tcW w:w="1060" w:type="dxa"/>
            <w:vAlign w:val="bottom"/>
          </w:tcPr>
          <w:p>
            <w:pPr>
              <w:jc w:val="right"/>
              <w:ind w:right="255"/>
              <w:spacing w:after="0"/>
              <w:rPr>
                <w:sz w:val="20"/>
                <w:szCs w:val="20"/>
                <w:color w:val="auto"/>
              </w:rPr>
            </w:pPr>
            <w:r>
              <w:rPr>
                <w:rFonts w:ascii="Courier New" w:cs="Courier New" w:eastAsia="Courier New" w:hAnsi="Courier New"/>
                <w:sz w:val="17"/>
                <w:szCs w:val="17"/>
                <w:color w:val="auto"/>
              </w:rPr>
              <w:t>10,521</w:t>
            </w:r>
          </w:p>
        </w:tc>
        <w:tc>
          <w:tcPr>
            <w:tcW w:w="148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3,995</w:t>
            </w:r>
          </w:p>
        </w:tc>
      </w:tr>
      <w:tr>
        <w:trPr>
          <w:trHeight w:val="196"/>
        </w:trPr>
        <w:tc>
          <w:tcPr>
            <w:tcW w:w="5260" w:type="dxa"/>
            <w:vAlign w:val="bottom"/>
          </w:tcPr>
          <w:p>
            <w:pPr>
              <w:spacing w:after="0"/>
              <w:rPr>
                <w:sz w:val="17"/>
                <w:szCs w:val="17"/>
                <w:color w:val="auto"/>
              </w:rPr>
            </w:pPr>
          </w:p>
        </w:tc>
        <w:tc>
          <w:tcPr>
            <w:tcW w:w="1520" w:type="dxa"/>
            <w:vAlign w:val="bottom"/>
            <w:gridSpan w:val="2"/>
          </w:tcPr>
          <w:p>
            <w:pPr>
              <w:jc w:val="right"/>
              <w:ind w:right="255"/>
              <w:spacing w:after="0"/>
              <w:rPr>
                <w:sz w:val="20"/>
                <w:szCs w:val="20"/>
                <w:color w:val="auto"/>
              </w:rPr>
            </w:pPr>
            <w:r>
              <w:rPr>
                <w:rFonts w:ascii="Courier New" w:cs="Courier New" w:eastAsia="Courier New" w:hAnsi="Courier New"/>
                <w:sz w:val="17"/>
                <w:szCs w:val="17"/>
                <w:color w:val="auto"/>
              </w:rPr>
              <w:t>--------</w:t>
            </w:r>
          </w:p>
        </w:tc>
        <w:tc>
          <w:tcPr>
            <w:tcW w:w="148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w:t>
            </w:r>
          </w:p>
        </w:tc>
      </w:tr>
      <w:tr>
        <w:trPr>
          <w:trHeight w:val="196"/>
        </w:trPr>
        <w:tc>
          <w:tcPr>
            <w:tcW w:w="5260" w:type="dxa"/>
            <w:vAlign w:val="bottom"/>
          </w:tcPr>
          <w:p>
            <w:pPr>
              <w:spacing w:after="0"/>
              <w:rPr>
                <w:sz w:val="20"/>
                <w:szCs w:val="20"/>
                <w:color w:val="auto"/>
              </w:rPr>
            </w:pPr>
            <w:r>
              <w:rPr>
                <w:rFonts w:ascii="Courier New" w:cs="Courier New" w:eastAsia="Courier New" w:hAnsi="Courier New"/>
                <w:sz w:val="17"/>
                <w:szCs w:val="17"/>
                <w:color w:val="auto"/>
              </w:rPr>
              <w:t>Cash at end of period</w:t>
            </w: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255"/>
              <w:spacing w:after="0"/>
              <w:rPr>
                <w:sz w:val="20"/>
                <w:szCs w:val="20"/>
                <w:color w:val="auto"/>
              </w:rPr>
            </w:pPr>
            <w:r>
              <w:rPr>
                <w:rFonts w:ascii="Courier New" w:cs="Courier New" w:eastAsia="Courier New" w:hAnsi="Courier New"/>
                <w:sz w:val="17"/>
                <w:szCs w:val="17"/>
                <w:color w:val="auto"/>
              </w:rPr>
              <w:t>8,252</w:t>
            </w:r>
          </w:p>
        </w:tc>
        <w:tc>
          <w:tcPr>
            <w:tcW w:w="148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$ 17,959</w:t>
            </w:r>
          </w:p>
        </w:tc>
      </w:tr>
      <w:tr>
        <w:trPr>
          <w:trHeight w:val="196"/>
        </w:trPr>
        <w:tc>
          <w:tcPr>
            <w:tcW w:w="5260" w:type="dxa"/>
            <w:vAlign w:val="bottom"/>
          </w:tcPr>
          <w:p>
            <w:pPr>
              <w:spacing w:after="0"/>
              <w:rPr>
                <w:sz w:val="17"/>
                <w:szCs w:val="17"/>
                <w:color w:val="auto"/>
              </w:rPr>
            </w:pPr>
          </w:p>
        </w:tc>
        <w:tc>
          <w:tcPr>
            <w:tcW w:w="1520" w:type="dxa"/>
            <w:vAlign w:val="bottom"/>
            <w:gridSpan w:val="2"/>
          </w:tcPr>
          <w:p>
            <w:pPr>
              <w:jc w:val="right"/>
              <w:ind w:right="255"/>
              <w:spacing w:after="0"/>
              <w:rPr>
                <w:sz w:val="20"/>
                <w:szCs w:val="20"/>
                <w:color w:val="auto"/>
              </w:rPr>
            </w:pPr>
            <w:r>
              <w:rPr>
                <w:rFonts w:ascii="Courier New" w:cs="Courier New" w:eastAsia="Courier New" w:hAnsi="Courier New"/>
                <w:sz w:val="17"/>
                <w:szCs w:val="17"/>
                <w:color w:val="auto"/>
              </w:rPr>
              <w:t>========</w:t>
            </w:r>
          </w:p>
        </w:tc>
        <w:tc>
          <w:tcPr>
            <w:tcW w:w="148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w:t>
            </w:r>
          </w:p>
        </w:tc>
      </w:tr>
    </w:tbl>
    <w:p>
      <w:pPr>
        <w:spacing w:after="0" w:line="3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accompanying notes are an integral part of these statements.</w:t>
      </w:r>
    </w:p>
    <w:p>
      <w:pPr>
        <w:spacing w:after="0" w:line="200"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8</w:t>
      </w:r>
    </w:p>
    <w:p>
      <w:pPr>
        <w:sectPr>
          <w:pgSz w:w="11900" w:h="16838" w:orient="portrait"/>
          <w:cols w:equalWidth="0" w:num="1">
            <w:col w:w="10219"/>
          </w:cols>
          <w:pgMar w:left="240" w:top="703" w:right="1440" w:bottom="1440" w:gutter="0" w:footer="0" w:header="0"/>
        </w:sectPr>
      </w:pPr>
    </w:p>
    <w:bookmarkStart w:id="8" w:name="page9"/>
    <w:bookmarkEnd w:id="8"/>
    <w:p>
      <w:pPr>
        <w:ind w:left="2460"/>
        <w:spacing w:after="0"/>
        <w:rPr>
          <w:sz w:val="20"/>
          <w:szCs w:val="20"/>
          <w:color w:val="auto"/>
        </w:rPr>
      </w:pPr>
      <w:r>
        <w:rPr>
          <w:rFonts w:ascii="Courier New" w:cs="Courier New" w:eastAsia="Courier New" w:hAnsi="Courier New"/>
          <w:sz w:val="17"/>
          <w:szCs w:val="17"/>
          <w:color w:val="auto"/>
        </w:rPr>
        <w:t>Federal Realty Investment Trust</w:t>
      </w:r>
    </w:p>
    <w:p>
      <w:pPr>
        <w:spacing w:after="0" w:line="200" w:lineRule="exact"/>
        <w:rPr>
          <w:sz w:val="20"/>
          <w:szCs w:val="20"/>
          <w:color w:val="auto"/>
        </w:rPr>
      </w:pPr>
    </w:p>
    <w:p>
      <w:pPr>
        <w:jc w:val="center"/>
        <w:ind w:right="2259"/>
        <w:spacing w:after="0"/>
        <w:rPr>
          <w:sz w:val="20"/>
          <w:szCs w:val="20"/>
          <w:color w:val="auto"/>
        </w:rPr>
      </w:pPr>
      <w:r>
        <w:rPr>
          <w:rFonts w:ascii="Courier New" w:cs="Courier New" w:eastAsia="Courier New" w:hAnsi="Courier New"/>
          <w:sz w:val="17"/>
          <w:szCs w:val="17"/>
          <w:color w:val="auto"/>
        </w:rPr>
        <w:t>NOTES TO CONSOLIDATED FINANCIAL STATEMENTS</w:t>
      </w:r>
    </w:p>
    <w:p>
      <w:pPr>
        <w:spacing w:after="0" w:line="200" w:lineRule="exact"/>
        <w:rPr>
          <w:sz w:val="20"/>
          <w:szCs w:val="20"/>
          <w:color w:val="auto"/>
        </w:rPr>
      </w:pPr>
    </w:p>
    <w:p>
      <w:pPr>
        <w:jc w:val="center"/>
        <w:ind w:right="2259"/>
        <w:spacing w:after="0"/>
        <w:rPr>
          <w:sz w:val="20"/>
          <w:szCs w:val="20"/>
          <w:color w:val="auto"/>
        </w:rPr>
      </w:pPr>
      <w:r>
        <w:rPr>
          <w:rFonts w:ascii="Courier New" w:cs="Courier New" w:eastAsia="Courier New" w:hAnsi="Courier New"/>
          <w:sz w:val="17"/>
          <w:szCs w:val="17"/>
          <w:color w:val="auto"/>
        </w:rPr>
        <w:t>March 31, 1996</w:t>
      </w:r>
    </w:p>
    <w:p>
      <w:pPr>
        <w:spacing w:after="0" w:line="4" w:lineRule="exact"/>
        <w:rPr>
          <w:sz w:val="20"/>
          <w:szCs w:val="20"/>
          <w:color w:val="auto"/>
        </w:rPr>
      </w:pPr>
    </w:p>
    <w:p>
      <w:pPr>
        <w:jc w:val="center"/>
        <w:ind w:right="2259"/>
        <w:spacing w:after="0"/>
        <w:rPr>
          <w:sz w:val="20"/>
          <w:szCs w:val="20"/>
          <w:color w:val="auto"/>
        </w:rPr>
      </w:pPr>
      <w:r>
        <w:rPr>
          <w:rFonts w:ascii="Courier New" w:cs="Courier New" w:eastAsia="Courier New" w:hAnsi="Courier New"/>
          <w:sz w:val="17"/>
          <w:szCs w:val="17"/>
          <w:color w:val="auto"/>
        </w:rPr>
        <w:t>(see accountants' review report)</w:t>
      </w:r>
    </w:p>
    <w:p>
      <w:pPr>
        <w:spacing w:after="0" w:line="4" w:lineRule="exact"/>
        <w:rPr>
          <w:sz w:val="20"/>
          <w:szCs w:val="20"/>
          <w:color w:val="auto"/>
        </w:rPr>
      </w:pPr>
    </w:p>
    <w:p>
      <w:pPr>
        <w:jc w:val="center"/>
        <w:ind w:right="2159"/>
        <w:spacing w:after="0"/>
        <w:rPr>
          <w:sz w:val="20"/>
          <w:szCs w:val="20"/>
          <w:color w:val="auto"/>
        </w:rPr>
      </w:pPr>
      <w:r>
        <w:rPr>
          <w:rFonts w:ascii="Courier New" w:cs="Courier New" w:eastAsia="Courier New" w:hAnsi="Courier New"/>
          <w:sz w:val="17"/>
          <w:szCs w:val="17"/>
          <w:color w:val="auto"/>
        </w:rPr>
        <w:t>(unaudited)</w:t>
      </w:r>
    </w:p>
    <w:p>
      <w:pPr>
        <w:spacing w:after="0" w:line="3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A - ACCOUNTING POLICIES AND OTHER DATA</w:t>
      </w:r>
    </w:p>
    <w:p>
      <w:pPr>
        <w:spacing w:after="0" w:line="201" w:lineRule="exact"/>
        <w:rPr>
          <w:sz w:val="20"/>
          <w:szCs w:val="20"/>
          <w:color w:val="auto"/>
        </w:rPr>
      </w:pPr>
    </w:p>
    <w:p>
      <w:pPr>
        <w:ind w:right="2259" w:firstLine="510"/>
        <w:spacing w:after="0" w:line="243" w:lineRule="auto"/>
        <w:rPr>
          <w:sz w:val="20"/>
          <w:szCs w:val="20"/>
          <w:color w:val="auto"/>
        </w:rPr>
      </w:pPr>
      <w:r>
        <w:rPr>
          <w:rFonts w:ascii="Courier New" w:cs="Courier New" w:eastAsia="Courier New" w:hAnsi="Courier New"/>
          <w:sz w:val="17"/>
          <w:szCs w:val="17"/>
          <w:color w:val="auto"/>
        </w:rPr>
        <w:t>Reference should be made to the notes to financial statements included in the Annual Report to shareholders for the year ended December 31, 1995 which contain the Trust's accounting policies and other data.</w:t>
      </w:r>
    </w:p>
    <w:p>
      <w:pPr>
        <w:spacing w:after="0" w:line="1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B - DIVIDENDS PAYABLE</w:t>
      </w:r>
    </w:p>
    <w:p>
      <w:pPr>
        <w:spacing w:after="0" w:line="201" w:lineRule="exact"/>
        <w:rPr>
          <w:sz w:val="20"/>
          <w:szCs w:val="20"/>
          <w:color w:val="auto"/>
        </w:rPr>
      </w:pPr>
    </w:p>
    <w:p>
      <w:pPr>
        <w:ind w:right="2559" w:firstLine="510"/>
        <w:spacing w:after="0" w:line="243" w:lineRule="auto"/>
        <w:rPr>
          <w:sz w:val="20"/>
          <w:szCs w:val="20"/>
          <w:color w:val="auto"/>
        </w:rPr>
      </w:pPr>
      <w:r>
        <w:rPr>
          <w:rFonts w:ascii="Courier New" w:cs="Courier New" w:eastAsia="Courier New" w:hAnsi="Courier New"/>
          <w:sz w:val="17"/>
          <w:szCs w:val="17"/>
          <w:color w:val="auto"/>
        </w:rPr>
        <w:t>On February 16, 1996 the Trustees declared a cash dividend of $.41 per share, payable April 15, 1996 to shareholders of record March 25, 1996.</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C - REAL ESTATE</w:t>
      </w:r>
    </w:p>
    <w:p>
      <w:pPr>
        <w:spacing w:after="0" w:line="201" w:lineRule="exact"/>
        <w:rPr>
          <w:sz w:val="20"/>
          <w:szCs w:val="20"/>
          <w:color w:val="auto"/>
        </w:rPr>
      </w:pPr>
    </w:p>
    <w:p>
      <w:pPr>
        <w:ind w:right="2059" w:firstLine="510"/>
        <w:spacing w:after="0" w:line="273" w:lineRule="auto"/>
        <w:rPr>
          <w:sz w:val="20"/>
          <w:szCs w:val="20"/>
          <w:color w:val="auto"/>
        </w:rPr>
      </w:pPr>
      <w:r>
        <w:rPr>
          <w:rFonts w:ascii="Courier New" w:cs="Courier New" w:eastAsia="Courier New" w:hAnsi="Courier New"/>
          <w:sz w:val="16"/>
          <w:szCs w:val="16"/>
          <w:color w:val="auto"/>
        </w:rPr>
        <w:t>On February 28, 1996 the Trust purchased, for cash, two retail buildings totalling 28,446 square feet in Winter Park, Florida for a cost of $6.8 million.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D - NOTES PAYABLE</w:t>
      </w:r>
    </w:p>
    <w:p>
      <w:pPr>
        <w:spacing w:after="0" w:line="201" w:lineRule="exact"/>
        <w:rPr>
          <w:sz w:val="20"/>
          <w:szCs w:val="20"/>
          <w:color w:val="auto"/>
        </w:rPr>
      </w:pPr>
    </w:p>
    <w:p>
      <w:pPr>
        <w:ind w:right="2259" w:firstLine="510"/>
        <w:spacing w:after="0" w:line="244" w:lineRule="auto"/>
        <w:rPr>
          <w:sz w:val="20"/>
          <w:szCs w:val="20"/>
          <w:color w:val="auto"/>
        </w:rPr>
      </w:pPr>
      <w:r>
        <w:rPr>
          <w:rFonts w:ascii="Courier New" w:cs="Courier New" w:eastAsia="Courier New" w:hAnsi="Courier New"/>
          <w:sz w:val="17"/>
          <w:szCs w:val="17"/>
          <w:color w:val="auto"/>
        </w:rPr>
        <w:t>The Trust has $130 million of unsecured medium term revolving credit facilities with four banks. The facilities, which bear interest at LIBOR plus 75 to 100 basis points, require fees and have covenants requiring a minimum shareholders' equity and a maximum ratio of debt to net worth. At March 31, 1996 there was $56.6 million borrowed under these credit facilities which was the maximum drawn during the first quarter of 1996. The weighted average interest rate on borrowings for the quarter ended March 31, 1996 was 6.8%.</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E - SHAREHOLDERS' EQUITY</w:t>
      </w:r>
    </w:p>
    <w:p>
      <w:pPr>
        <w:spacing w:after="0" w:line="201" w:lineRule="exact"/>
        <w:rPr>
          <w:sz w:val="20"/>
          <w:szCs w:val="20"/>
          <w:color w:val="auto"/>
        </w:rPr>
      </w:pPr>
    </w:p>
    <w:p>
      <w:pPr>
        <w:ind w:right="2159" w:firstLine="510"/>
        <w:spacing w:after="0" w:line="244" w:lineRule="auto"/>
        <w:rPr>
          <w:sz w:val="20"/>
          <w:szCs w:val="20"/>
          <w:color w:val="auto"/>
        </w:rPr>
      </w:pPr>
      <w:r>
        <w:rPr>
          <w:rFonts w:ascii="Courier New" w:cs="Courier New" w:eastAsia="Courier New" w:hAnsi="Courier New"/>
          <w:sz w:val="17"/>
          <w:szCs w:val="17"/>
          <w:color w:val="auto"/>
        </w:rPr>
        <w:t>During the first three months of 1996, 20,667 shares were issued at prices ranging from $18.00 a share to $20.875 a share as the result of the exercise of stock options. The Trust accepted notes of $375,000 from certain of its officers in connection with the issuance of 19,000 of these shares.</w:t>
      </w:r>
    </w:p>
    <w:p>
      <w:pPr>
        <w:spacing w:after="0" w:line="198" w:lineRule="exact"/>
        <w:rPr>
          <w:sz w:val="20"/>
          <w:szCs w:val="20"/>
          <w:color w:val="auto"/>
        </w:rPr>
      </w:pPr>
    </w:p>
    <w:p>
      <w:pPr>
        <w:ind w:right="2059" w:firstLine="510"/>
        <w:spacing w:after="0" w:line="243" w:lineRule="auto"/>
        <w:rPr>
          <w:sz w:val="20"/>
          <w:szCs w:val="20"/>
          <w:color w:val="auto"/>
        </w:rPr>
      </w:pPr>
      <w:r>
        <w:rPr>
          <w:rFonts w:ascii="Courier New" w:cs="Courier New" w:eastAsia="Courier New" w:hAnsi="Courier New"/>
          <w:sz w:val="17"/>
          <w:szCs w:val="17"/>
          <w:color w:val="auto"/>
        </w:rPr>
        <w:t>On February 16, 1996, 58,681 options at $21.125 per share were granted to employees of the Trust. An option for 20,000 shares at $21 per share was granted to an employee upon commencement of his employment.</w:t>
      </w:r>
    </w:p>
    <w:p>
      <w:pPr>
        <w:spacing w:after="0" w:line="199"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9</w:t>
      </w:r>
    </w:p>
    <w:p>
      <w:pPr>
        <w:sectPr>
          <w:pgSz w:w="11900" w:h="16838" w:orient="portrait"/>
          <w:cols w:equalWidth="0" w:num="1">
            <w:col w:w="10219"/>
          </w:cols>
          <w:pgMar w:left="240" w:top="703" w:right="1440" w:bottom="1440" w:gutter="0" w:footer="0" w:header="0"/>
        </w:sectPr>
      </w:pPr>
    </w:p>
    <w:bookmarkStart w:id="9" w:name="page10"/>
    <w:bookmarkEnd w:id="9"/>
    <w:p>
      <w:pPr>
        <w:ind w:right="2159" w:firstLine="510"/>
        <w:spacing w:after="0" w:line="243" w:lineRule="auto"/>
        <w:rPr>
          <w:sz w:val="20"/>
          <w:szCs w:val="20"/>
          <w:color w:val="auto"/>
        </w:rPr>
      </w:pPr>
      <w:r>
        <w:rPr>
          <w:rFonts w:ascii="Courier New" w:cs="Courier New" w:eastAsia="Courier New" w:hAnsi="Courier New"/>
          <w:sz w:val="17"/>
          <w:szCs w:val="17"/>
          <w:color w:val="auto"/>
        </w:rPr>
        <w:t>On May 2, 1996 each of the trustees, other than the president, was awarded 2,500 options at $21.625 per share.</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F - INTEREST EXPENSE</w:t>
      </w:r>
    </w:p>
    <w:p>
      <w:pPr>
        <w:spacing w:after="0" w:line="201" w:lineRule="exact"/>
        <w:rPr>
          <w:sz w:val="20"/>
          <w:szCs w:val="20"/>
          <w:color w:val="auto"/>
        </w:rPr>
      </w:pPr>
    </w:p>
    <w:p>
      <w:pPr>
        <w:ind w:left="520"/>
        <w:spacing w:after="0"/>
        <w:rPr>
          <w:sz w:val="20"/>
          <w:szCs w:val="20"/>
          <w:color w:val="auto"/>
        </w:rPr>
      </w:pPr>
      <w:r>
        <w:rPr>
          <w:rFonts w:ascii="Courier New" w:cs="Courier New" w:eastAsia="Courier New" w:hAnsi="Courier New"/>
          <w:sz w:val="16"/>
          <w:szCs w:val="16"/>
          <w:color w:val="auto"/>
        </w:rPr>
        <w:t>The Trust incurred interest expense totaling $11.4 million during the first</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quarter of 1996 and $9.2 million during the first quarter of 1995, of which</w:t>
      </w:r>
    </w:p>
    <w:p>
      <w:pPr>
        <w:spacing w:after="0" w:line="4" w:lineRule="exact"/>
        <w:rPr>
          <w:sz w:val="20"/>
          <w:szCs w:val="20"/>
          <w:color w:val="auto"/>
        </w:rPr>
      </w:pPr>
    </w:p>
    <w:p>
      <w:pPr>
        <w:spacing w:after="0"/>
        <w:tabs>
          <w:tab w:leader="none" w:pos="5600" w:val="left"/>
        </w:tabs>
        <w:rPr>
          <w:sz w:val="20"/>
          <w:szCs w:val="20"/>
          <w:color w:val="auto"/>
        </w:rPr>
      </w:pPr>
      <w:r>
        <w:rPr>
          <w:rFonts w:ascii="Courier New" w:cs="Courier New" w:eastAsia="Courier New" w:hAnsi="Courier New"/>
          <w:sz w:val="17"/>
          <w:szCs w:val="17"/>
          <w:color w:val="auto"/>
        </w:rPr>
        <w:t>$302,000 and $75,000, respectively, were capitalized.</w:t>
      </w:r>
      <w:r>
        <w:rPr>
          <w:sz w:val="20"/>
          <w:szCs w:val="20"/>
          <w:color w:val="auto"/>
        </w:rPr>
        <w:tab/>
      </w:r>
      <w:r>
        <w:rPr>
          <w:rFonts w:ascii="Courier New" w:cs="Courier New" w:eastAsia="Courier New" w:hAnsi="Courier New"/>
          <w:sz w:val="16"/>
          <w:szCs w:val="16"/>
          <w:color w:val="auto"/>
        </w:rPr>
        <w:t>Interest paid was $11.5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million in the first quarter of 1996 and $6.7 million in the first quarter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1995.</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G - COMMITMENTS AND CONTINGENCIES</w:t>
      </w:r>
    </w:p>
    <w:p>
      <w:pPr>
        <w:spacing w:after="0" w:line="201" w:lineRule="exact"/>
        <w:rPr>
          <w:sz w:val="20"/>
          <w:szCs w:val="20"/>
          <w:color w:val="auto"/>
        </w:rPr>
      </w:pPr>
    </w:p>
    <w:p>
      <w:pPr>
        <w:ind w:right="2059" w:firstLine="1020"/>
        <w:spacing w:after="0" w:line="261" w:lineRule="auto"/>
        <w:rPr>
          <w:sz w:val="20"/>
          <w:szCs w:val="20"/>
          <w:color w:val="auto"/>
        </w:rPr>
      </w:pPr>
      <w:r>
        <w:rPr>
          <w:rFonts w:ascii="Courier New" w:cs="Courier New" w:eastAsia="Courier New" w:hAnsi="Courier New"/>
          <w:sz w:val="16"/>
          <w:szCs w:val="16"/>
          <w:color w:val="auto"/>
        </w:rPr>
        <w:t>As previously reported, certain of the Trust's shopping centers have some environmental contamination. The North Carolina Department of the Environment, Health and Natural Resources ("DEHNR") issued a Notice of Violation ("NOV") against a former drycleaner tenant at Eastgate Shopping Center in Chapel Hill, North Carolina concerning a spill at the shopping center. As owner of the shopping center, the Trust was named in and received a copy of the NOV. Estimates to remediate the spill range from $300,000 to $500,000. The Trust has entered into an agreement with two previous owners of the shopping center to share the costs to assess and remediate. In 1993 the Trust recorded a liability of $120,000 as its estimated share of the clean up costs.</w:t>
      </w:r>
    </w:p>
    <w:p>
      <w:pPr>
        <w:spacing w:after="0" w:line="187"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In 1992 contaminants at levels in excess of New Jersey cleanup standards were identified at a shopping center in New Jersey. The Trust has retained an environmental consultant to investigate the contamination. The Trust is also evaluating whether it has insurance coverage for this matter. At this time, the Trust has not determined what the range of remediation costs might be, but does not believe that the costs will have a material effect upon the Trust's financial condition. The Trust has also identified chlorinated solvent contamination at another property. The contamination appears to be linked to the current and/or previous dry cleaner. The Trust intends to look to the responsible parties for any remediation effort. Evaluation of this situation is preliminary and it is impossible, at this time, to estimate the range of remediation costs, if any.</w:t>
      </w:r>
    </w:p>
    <w:p>
      <w:pPr>
        <w:spacing w:after="0" w:line="201"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The Trust reserved approximately $2 million at closing in 1993 for environmental issues associated with Gaithersburg Square Shopping Center. Pursuant to an indemnity agreement entered into with the seller at closing, the Trust agreed to take certain actions with respect to identified chlorinated solvent contamination. The seller indemnified the Trust for certain third party claims and government requirements related to contamination at adjacent properties.</w:t>
      </w:r>
    </w:p>
    <w:p>
      <w:pPr>
        <w:spacing w:after="0" w:line="198"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10</w:t>
      </w:r>
    </w:p>
    <w:p>
      <w:pPr>
        <w:sectPr>
          <w:pgSz w:w="11900" w:h="16838" w:orient="portrait"/>
          <w:cols w:equalWidth="0" w:num="1">
            <w:col w:w="10219"/>
          </w:cols>
          <w:pgMar w:left="240" w:top="704" w:right="1440" w:bottom="1440" w:gutter="0" w:footer="0" w:header="0"/>
        </w:sectPr>
      </w:pPr>
    </w:p>
    <w:bookmarkStart w:id="10" w:name="page11"/>
    <w:bookmarkEnd w:id="10"/>
    <w:p>
      <w:pPr>
        <w:ind w:right="2059" w:firstLine="510"/>
        <w:spacing w:after="0" w:line="262" w:lineRule="auto"/>
        <w:rPr>
          <w:sz w:val="20"/>
          <w:szCs w:val="20"/>
          <w:color w:val="auto"/>
        </w:rPr>
      </w:pPr>
      <w:r>
        <w:rPr>
          <w:rFonts w:ascii="Courier New" w:cs="Courier New" w:eastAsia="Courier New" w:hAnsi="Courier New"/>
          <w:sz w:val="16"/>
          <w:szCs w:val="16"/>
          <w:color w:val="auto"/>
        </w:rPr>
        <w:t>In connection with the purchase of Bristol Shopping Center in 1995, the Trust agreed to perform all remedial measures necessary to obtain a final letter of compliance from the Connecticut Commissioner of Environmental Protection with respect to certain identified soil and ground water contamination associated with a former dry cleaning operation. The seller established an escrow account at closing of $187,500 to cover such remedial measures and has indemnified the Trust in connection with the identified contamination.</w:t>
      </w:r>
    </w:p>
    <w:p>
      <w:pPr>
        <w:spacing w:after="0" w:line="185"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Pursuant to the provisions of the respective partnership agreements, in the event of the exercise of put options by the other partners, the Trust would be required to purchase the 99% limited partnership interest at Loehmann's Plaza at its then fair market value and a 22.5% interest at Congressional Plaza at its then fair market value.</w:t>
      </w:r>
    </w:p>
    <w:p>
      <w:pPr>
        <w:spacing w:after="0" w:line="198"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At March 31, 1996 in connection with certain redevelopment projects and tenant improvements, the Trust is contractually obligated on contracts of approximately $7.2 million. At March 31, 1996 the Trust is also obligated under leases with tenants to provide up to an additional $6.5 million for improvements.</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H - COMPONENTS OF RENTAL INCOME</w:t>
      </w:r>
    </w:p>
    <w:p>
      <w:pPr>
        <w:spacing w:after="0" w:line="201" w:lineRule="exact"/>
        <w:rPr>
          <w:sz w:val="20"/>
          <w:szCs w:val="20"/>
          <w:color w:val="auto"/>
        </w:rPr>
      </w:pPr>
    </w:p>
    <w:p>
      <w:pPr>
        <w:ind w:right="2159" w:firstLine="510"/>
        <w:spacing w:after="0" w:line="243" w:lineRule="auto"/>
        <w:rPr>
          <w:sz w:val="20"/>
          <w:szCs w:val="20"/>
          <w:color w:val="auto"/>
        </w:rPr>
      </w:pPr>
      <w:r>
        <w:rPr>
          <w:rFonts w:ascii="Courier New" w:cs="Courier New" w:eastAsia="Courier New" w:hAnsi="Courier New"/>
          <w:sz w:val="17"/>
          <w:szCs w:val="17"/>
          <w:color w:val="auto"/>
        </w:rPr>
        <w:t>The components of rental income for the three months ended March 31 are as follows:</w:t>
      </w: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240" w:type="dxa"/>
            <w:vAlign w:val="bottom"/>
          </w:tcPr>
          <w:p>
            <w:pPr>
              <w:spacing w:after="0"/>
              <w:rPr>
                <w:sz w:val="16"/>
                <w:szCs w:val="16"/>
                <w:color w:val="auto"/>
              </w:rPr>
            </w:pPr>
          </w:p>
        </w:tc>
        <w:tc>
          <w:tcPr>
            <w:tcW w:w="10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1996</w:t>
            </w:r>
          </w:p>
        </w:tc>
        <w:tc>
          <w:tcPr>
            <w:tcW w:w="8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1995</w:t>
            </w:r>
          </w:p>
        </w:tc>
      </w:tr>
      <w:tr>
        <w:trPr>
          <w:trHeight w:val="392"/>
        </w:trPr>
        <w:tc>
          <w:tcPr>
            <w:tcW w:w="2240" w:type="dxa"/>
            <w:vAlign w:val="bottom"/>
          </w:tcPr>
          <w:p>
            <w:pPr>
              <w:spacing w:after="0"/>
              <w:rPr>
                <w:sz w:val="24"/>
                <w:szCs w:val="24"/>
                <w:color w:val="auto"/>
              </w:rPr>
            </w:pPr>
          </w:p>
        </w:tc>
        <w:tc>
          <w:tcPr>
            <w:tcW w:w="184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(in thousands)</w:t>
            </w:r>
          </w:p>
        </w:tc>
      </w:tr>
      <w:tr>
        <w:trPr>
          <w:trHeight w:val="196"/>
        </w:trPr>
        <w:tc>
          <w:tcPr>
            <w:tcW w:w="2240" w:type="dxa"/>
            <w:vAlign w:val="bottom"/>
          </w:tcPr>
          <w:p>
            <w:pPr>
              <w:spacing w:after="0"/>
              <w:rPr>
                <w:sz w:val="20"/>
                <w:szCs w:val="20"/>
                <w:color w:val="auto"/>
              </w:rPr>
            </w:pPr>
            <w:r>
              <w:rPr>
                <w:rFonts w:ascii="Courier New" w:cs="Courier New" w:eastAsia="Courier New" w:hAnsi="Courier New"/>
                <w:sz w:val="17"/>
                <w:szCs w:val="17"/>
                <w:color w:val="auto"/>
              </w:rPr>
              <w:t>Retail properties</w:t>
            </w:r>
          </w:p>
        </w:tc>
        <w:tc>
          <w:tcPr>
            <w:tcW w:w="10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96"/>
        </w:trPr>
        <w:tc>
          <w:tcPr>
            <w:tcW w:w="2240" w:type="dxa"/>
            <w:vAlign w:val="bottom"/>
          </w:tcPr>
          <w:p>
            <w:pPr>
              <w:ind w:left="100"/>
              <w:spacing w:after="0"/>
              <w:rPr>
                <w:sz w:val="20"/>
                <w:szCs w:val="20"/>
                <w:color w:val="auto"/>
              </w:rPr>
            </w:pPr>
            <w:r>
              <w:rPr>
                <w:rFonts w:ascii="Courier New" w:cs="Courier New" w:eastAsia="Courier New" w:hAnsi="Courier New"/>
                <w:sz w:val="17"/>
                <w:szCs w:val="17"/>
                <w:color w:val="auto"/>
              </w:rPr>
              <w:t>Minimum rents</w:t>
            </w:r>
          </w:p>
        </w:tc>
        <w:tc>
          <w:tcPr>
            <w:tcW w:w="10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$31,334</w:t>
            </w:r>
          </w:p>
        </w:tc>
        <w:tc>
          <w:tcPr>
            <w:tcW w:w="820" w:type="dxa"/>
            <w:vAlign w:val="bottom"/>
          </w:tcPr>
          <w:p>
            <w:pPr>
              <w:jc w:val="right"/>
              <w:spacing w:after="0"/>
              <w:rPr>
                <w:sz w:val="20"/>
                <w:szCs w:val="20"/>
                <w:color w:val="auto"/>
              </w:rPr>
            </w:pPr>
            <w:r>
              <w:rPr>
                <w:rFonts w:ascii="Courier New" w:cs="Courier New" w:eastAsia="Courier New" w:hAnsi="Courier New"/>
                <w:sz w:val="17"/>
                <w:szCs w:val="17"/>
                <w:color w:val="auto"/>
              </w:rPr>
              <w:t>$26,540</w:t>
            </w:r>
          </w:p>
        </w:tc>
      </w:tr>
      <w:tr>
        <w:trPr>
          <w:trHeight w:val="196"/>
        </w:trPr>
        <w:tc>
          <w:tcPr>
            <w:tcW w:w="2240" w:type="dxa"/>
            <w:vAlign w:val="bottom"/>
          </w:tcPr>
          <w:p>
            <w:pPr>
              <w:ind w:left="100"/>
              <w:spacing w:after="0"/>
              <w:rPr>
                <w:sz w:val="20"/>
                <w:szCs w:val="20"/>
                <w:color w:val="auto"/>
              </w:rPr>
            </w:pPr>
            <w:r>
              <w:rPr>
                <w:rFonts w:ascii="Courier New" w:cs="Courier New" w:eastAsia="Courier New" w:hAnsi="Courier New"/>
                <w:sz w:val="17"/>
                <w:szCs w:val="17"/>
                <w:color w:val="auto"/>
              </w:rPr>
              <w:t>Cost reimbursements</w:t>
            </w:r>
          </w:p>
        </w:tc>
        <w:tc>
          <w:tcPr>
            <w:tcW w:w="10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7,471</w:t>
            </w:r>
          </w:p>
        </w:tc>
        <w:tc>
          <w:tcPr>
            <w:tcW w:w="820" w:type="dxa"/>
            <w:vAlign w:val="bottom"/>
          </w:tcPr>
          <w:p>
            <w:pPr>
              <w:jc w:val="right"/>
              <w:spacing w:after="0"/>
              <w:rPr>
                <w:sz w:val="20"/>
                <w:szCs w:val="20"/>
                <w:color w:val="auto"/>
              </w:rPr>
            </w:pPr>
            <w:r>
              <w:rPr>
                <w:rFonts w:ascii="Courier New" w:cs="Courier New" w:eastAsia="Courier New" w:hAnsi="Courier New"/>
                <w:sz w:val="17"/>
                <w:szCs w:val="17"/>
                <w:color w:val="auto"/>
              </w:rPr>
              <w:t>5,650</w:t>
            </w:r>
          </w:p>
        </w:tc>
      </w:tr>
      <w:tr>
        <w:trPr>
          <w:trHeight w:val="196"/>
        </w:trPr>
        <w:tc>
          <w:tcPr>
            <w:tcW w:w="2240" w:type="dxa"/>
            <w:vAlign w:val="bottom"/>
          </w:tcPr>
          <w:p>
            <w:pPr>
              <w:ind w:left="100"/>
              <w:spacing w:after="0"/>
              <w:rPr>
                <w:sz w:val="20"/>
                <w:szCs w:val="20"/>
                <w:color w:val="auto"/>
              </w:rPr>
            </w:pPr>
            <w:r>
              <w:rPr>
                <w:rFonts w:ascii="Courier New" w:cs="Courier New" w:eastAsia="Courier New" w:hAnsi="Courier New"/>
                <w:sz w:val="17"/>
                <w:szCs w:val="17"/>
                <w:color w:val="auto"/>
              </w:rPr>
              <w:t>Percentage rents</w:t>
            </w:r>
          </w:p>
        </w:tc>
        <w:tc>
          <w:tcPr>
            <w:tcW w:w="10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1,334</w:t>
            </w:r>
          </w:p>
        </w:tc>
        <w:tc>
          <w:tcPr>
            <w:tcW w:w="820" w:type="dxa"/>
            <w:vAlign w:val="bottom"/>
          </w:tcPr>
          <w:p>
            <w:pPr>
              <w:jc w:val="right"/>
              <w:spacing w:after="0"/>
              <w:rPr>
                <w:sz w:val="20"/>
                <w:szCs w:val="20"/>
                <w:color w:val="auto"/>
              </w:rPr>
            </w:pPr>
            <w:r>
              <w:rPr>
                <w:rFonts w:ascii="Courier New" w:cs="Courier New" w:eastAsia="Courier New" w:hAnsi="Courier New"/>
                <w:sz w:val="17"/>
                <w:szCs w:val="17"/>
                <w:color w:val="auto"/>
              </w:rPr>
              <w:t>1,604</w:t>
            </w:r>
          </w:p>
        </w:tc>
      </w:tr>
      <w:tr>
        <w:trPr>
          <w:trHeight w:val="196"/>
        </w:trPr>
        <w:tc>
          <w:tcPr>
            <w:tcW w:w="2240" w:type="dxa"/>
            <w:vAlign w:val="bottom"/>
          </w:tcPr>
          <w:p>
            <w:pPr>
              <w:spacing w:after="0"/>
              <w:rPr>
                <w:sz w:val="20"/>
                <w:szCs w:val="20"/>
                <w:color w:val="auto"/>
              </w:rPr>
            </w:pPr>
            <w:r>
              <w:rPr>
                <w:rFonts w:ascii="Courier New" w:cs="Courier New" w:eastAsia="Courier New" w:hAnsi="Courier New"/>
                <w:sz w:val="17"/>
                <w:szCs w:val="17"/>
                <w:color w:val="auto"/>
              </w:rPr>
              <w:t>Apartments</w:t>
            </w:r>
          </w:p>
        </w:tc>
        <w:tc>
          <w:tcPr>
            <w:tcW w:w="10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608</w:t>
            </w:r>
          </w:p>
        </w:tc>
        <w:tc>
          <w:tcPr>
            <w:tcW w:w="820" w:type="dxa"/>
            <w:vAlign w:val="bottom"/>
          </w:tcPr>
          <w:p>
            <w:pPr>
              <w:jc w:val="right"/>
              <w:spacing w:after="0"/>
              <w:rPr>
                <w:sz w:val="20"/>
                <w:szCs w:val="20"/>
                <w:color w:val="auto"/>
              </w:rPr>
            </w:pPr>
            <w:r>
              <w:rPr>
                <w:rFonts w:ascii="Courier New" w:cs="Courier New" w:eastAsia="Courier New" w:hAnsi="Courier New"/>
                <w:sz w:val="17"/>
                <w:szCs w:val="17"/>
                <w:color w:val="auto"/>
              </w:rPr>
              <w:t>613</w:t>
            </w:r>
          </w:p>
        </w:tc>
      </w:tr>
      <w:tr>
        <w:trPr>
          <w:trHeight w:val="196"/>
        </w:trPr>
        <w:tc>
          <w:tcPr>
            <w:tcW w:w="2240" w:type="dxa"/>
            <w:vAlign w:val="bottom"/>
          </w:tcPr>
          <w:p>
            <w:pPr>
              <w:spacing w:after="0"/>
              <w:rPr>
                <w:sz w:val="17"/>
                <w:szCs w:val="17"/>
                <w:color w:val="auto"/>
              </w:rPr>
            </w:pPr>
          </w:p>
        </w:tc>
        <w:tc>
          <w:tcPr>
            <w:tcW w:w="10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6"/>
        </w:trPr>
        <w:tc>
          <w:tcPr>
            <w:tcW w:w="2240" w:type="dxa"/>
            <w:vAlign w:val="bottom"/>
          </w:tcPr>
          <w:p>
            <w:pPr>
              <w:spacing w:after="0"/>
              <w:rPr>
                <w:sz w:val="17"/>
                <w:szCs w:val="17"/>
                <w:color w:val="auto"/>
              </w:rPr>
            </w:pPr>
          </w:p>
        </w:tc>
        <w:tc>
          <w:tcPr>
            <w:tcW w:w="10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$40,747</w:t>
            </w:r>
          </w:p>
        </w:tc>
        <w:tc>
          <w:tcPr>
            <w:tcW w:w="820" w:type="dxa"/>
            <w:vAlign w:val="bottom"/>
          </w:tcPr>
          <w:p>
            <w:pPr>
              <w:jc w:val="right"/>
              <w:spacing w:after="0"/>
              <w:rPr>
                <w:sz w:val="20"/>
                <w:szCs w:val="20"/>
                <w:color w:val="auto"/>
              </w:rPr>
            </w:pPr>
            <w:r>
              <w:rPr>
                <w:rFonts w:ascii="Courier New" w:cs="Courier New" w:eastAsia="Courier New" w:hAnsi="Courier New"/>
                <w:sz w:val="17"/>
                <w:szCs w:val="17"/>
                <w:color w:val="auto"/>
              </w:rPr>
              <w:t>$34,407</w:t>
            </w:r>
          </w:p>
        </w:tc>
      </w:tr>
      <w:tr>
        <w:trPr>
          <w:trHeight w:val="196"/>
        </w:trPr>
        <w:tc>
          <w:tcPr>
            <w:tcW w:w="2240" w:type="dxa"/>
            <w:vAlign w:val="bottom"/>
          </w:tcPr>
          <w:p>
            <w:pPr>
              <w:spacing w:after="0"/>
              <w:rPr>
                <w:sz w:val="17"/>
                <w:szCs w:val="17"/>
                <w:color w:val="auto"/>
              </w:rPr>
            </w:pPr>
          </w:p>
        </w:tc>
        <w:tc>
          <w:tcPr>
            <w:tcW w:w="10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I - SUBSEQUENT EVENTS</w:t>
      </w:r>
    </w:p>
    <w:p>
      <w:pPr>
        <w:spacing w:after="0" w:line="201"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On April 22, 1996 the Trust made a convertible participating loan to a partnership of $9.2 million, secured by retail properties in Manayunk, Pennsylvania. The loan bears interest at 10% plus additional interest based upon the gross income of the secured properties. In addition, upon sale of the properties, the Trust will share in the appreciation of the properties. From and after April 2006, which date may be extended to April 2008, the Trust has the option to convert the loan into a partnership interest.</w:t>
      </w:r>
    </w:p>
    <w:p>
      <w:pPr>
        <w:spacing w:after="0" w:line="199" w:lineRule="exact"/>
        <w:rPr>
          <w:sz w:val="20"/>
          <w:szCs w:val="20"/>
          <w:color w:val="auto"/>
        </w:rPr>
      </w:pPr>
    </w:p>
    <w:p>
      <w:pPr>
        <w:ind w:right="2859" w:firstLine="510"/>
        <w:spacing w:after="0" w:line="243" w:lineRule="auto"/>
        <w:rPr>
          <w:sz w:val="20"/>
          <w:szCs w:val="20"/>
          <w:color w:val="auto"/>
        </w:rPr>
      </w:pPr>
      <w:r>
        <w:rPr>
          <w:rFonts w:ascii="Courier New" w:cs="Courier New" w:eastAsia="Courier New" w:hAnsi="Courier New"/>
          <w:sz w:val="17"/>
          <w:szCs w:val="17"/>
          <w:color w:val="auto"/>
        </w:rPr>
        <w:t>On May 6, 1996 the Trust purchased its third property in Greenwich, Connecticut for a purchase price of $3.2 million in cash.</w:t>
      </w:r>
    </w:p>
    <w:p>
      <w:pPr>
        <w:spacing w:after="0" w:line="198"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11</w:t>
      </w:r>
    </w:p>
    <w:p>
      <w:pPr>
        <w:sectPr>
          <w:pgSz w:w="11900" w:h="16838" w:orient="portrait"/>
          <w:cols w:equalWidth="0" w:num="1">
            <w:col w:w="10219"/>
          </w:cols>
          <w:pgMar w:left="240" w:top="900" w:right="1440" w:bottom="1440" w:gutter="0" w:footer="0" w:header="0"/>
        </w:sectPr>
      </w:pPr>
    </w:p>
    <w:bookmarkStart w:id="11" w:name="page12"/>
    <w:bookmarkEnd w:id="11"/>
    <w:p>
      <w:pPr>
        <w:ind w:left="2460"/>
        <w:spacing w:after="0"/>
        <w:rPr>
          <w:sz w:val="20"/>
          <w:szCs w:val="20"/>
          <w:color w:val="auto"/>
        </w:rPr>
      </w:pPr>
      <w:r>
        <w:rPr>
          <w:rFonts w:ascii="Courier New" w:cs="Courier New" w:eastAsia="Courier New" w:hAnsi="Courier New"/>
          <w:sz w:val="17"/>
          <w:szCs w:val="17"/>
          <w:color w:val="auto"/>
        </w:rPr>
        <w:t>FEDERAL REALTY INVESTMENT TRUST</w:t>
      </w:r>
    </w:p>
    <w:p>
      <w:pPr>
        <w:spacing w:after="0" w:line="4" w:lineRule="exact"/>
        <w:rPr>
          <w:sz w:val="20"/>
          <w:szCs w:val="20"/>
          <w:color w:val="auto"/>
        </w:rPr>
      </w:pPr>
    </w:p>
    <w:p>
      <w:pPr>
        <w:ind w:left="3580"/>
        <w:spacing w:after="0"/>
        <w:rPr>
          <w:sz w:val="20"/>
          <w:szCs w:val="20"/>
          <w:color w:val="auto"/>
        </w:rPr>
      </w:pPr>
      <w:r>
        <w:rPr>
          <w:rFonts w:ascii="Courier New" w:cs="Courier New" w:eastAsia="Courier New" w:hAnsi="Courier New"/>
          <w:sz w:val="17"/>
          <w:szCs w:val="17"/>
          <w:color w:val="auto"/>
        </w:rPr>
        <w:t>FORM 10-Q</w:t>
      </w:r>
    </w:p>
    <w:p>
      <w:pPr>
        <w:spacing w:after="0" w:line="4" w:lineRule="exact"/>
        <w:rPr>
          <w:sz w:val="20"/>
          <w:szCs w:val="20"/>
          <w:color w:val="auto"/>
        </w:rPr>
      </w:pPr>
    </w:p>
    <w:p>
      <w:pPr>
        <w:ind w:left="3260"/>
        <w:spacing w:after="0"/>
        <w:rPr>
          <w:sz w:val="20"/>
          <w:szCs w:val="20"/>
          <w:color w:val="auto"/>
        </w:rPr>
      </w:pPr>
      <w:r>
        <w:rPr>
          <w:rFonts w:ascii="Courier New" w:cs="Courier New" w:eastAsia="Courier New" w:hAnsi="Courier New"/>
          <w:sz w:val="17"/>
          <w:szCs w:val="17"/>
          <w:color w:val="auto"/>
        </w:rPr>
        <w:t>MARCH 31, 1996</w:t>
      </w:r>
    </w:p>
    <w:p>
      <w:pPr>
        <w:spacing w:after="0" w:line="396" w:lineRule="exact"/>
        <w:rPr>
          <w:sz w:val="20"/>
          <w:szCs w:val="20"/>
          <w:color w:val="auto"/>
        </w:rPr>
      </w:pPr>
    </w:p>
    <w:p>
      <w:pPr>
        <w:jc w:val="center"/>
        <w:ind w:right="2159"/>
        <w:spacing w:after="0"/>
        <w:rPr>
          <w:sz w:val="20"/>
          <w:szCs w:val="20"/>
          <w:color w:val="auto"/>
        </w:rPr>
      </w:pPr>
      <w:r>
        <w:rPr>
          <w:rFonts w:ascii="Courier New" w:cs="Courier New" w:eastAsia="Courier New" w:hAnsi="Courier New"/>
          <w:sz w:val="17"/>
          <w:szCs w:val="17"/>
          <w:color w:val="auto"/>
        </w:rPr>
        <w:t>MANAGEMENT'S DISCUSSION AND ANALYSIS OF</w:t>
      </w:r>
    </w:p>
    <w:p>
      <w:pPr>
        <w:spacing w:after="0" w:line="4" w:lineRule="exact"/>
        <w:rPr>
          <w:sz w:val="20"/>
          <w:szCs w:val="20"/>
          <w:color w:val="auto"/>
        </w:rPr>
      </w:pPr>
    </w:p>
    <w:p>
      <w:pPr>
        <w:jc w:val="center"/>
        <w:ind w:right="2159"/>
        <w:spacing w:after="0"/>
        <w:rPr>
          <w:sz w:val="20"/>
          <w:szCs w:val="20"/>
          <w:color w:val="auto"/>
        </w:rPr>
      </w:pPr>
      <w:r>
        <w:rPr>
          <w:rFonts w:ascii="Courier New" w:cs="Courier New" w:eastAsia="Courier New" w:hAnsi="Courier New"/>
          <w:sz w:val="17"/>
          <w:szCs w:val="17"/>
          <w:color w:val="auto"/>
        </w:rPr>
        <w:t>FINANCIAL CONDITION AND RESULTS OF OPERATIONS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LIQUIDITY AND CAPITAL RESOURCES</w:t>
      </w:r>
    </w:p>
    <w:p>
      <w:pPr>
        <w:spacing w:after="0" w:line="201" w:lineRule="exact"/>
        <w:rPr>
          <w:sz w:val="20"/>
          <w:szCs w:val="20"/>
          <w:color w:val="auto"/>
        </w:rPr>
      </w:pPr>
    </w:p>
    <w:p>
      <w:pPr>
        <w:ind w:right="2259" w:firstLine="510"/>
        <w:spacing w:after="0" w:line="244" w:lineRule="auto"/>
        <w:rPr>
          <w:sz w:val="20"/>
          <w:szCs w:val="20"/>
          <w:color w:val="auto"/>
        </w:rPr>
      </w:pPr>
      <w:r>
        <w:rPr>
          <w:rFonts w:ascii="Courier New" w:cs="Courier New" w:eastAsia="Courier New" w:hAnsi="Courier New"/>
          <w:sz w:val="17"/>
          <w:szCs w:val="17"/>
          <w:color w:val="auto"/>
        </w:rPr>
        <w:t>Federal Realty meets its liquidity requirements through net cash provided by operating activities, long term borrowing through debt offerings and mortgages, medium and short term borrowing under revolving credit facilities, and equity offerings. Because all or a significant portion of the Trust's net cash provided by operating activities is distributed to shareholders, capital outlays for property acquisitions, renovation projects and debt repayments require funding from borrowing or equity offerings.</w:t>
      </w:r>
    </w:p>
    <w:p>
      <w:pPr>
        <w:spacing w:after="0" w:line="199"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Net cash provided by operating activities decreased from $16.1 million in the first quarter of 1995 to $12.3 million in the first quarter of 1996. The decrease resulted primarily from a $4.4 million increase in cash used for operating assets and liabilities. During the first quarter of 1995 cash was provided by a $1.7 million decrease in accounts receivable and a $2.6 million increase in accrued liabilities, primarily interest, compared to cash used in 1996 by an increase in accounts receivable of $722,000 and a $766,000 decrease in accrued expenses. Dividends paid in cash were $12.5 million in 1996 and $11.8 million in 1995.</w:t>
      </w:r>
    </w:p>
    <w:p>
      <w:pPr>
        <w:spacing w:after="0" w:line="200" w:lineRule="exact"/>
        <w:rPr>
          <w:sz w:val="20"/>
          <w:szCs w:val="20"/>
          <w:color w:val="auto"/>
        </w:rPr>
      </w:pPr>
    </w:p>
    <w:p>
      <w:pPr>
        <w:ind w:right="2159" w:firstLine="510"/>
        <w:spacing w:after="0" w:line="244" w:lineRule="auto"/>
        <w:rPr>
          <w:sz w:val="20"/>
          <w:szCs w:val="20"/>
          <w:color w:val="auto"/>
        </w:rPr>
      </w:pPr>
      <w:r>
        <w:rPr>
          <w:rFonts w:ascii="Courier New" w:cs="Courier New" w:eastAsia="Courier New" w:hAnsi="Courier New"/>
          <w:sz w:val="17"/>
          <w:szCs w:val="17"/>
          <w:color w:val="auto"/>
        </w:rPr>
        <w:t>In February 1996 the Trust purchased two retail properties in Winter Park, Florida for $6.8 million in cash. During the first quarter of 1996 another $10.3 million was spent on tenant work and improvements to Trust properties; these improvements included: (1) $900,000 on the redevelopment of Brick Plaza which was begun in 1995; (2) $1.6 million to buy out below market leases; (3) $1.0 million to begin the construction of an additional 30,000 square feet at Congressional Plaza; and (4) $550,000 to begin the redevelopment and expansion of a portion of Bethesda Row.</w:t>
      </w:r>
    </w:p>
    <w:p>
      <w:pPr>
        <w:spacing w:after="0" w:line="199" w:lineRule="exact"/>
        <w:rPr>
          <w:sz w:val="20"/>
          <w:szCs w:val="20"/>
          <w:color w:val="auto"/>
        </w:rPr>
      </w:pPr>
    </w:p>
    <w:p>
      <w:pPr>
        <w:ind w:right="2159" w:firstLine="510"/>
        <w:spacing w:after="0" w:line="244" w:lineRule="auto"/>
        <w:rPr>
          <w:sz w:val="20"/>
          <w:szCs w:val="20"/>
          <w:color w:val="auto"/>
        </w:rPr>
      </w:pPr>
      <w:r>
        <w:rPr>
          <w:rFonts w:ascii="Courier New" w:cs="Courier New" w:eastAsia="Courier New" w:hAnsi="Courier New"/>
          <w:sz w:val="17"/>
          <w:szCs w:val="17"/>
          <w:color w:val="auto"/>
        </w:rPr>
        <w:t>The Trust has available $130.0 million of unsecured medium-term revolving credit facilities with four banks. The facilities, which require fees and have covenants requiring a minimum shareholders' equity and a maximum ratio of debt to net worth, are used to fund acquisitions and other cash requirements until conditions are favorable for issuing equity or long term debt. At March 31, 1996 the Trust had borrowed $56.6 million under these facilities, the maximum amount borrowed under these facilities during the first quarter of 1996. Amounts advanced under these facilities bear interest at LIBOR plus 75 - 100 basis</w:t>
      </w:r>
    </w:p>
    <w:p>
      <w:pPr>
        <w:spacing w:after="0" w:line="199"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12</w:t>
      </w:r>
    </w:p>
    <w:p>
      <w:pPr>
        <w:sectPr>
          <w:pgSz w:w="11900" w:h="16838" w:orient="portrait"/>
          <w:cols w:equalWidth="0" w:num="1">
            <w:col w:w="10219"/>
          </w:cols>
          <w:pgMar w:left="240" w:top="899" w:right="1440" w:bottom="1440" w:gutter="0" w:footer="0" w:header="0"/>
        </w:sectPr>
      </w:pPr>
    </w:p>
    <w:bookmarkStart w:id="12" w:name="page13"/>
    <w:bookmarkEnd w:id="12"/>
    <w:p>
      <w:pPr>
        <w:ind w:right="2159"/>
        <w:spacing w:after="0" w:line="243" w:lineRule="auto"/>
        <w:rPr>
          <w:sz w:val="20"/>
          <w:szCs w:val="20"/>
          <w:color w:val="auto"/>
        </w:rPr>
      </w:pPr>
      <w:r>
        <w:rPr>
          <w:rFonts w:ascii="Courier New" w:cs="Courier New" w:eastAsia="Courier New" w:hAnsi="Courier New"/>
          <w:sz w:val="17"/>
          <w:szCs w:val="17"/>
          <w:color w:val="auto"/>
        </w:rPr>
        <w:t>points; the weighted average interest rate on borrowings during the quarter was 6.8%.</w:t>
      </w:r>
    </w:p>
    <w:p>
      <w:pPr>
        <w:spacing w:after="0" w:line="199" w:lineRule="exact"/>
        <w:rPr>
          <w:sz w:val="20"/>
          <w:szCs w:val="20"/>
          <w:color w:val="auto"/>
        </w:rPr>
      </w:pPr>
    </w:p>
    <w:p>
      <w:pPr>
        <w:ind w:right="2159" w:firstLine="510"/>
        <w:spacing w:after="0" w:line="244" w:lineRule="auto"/>
        <w:rPr>
          <w:sz w:val="20"/>
          <w:szCs w:val="20"/>
          <w:color w:val="auto"/>
        </w:rPr>
      </w:pPr>
      <w:r>
        <w:rPr>
          <w:rFonts w:ascii="Courier New" w:cs="Courier New" w:eastAsia="Courier New" w:hAnsi="Courier New"/>
          <w:sz w:val="17"/>
          <w:szCs w:val="17"/>
          <w:color w:val="auto"/>
        </w:rPr>
        <w:t>On April 22, 1996, the Trust made a loan to a partnership of $9.2 million, secured by retail properties in Manayunk, Pennsylvania. The loan, which bears interest at 10%, also has an additional interest component based on gross income of the secured properties, a share in future appreciation of the retail properties, and an option to convert the mortgage to an ownership interest in the properties. The loan was funded by borrowings on the revolving credit facilities.</w:t>
      </w:r>
    </w:p>
    <w:p>
      <w:pPr>
        <w:spacing w:after="0" w:line="199"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The Trust is contractually obligated on contracts of approximately $7.2 million for redevelopment and tenant improvements and is committed under leases for up to an additional $6.5 million in tenant work. In addition to these committed amounts, the Trust has budgeted an additional $27 million for the remainder of 1996 for improvements to its properties. These committed and budgeted improvements include a 30,000 square foot expansion at Congressional Plaza, a renovation and expansion of a portion of Bethesda Row and a retenanting and renovation of a portion of Troy Shopping Center. These expenditures will be funded with the revolving credit facilities pending their long term financing with either equity or debt.</w:t>
      </w:r>
    </w:p>
    <w:p>
      <w:pPr>
        <w:spacing w:after="0" w:line="200" w:lineRule="exact"/>
        <w:rPr>
          <w:sz w:val="20"/>
          <w:szCs w:val="20"/>
          <w:color w:val="auto"/>
        </w:rPr>
      </w:pPr>
    </w:p>
    <w:p>
      <w:pPr>
        <w:ind w:right="2359" w:firstLine="612"/>
        <w:spacing w:after="0" w:line="244" w:lineRule="auto"/>
        <w:rPr>
          <w:sz w:val="20"/>
          <w:szCs w:val="20"/>
          <w:color w:val="auto"/>
        </w:rPr>
      </w:pPr>
      <w:r>
        <w:rPr>
          <w:rFonts w:ascii="Courier New" w:cs="Courier New" w:eastAsia="Courier New" w:hAnsi="Courier New"/>
          <w:sz w:val="17"/>
          <w:szCs w:val="17"/>
          <w:color w:val="auto"/>
        </w:rPr>
        <w:t>The Trust continues to seek to acquire existing retail properties, both shopping center and main street retail buildings. In addition, the Trust is searching for sites in its core markets to permit the Trust to build new shopping centers.</w:t>
      </w:r>
    </w:p>
    <w:p>
      <w:pPr>
        <w:spacing w:after="0" w:line="198" w:lineRule="exact"/>
        <w:rPr>
          <w:sz w:val="20"/>
          <w:szCs w:val="20"/>
          <w:color w:val="auto"/>
        </w:rPr>
      </w:pPr>
    </w:p>
    <w:p>
      <w:pPr>
        <w:ind w:right="2059" w:firstLine="510"/>
        <w:spacing w:after="0" w:line="262" w:lineRule="auto"/>
        <w:rPr>
          <w:sz w:val="20"/>
          <w:szCs w:val="20"/>
          <w:color w:val="auto"/>
        </w:rPr>
      </w:pPr>
      <w:r>
        <w:rPr>
          <w:rFonts w:ascii="Courier New" w:cs="Courier New" w:eastAsia="Courier New" w:hAnsi="Courier New"/>
          <w:sz w:val="16"/>
          <w:szCs w:val="16"/>
          <w:color w:val="auto"/>
        </w:rPr>
        <w:t>The Trust will need additional capital in order to fund these acquisitions, expansions and refinancings. Sources of this funding may be proceeds from the sale of existing properties, additional debt and additional equity. The timing and choice between additional debt or equity financing will depend upon many factors, including the market price for the Trust's shares, interest rates and the ratio of debt to net worth. The Trust believes that it will be able to raise this capital as needed, based on its past success in so doing.</w:t>
      </w:r>
    </w:p>
    <w:p>
      <w:pPr>
        <w:spacing w:after="0" w:line="38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CONTINGENCIES</w:t>
      </w:r>
    </w:p>
    <w:p>
      <w:pPr>
        <w:spacing w:after="0" w:line="201"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As previously reported, certain of the Trust's shopping centers have some environmental contamination. The North Carolina Department of the Environment, Health and Natural Resources ("DEHNR") issued a Notice of Violation ("NOV") against a former drycleaner tenant at Eastgate Shopping Center in Chapel Hill, North Carolina concerning a spill at the shopping center. As owner of the shopping center, the Trust was named in and received a copy of the NOV. Estimates to remediate the spill range from $300,000 to $500,000. The Trust has entered into an agreement with two previous owners of the shopping center to</w:t>
      </w:r>
    </w:p>
    <w:p>
      <w:pPr>
        <w:spacing w:after="0" w:line="199"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13</w:t>
      </w:r>
    </w:p>
    <w:p>
      <w:pPr>
        <w:sectPr>
          <w:pgSz w:w="11900" w:h="16838" w:orient="portrait"/>
          <w:cols w:equalWidth="0" w:num="1">
            <w:col w:w="10219"/>
          </w:cols>
          <w:pgMar w:left="240" w:top="900" w:right="1440" w:bottom="1440" w:gutter="0" w:footer="0" w:header="0"/>
        </w:sectPr>
      </w:pPr>
    </w:p>
    <w:bookmarkStart w:id="13" w:name="page14"/>
    <w:bookmarkEnd w:id="13"/>
    <w:p>
      <w:pPr>
        <w:ind w:right="2059"/>
        <w:spacing w:after="0" w:line="243" w:lineRule="auto"/>
        <w:rPr>
          <w:sz w:val="20"/>
          <w:szCs w:val="20"/>
          <w:color w:val="auto"/>
        </w:rPr>
      </w:pPr>
      <w:r>
        <w:rPr>
          <w:rFonts w:ascii="Courier New" w:cs="Courier New" w:eastAsia="Courier New" w:hAnsi="Courier New"/>
          <w:sz w:val="17"/>
          <w:szCs w:val="17"/>
          <w:color w:val="auto"/>
        </w:rPr>
        <w:t>share the costs to assess and remediate. In 1993 the Trust recorded a liability of $120,000 as its estimated share of the clean up costs.</w:t>
      </w:r>
    </w:p>
    <w:p>
      <w:pPr>
        <w:spacing w:after="0" w:line="199"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In 1992 contaminants at levels in excess of New Jersey cleanup standards were identified at a shopping center in New Jersey. The Trust has retained an environmental consultant to investigate the contamination. The Trust is also evaluating whether it has insurance coverage for this matter. At this time, the Trust has not determined what the range of remediation costs might be, but does not believe that the costs will have a material effect upon the Trust's financial condition. The Trust has also identified chlorinated solvent contamination at another property. The contamination appears to be linked to the current and/or previous dry cleaner. The Trust intends to look to the responsible parties for any remediation effort. Evaluation of this situation is preliminary and it is impossible, at this time, to estimate the range of remediation costs, if any.</w:t>
      </w:r>
    </w:p>
    <w:p>
      <w:pPr>
        <w:spacing w:after="0" w:line="201" w:lineRule="exact"/>
        <w:rPr>
          <w:sz w:val="20"/>
          <w:szCs w:val="20"/>
          <w:color w:val="auto"/>
        </w:rPr>
      </w:pPr>
    </w:p>
    <w:p>
      <w:pPr>
        <w:ind w:right="2159" w:firstLine="510"/>
        <w:spacing w:after="0" w:line="244" w:lineRule="auto"/>
        <w:rPr>
          <w:sz w:val="20"/>
          <w:szCs w:val="20"/>
          <w:color w:val="auto"/>
        </w:rPr>
      </w:pPr>
      <w:r>
        <w:rPr>
          <w:rFonts w:ascii="Courier New" w:cs="Courier New" w:eastAsia="Courier New" w:hAnsi="Courier New"/>
          <w:sz w:val="17"/>
          <w:szCs w:val="17"/>
          <w:color w:val="auto"/>
        </w:rPr>
        <w:t>The Trust reserved approximately $2 million at closing in 1993 for environmental issues associated with Gaithersburg Square Shopping Center. Pursuant to an indemnity agreement entered into with the seller at closing, the Trust agreed to take certain actions with respect to identified chlorinated solvent contamination. The seller indemnified the Trust of certain third party claims and government requirements related to contamination at adjacent properties.</w:t>
      </w:r>
    </w:p>
    <w:p>
      <w:pPr>
        <w:spacing w:after="0" w:line="199" w:lineRule="exact"/>
        <w:rPr>
          <w:sz w:val="20"/>
          <w:szCs w:val="20"/>
          <w:color w:val="auto"/>
        </w:rPr>
      </w:pPr>
    </w:p>
    <w:p>
      <w:pPr>
        <w:ind w:right="2059" w:firstLine="510"/>
        <w:spacing w:after="0" w:line="262" w:lineRule="auto"/>
        <w:rPr>
          <w:sz w:val="20"/>
          <w:szCs w:val="20"/>
          <w:color w:val="auto"/>
        </w:rPr>
      </w:pPr>
      <w:r>
        <w:rPr>
          <w:rFonts w:ascii="Courier New" w:cs="Courier New" w:eastAsia="Courier New" w:hAnsi="Courier New"/>
          <w:sz w:val="16"/>
          <w:szCs w:val="16"/>
          <w:color w:val="auto"/>
        </w:rPr>
        <w:t>In connection with the purchase of Bristol Shopping Center in 1995, the Trust agreed to perform all remedial measures necessary to obtain a final letter of compliance from the Connecticut Commissioner of Environmental Protection with respect to certain identified soil and ground water contamination associated with a former dry cleaning operation. The seller established an escrow account at closing of $187,500 to cover such remedial measures and has indemnified the Trust in connection with the identified contamination.</w:t>
      </w:r>
    </w:p>
    <w:p>
      <w:pPr>
        <w:spacing w:after="0" w:line="185"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Pursuant to the provisions of the respective partnership agreements, in the event of the exercise of put options by the other partners, the Trust would be required to purchase the 99% limited partnership interest at Loehmann's Plaza at its then fair market value and a 22.5% interest at Congressional Plaza at its then fair market value.</w:t>
      </w:r>
    </w:p>
    <w:p>
      <w:pPr>
        <w:spacing w:after="0" w:line="198" w:lineRule="exact"/>
        <w:rPr>
          <w:sz w:val="20"/>
          <w:szCs w:val="20"/>
          <w:color w:val="auto"/>
        </w:rPr>
      </w:pPr>
    </w:p>
    <w:p>
      <w:pPr>
        <w:ind w:right="2159" w:firstLine="510"/>
        <w:spacing w:after="0" w:line="244" w:lineRule="auto"/>
        <w:rPr>
          <w:sz w:val="20"/>
          <w:szCs w:val="20"/>
          <w:color w:val="auto"/>
        </w:rPr>
      </w:pPr>
      <w:r>
        <w:rPr>
          <w:rFonts w:ascii="Courier New" w:cs="Courier New" w:eastAsia="Courier New" w:hAnsi="Courier New"/>
          <w:sz w:val="17"/>
          <w:szCs w:val="17"/>
          <w:color w:val="auto"/>
        </w:rPr>
        <w:t>Recently the unfavorable trends in the retail environment have led to a number of retail bankruptcies. A further weakening of the retail environment and additional bankruptcies could adversely impact the Trust, by increasing vacancies and decreasing rents. In past difficult retail and real estate environments, the Trust has been able to replace weak and bankrupt tenants with stronger tenants; management believes that</w:t>
      </w:r>
    </w:p>
    <w:p>
      <w:pPr>
        <w:spacing w:after="0" w:line="198"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14</w:t>
      </w:r>
    </w:p>
    <w:p>
      <w:pPr>
        <w:sectPr>
          <w:pgSz w:w="11900" w:h="16838" w:orient="portrait"/>
          <w:cols w:equalWidth="0" w:num="1">
            <w:col w:w="10219"/>
          </w:cols>
          <w:pgMar w:left="240" w:top="900" w:right="1440" w:bottom="1440" w:gutter="0" w:footer="0" w:header="0"/>
        </w:sectPr>
      </w:pPr>
    </w:p>
    <w:bookmarkStart w:id="14" w:name="page15"/>
    <w:bookmarkEnd w:id="14"/>
    <w:p>
      <w:pPr>
        <w:ind w:right="2259"/>
        <w:spacing w:after="0" w:line="243" w:lineRule="auto"/>
        <w:rPr>
          <w:sz w:val="20"/>
          <w:szCs w:val="20"/>
          <w:color w:val="auto"/>
        </w:rPr>
      </w:pPr>
      <w:r>
        <w:rPr>
          <w:rFonts w:ascii="Courier New" w:cs="Courier New" w:eastAsia="Courier New" w:hAnsi="Courier New"/>
          <w:sz w:val="17"/>
          <w:szCs w:val="17"/>
          <w:color w:val="auto"/>
        </w:rPr>
        <w:t>the quality of the Trust's properties will continue to generate demand for its retail space.</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RESULTS OF OPERATIONS - THREE MONTHS ENDED MARCH 31, 1996 AND 1995</w:t>
      </w:r>
    </w:p>
    <w:p>
      <w:pPr>
        <w:spacing w:after="0" w:line="397"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The Trust has historically reported its funds from operations in addition to its net income. Funds from operations is a supplemental measure of real estate companies' operating performance which excludes historical cost depreciation, since real estate values have historically risen and fallen with market conditions rather than over time. Funds from operations is defined by The National Association of Real Estate Investment Trusts ("NAREIT") in a white paper issued during 1995, as follows: income before depreciation and amortization of real estate assets and before extraordinary items and significant non-recurring events less gains on sale of real estate. The Trust complies with this definition. Funds from operations does not replace net income as a measure of performance or net cash provided by operating activities as a measure of liquidity. Rather, funds from operations has been adopted by real estate investment trusts to provide a consistent supplemental measure of operating performance in the industry.</w:t>
      </w:r>
    </w:p>
    <w:p>
      <w:pPr>
        <w:spacing w:after="0" w:line="202" w:lineRule="exact"/>
        <w:rPr>
          <w:sz w:val="20"/>
          <w:szCs w:val="20"/>
          <w:color w:val="auto"/>
        </w:rPr>
      </w:pPr>
    </w:p>
    <w:p>
      <w:pPr>
        <w:ind w:right="2459" w:firstLine="510"/>
        <w:spacing w:after="0" w:line="243" w:lineRule="auto"/>
        <w:rPr>
          <w:sz w:val="20"/>
          <w:szCs w:val="20"/>
          <w:color w:val="auto"/>
        </w:rPr>
      </w:pPr>
      <w:r>
        <w:rPr>
          <w:rFonts w:ascii="Courier New" w:cs="Courier New" w:eastAsia="Courier New" w:hAnsi="Courier New"/>
          <w:sz w:val="17"/>
          <w:szCs w:val="17"/>
          <w:color w:val="auto"/>
        </w:rPr>
        <w:t>The reconciliation of net income to funds from operations for the three months ended March 31 is as follows:</w:t>
      </w: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880" w:type="dxa"/>
            <w:vAlign w:val="bottom"/>
          </w:tcPr>
          <w:p>
            <w:pPr>
              <w:spacing w:after="0"/>
              <w:rPr>
                <w:sz w:val="16"/>
                <w:szCs w:val="16"/>
                <w:color w:val="auto"/>
              </w:rPr>
            </w:pPr>
          </w:p>
        </w:tc>
        <w:tc>
          <w:tcPr>
            <w:tcW w:w="10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1996</w:t>
            </w:r>
          </w:p>
        </w:tc>
        <w:tc>
          <w:tcPr>
            <w:tcW w:w="8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1995</w:t>
            </w:r>
          </w:p>
        </w:tc>
      </w:tr>
      <w:tr>
        <w:trPr>
          <w:trHeight w:val="196"/>
        </w:trPr>
        <w:tc>
          <w:tcPr>
            <w:tcW w:w="3880" w:type="dxa"/>
            <w:vAlign w:val="bottom"/>
          </w:tcPr>
          <w:p>
            <w:pPr>
              <w:spacing w:after="0"/>
              <w:rPr>
                <w:sz w:val="17"/>
                <w:szCs w:val="17"/>
                <w:color w:val="auto"/>
              </w:rPr>
            </w:pPr>
          </w:p>
        </w:tc>
        <w:tc>
          <w:tcPr>
            <w:tcW w:w="184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(in thousands)</w:t>
            </w:r>
          </w:p>
        </w:tc>
      </w:tr>
      <w:tr>
        <w:trPr>
          <w:trHeight w:val="392"/>
        </w:trPr>
        <w:tc>
          <w:tcPr>
            <w:tcW w:w="3880" w:type="dxa"/>
            <w:vAlign w:val="bottom"/>
          </w:tcPr>
          <w:p>
            <w:pPr>
              <w:spacing w:after="0"/>
              <w:rPr>
                <w:sz w:val="20"/>
                <w:szCs w:val="20"/>
                <w:color w:val="auto"/>
              </w:rPr>
            </w:pPr>
            <w:r>
              <w:rPr>
                <w:rFonts w:ascii="Courier New" w:cs="Courier New" w:eastAsia="Courier New" w:hAnsi="Courier New"/>
                <w:sz w:val="17"/>
                <w:szCs w:val="17"/>
                <w:color w:val="auto"/>
              </w:rPr>
              <w:t>Net income</w:t>
            </w:r>
          </w:p>
        </w:tc>
        <w:tc>
          <w:tcPr>
            <w:tcW w:w="10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$ 6,026</w:t>
            </w:r>
          </w:p>
        </w:tc>
        <w:tc>
          <w:tcPr>
            <w:tcW w:w="820" w:type="dxa"/>
            <w:vAlign w:val="bottom"/>
          </w:tcPr>
          <w:p>
            <w:pPr>
              <w:jc w:val="right"/>
              <w:spacing w:after="0"/>
              <w:rPr>
                <w:sz w:val="20"/>
                <w:szCs w:val="20"/>
                <w:color w:val="auto"/>
              </w:rPr>
            </w:pPr>
            <w:r>
              <w:rPr>
                <w:rFonts w:ascii="Courier New" w:cs="Courier New" w:eastAsia="Courier New" w:hAnsi="Courier New"/>
                <w:sz w:val="17"/>
                <w:szCs w:val="17"/>
                <w:color w:val="auto"/>
              </w:rPr>
              <w:t>$ 6,623</w:t>
            </w:r>
          </w:p>
        </w:tc>
      </w:tr>
      <w:tr>
        <w:trPr>
          <w:trHeight w:val="196"/>
        </w:trPr>
        <w:tc>
          <w:tcPr>
            <w:tcW w:w="3880" w:type="dxa"/>
            <w:vAlign w:val="bottom"/>
          </w:tcPr>
          <w:p>
            <w:pPr>
              <w:spacing w:after="0"/>
              <w:rPr>
                <w:sz w:val="20"/>
                <w:szCs w:val="20"/>
                <w:color w:val="auto"/>
              </w:rPr>
            </w:pPr>
            <w:r>
              <w:rPr>
                <w:rFonts w:ascii="Courier New" w:cs="Courier New" w:eastAsia="Courier New" w:hAnsi="Courier New"/>
                <w:sz w:val="17"/>
                <w:szCs w:val="17"/>
                <w:color w:val="auto"/>
              </w:rPr>
              <w:t>Plus: depreciation and amortization</w:t>
            </w:r>
          </w:p>
        </w:tc>
        <w:tc>
          <w:tcPr>
            <w:tcW w:w="10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96"/>
        </w:trPr>
        <w:tc>
          <w:tcPr>
            <w:tcW w:w="3880" w:type="dxa"/>
            <w:vAlign w:val="bottom"/>
          </w:tcPr>
          <w:p>
            <w:pPr>
              <w:ind w:left="720"/>
              <w:spacing w:after="0"/>
              <w:rPr>
                <w:sz w:val="20"/>
                <w:szCs w:val="20"/>
                <w:color w:val="auto"/>
              </w:rPr>
            </w:pPr>
            <w:r>
              <w:rPr>
                <w:rFonts w:ascii="Courier New" w:cs="Courier New" w:eastAsia="Courier New" w:hAnsi="Courier New"/>
                <w:sz w:val="17"/>
                <w:szCs w:val="17"/>
                <w:color w:val="auto"/>
              </w:rPr>
              <w:t>of real estate assets</w:t>
            </w:r>
          </w:p>
        </w:tc>
        <w:tc>
          <w:tcPr>
            <w:tcW w:w="10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8,342</w:t>
            </w:r>
          </w:p>
        </w:tc>
        <w:tc>
          <w:tcPr>
            <w:tcW w:w="820" w:type="dxa"/>
            <w:vAlign w:val="bottom"/>
          </w:tcPr>
          <w:p>
            <w:pPr>
              <w:jc w:val="right"/>
              <w:spacing w:after="0"/>
              <w:rPr>
                <w:sz w:val="20"/>
                <w:szCs w:val="20"/>
                <w:color w:val="auto"/>
              </w:rPr>
            </w:pPr>
            <w:r>
              <w:rPr>
                <w:rFonts w:ascii="Courier New" w:cs="Courier New" w:eastAsia="Courier New" w:hAnsi="Courier New"/>
                <w:sz w:val="17"/>
                <w:szCs w:val="17"/>
                <w:color w:val="auto"/>
              </w:rPr>
              <w:t>7,404</w:t>
            </w:r>
          </w:p>
        </w:tc>
      </w:tr>
      <w:tr>
        <w:trPr>
          <w:trHeight w:val="196"/>
        </w:trPr>
        <w:tc>
          <w:tcPr>
            <w:tcW w:w="3880" w:type="dxa"/>
            <w:vAlign w:val="bottom"/>
          </w:tcPr>
          <w:p>
            <w:pPr>
              <w:ind w:left="620"/>
              <w:spacing w:after="0"/>
              <w:rPr>
                <w:sz w:val="20"/>
                <w:szCs w:val="20"/>
                <w:color w:val="auto"/>
              </w:rPr>
            </w:pPr>
            <w:r>
              <w:rPr>
                <w:rFonts w:ascii="Courier New" w:cs="Courier New" w:eastAsia="Courier New" w:hAnsi="Courier New"/>
                <w:sz w:val="17"/>
                <w:szCs w:val="17"/>
                <w:color w:val="auto"/>
              </w:rPr>
              <w:t>amortization of initial direct</w:t>
            </w:r>
          </w:p>
        </w:tc>
        <w:tc>
          <w:tcPr>
            <w:tcW w:w="10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96"/>
        </w:trPr>
        <w:tc>
          <w:tcPr>
            <w:tcW w:w="3880" w:type="dxa"/>
            <w:vAlign w:val="bottom"/>
          </w:tcPr>
          <w:p>
            <w:pPr>
              <w:ind w:left="720"/>
              <w:spacing w:after="0"/>
              <w:rPr>
                <w:sz w:val="20"/>
                <w:szCs w:val="20"/>
                <w:color w:val="auto"/>
              </w:rPr>
            </w:pPr>
            <w:r>
              <w:rPr>
                <w:rFonts w:ascii="Courier New" w:cs="Courier New" w:eastAsia="Courier New" w:hAnsi="Courier New"/>
                <w:sz w:val="17"/>
                <w:szCs w:val="17"/>
                <w:color w:val="auto"/>
              </w:rPr>
              <w:t>costs of leases</w:t>
            </w:r>
          </w:p>
        </w:tc>
        <w:tc>
          <w:tcPr>
            <w:tcW w:w="10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593</w:t>
            </w:r>
          </w:p>
        </w:tc>
        <w:tc>
          <w:tcPr>
            <w:tcW w:w="820" w:type="dxa"/>
            <w:vAlign w:val="bottom"/>
          </w:tcPr>
          <w:p>
            <w:pPr>
              <w:jc w:val="right"/>
              <w:spacing w:after="0"/>
              <w:rPr>
                <w:sz w:val="20"/>
                <w:szCs w:val="20"/>
                <w:color w:val="auto"/>
              </w:rPr>
            </w:pPr>
            <w:r>
              <w:rPr>
                <w:rFonts w:ascii="Courier New" w:cs="Courier New" w:eastAsia="Courier New" w:hAnsi="Courier New"/>
                <w:sz w:val="17"/>
                <w:szCs w:val="17"/>
                <w:color w:val="auto"/>
              </w:rPr>
              <w:t>597</w:t>
            </w:r>
          </w:p>
        </w:tc>
      </w:tr>
      <w:tr>
        <w:trPr>
          <w:trHeight w:val="196"/>
        </w:trPr>
        <w:tc>
          <w:tcPr>
            <w:tcW w:w="3880" w:type="dxa"/>
            <w:vAlign w:val="bottom"/>
          </w:tcPr>
          <w:p>
            <w:pPr>
              <w:spacing w:after="0"/>
              <w:rPr>
                <w:sz w:val="17"/>
                <w:szCs w:val="17"/>
                <w:color w:val="auto"/>
              </w:rPr>
            </w:pPr>
          </w:p>
        </w:tc>
        <w:tc>
          <w:tcPr>
            <w:tcW w:w="10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6"/>
        </w:trPr>
        <w:tc>
          <w:tcPr>
            <w:tcW w:w="3880" w:type="dxa"/>
            <w:vAlign w:val="bottom"/>
          </w:tcPr>
          <w:p>
            <w:pPr>
              <w:spacing w:after="0"/>
              <w:rPr>
                <w:sz w:val="20"/>
                <w:szCs w:val="20"/>
                <w:color w:val="auto"/>
              </w:rPr>
            </w:pPr>
            <w:r>
              <w:rPr>
                <w:rFonts w:ascii="Courier New" w:cs="Courier New" w:eastAsia="Courier New" w:hAnsi="Courier New"/>
                <w:sz w:val="17"/>
                <w:szCs w:val="17"/>
                <w:color w:val="auto"/>
              </w:rPr>
              <w:t>Funds from operations</w:t>
            </w:r>
          </w:p>
        </w:tc>
        <w:tc>
          <w:tcPr>
            <w:tcW w:w="10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$14,961</w:t>
            </w:r>
          </w:p>
        </w:tc>
        <w:tc>
          <w:tcPr>
            <w:tcW w:w="820" w:type="dxa"/>
            <w:vAlign w:val="bottom"/>
          </w:tcPr>
          <w:p>
            <w:pPr>
              <w:jc w:val="right"/>
              <w:spacing w:after="0"/>
              <w:rPr>
                <w:sz w:val="20"/>
                <w:szCs w:val="20"/>
                <w:color w:val="auto"/>
              </w:rPr>
            </w:pPr>
            <w:r>
              <w:rPr>
                <w:rFonts w:ascii="Courier New" w:cs="Courier New" w:eastAsia="Courier New" w:hAnsi="Courier New"/>
                <w:sz w:val="17"/>
                <w:szCs w:val="17"/>
                <w:color w:val="auto"/>
              </w:rPr>
              <w:t>$14,624</w:t>
            </w:r>
          </w:p>
        </w:tc>
      </w:tr>
      <w:tr>
        <w:trPr>
          <w:trHeight w:val="196"/>
        </w:trPr>
        <w:tc>
          <w:tcPr>
            <w:tcW w:w="3880" w:type="dxa"/>
            <w:vAlign w:val="bottom"/>
          </w:tcPr>
          <w:p>
            <w:pPr>
              <w:spacing w:after="0"/>
              <w:rPr>
                <w:sz w:val="17"/>
                <w:szCs w:val="17"/>
                <w:color w:val="auto"/>
              </w:rPr>
            </w:pPr>
          </w:p>
        </w:tc>
        <w:tc>
          <w:tcPr>
            <w:tcW w:w="10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bl>
    <w:p>
      <w:pPr>
        <w:spacing w:after="0" w:line="397" w:lineRule="exact"/>
        <w:rPr>
          <w:sz w:val="20"/>
          <w:szCs w:val="20"/>
          <w:color w:val="auto"/>
        </w:rPr>
      </w:pPr>
    </w:p>
    <w:p>
      <w:pPr>
        <w:ind w:right="2059" w:firstLine="510"/>
        <w:spacing w:after="0" w:line="243" w:lineRule="auto"/>
        <w:rPr>
          <w:sz w:val="20"/>
          <w:szCs w:val="20"/>
          <w:color w:val="auto"/>
        </w:rPr>
      </w:pPr>
      <w:r>
        <w:rPr>
          <w:rFonts w:ascii="Courier New" w:cs="Courier New" w:eastAsia="Courier New" w:hAnsi="Courier New"/>
          <w:sz w:val="17"/>
          <w:szCs w:val="17"/>
          <w:color w:val="auto"/>
        </w:rPr>
        <w:t>Funds from operations increased 2% to $14.9 million in the first quarter of 1996 from $14.6 million in the first quarter of 1995.</w:t>
      </w:r>
    </w:p>
    <w:p>
      <w:pPr>
        <w:spacing w:after="0" w:line="198"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Rental income, which consists of minimum rent, percentage rent and cost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recoveries, increased 18% from $34.4 million in the first quarter of 1995 to</w:t>
      </w:r>
    </w:p>
    <w:p>
      <w:pPr>
        <w:spacing w:after="0" w:line="4" w:lineRule="exact"/>
        <w:rPr>
          <w:sz w:val="20"/>
          <w:szCs w:val="20"/>
          <w:color w:val="auto"/>
        </w:rPr>
      </w:pPr>
    </w:p>
    <w:p>
      <w:pPr>
        <w:spacing w:after="0"/>
        <w:tabs>
          <w:tab w:leader="none" w:pos="4580" w:val="left"/>
        </w:tabs>
        <w:rPr>
          <w:sz w:val="20"/>
          <w:szCs w:val="20"/>
          <w:color w:val="auto"/>
        </w:rPr>
      </w:pPr>
      <w:r>
        <w:rPr>
          <w:rFonts w:ascii="Courier New" w:cs="Courier New" w:eastAsia="Courier New" w:hAnsi="Courier New"/>
          <w:sz w:val="17"/>
          <w:szCs w:val="17"/>
          <w:color w:val="auto"/>
        </w:rPr>
        <w:t>$40.7 million in the first quarter of 1996.</w:t>
      </w:r>
      <w:r>
        <w:rPr>
          <w:sz w:val="20"/>
          <w:szCs w:val="20"/>
          <w:color w:val="auto"/>
        </w:rPr>
        <w:tab/>
      </w:r>
      <w:r>
        <w:rPr>
          <w:rFonts w:ascii="Courier New" w:cs="Courier New" w:eastAsia="Courier New" w:hAnsi="Courier New"/>
          <w:sz w:val="16"/>
          <w:szCs w:val="16"/>
          <w:color w:val="auto"/>
        </w:rPr>
        <w:t>If properties purchased and sold in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1995 and 1996 are excluded, rental income increased 7%.</w:t>
      </w:r>
    </w:p>
    <w:p>
      <w:pPr>
        <w:spacing w:after="0" w:line="201" w:lineRule="exact"/>
        <w:rPr>
          <w:sz w:val="20"/>
          <w:szCs w:val="20"/>
          <w:color w:val="auto"/>
        </w:rPr>
      </w:pPr>
    </w:p>
    <w:p>
      <w:pPr>
        <w:jc w:val="both"/>
        <w:ind w:right="2159" w:firstLine="510"/>
        <w:spacing w:after="0" w:line="244" w:lineRule="auto"/>
        <w:rPr>
          <w:sz w:val="20"/>
          <w:szCs w:val="20"/>
          <w:color w:val="auto"/>
        </w:rPr>
      </w:pPr>
      <w:r>
        <w:rPr>
          <w:rFonts w:ascii="Courier New" w:cs="Courier New" w:eastAsia="Courier New" w:hAnsi="Courier New"/>
          <w:sz w:val="17"/>
          <w:szCs w:val="17"/>
          <w:color w:val="auto"/>
        </w:rPr>
        <w:t>Minimum rent increased 18% from $27.2 million in the first quarter of 1995 to $31.9 million in the first quarter of 1996. Excluding properties purchased and sold in 1995 and 1996, minimum rent increased 5%. Forty-one percent of the increase results</w:t>
      </w:r>
    </w:p>
    <w:p>
      <w:pPr>
        <w:spacing w:after="0" w:line="197"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15</w:t>
      </w:r>
    </w:p>
    <w:p>
      <w:pPr>
        <w:sectPr>
          <w:pgSz w:w="11900" w:h="16838" w:orient="portrait"/>
          <w:cols w:equalWidth="0" w:num="1">
            <w:col w:w="10219"/>
          </w:cols>
          <w:pgMar w:left="240" w:top="900" w:right="1440" w:bottom="1440" w:gutter="0" w:footer="0" w:header="0"/>
        </w:sectPr>
      </w:pPr>
    </w:p>
    <w:bookmarkStart w:id="15" w:name="page16"/>
    <w:bookmarkEnd w:id="15"/>
    <w:p>
      <w:pPr>
        <w:ind w:right="2059"/>
        <w:spacing w:after="0" w:line="243" w:lineRule="auto"/>
        <w:rPr>
          <w:sz w:val="20"/>
          <w:szCs w:val="20"/>
          <w:color w:val="auto"/>
        </w:rPr>
      </w:pPr>
      <w:r>
        <w:rPr>
          <w:rFonts w:ascii="Courier New" w:cs="Courier New" w:eastAsia="Courier New" w:hAnsi="Courier New"/>
          <w:sz w:val="17"/>
          <w:szCs w:val="17"/>
          <w:color w:val="auto"/>
        </w:rPr>
        <w:t>from rent increases at Brick Plaza, Gaithersburg Square and Congressional Plaza, all of which have recently been renovated and retenanted.</w:t>
      </w:r>
    </w:p>
    <w:p>
      <w:pPr>
        <w:spacing w:after="0" w:line="199" w:lineRule="exact"/>
        <w:rPr>
          <w:sz w:val="20"/>
          <w:szCs w:val="20"/>
          <w:color w:val="auto"/>
        </w:rPr>
      </w:pPr>
    </w:p>
    <w:p>
      <w:pPr>
        <w:ind w:right="2159" w:firstLine="510"/>
        <w:spacing w:after="0" w:line="244" w:lineRule="auto"/>
        <w:rPr>
          <w:sz w:val="20"/>
          <w:szCs w:val="20"/>
          <w:color w:val="auto"/>
        </w:rPr>
      </w:pPr>
      <w:r>
        <w:rPr>
          <w:rFonts w:ascii="Courier New" w:cs="Courier New" w:eastAsia="Courier New" w:hAnsi="Courier New"/>
          <w:sz w:val="17"/>
          <w:szCs w:val="17"/>
          <w:color w:val="auto"/>
        </w:rPr>
        <w:t>Cost reimbursements consist of tenant reimbursements of real estate taxes (real estate tax recovery) and common area maintenance expenses (CAM recovery). Cost reimbursements increased 32% from $5.7 million during the first quarter of 1995 to $7.5 million during the first quarter of 1996. The increase was due to the recent acquisitions, the partial recovery of increased CAM expenses, primarily snow removal, and an acceleration of billing CAM capital items from once at year end to monthly.</w:t>
      </w:r>
    </w:p>
    <w:p>
      <w:pPr>
        <w:spacing w:after="0" w:line="199"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Other property income includes items which tend to fluctuate from period to period, such as utility reimbursements, telephone income, merchant association dues, lease termination fees, late fees and temporary tenant income. Other property income increased from $1.5 million during the first quarter of 1995 to $2.2 million during the first quarter of 1996.</w:t>
      </w:r>
    </w:p>
    <w:p>
      <w:pPr>
        <w:spacing w:after="0" w:line="198" w:lineRule="exact"/>
        <w:rPr>
          <w:sz w:val="20"/>
          <w:szCs w:val="20"/>
          <w:color w:val="auto"/>
        </w:rPr>
      </w:pPr>
    </w:p>
    <w:p>
      <w:pPr>
        <w:ind w:right="2159" w:firstLine="510"/>
        <w:spacing w:after="0" w:line="244" w:lineRule="auto"/>
        <w:rPr>
          <w:sz w:val="20"/>
          <w:szCs w:val="20"/>
          <w:color w:val="auto"/>
        </w:rPr>
      </w:pPr>
      <w:r>
        <w:rPr>
          <w:rFonts w:ascii="Courier New" w:cs="Courier New" w:eastAsia="Courier New" w:hAnsi="Courier New"/>
          <w:sz w:val="17"/>
          <w:szCs w:val="17"/>
          <w:color w:val="auto"/>
        </w:rPr>
        <w:t>Rental expenses have increased 48% in the first quarter of 1996 over the first quarter of 1995, to $11.8 million from $8.0 million. If centers acquired and sold during 1995 and 1996 are excluded, rental expenses increased 33%, due to increased snow removal costs incurred during this winter's heavy snowfalls.</w:t>
      </w:r>
    </w:p>
    <w:p>
      <w:pPr>
        <w:spacing w:after="0" w:line="198"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Real estate taxes have increased from $3.4 million during the first quarter of 1995 to $3.9 million during the first quarter of 1996; $382,000 of the increase was due to taxes on the 1995 and 1996 acquisitions. Depreciation and amortization in the first quarter of 1996 was 13% greater than in the first quarter of 1995. Excluding the effect from the 1995 and 1996 acquisitions, depreciation and amortization increased 6% due to depreciation on recent tenant work and property improvements.</w:t>
      </w:r>
    </w:p>
    <w:p>
      <w:pPr>
        <w:spacing w:after="0" w:line="199" w:lineRule="exact"/>
        <w:rPr>
          <w:sz w:val="20"/>
          <w:szCs w:val="20"/>
          <w:color w:val="auto"/>
        </w:rPr>
      </w:pPr>
    </w:p>
    <w:p>
      <w:pPr>
        <w:ind w:right="2259" w:firstLine="510"/>
        <w:spacing w:after="0" w:line="244" w:lineRule="auto"/>
        <w:rPr>
          <w:sz w:val="20"/>
          <w:szCs w:val="20"/>
          <w:color w:val="auto"/>
        </w:rPr>
      </w:pPr>
      <w:r>
        <w:rPr>
          <w:rFonts w:ascii="Courier New" w:cs="Courier New" w:eastAsia="Courier New" w:hAnsi="Courier New"/>
          <w:sz w:val="17"/>
          <w:szCs w:val="17"/>
          <w:color w:val="auto"/>
        </w:rPr>
        <w:t>Interest expense increased from $9.2 million during the first quarter of 1995 to $11.1 million during the first quarter of 1996, primarily due to interest expense on the $165 million of senior notes issued during 1995. The ratio of earnings to fixed charges was 1.47x for the first quarter of 1996 and 1.69x for the comparable period in 1995. The ratio of funds from operations to fixed charges was 2.25x for the first quarter of 1996 and 2.53x for the first quarter of 1995.</w:t>
      </w:r>
    </w:p>
    <w:p>
      <w:pPr>
        <w:spacing w:after="0" w:line="199" w:lineRule="exact"/>
        <w:rPr>
          <w:sz w:val="20"/>
          <w:szCs w:val="20"/>
          <w:color w:val="auto"/>
        </w:rPr>
      </w:pPr>
    </w:p>
    <w:p>
      <w:pPr>
        <w:ind w:right="2459" w:firstLine="510"/>
        <w:spacing w:after="0" w:line="243" w:lineRule="auto"/>
        <w:rPr>
          <w:sz w:val="20"/>
          <w:szCs w:val="20"/>
          <w:color w:val="auto"/>
        </w:rPr>
      </w:pPr>
      <w:r>
        <w:rPr>
          <w:rFonts w:ascii="Courier New" w:cs="Courier New" w:eastAsia="Courier New" w:hAnsi="Courier New"/>
          <w:sz w:val="17"/>
          <w:szCs w:val="17"/>
          <w:color w:val="auto"/>
        </w:rPr>
        <w:t>Administrative expenses as a percentage of total revenue have remained constant at approximately 3.8%.</w:t>
      </w:r>
    </w:p>
    <w:p>
      <w:pPr>
        <w:spacing w:after="0" w:line="199" w:lineRule="exact"/>
        <w:rPr>
          <w:sz w:val="20"/>
          <w:szCs w:val="20"/>
          <w:color w:val="auto"/>
        </w:rPr>
      </w:pPr>
    </w:p>
    <w:p>
      <w:pPr>
        <w:ind w:right="2159" w:firstLine="510"/>
        <w:spacing w:after="0" w:line="243" w:lineRule="auto"/>
        <w:rPr>
          <w:sz w:val="20"/>
          <w:szCs w:val="20"/>
          <w:color w:val="auto"/>
        </w:rPr>
      </w:pPr>
      <w:r>
        <w:rPr>
          <w:rFonts w:ascii="Courier New" w:cs="Courier New" w:eastAsia="Courier New" w:hAnsi="Courier New"/>
          <w:sz w:val="17"/>
          <w:szCs w:val="17"/>
          <w:color w:val="auto"/>
        </w:rPr>
        <w:t>As a result of the foregoing items, net income decreased from $6.6 million during the first quarter of 1995 to $6.0 million during the first quarter of 1996.</w:t>
      </w:r>
    </w:p>
    <w:p>
      <w:pPr>
        <w:spacing w:after="0" w:line="199"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16</w:t>
      </w:r>
    </w:p>
    <w:p>
      <w:pPr>
        <w:sectPr>
          <w:pgSz w:w="11900" w:h="16838" w:orient="portrait"/>
          <w:cols w:equalWidth="0" w:num="1">
            <w:col w:w="10219"/>
          </w:cols>
          <w:pgMar w:left="240" w:top="900" w:right="1440" w:bottom="1440" w:gutter="0" w:footer="0" w:header="0"/>
        </w:sectPr>
      </w:pPr>
    </w:p>
    <w:bookmarkStart w:id="16" w:name="page17"/>
    <w:bookmarkEnd w:id="16"/>
    <w:p>
      <w:pPr>
        <w:spacing w:after="0"/>
        <w:rPr>
          <w:sz w:val="20"/>
          <w:szCs w:val="20"/>
          <w:color w:val="auto"/>
        </w:rPr>
      </w:pPr>
      <w:r>
        <w:rPr>
          <w:rFonts w:ascii="Courier New" w:cs="Courier New" w:eastAsia="Courier New" w:hAnsi="Courier New"/>
          <w:sz w:val="17"/>
          <w:szCs w:val="17"/>
          <w:color w:val="auto"/>
        </w:rPr>
        <w:t>PART II - OTHER INFORMATION</w:t>
      </w:r>
    </w:p>
    <w:p>
      <w:pPr>
        <w:spacing w:after="0" w:line="3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6. Exhibits and Reports on Form 8-K</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 Exhibits</w:t>
      </w:r>
    </w:p>
    <w:p>
      <w:pPr>
        <w:spacing w:after="0" w:line="4" w:lineRule="exact"/>
        <w:rPr>
          <w:sz w:val="20"/>
          <w:szCs w:val="20"/>
          <w:color w:val="auto"/>
        </w:rPr>
      </w:pPr>
    </w:p>
    <w:p>
      <w:pPr>
        <w:ind w:left="820"/>
        <w:spacing w:after="0"/>
        <w:rPr>
          <w:sz w:val="20"/>
          <w:szCs w:val="20"/>
          <w:color w:val="auto"/>
        </w:rPr>
      </w:pPr>
      <w:r>
        <w:rPr>
          <w:rFonts w:ascii="Courier New" w:cs="Courier New" w:eastAsia="Courier New" w:hAnsi="Courier New"/>
          <w:sz w:val="17"/>
          <w:szCs w:val="17"/>
          <w:color w:val="auto"/>
        </w:rPr>
        <w:t>(27) Financial Data Schedule.......................Edgar filing only</w:t>
      </w:r>
    </w:p>
    <w:p>
      <w:pPr>
        <w:spacing w:after="0" w:line="200" w:lineRule="exact"/>
        <w:rPr>
          <w:sz w:val="20"/>
          <w:szCs w:val="20"/>
          <w:color w:val="auto"/>
        </w:rPr>
      </w:pPr>
    </w:p>
    <w:p>
      <w:pPr>
        <w:ind w:left="420" w:hanging="415"/>
        <w:spacing w:after="0"/>
        <w:tabs>
          <w:tab w:leader="none" w:pos="42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Reports on Form 8-K</w:t>
      </w:r>
    </w:p>
    <w:p>
      <w:pPr>
        <w:spacing w:after="0" w:line="3" w:lineRule="exact"/>
        <w:rPr>
          <w:rFonts w:ascii="Courier New" w:cs="Courier New" w:eastAsia="Courier New" w:hAnsi="Courier New"/>
          <w:sz w:val="17"/>
          <w:szCs w:val="17"/>
          <w:color w:val="auto"/>
        </w:rPr>
      </w:pPr>
    </w:p>
    <w:p>
      <w:pPr>
        <w:ind w:left="4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A Form 8-K, dated March 21, 1996, was filed in response to Item 7.(c)</w:t>
      </w:r>
    </w:p>
    <w:p>
      <w:pPr>
        <w:spacing w:after="0" w:line="200" w:lineRule="exact"/>
        <w:rPr>
          <w:sz w:val="20"/>
          <w:szCs w:val="20"/>
          <w:color w:val="auto"/>
        </w:rPr>
      </w:pPr>
    </w:p>
    <w:p>
      <w:pPr>
        <w:spacing w:after="0" w:line="393" w:lineRule="exact"/>
        <w:rPr>
          <w:sz w:val="20"/>
          <w:szCs w:val="20"/>
          <w:color w:val="auto"/>
        </w:rPr>
      </w:pPr>
    </w:p>
    <w:p>
      <w:pPr>
        <w:ind w:right="2359" w:firstLine="510"/>
        <w:spacing w:after="0" w:line="243" w:lineRule="auto"/>
        <w:rPr>
          <w:sz w:val="20"/>
          <w:szCs w:val="20"/>
          <w:color w:val="auto"/>
        </w:rPr>
      </w:pPr>
      <w:r>
        <w:rPr>
          <w:rFonts w:ascii="Courier New" w:cs="Courier New" w:eastAsia="Courier New" w:hAnsi="Courier New"/>
          <w:sz w:val="17"/>
          <w:szCs w:val="17"/>
          <w:color w:val="auto"/>
        </w:rPr>
        <w:t>Pursuant to the requirements of the Securities Exchange Act of 1934, the Registrant has duly caused this report to be signed on its behalf by the undersigned thereunto duly authorized.</w:t>
      </w:r>
    </w:p>
    <w:p>
      <w:pPr>
        <w:spacing w:after="0" w:line="199"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FEDERAL REALTY INVESTMENT TRUST</w:t>
      </w:r>
    </w:p>
    <w:p>
      <w:pPr>
        <w:spacing w:after="0" w:line="4"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w:t>
      </w:r>
    </w:p>
    <w:p>
      <w:pPr>
        <w:spacing w:after="0" w:line="4" w:lineRule="exact"/>
        <w:rPr>
          <w:sz w:val="20"/>
          <w:szCs w:val="20"/>
          <w:color w:val="auto"/>
        </w:rPr>
      </w:pPr>
    </w:p>
    <w:p>
      <w:pPr>
        <w:ind w:left="5620"/>
        <w:spacing w:after="0"/>
        <w:rPr>
          <w:sz w:val="20"/>
          <w:szCs w:val="20"/>
          <w:color w:val="auto"/>
        </w:rPr>
      </w:pPr>
      <w:r>
        <w:rPr>
          <w:rFonts w:ascii="Courier New" w:cs="Courier New" w:eastAsia="Courier New" w:hAnsi="Courier New"/>
          <w:sz w:val="17"/>
          <w:szCs w:val="17"/>
          <w:color w:val="auto"/>
        </w:rPr>
        <w:t>(Registrant)</w:t>
      </w:r>
    </w:p>
    <w:p>
      <w:pPr>
        <w:spacing w:after="0" w:line="200" w:lineRule="exact"/>
        <w:rPr>
          <w:sz w:val="20"/>
          <w:szCs w:val="20"/>
          <w:color w:val="auto"/>
        </w:rPr>
      </w:pPr>
    </w:p>
    <w:p>
      <w:pPr>
        <w:spacing w:after="0" w:line="392" w:lineRule="exact"/>
        <w:rPr>
          <w:sz w:val="20"/>
          <w:szCs w:val="20"/>
          <w:color w:val="auto"/>
        </w:rPr>
      </w:pPr>
    </w:p>
    <w:p>
      <w:pPr>
        <w:spacing w:after="0"/>
        <w:tabs>
          <w:tab w:leader="none" w:pos="3660" w:val="left"/>
          <w:tab w:leader="none" w:pos="4260" w:val="left"/>
        </w:tabs>
        <w:rPr>
          <w:sz w:val="20"/>
          <w:szCs w:val="20"/>
          <w:color w:val="auto"/>
        </w:rPr>
      </w:pPr>
      <w:r>
        <w:rPr>
          <w:rFonts w:ascii="Courier New" w:cs="Courier New" w:eastAsia="Courier New" w:hAnsi="Courier New"/>
          <w:sz w:val="17"/>
          <w:szCs w:val="17"/>
          <w:color w:val="auto"/>
        </w:rPr>
        <w:t>Date: May 14, 1996</w:t>
      </w:r>
      <w:r>
        <w:rPr>
          <w:sz w:val="20"/>
          <w:szCs w:val="20"/>
          <w:color w:val="auto"/>
        </w:rPr>
        <w:tab/>
      </w:r>
      <w:r>
        <w:rPr>
          <w:rFonts w:ascii="Courier New" w:cs="Courier New" w:eastAsia="Courier New" w:hAnsi="Courier New"/>
          <w:sz w:val="17"/>
          <w:szCs w:val="17"/>
          <w:color w:val="auto"/>
        </w:rPr>
        <w:t>/s/</w:t>
        <w:tab/>
        <w:t>Steven J. Guttman</w:t>
      </w:r>
    </w:p>
    <w:p>
      <w:pPr>
        <w:spacing w:after="0" w:line="4" w:lineRule="exact"/>
        <w:rPr>
          <w:sz w:val="20"/>
          <w:szCs w:val="20"/>
          <w:color w:val="auto"/>
        </w:rPr>
      </w:pPr>
    </w:p>
    <w:p>
      <w:pPr>
        <w:ind w:left="620"/>
        <w:spacing w:after="0"/>
        <w:tabs>
          <w:tab w:leader="none" w:pos="366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Steven J. Guttman, President</w:t>
      </w:r>
    </w:p>
    <w:p>
      <w:pPr>
        <w:spacing w:after="0" w:line="4"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(Chief Executive Officer)</w:t>
      </w:r>
    </w:p>
    <w:p>
      <w:pPr>
        <w:spacing w:after="0" w:line="396" w:lineRule="exact"/>
        <w:rPr>
          <w:sz w:val="20"/>
          <w:szCs w:val="20"/>
          <w:color w:val="auto"/>
        </w:rPr>
      </w:pPr>
    </w:p>
    <w:p>
      <w:pPr>
        <w:spacing w:after="0"/>
        <w:tabs>
          <w:tab w:leader="none" w:pos="3660" w:val="left"/>
          <w:tab w:leader="none" w:pos="4160" w:val="left"/>
        </w:tabs>
        <w:rPr>
          <w:sz w:val="20"/>
          <w:szCs w:val="20"/>
          <w:color w:val="auto"/>
        </w:rPr>
      </w:pPr>
      <w:r>
        <w:rPr>
          <w:rFonts w:ascii="Courier New" w:cs="Courier New" w:eastAsia="Courier New" w:hAnsi="Courier New"/>
          <w:sz w:val="17"/>
          <w:szCs w:val="17"/>
          <w:color w:val="auto"/>
        </w:rPr>
        <w:t>Date: May 14, 1996</w:t>
      </w:r>
      <w:r>
        <w:rPr>
          <w:sz w:val="20"/>
          <w:szCs w:val="20"/>
          <w:color w:val="auto"/>
        </w:rPr>
        <w:tab/>
      </w:r>
      <w:r>
        <w:rPr>
          <w:rFonts w:ascii="Courier New" w:cs="Courier New" w:eastAsia="Courier New" w:hAnsi="Courier New"/>
          <w:sz w:val="17"/>
          <w:szCs w:val="17"/>
          <w:color w:val="auto"/>
        </w:rPr>
        <w:t>/s/</w:t>
        <w:tab/>
        <w:t>Cecily A. Ward</w:t>
      </w:r>
    </w:p>
    <w:p>
      <w:pPr>
        <w:spacing w:after="0" w:line="4" w:lineRule="exact"/>
        <w:rPr>
          <w:sz w:val="20"/>
          <w:szCs w:val="20"/>
          <w:color w:val="auto"/>
        </w:rPr>
      </w:pPr>
    </w:p>
    <w:p>
      <w:pPr>
        <w:ind w:left="620"/>
        <w:spacing w:after="0"/>
        <w:tabs>
          <w:tab w:leader="none" w:pos="366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Cecily A. Ward</w:t>
      </w:r>
    </w:p>
    <w:p>
      <w:pPr>
        <w:spacing w:after="0" w:line="4"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(Principal Accounting Officer)</w:t>
      </w:r>
    </w:p>
    <w:p>
      <w:pPr>
        <w:spacing w:after="0" w:line="396"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17</w:t>
      </w:r>
    </w:p>
    <w:p>
      <w:pPr>
        <w:sectPr>
          <w:pgSz w:w="11900" w:h="16838" w:orient="portrait"/>
          <w:cols w:equalWidth="0" w:num="1">
            <w:col w:w="10219"/>
          </w:cols>
          <w:pgMar w:left="240" w:top="899" w:right="1440" w:bottom="1440" w:gutter="0" w:footer="0" w:header="0"/>
        </w:sectPr>
      </w:pPr>
    </w:p>
    <w:bookmarkStart w:id="17" w:name="page18"/>
    <w:bookmarkEnd w:id="17"/>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8" w:name="page19"/>
    <w:bookmarkEnd w:id="18"/>
    <w:p>
      <w:pPr>
        <w:ind w:left="100"/>
        <w:spacing w:after="0"/>
        <w:rPr>
          <w:sz w:val="20"/>
          <w:szCs w:val="20"/>
          <w:color w:val="auto"/>
        </w:rPr>
      </w:pPr>
      <w:r>
        <w:rPr>
          <w:rFonts w:ascii="Courier New" w:cs="Courier New" w:eastAsia="Courier New" w:hAnsi="Courier New"/>
          <w:sz w:val="17"/>
          <w:szCs w:val="17"/>
          <w:color w:val="auto"/>
        </w:rPr>
        <w:t>5</w:t>
      </w:r>
    </w:p>
    <w:p>
      <w:pPr>
        <w:spacing w:after="0" w:line="201" w:lineRule="exact"/>
        <w:rPr>
          <w:sz w:val="20"/>
          <w:szCs w:val="20"/>
          <w:color w:val="auto"/>
        </w:rPr>
      </w:pPr>
    </w:p>
    <w:p>
      <w:pPr>
        <w:ind w:left="40" w:right="2239"/>
        <w:spacing w:after="0" w:line="244" w:lineRule="auto"/>
        <w:rPr>
          <w:sz w:val="20"/>
          <w:szCs w:val="20"/>
          <w:color w:val="auto"/>
        </w:rPr>
      </w:pPr>
      <w:r>
        <w:rPr>
          <w:rFonts w:ascii="Courier New" w:cs="Courier New" w:eastAsia="Courier New" w:hAnsi="Courier New"/>
          <w:sz w:val="17"/>
          <w:szCs w:val="17"/>
          <w:color w:val="auto"/>
        </w:rPr>
        <w:t>This schedule contains summary financial information extracted from the Consolidated Balance Sheet of Federal Realty Investment Trust as of March 31, 1996 and the related consolidated statement of operations for the three months ended March 31, 1996 and is qualified in its entirety by reference to such financial statements.</w:t>
      </w:r>
    </w:p>
    <w:p>
      <w:pPr>
        <w:spacing w:after="0" w:line="197"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1,000</w:t>
      </w:r>
    </w:p>
    <w:p>
      <w:pPr>
        <w:spacing w:after="0" w:line="396" w:lineRule="exact"/>
        <w:rPr>
          <w:sz w:val="20"/>
          <w:szCs w:val="20"/>
          <w:color w:val="auto"/>
        </w:rPr>
      </w:pPr>
    </w:p>
    <w:p>
      <w:pPr>
        <w:ind w:left="1940"/>
        <w:spacing w:after="0"/>
        <w:rPr>
          <w:sz w:val="20"/>
          <w:szCs w:val="20"/>
          <w:color w:val="auto"/>
        </w:rPr>
      </w:pPr>
      <w:r>
        <w:rPr>
          <w:rFonts w:ascii="Courier New" w:cs="Courier New" w:eastAsia="Courier New" w:hAnsi="Courier New"/>
          <w:sz w:val="17"/>
          <w:szCs w:val="17"/>
          <w:color w:val="auto"/>
        </w:rPr>
        <w:t>3-MOS</w:t>
      </w:r>
    </w:p>
    <w:p>
      <w:pPr>
        <w:spacing w:after="0" w:line="4" w:lineRule="exact"/>
        <w:rPr>
          <w:sz w:val="20"/>
          <w:szCs w:val="20"/>
          <w:color w:val="auto"/>
        </w:rPr>
      </w:pPr>
    </w:p>
    <w:p>
      <w:pPr>
        <w:ind w:left="2660"/>
        <w:spacing w:after="0"/>
        <w:rPr>
          <w:sz w:val="20"/>
          <w:szCs w:val="20"/>
          <w:color w:val="auto"/>
        </w:rPr>
      </w:pPr>
      <w:r>
        <w:rPr>
          <w:rFonts w:ascii="Courier New" w:cs="Courier New" w:eastAsia="Courier New" w:hAnsi="Courier New"/>
          <w:sz w:val="17"/>
          <w:szCs w:val="17"/>
          <w:color w:val="auto"/>
        </w:rPr>
        <w:t>DEC-31-1996</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7"/>
          <w:szCs w:val="17"/>
          <w:color w:val="auto"/>
        </w:rPr>
        <w:t>MAR-31-1996</w:t>
      </w:r>
    </w:p>
    <w:p>
      <w:pPr>
        <w:spacing w:after="0" w:line="4" w:lineRule="exact"/>
        <w:rPr>
          <w:sz w:val="20"/>
          <w:szCs w:val="20"/>
          <w:color w:val="auto"/>
        </w:rPr>
      </w:pPr>
    </w:p>
    <w:p>
      <w:pPr>
        <w:ind w:left="4400"/>
        <w:spacing w:after="0"/>
        <w:rPr>
          <w:sz w:val="20"/>
          <w:szCs w:val="20"/>
          <w:color w:val="auto"/>
        </w:rPr>
      </w:pPr>
      <w:r>
        <w:rPr>
          <w:rFonts w:ascii="Courier New" w:cs="Courier New" w:eastAsia="Courier New" w:hAnsi="Courier New"/>
          <w:sz w:val="17"/>
          <w:szCs w:val="17"/>
          <w:color w:val="auto"/>
        </w:rPr>
        <w:t>8,252</w:t>
      </w:r>
    </w:p>
    <w:p>
      <w:pPr>
        <w:spacing w:after="0" w:line="4"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485</w:t>
      </w:r>
    </w:p>
    <w:p>
      <w:pPr>
        <w:spacing w:after="0" w:line="4" w:lineRule="exact"/>
        <w:rPr>
          <w:sz w:val="20"/>
          <w:szCs w:val="20"/>
          <w:color w:val="auto"/>
        </w:rPr>
      </w:pPr>
    </w:p>
    <w:p>
      <w:pPr>
        <w:ind w:left="3580"/>
        <w:spacing w:after="0"/>
        <w:rPr>
          <w:sz w:val="20"/>
          <w:szCs w:val="20"/>
          <w:color w:val="auto"/>
        </w:rPr>
      </w:pPr>
      <w:r>
        <w:rPr>
          <w:rFonts w:ascii="Courier New" w:cs="Courier New" w:eastAsia="Courier New" w:hAnsi="Courier New"/>
          <w:sz w:val="17"/>
          <w:szCs w:val="17"/>
          <w:color w:val="auto"/>
        </w:rPr>
        <w:t>17,008</w:t>
      </w:r>
    </w:p>
    <w:p>
      <w:pPr>
        <w:spacing w:after="0" w:line="4" w:lineRule="exact"/>
        <w:rPr>
          <w:sz w:val="20"/>
          <w:szCs w:val="20"/>
          <w:color w:val="auto"/>
        </w:rPr>
      </w:pPr>
    </w:p>
    <w:p>
      <w:pPr>
        <w:ind w:left="4180"/>
        <w:spacing w:after="0"/>
        <w:rPr>
          <w:sz w:val="20"/>
          <w:szCs w:val="20"/>
          <w:color w:val="auto"/>
        </w:rPr>
      </w:pPr>
      <w:r>
        <w:rPr>
          <w:rFonts w:ascii="Courier New" w:cs="Courier New" w:eastAsia="Courier New" w:hAnsi="Courier New"/>
          <w:sz w:val="17"/>
          <w:szCs w:val="17"/>
          <w:color w:val="auto"/>
        </w:rPr>
        <w:t>0</w:t>
      </w:r>
    </w:p>
    <w:p>
      <w:pPr>
        <w:spacing w:after="0" w:line="4" w:lineRule="exact"/>
        <w:rPr>
          <w:sz w:val="20"/>
          <w:szCs w:val="20"/>
          <w:color w:val="auto"/>
        </w:rPr>
      </w:pPr>
    </w:p>
    <w:p>
      <w:pPr>
        <w:ind w:left="4280"/>
        <w:spacing w:after="0"/>
        <w:rPr>
          <w:sz w:val="20"/>
          <w:szCs w:val="20"/>
          <w:color w:val="auto"/>
        </w:rPr>
      </w:pPr>
      <w:r>
        <w:rPr>
          <w:rFonts w:ascii="Courier New" w:cs="Courier New" w:eastAsia="Courier New" w:hAnsi="Courier New"/>
          <w:sz w:val="17"/>
          <w:szCs w:val="17"/>
          <w:color w:val="auto"/>
        </w:rPr>
        <w:t>0</w:t>
      </w:r>
    </w:p>
    <w:p>
      <w:pPr>
        <w:spacing w:after="0" w:line="4"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0</w:t>
      </w:r>
    </w:p>
    <w:p>
      <w:pPr>
        <w:spacing w:after="0" w:line="4"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1,024,712</w:t>
      </w:r>
    </w:p>
    <w:p>
      <w:pPr>
        <w:spacing w:after="0" w:line="4" w:lineRule="exact"/>
        <w:rPr>
          <w:sz w:val="20"/>
          <w:szCs w:val="20"/>
          <w:color w:val="auto"/>
        </w:rPr>
      </w:pPr>
    </w:p>
    <w:p>
      <w:pPr>
        <w:ind w:left="3260"/>
        <w:spacing w:after="0"/>
        <w:rPr>
          <w:sz w:val="20"/>
          <w:szCs w:val="20"/>
          <w:color w:val="auto"/>
        </w:rPr>
      </w:pPr>
      <w:r>
        <w:rPr>
          <w:rFonts w:ascii="Courier New" w:cs="Courier New" w:eastAsia="Courier New" w:hAnsi="Courier New"/>
          <w:sz w:val="17"/>
          <w:szCs w:val="17"/>
          <w:color w:val="auto"/>
        </w:rPr>
        <w:t>(198,910)</w:t>
      </w:r>
    </w:p>
    <w:p>
      <w:pPr>
        <w:spacing w:after="0" w:line="4" w:lineRule="exact"/>
        <w:rPr>
          <w:sz w:val="20"/>
          <w:szCs w:val="20"/>
          <w:color w:val="auto"/>
        </w:rPr>
      </w:pPr>
    </w:p>
    <w:p>
      <w:pPr>
        <w:ind w:left="3380"/>
        <w:spacing w:after="0"/>
        <w:rPr>
          <w:sz w:val="20"/>
          <w:szCs w:val="20"/>
          <w:color w:val="auto"/>
        </w:rPr>
      </w:pPr>
      <w:r>
        <w:rPr>
          <w:rFonts w:ascii="Courier New" w:cs="Courier New" w:eastAsia="Courier New" w:hAnsi="Courier New"/>
          <w:sz w:val="17"/>
          <w:szCs w:val="17"/>
          <w:color w:val="auto"/>
        </w:rPr>
        <w:t>892,428</w:t>
      </w:r>
    </w:p>
    <w:p>
      <w:pPr>
        <w:spacing w:after="0" w:line="4" w:lineRule="exact"/>
        <w:rPr>
          <w:sz w:val="20"/>
          <w:szCs w:val="20"/>
          <w:color w:val="auto"/>
        </w:rPr>
      </w:pPr>
    </w:p>
    <w:p>
      <w:pPr>
        <w:ind w:left="3260"/>
        <w:spacing w:after="0"/>
        <w:rPr>
          <w:sz w:val="20"/>
          <w:szCs w:val="20"/>
          <w:color w:val="auto"/>
        </w:rPr>
      </w:pPr>
      <w:r>
        <w:rPr>
          <w:rFonts w:ascii="Courier New" w:cs="Courier New" w:eastAsia="Courier New" w:hAnsi="Courier New"/>
          <w:sz w:val="17"/>
          <w:szCs w:val="17"/>
          <w:color w:val="auto"/>
        </w:rPr>
        <w:t>0</w:t>
      </w:r>
    </w:p>
    <w:p>
      <w:pPr>
        <w:spacing w:after="0" w:line="4" w:lineRule="exact"/>
        <w:rPr>
          <w:sz w:val="20"/>
          <w:szCs w:val="20"/>
          <w:color w:val="auto"/>
        </w:rPr>
      </w:pPr>
    </w:p>
    <w:p>
      <w:pPr>
        <w:ind w:left="4080"/>
        <w:spacing w:after="0"/>
        <w:rPr>
          <w:sz w:val="20"/>
          <w:szCs w:val="20"/>
          <w:color w:val="auto"/>
        </w:rPr>
      </w:pPr>
      <w:r>
        <w:rPr>
          <w:rFonts w:ascii="Courier New" w:cs="Courier New" w:eastAsia="Courier New" w:hAnsi="Courier New"/>
          <w:sz w:val="17"/>
          <w:szCs w:val="17"/>
          <w:color w:val="auto"/>
        </w:rPr>
        <w:t>528,344</w:t>
      </w:r>
    </w:p>
    <w:p>
      <w:pPr>
        <w:spacing w:after="0" w:line="4" w:lineRule="exact"/>
        <w:rPr>
          <w:sz w:val="20"/>
          <w:szCs w:val="20"/>
          <w:color w:val="auto"/>
        </w:rPr>
      </w:pPr>
    </w:p>
    <w:p>
      <w:pPr>
        <w:ind w:left="3260"/>
        <w:spacing w:after="0"/>
        <w:rPr>
          <w:sz w:val="20"/>
          <w:szCs w:val="20"/>
          <w:color w:val="auto"/>
        </w:rPr>
      </w:pPr>
      <w:r>
        <w:rPr>
          <w:rFonts w:ascii="Courier New" w:cs="Courier New" w:eastAsia="Courier New" w:hAnsi="Courier New"/>
          <w:sz w:val="17"/>
          <w:szCs w:val="17"/>
          <w:color w:val="auto"/>
        </w:rPr>
        <w:t>0</w:t>
      </w:r>
    </w:p>
    <w:p>
      <w:pPr>
        <w:spacing w:after="0" w:line="4" w:lineRule="exact"/>
        <w:rPr>
          <w:sz w:val="20"/>
          <w:szCs w:val="20"/>
          <w:color w:val="auto"/>
        </w:rPr>
      </w:pPr>
    </w:p>
    <w:p>
      <w:pPr>
        <w:ind w:left="4280"/>
        <w:spacing w:after="0"/>
        <w:rPr>
          <w:sz w:val="20"/>
          <w:szCs w:val="20"/>
          <w:color w:val="auto"/>
        </w:rPr>
      </w:pPr>
      <w:r>
        <w:rPr>
          <w:rFonts w:ascii="Courier New" w:cs="Courier New" w:eastAsia="Courier New" w:hAnsi="Courier New"/>
          <w:sz w:val="17"/>
          <w:szCs w:val="17"/>
          <w:color w:val="auto"/>
        </w:rPr>
        <w:t>0</w:t>
      </w:r>
    </w:p>
    <w:p>
      <w:pPr>
        <w:spacing w:after="0" w:line="4"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510,313</w:t>
      </w:r>
    </w:p>
    <w:p>
      <w:pPr>
        <w:spacing w:after="0" w:line="4"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(188,487)</w:t>
      </w:r>
    </w:p>
    <w:p>
      <w:pPr>
        <w:spacing w:after="0" w:line="4" w:lineRule="exact"/>
        <w:rPr>
          <w:sz w:val="20"/>
          <w:szCs w:val="20"/>
          <w:color w:val="auto"/>
        </w:rPr>
      </w:pPr>
    </w:p>
    <w:p>
      <w:pPr>
        <w:ind w:left="1940"/>
        <w:spacing w:after="0"/>
        <w:rPr>
          <w:sz w:val="20"/>
          <w:szCs w:val="20"/>
          <w:color w:val="auto"/>
        </w:rPr>
      </w:pPr>
      <w:r>
        <w:rPr>
          <w:rFonts w:ascii="Courier New" w:cs="Courier New" w:eastAsia="Courier New" w:hAnsi="Courier New"/>
          <w:sz w:val="17"/>
          <w:szCs w:val="17"/>
          <w:color w:val="auto"/>
        </w:rPr>
        <w:t>892,428</w:t>
      </w:r>
    </w:p>
    <w:p>
      <w:pPr>
        <w:spacing w:after="0" w:line="4" w:lineRule="exact"/>
        <w:rPr>
          <w:sz w:val="20"/>
          <w:szCs w:val="20"/>
          <w:color w:val="auto"/>
        </w:rPr>
      </w:pPr>
    </w:p>
    <w:p>
      <w:pPr>
        <w:ind w:left="4700"/>
        <w:spacing w:after="0"/>
        <w:rPr>
          <w:sz w:val="20"/>
          <w:szCs w:val="20"/>
          <w:color w:val="auto"/>
        </w:rPr>
      </w:pPr>
      <w:r>
        <w:rPr>
          <w:rFonts w:ascii="Courier New" w:cs="Courier New" w:eastAsia="Courier New" w:hAnsi="Courier New"/>
          <w:sz w:val="17"/>
          <w:szCs w:val="17"/>
          <w:color w:val="auto"/>
        </w:rPr>
        <w:t>0</w:t>
      </w:r>
    </w:p>
    <w:p>
      <w:pPr>
        <w:spacing w:after="0" w:line="4" w:lineRule="exact"/>
        <w:rPr>
          <w:sz w:val="20"/>
          <w:szCs w:val="20"/>
          <w:color w:val="auto"/>
        </w:rPr>
      </w:pPr>
    </w:p>
    <w:p>
      <w:pPr>
        <w:ind w:left="3260"/>
        <w:spacing w:after="0"/>
        <w:rPr>
          <w:sz w:val="20"/>
          <w:szCs w:val="20"/>
          <w:color w:val="auto"/>
        </w:rPr>
      </w:pPr>
      <w:r>
        <w:rPr>
          <w:rFonts w:ascii="Courier New" w:cs="Courier New" w:eastAsia="Courier New" w:hAnsi="Courier New"/>
          <w:sz w:val="17"/>
          <w:szCs w:val="17"/>
          <w:color w:val="auto"/>
        </w:rPr>
        <w:t>42,909</w:t>
      </w:r>
    </w:p>
    <w:p>
      <w:pPr>
        <w:spacing w:after="0" w:line="4" w:lineRule="exact"/>
        <w:rPr>
          <w:sz w:val="20"/>
          <w:szCs w:val="20"/>
          <w:color w:val="auto"/>
        </w:rPr>
      </w:pPr>
    </w:p>
    <w:p>
      <w:pPr>
        <w:jc w:val="center"/>
        <w:ind w:right="319"/>
        <w:spacing w:after="0"/>
        <w:rPr>
          <w:sz w:val="20"/>
          <w:szCs w:val="20"/>
          <w:color w:val="auto"/>
        </w:rPr>
      </w:pPr>
      <w:r>
        <w:rPr>
          <w:rFonts w:ascii="Courier New" w:cs="Courier New" w:eastAsia="Courier New" w:hAnsi="Courier New"/>
          <w:sz w:val="17"/>
          <w:szCs w:val="17"/>
          <w:color w:val="auto"/>
        </w:rPr>
        <w:t>0</w:t>
      </w:r>
    </w:p>
    <w:p>
      <w:pPr>
        <w:spacing w:after="0" w:line="4" w:lineRule="exact"/>
        <w:rPr>
          <w:sz w:val="20"/>
          <w:szCs w:val="20"/>
          <w:color w:val="auto"/>
        </w:rPr>
      </w:pPr>
    </w:p>
    <w:p>
      <w:pPr>
        <w:ind w:left="3580"/>
        <w:spacing w:after="0"/>
        <w:rPr>
          <w:sz w:val="20"/>
          <w:szCs w:val="20"/>
          <w:color w:val="auto"/>
        </w:rPr>
      </w:pPr>
      <w:r>
        <w:rPr>
          <w:rFonts w:ascii="Courier New" w:cs="Courier New" w:eastAsia="Courier New" w:hAnsi="Courier New"/>
          <w:sz w:val="17"/>
          <w:szCs w:val="17"/>
          <w:color w:val="auto"/>
        </w:rPr>
        <w:t>15,717</w:t>
      </w:r>
    </w:p>
    <w:p>
      <w:pPr>
        <w:spacing w:after="0" w:line="4"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0</w:t>
      </w:r>
    </w:p>
    <w:p>
      <w:pPr>
        <w:spacing w:after="0" w:line="4"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0</w:t>
      </w:r>
    </w:p>
    <w:p>
      <w:pPr>
        <w:spacing w:after="0" w:line="4" w:lineRule="exact"/>
        <w:rPr>
          <w:sz w:val="20"/>
          <w:szCs w:val="20"/>
          <w:color w:val="auto"/>
        </w:rPr>
      </w:pPr>
    </w:p>
    <w:p>
      <w:pPr>
        <w:ind w:left="3060"/>
        <w:spacing w:after="0"/>
        <w:rPr>
          <w:sz w:val="20"/>
          <w:szCs w:val="20"/>
          <w:color w:val="auto"/>
        </w:rPr>
      </w:pPr>
      <w:r>
        <w:rPr>
          <w:rFonts w:ascii="Courier New" w:cs="Courier New" w:eastAsia="Courier New" w:hAnsi="Courier New"/>
          <w:sz w:val="17"/>
          <w:szCs w:val="17"/>
          <w:color w:val="auto"/>
        </w:rPr>
        <w:t>11,149</w:t>
      </w:r>
    </w:p>
    <w:p>
      <w:pPr>
        <w:spacing w:after="0" w:line="4" w:lineRule="exact"/>
        <w:rPr>
          <w:sz w:val="20"/>
          <w:szCs w:val="20"/>
          <w:color w:val="auto"/>
        </w:rPr>
      </w:pPr>
    </w:p>
    <w:p>
      <w:pPr>
        <w:ind w:left="3480"/>
        <w:spacing w:after="0"/>
        <w:rPr>
          <w:sz w:val="20"/>
          <w:szCs w:val="20"/>
          <w:color w:val="auto"/>
        </w:rPr>
      </w:pPr>
      <w:r>
        <w:rPr>
          <w:rFonts w:ascii="Courier New" w:cs="Courier New" w:eastAsia="Courier New" w:hAnsi="Courier New"/>
          <w:sz w:val="17"/>
          <w:szCs w:val="17"/>
          <w:color w:val="auto"/>
        </w:rPr>
        <w:t>6,026</w:t>
      </w:r>
    </w:p>
    <w:p>
      <w:pPr>
        <w:spacing w:after="0" w:line="4" w:lineRule="exact"/>
        <w:rPr>
          <w:sz w:val="20"/>
          <w:szCs w:val="20"/>
          <w:color w:val="auto"/>
        </w:rPr>
      </w:pPr>
    </w:p>
    <w:p>
      <w:pPr>
        <w:ind w:left="4180"/>
        <w:spacing w:after="0"/>
        <w:rPr>
          <w:sz w:val="20"/>
          <w:szCs w:val="20"/>
          <w:color w:val="auto"/>
        </w:rPr>
      </w:pPr>
      <w:r>
        <w:rPr>
          <w:rFonts w:ascii="Courier New" w:cs="Courier New" w:eastAsia="Courier New" w:hAnsi="Courier New"/>
          <w:sz w:val="17"/>
          <w:szCs w:val="17"/>
          <w:color w:val="auto"/>
        </w:rPr>
        <w:t>0</w:t>
      </w:r>
    </w:p>
    <w:p>
      <w:pPr>
        <w:spacing w:after="0" w:line="4" w:lineRule="exact"/>
        <w:rPr>
          <w:sz w:val="20"/>
          <w:szCs w:val="20"/>
          <w:color w:val="auto"/>
        </w:rPr>
      </w:pPr>
    </w:p>
    <w:p>
      <w:pPr>
        <w:ind w:left="3480"/>
        <w:spacing w:after="0"/>
        <w:rPr>
          <w:sz w:val="20"/>
          <w:szCs w:val="20"/>
          <w:color w:val="auto"/>
        </w:rPr>
      </w:pPr>
      <w:r>
        <w:rPr>
          <w:rFonts w:ascii="Courier New" w:cs="Courier New" w:eastAsia="Courier New" w:hAnsi="Courier New"/>
          <w:sz w:val="17"/>
          <w:szCs w:val="17"/>
          <w:color w:val="auto"/>
        </w:rPr>
        <w:t>0</w:t>
      </w:r>
    </w:p>
    <w:p>
      <w:pPr>
        <w:spacing w:after="0" w:line="4"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0</w:t>
      </w:r>
    </w:p>
    <w:p>
      <w:pPr>
        <w:spacing w:after="0" w:line="4"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0</w:t>
      </w:r>
    </w:p>
    <w:p>
      <w:pPr>
        <w:spacing w:after="0" w:line="4" w:lineRule="exact"/>
        <w:rPr>
          <w:sz w:val="20"/>
          <w:szCs w:val="20"/>
          <w:color w:val="auto"/>
        </w:rPr>
      </w:pPr>
    </w:p>
    <w:p>
      <w:pPr>
        <w:ind w:left="4500"/>
        <w:spacing w:after="0"/>
        <w:rPr>
          <w:sz w:val="20"/>
          <w:szCs w:val="20"/>
          <w:color w:val="auto"/>
        </w:rPr>
      </w:pPr>
      <w:r>
        <w:rPr>
          <w:rFonts w:ascii="Courier New" w:cs="Courier New" w:eastAsia="Courier New" w:hAnsi="Courier New"/>
          <w:sz w:val="17"/>
          <w:szCs w:val="17"/>
          <w:color w:val="auto"/>
        </w:rPr>
        <w:t>0</w:t>
      </w:r>
    </w:p>
    <w:p>
      <w:pPr>
        <w:spacing w:after="0" w:line="4" w:lineRule="exact"/>
        <w:rPr>
          <w:sz w:val="20"/>
          <w:szCs w:val="20"/>
          <w:color w:val="auto"/>
        </w:rPr>
      </w:pPr>
    </w:p>
    <w:p>
      <w:pPr>
        <w:jc w:val="center"/>
        <w:ind w:right="2159"/>
        <w:spacing w:after="0"/>
        <w:rPr>
          <w:sz w:val="20"/>
          <w:szCs w:val="20"/>
          <w:color w:val="auto"/>
        </w:rPr>
      </w:pPr>
      <w:r>
        <w:rPr>
          <w:rFonts w:ascii="Courier New" w:cs="Courier New" w:eastAsia="Courier New" w:hAnsi="Courier New"/>
          <w:sz w:val="17"/>
          <w:szCs w:val="17"/>
          <w:color w:val="auto"/>
        </w:rPr>
        <w:t>6,026</w:t>
      </w:r>
    </w:p>
    <w:p>
      <w:pPr>
        <w:spacing w:after="0" w:line="4" w:lineRule="exact"/>
        <w:rPr>
          <w:sz w:val="20"/>
          <w:szCs w:val="20"/>
          <w:color w:val="auto"/>
        </w:rPr>
      </w:pPr>
    </w:p>
    <w:p>
      <w:pPr>
        <w:jc w:val="center"/>
        <w:ind w:right="2159"/>
        <w:spacing w:after="0"/>
        <w:rPr>
          <w:sz w:val="20"/>
          <w:szCs w:val="20"/>
          <w:color w:val="auto"/>
        </w:rPr>
      </w:pPr>
      <w:r>
        <w:rPr>
          <w:rFonts w:ascii="Courier New" w:cs="Courier New" w:eastAsia="Courier New" w:hAnsi="Courier New"/>
          <w:sz w:val="17"/>
          <w:szCs w:val="17"/>
          <w:color w:val="auto"/>
        </w:rPr>
        <w:t>.19</w:t>
      </w:r>
    </w:p>
    <w:p>
      <w:pPr>
        <w:spacing w:after="0" w:line="4" w:lineRule="exact"/>
        <w:rPr>
          <w:sz w:val="20"/>
          <w:szCs w:val="20"/>
          <w:color w:val="auto"/>
        </w:rPr>
      </w:pPr>
    </w:p>
    <w:p>
      <w:pPr>
        <w:jc w:val="center"/>
        <w:ind w:right="1959"/>
        <w:spacing w:after="0"/>
        <w:rPr>
          <w:sz w:val="20"/>
          <w:szCs w:val="20"/>
          <w:color w:val="auto"/>
        </w:rPr>
      </w:pPr>
      <w:r>
        <w:rPr>
          <w:rFonts w:ascii="Courier New" w:cs="Courier New" w:eastAsia="Courier New" w:hAnsi="Courier New"/>
          <w:sz w:val="17"/>
          <w:szCs w:val="17"/>
          <w:color w:val="auto"/>
        </w:rPr>
        <w:t>0</w:t>
      </w:r>
    </w:p>
    <w:p>
      <w:pPr>
        <w:spacing w:after="0" w:line="201" w:lineRule="exact"/>
        <w:rPr>
          <w:sz w:val="20"/>
          <w:szCs w:val="20"/>
          <w:color w:val="auto"/>
        </w:rPr>
      </w:pPr>
    </w:p>
    <w:p>
      <w:pPr>
        <w:ind w:right="2659"/>
        <w:spacing w:after="0" w:line="243" w:lineRule="auto"/>
        <w:rPr>
          <w:sz w:val="20"/>
          <w:szCs w:val="20"/>
          <w:color w:val="auto"/>
        </w:rPr>
      </w:pPr>
      <w:r>
        <w:rPr>
          <w:rFonts w:ascii="Courier New" w:cs="Courier New" w:eastAsia="Courier New" w:hAnsi="Courier New"/>
          <w:sz w:val="17"/>
          <w:szCs w:val="17"/>
          <w:color w:val="auto"/>
        </w:rPr>
        <w:t>Current assets and current liabilities are not listed since Federal Realty does not prepare a classified balance sheet.</w:t>
      </w:r>
    </w:p>
    <w:sectPr>
      <w:pgSz w:w="11900" w:h="16838" w:orient="portrait"/>
      <w:cols w:equalWidth="0" w:num="1">
        <w:col w:w="10219"/>
      </w:cols>
      <w:pgMar w:left="240" w:top="1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lvl w:ilvl="1">
      <w:lvlJc w:val="left"/>
      <w:lvlText w:val="(%2)"/>
      <w:numFmt w:val="decimal"/>
      <w:start w:val="301"/>
    </w:lvl>
  </w:abstractNum>
  <w:abstractNum w:abstractNumId="1">
    <w:nsid w:val="66334873"/>
    <w:multiLevelType w:val="hybridMultilevel"/>
    <w:lvl w:ilvl="0">
      <w:lvlJc w:val="left"/>
      <w:lvlText w:val="(%1)"/>
      <w:numFmt w:val="upperLetter"/>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2019-12-13T00:46:34Z</dcterms:created>
  <dcterms:modified xsi:type="dcterms:W3CDTF">2019-12-13T00:46:34Z</dcterms:modified>
</cp:coreProperties>
</file>