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333-203999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vMerge w:val="restart"/>
          </w:tcPr>
          <w:p>
            <w:pPr>
              <w:jc w:val="center"/>
              <w:ind w:left="24"/>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5"/>
              </w:rPr>
              <w:t>Offering</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56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2"/>
              </w:rPr>
              <w:t>Price Per Share</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3"/>
              </w:rPr>
              <w:t>Price</w:t>
            </w:r>
          </w:p>
        </w:tc>
        <w:tc>
          <w:tcPr>
            <w:tcW w:w="156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92"/>
              </w:rPr>
              <w:t>Fee(2)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 of Beneficial Interest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1,150,000</w:t>
            </w:r>
            <w:r>
              <w:rPr>
                <w:rFonts w:ascii="Arial" w:cs="Arial" w:eastAsia="Arial" w:hAnsi="Arial"/>
                <w:sz w:val="15"/>
                <w:szCs w:val="15"/>
                <w:color w:val="auto"/>
                <w:w w:val="91"/>
              </w:rPr>
              <w:t>(1)</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8"/>
                <w:szCs w:val="18"/>
                <w:color w:val="auto"/>
                <w:w w:val="89"/>
              </w:rPr>
              <w:t>$149.09</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$171,453,500</w:t>
            </w:r>
          </w:p>
        </w:tc>
        <w:tc>
          <w:tcPr>
            <w:tcW w:w="1560" w:type="dxa"/>
            <w:vAlign w:val="bottom"/>
            <w:tcBorders>
              <w:bottom w:val="single" w:sz="8" w:color="auto"/>
            </w:tcBorders>
          </w:tcPr>
          <w:p>
            <w:pPr>
              <w:jc w:val="right"/>
              <w:ind w:right="264"/>
              <w:spacing w:after="0"/>
              <w:rPr>
                <w:sz w:val="20"/>
                <w:szCs w:val="20"/>
                <w:color w:val="auto"/>
              </w:rPr>
            </w:pPr>
            <w:r>
              <w:rPr>
                <w:rFonts w:ascii="Arial" w:cs="Arial" w:eastAsia="Arial" w:hAnsi="Arial"/>
                <w:sz w:val="18"/>
                <w:szCs w:val="18"/>
                <w:color w:val="auto"/>
              </w:rPr>
              <w:t>$17,265.37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Assumes exercise in full of the underwriter’s option to purchase up to 150,000 additional common shares of beneficial interest.</w:t>
      </w:r>
    </w:p>
    <w:p>
      <w:pPr>
        <w:spacing w:after="0" w:line="22" w:lineRule="exact"/>
        <w:rPr>
          <w:rFonts w:ascii="Arial" w:cs="Arial" w:eastAsia="Arial" w:hAnsi="Arial"/>
          <w:sz w:val="18"/>
          <w:szCs w:val="18"/>
          <w:color w:val="auto"/>
        </w:rPr>
      </w:pPr>
    </w:p>
    <w:p>
      <w:pPr>
        <w:ind w:left="460" w:right="30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filing fee is calculated in accordance with Rule 457(c) under the Securities Act of 1933 (the “Securities Act”), based on the average of the high and low prices reported on the New York Stock Exchange on February 29, 2016 and relates to the Registration Statement on Form S-3 (No. 333-203999) filed on May 8, 2015 (the “Registration Statement”). In accordance with Rules 456(b) and 457(r) under the Securities Act, the registrant deferred payment of the registration fee for the Registration Statement.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MAY 8, 2015)</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1,000,000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178435</wp:posOffset>
            </wp:positionV>
            <wp:extent cx="2255520" cy="909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175260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3"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are offering 1,000,000 of our common shares of beneficial interest. Our common shares are listed on the New York Stock Exchange under the symbol “FRT.” On February 29, 2016, the last reported sale price of our common shares on the New York Stock Exchange was $148.06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110490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8" w:lineRule="exact"/>
        <w:rPr>
          <w:sz w:val="20"/>
          <w:szCs w:val="20"/>
          <w:color w:val="auto"/>
        </w:rPr>
      </w:pPr>
    </w:p>
    <w:p>
      <w:pPr>
        <w:spacing w:after="0" w:line="261"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shares involves risks. See “</w:t>
      </w:r>
      <w:hyperlink w:anchor="page8">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S-3 of this prospectus supplement and page 3 of the accompanying prospectus and in our Annual Report on Form 10-K for the year ended December 31, 2015, filed with the Securities and Exchange Commission, or the SEC, on February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 has agreed to purchase the common shares from us at a price of $149.43 per share, which will result in $149,430,000 of proceeds to us before expenses. The underwriter may offer the common shares from time to time for sale in one or more transactions on the New York Stock Exchange, in the over-the-counter market, through negotiated transactions or otherwise at market prices prevailing at the time of sale, at prices related to prevailing market prices or at negotiated prices.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Delivery of the common shares will be made on or about March 7, 2016.</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underwriter may also purchase up to an additional 150,000 shares at the price per share set forth above, less any dividends or distributions payable on the shares initially purchased by the underwriter but not payable on such option shares, within 30 days from the date of this prospectus supplement.</w:t>
      </w:r>
    </w:p>
    <w:p>
      <w:pPr>
        <w:spacing w:after="0" w:line="120"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116840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Citigroup</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supplement is March 1, 2016.</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6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60" w:type="dxa"/>
            <w:vAlign w:val="bottom"/>
            <w:gridSpan w:val="3"/>
          </w:tcPr>
          <w:p>
            <w:pPr>
              <w:jc w:val="right"/>
              <w:ind w:right="4720"/>
              <w:spacing w:after="0"/>
              <w:rPr>
                <w:sz w:val="20"/>
                <w:szCs w:val="20"/>
                <w:color w:val="auto"/>
              </w:rPr>
            </w:pPr>
            <w:r>
              <w:rPr>
                <w:rFonts w:ascii="Arial" w:cs="Arial" w:eastAsia="Arial" w:hAnsi="Arial"/>
                <w:sz w:val="18"/>
                <w:szCs w:val="18"/>
                <w:b w:val="1"/>
                <w:bCs w:val="1"/>
                <w:color w:val="auto"/>
                <w:w w:val="93"/>
              </w:rPr>
              <w:t>Prospectus Supplement</w:t>
            </w:r>
          </w:p>
        </w:tc>
        <w:tc>
          <w:tcPr>
            <w:tcW w:w="0" w:type="dxa"/>
            <w:vAlign w:val="bottom"/>
          </w:tcPr>
          <w:p>
            <w:pPr>
              <w:spacing w:after="0"/>
              <w:rPr>
                <w:sz w:val="1"/>
                <w:szCs w:val="1"/>
                <w:color w:val="auto"/>
              </w:rPr>
            </w:pPr>
          </w:p>
        </w:tc>
      </w:tr>
      <w:tr>
        <w:trPr>
          <w:trHeight w:val="392"/>
        </w:trPr>
        <w:tc>
          <w:tcPr>
            <w:tcW w:w="2500" w:type="dxa"/>
            <w:vAlign w:val="bottom"/>
            <w:gridSpan w:val="6"/>
            <w:vMerge w:val="restart"/>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 Supplement</w:t>
              </w:r>
            </w:hyperlink>
          </w:p>
        </w:tc>
        <w:tc>
          <w:tcPr>
            <w:tcW w:w="2180" w:type="dxa"/>
            <w:vAlign w:val="bottom"/>
            <w:gridSpan w:val="3"/>
            <w:vMerge w:val="restart"/>
          </w:tcPr>
          <w:p>
            <w:pPr>
              <w:spacing w:after="0"/>
              <w:rPr>
                <w:sz w:val="24"/>
                <w:szCs w:val="24"/>
                <w:color w:val="auto"/>
              </w:rPr>
            </w:pPr>
          </w:p>
        </w:tc>
        <w:tc>
          <w:tcPr>
            <w:tcW w:w="63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2500" w:type="dxa"/>
            <w:vAlign w:val="bottom"/>
            <w:tcBorders>
              <w:bottom w:val="single" w:sz="8" w:color="0000EE"/>
            </w:tcBorders>
            <w:gridSpan w:val="6"/>
            <w:vMerge w:val="continue"/>
          </w:tcPr>
          <w:p>
            <w:pPr>
              <w:spacing w:after="0"/>
              <w:rPr>
                <w:sz w:val="13"/>
                <w:szCs w:val="13"/>
                <w:color w:val="auto"/>
              </w:rPr>
            </w:pPr>
          </w:p>
        </w:tc>
        <w:tc>
          <w:tcPr>
            <w:tcW w:w="2180" w:type="dxa"/>
            <w:vAlign w:val="bottom"/>
            <w:gridSpan w:val="3"/>
            <w:vMerge w:val="continue"/>
          </w:tcPr>
          <w:p>
            <w:pPr>
              <w:spacing w:after="0"/>
              <w:rPr>
                <w:sz w:val="13"/>
                <w:szCs w:val="13"/>
                <w:color w:val="auto"/>
              </w:rPr>
            </w:pPr>
          </w:p>
        </w:tc>
        <w:tc>
          <w:tcPr>
            <w:tcW w:w="63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Cautionary Statement Concerning Forward-Looking Statements</w:t>
              </w:r>
            </w:hyperlink>
          </w:p>
        </w:tc>
        <w:tc>
          <w:tcPr>
            <w:tcW w:w="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Supplement Summary</w:t>
              </w:r>
            </w:hyperlink>
          </w:p>
        </w:tc>
        <w:tc>
          <w:tcPr>
            <w:tcW w:w="2240" w:type="dxa"/>
            <w:vAlign w:val="bottom"/>
            <w:gridSpan w:val="4"/>
          </w:tcPr>
          <w:p>
            <w:pPr>
              <w:spacing w:after="0"/>
              <w:rPr>
                <w:sz w:val="17"/>
                <w:szCs w:val="17"/>
                <w:color w:val="auto"/>
              </w:rPr>
            </w:pPr>
          </w:p>
        </w:tc>
        <w:tc>
          <w:tcPr>
            <w:tcW w:w="6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Risk Factors</w:t>
              </w:r>
            </w:hyperlink>
          </w:p>
        </w:tc>
        <w:tc>
          <w:tcPr>
            <w:tcW w:w="3760" w:type="dxa"/>
            <w:vAlign w:val="bottom"/>
            <w:gridSpan w:val="7"/>
          </w:tcPr>
          <w:p>
            <w:pPr>
              <w:spacing w:after="0"/>
              <w:rPr>
                <w:sz w:val="17"/>
                <w:szCs w:val="17"/>
                <w:color w:val="auto"/>
              </w:rPr>
            </w:pPr>
          </w:p>
        </w:tc>
        <w:tc>
          <w:tcPr>
            <w:tcW w:w="6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Use of Proceeds</w:t>
              </w:r>
            </w:hyperlink>
          </w:p>
        </w:tc>
        <w:tc>
          <w:tcPr>
            <w:tcW w:w="3500" w:type="dxa"/>
            <w:vAlign w:val="bottom"/>
            <w:gridSpan w:val="5"/>
          </w:tcPr>
          <w:p>
            <w:pPr>
              <w:spacing w:after="0"/>
              <w:rPr>
                <w:sz w:val="17"/>
                <w:szCs w:val="17"/>
                <w:color w:val="auto"/>
              </w:rPr>
            </w:pPr>
          </w:p>
        </w:tc>
        <w:tc>
          <w:tcPr>
            <w:tcW w:w="6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w:t>
            </w:r>
          </w:p>
        </w:tc>
        <w:tc>
          <w:tcPr>
            <w:tcW w:w="0" w:type="dxa"/>
            <w:vAlign w:val="bottom"/>
          </w:tcPr>
          <w:p>
            <w:pPr>
              <w:spacing w:after="0"/>
              <w:rPr>
                <w:sz w:val="1"/>
                <w:szCs w:val="1"/>
                <w:color w:val="auto"/>
              </w:rPr>
            </w:pPr>
          </w:p>
        </w:tc>
      </w:tr>
      <w:tr>
        <w:trPr>
          <w:trHeight w:val="196"/>
        </w:trPr>
        <w:tc>
          <w:tcPr>
            <w:tcW w:w="4680" w:type="dxa"/>
            <w:vAlign w:val="bottom"/>
            <w:gridSpan w:val="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Underwriting (Conflicts of Interest)</w:t>
              </w:r>
            </w:hyperlink>
          </w:p>
        </w:tc>
        <w:tc>
          <w:tcPr>
            <w:tcW w:w="6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S-5</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Experts</w:t>
              </w:r>
            </w:hyperlink>
          </w:p>
        </w:tc>
        <w:tc>
          <w:tcPr>
            <w:tcW w:w="2020" w:type="dxa"/>
            <w:vAlign w:val="bottom"/>
            <w:tcBorders>
              <w:top w:val="single" w:sz="8" w:color="0000EE"/>
            </w:tcBorders>
            <w:gridSpan w:val="6"/>
          </w:tcPr>
          <w:p>
            <w:pPr>
              <w:spacing w:after="0"/>
              <w:rPr>
                <w:sz w:val="17"/>
                <w:szCs w:val="17"/>
                <w:color w:val="auto"/>
              </w:rPr>
            </w:pPr>
          </w:p>
        </w:tc>
        <w:tc>
          <w:tcPr>
            <w:tcW w:w="2100" w:type="dxa"/>
            <w:vAlign w:val="bottom"/>
            <w:gridSpan w:val="2"/>
          </w:tcPr>
          <w:p>
            <w:pPr>
              <w:spacing w:after="0"/>
              <w:rPr>
                <w:sz w:val="17"/>
                <w:szCs w:val="17"/>
                <w:color w:val="auto"/>
              </w:rPr>
            </w:pPr>
          </w:p>
        </w:tc>
        <w:tc>
          <w:tcPr>
            <w:tcW w:w="6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Legal Matters</w:t>
              </w:r>
            </w:hyperlink>
          </w:p>
        </w:tc>
        <w:tc>
          <w:tcPr>
            <w:tcW w:w="3660" w:type="dxa"/>
            <w:vAlign w:val="bottom"/>
            <w:gridSpan w:val="6"/>
          </w:tcPr>
          <w:p>
            <w:pPr>
              <w:spacing w:after="0"/>
              <w:rPr>
                <w:sz w:val="17"/>
                <w:szCs w:val="17"/>
                <w:color w:val="auto"/>
              </w:rPr>
            </w:pPr>
          </w:p>
        </w:tc>
        <w:tc>
          <w:tcPr>
            <w:tcW w:w="6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80" w:type="dxa"/>
            <w:vAlign w:val="bottom"/>
            <w:gridSpan w:val="3"/>
          </w:tcPr>
          <w:p>
            <w:pPr>
              <w:jc w:val="right"/>
              <w:ind w:right="520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2"/>
        </w:trPr>
        <w:tc>
          <w:tcPr>
            <w:tcW w:w="4260" w:type="dxa"/>
            <w:vAlign w:val="bottom"/>
            <w:gridSpan w:val="12"/>
            <w:vMerge w:val="restart"/>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About this Prospectus</w:t>
              </w:r>
            </w:hyperlink>
          </w:p>
        </w:tc>
        <w:tc>
          <w:tcPr>
            <w:tcW w:w="67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4260" w:type="dxa"/>
            <w:vAlign w:val="bottom"/>
            <w:gridSpan w:val="12"/>
            <w:vMerge w:val="continue"/>
          </w:tcPr>
          <w:p>
            <w:pPr>
              <w:spacing w:after="0"/>
              <w:rPr>
                <w:sz w:val="13"/>
                <w:szCs w:val="13"/>
                <w:color w:val="auto"/>
              </w:rPr>
            </w:pPr>
          </w:p>
        </w:tc>
        <w:tc>
          <w:tcPr>
            <w:tcW w:w="676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12"/>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Forward-Looking Statements</w:t>
              </w:r>
            </w:hyperlink>
          </w:p>
        </w:tc>
        <w:tc>
          <w:tcPr>
            <w:tcW w:w="70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17"/>
                <w:szCs w:val="17"/>
                <w:color w:val="auto"/>
              </w:rPr>
            </w:pPr>
          </w:p>
        </w:tc>
        <w:tc>
          <w:tcPr>
            <w:tcW w:w="2140" w:type="dxa"/>
            <w:vAlign w:val="bottom"/>
            <w:gridSpan w:val="5"/>
          </w:tcPr>
          <w:p>
            <w:pPr>
              <w:spacing w:after="0"/>
              <w:rPr>
                <w:sz w:val="17"/>
                <w:szCs w:val="17"/>
                <w:color w:val="auto"/>
              </w:rPr>
            </w:pPr>
          </w:p>
        </w:tc>
        <w:tc>
          <w:tcPr>
            <w:tcW w:w="70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Risk Factors</w:t>
              </w:r>
            </w:hyperlink>
          </w:p>
        </w:tc>
        <w:tc>
          <w:tcPr>
            <w:tcW w:w="3340" w:type="dxa"/>
            <w:vAlign w:val="bottom"/>
            <w:gridSpan w:val="10"/>
          </w:tcPr>
          <w:p>
            <w:pPr>
              <w:spacing w:after="0"/>
              <w:rPr>
                <w:sz w:val="17"/>
                <w:szCs w:val="17"/>
                <w:color w:val="auto"/>
              </w:rPr>
            </w:pPr>
          </w:p>
        </w:tc>
        <w:tc>
          <w:tcPr>
            <w:tcW w:w="70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Use of Proceeds</w:t>
              </w:r>
            </w:hyperlink>
          </w:p>
        </w:tc>
        <w:tc>
          <w:tcPr>
            <w:tcW w:w="3080" w:type="dxa"/>
            <w:vAlign w:val="bottom"/>
            <w:gridSpan w:val="8"/>
          </w:tcPr>
          <w:p>
            <w:pPr>
              <w:spacing w:after="0"/>
              <w:rPr>
                <w:sz w:val="17"/>
                <w:szCs w:val="17"/>
                <w:color w:val="auto"/>
              </w:rPr>
            </w:pPr>
          </w:p>
        </w:tc>
        <w:tc>
          <w:tcPr>
            <w:tcW w:w="70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Description of Debt Securities</w:t>
              </w:r>
            </w:hyperlink>
          </w:p>
        </w:tc>
        <w:tc>
          <w:tcPr>
            <w:tcW w:w="2060" w:type="dxa"/>
            <w:vAlign w:val="bottom"/>
            <w:gridSpan w:val="4"/>
          </w:tcPr>
          <w:p>
            <w:pPr>
              <w:spacing w:after="0"/>
              <w:rPr>
                <w:sz w:val="17"/>
                <w:szCs w:val="17"/>
                <w:color w:val="auto"/>
              </w:rPr>
            </w:pPr>
          </w:p>
        </w:tc>
        <w:tc>
          <w:tcPr>
            <w:tcW w:w="70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Description of Shares of Beneficial Interest</w:t>
              </w:r>
            </w:hyperlink>
          </w:p>
        </w:tc>
        <w:tc>
          <w:tcPr>
            <w:tcW w:w="1120" w:type="dxa"/>
            <w:vAlign w:val="bottom"/>
            <w:gridSpan w:val="2"/>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gridSpan w:val="1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Material Federal Income Tax Considerations</w:t>
              </w:r>
            </w:hyperlink>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60">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17"/>
                <w:szCs w:val="17"/>
                <w:color w:val="auto"/>
              </w:rPr>
            </w:pPr>
          </w:p>
        </w:tc>
        <w:tc>
          <w:tcPr>
            <w:tcW w:w="1040" w:type="dxa"/>
            <w:vAlign w:val="bottom"/>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Legal Matters</w:t>
              </w:r>
            </w:hyperlink>
          </w:p>
        </w:tc>
        <w:tc>
          <w:tcPr>
            <w:tcW w:w="3240" w:type="dxa"/>
            <w:vAlign w:val="bottom"/>
            <w:gridSpan w:val="9"/>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Experts</w:t>
              </w:r>
            </w:hyperlink>
          </w:p>
        </w:tc>
        <w:tc>
          <w:tcPr>
            <w:tcW w:w="3700" w:type="dxa"/>
            <w:vAlign w:val="bottom"/>
            <w:gridSpan w:val="11"/>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Where You Can Find More Information</w:t>
              </w:r>
            </w:hyperlink>
          </w:p>
        </w:tc>
        <w:tc>
          <w:tcPr>
            <w:tcW w:w="1380" w:type="dxa"/>
            <w:vAlign w:val="bottom"/>
            <w:gridSpan w:val="3"/>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You should read this prospectus supplement along with the accompanying prospectus, as well as the information incorporated by reference herein and therein, carefully before you invest in our common shares. These documents contain important information you should consider before making your investment decision. This prospectus supplement and the accompanying prospectus contain the terms of this offering of our common shares. The accompanying prospectus contains information about our securities generally, some of which does not apply to the common shares covered by this prospectus supplement. This prospectus supplement may add, update or change information contained in or incorporated by reference into the accompanying prospectus. If the information in this prospectus supplement is inconsistent with any information contained in or incorporated by reference into the accompanying prospectus, the information in this prospectus supplement shall apply and shall supersede the inconsistent information contained in or incorporated by reference into the accompanying prospectus.</w:t>
      </w:r>
    </w:p>
    <w:p>
      <w:pPr>
        <w:spacing w:after="0" w:line="19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It is important for you to read and consider all of the information contained in or incorporated by reference into this prospectus supplement and the accompanying prospectus in making your investment decision. You should also read and consider the additional information incorporated by reference into this prospectus supplement and the accompanying prospectus. See “Where You Can Find More Information” in the accompanying prospectus.</w:t>
      </w:r>
    </w:p>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and indirectly owned subsidiaries, unless the context otherwise requires. The term “you” refers to a prospective investor.</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You should rely only on the information contained in or incorporated by reference into this prospectus supplement, the accompanying prospectus and any related free writing prospectus required to be filed with the SEC. We have not, nor has the underwriter, authorized any other person to provide you with additional or different information. If anyone provides you with additional or different information, you should not rely on it. We are not, nor is the underwriter, making an offer to sell the common shares in any jurisdiction where the offer or sale is not permitted by law.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results of operations and prospects may have changed since those dates.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in or incorporated by reference into this prospectus supplement and the accompanying prospectus describe forward-looking information. The risk factors contained herein, on page 3 of the accompanying prospectus and in our Annual Report on Form 10-K for the year ended December 31, 2015 that we filed with the SEC on February 9, 2016,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72" w:lineRule="exact"/>
        <w:rPr>
          <w:sz w:val="20"/>
          <w:szCs w:val="20"/>
          <w:color w:val="auto"/>
        </w:rPr>
      </w:pPr>
    </w:p>
    <w:p>
      <w:pPr>
        <w:ind w:left="900" w:right="22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6"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86"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included in or incorporated by reference into this prospectus supplement and the accompanying prospectus. We also make no promise to update any of the forward-looking statements, or to publicly release the results if we revise any of them.</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683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36830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3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and South Florida. As of December 31, 2015, we owned or had a majority interest in community and neighborhood shopping centers and mixed-use properties which are operated as 90 predominantly retail real estate projects comprising approximately 21.4 million square feet. In total, the real estate projects were 94.3% leased and 93.5% occupied at December 31, 2015. A joint venture in which we owned a 30% interest owned six retail real estate projects totaling approximately 0.8 million square feet as of December 31, 2015. In total, the joint venture properties in which we owned an interest were 93.6% leased and 85.3% occupied at December 31, 2015. On January 13, 2016, we acquired our partner’s 70% interest in the joint venture and subsequently own 100% of the related properties. We have paid quarterly dividends to our shareholders continuously since our founding in 1962 and have increased our dividends per common share for 48 consecutive years.</w:t>
      </w:r>
    </w:p>
    <w:p>
      <w:pPr>
        <w:spacing w:after="0" w:line="167"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We were founded in 1962 as a REIT under the laws of the District of Columbia and re-formed as a REIT in the state of Maryland in 1999. We operate in a manner intended to qualify as a REIT for tax purposes pursuant to provisions of the Internal Revenue Code of 1986, as amended (the “Code”). Our principal executive offices are located at 1626 East Jefferson Street, Rockville, Maryland 20852. Our telephone number is (301) 998-8100. Our website address is www.federalrealty.com. The information contained on our website is not a part of this prospectus supplement or the accompanying prospectus and is not incorporated herein or therein by reference.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935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66935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i w:val="1"/>
          <w:iCs w:val="1"/>
          <w:color w:val="auto"/>
        </w:rPr>
        <w:t>For a more complete description of the terms of the common shares being offered by this prospectus supplement and the accompanying prospectus, see “Description of Shares of Beneficial Interest” in the accompanying prospectus.</w:t>
      </w:r>
    </w:p>
    <w:p>
      <w:pPr>
        <w:sectPr>
          <w:pgSz w:w="11900" w:h="16838" w:orient="portrait"/>
          <w:cols w:equalWidth="0" w:num="1">
            <w:col w:w="11260"/>
          </w:cols>
          <w:pgMar w:left="240" w:top="459" w:right="399" w:bottom="1440" w:gutter="0" w:footer="0" w:header="0"/>
        </w:sectPr>
      </w:pPr>
    </w:p>
    <w:p>
      <w:pPr>
        <w:spacing w:after="0" w:line="19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shares offered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1,000,000 common shares</w:t>
      </w:r>
    </w:p>
    <w:p>
      <w:pPr>
        <w:spacing w:after="0" w:line="151"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shares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70,819,577 common shares</w:t>
      </w:r>
      <w:r>
        <w:rPr>
          <w:rFonts w:ascii="Arial" w:cs="Arial" w:eastAsia="Arial" w:hAnsi="Arial"/>
          <w:sz w:val="13"/>
          <w:szCs w:val="13"/>
          <w:color w:val="auto"/>
        </w:rPr>
        <w:t>(1)</w:t>
      </w:r>
    </w:p>
    <w:p>
      <w:pPr>
        <w:spacing w:after="0" w:line="140"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Public offering price per common share</w:t>
      </w:r>
    </w:p>
    <w:p>
      <w:pPr>
        <w:spacing w:after="0" w:line="20" w:lineRule="exact"/>
        <w:rPr>
          <w:sz w:val="20"/>
          <w:szCs w:val="20"/>
          <w:color w:val="auto"/>
        </w:rPr>
      </w:pPr>
      <w:r>
        <w:rPr>
          <w:sz w:val="20"/>
          <w:szCs w:val="20"/>
          <w:color w:val="auto"/>
        </w:rPr>
        <w:br w:type="column"/>
      </w:r>
    </w:p>
    <w:p>
      <w:pPr>
        <w:ind w:right="200"/>
        <w:spacing w:after="0" w:line="297" w:lineRule="auto"/>
        <w:rPr>
          <w:sz w:val="20"/>
          <w:szCs w:val="20"/>
          <w:color w:val="auto"/>
        </w:rPr>
      </w:pPr>
      <w:r>
        <w:rPr>
          <w:rFonts w:ascii="Arial" w:cs="Arial" w:eastAsia="Arial" w:hAnsi="Arial"/>
          <w:sz w:val="16"/>
          <w:szCs w:val="16"/>
          <w:color w:val="auto"/>
        </w:rPr>
        <w:t>The underwriter may offer the common shares from time to time for sale in one or more transactions on the New York Stock Exchange, in the over-the-counter market, through negotiated transactions or otherwise at market prices prevailing at the time of sale, at prices related to prevailing market prices or at negotiated prices.</w:t>
      </w:r>
    </w:p>
    <w:p>
      <w:pPr>
        <w:spacing w:after="0" w:line="50"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New York Stock Exchange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FRT</w:t>
      </w:r>
    </w:p>
    <w:p>
      <w:pPr>
        <w:spacing w:after="0" w:line="140"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spacing w:after="0" w:line="312" w:lineRule="auto"/>
        <w:rPr>
          <w:sz w:val="20"/>
          <w:szCs w:val="20"/>
          <w:color w:val="auto"/>
        </w:rPr>
      </w:pPr>
      <w:r>
        <w:rPr>
          <w:rFonts w:ascii="Arial" w:cs="Arial" w:eastAsia="Arial" w:hAnsi="Arial"/>
          <w:sz w:val="16"/>
          <w:szCs w:val="16"/>
          <w:color w:val="auto"/>
        </w:rPr>
        <w:t>We intend to use the net proceeds from this offering to reduce amounts outstanding under our revolving credit facility and for general corporate purposes. See “Use of Proceeds” on page S-4 for more information.</w:t>
      </w:r>
    </w:p>
    <w:p>
      <w:pPr>
        <w:spacing w:after="0" w:line="39"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Material federal income tax considerations</w:t>
      </w:r>
    </w:p>
    <w:p>
      <w:pPr>
        <w:spacing w:after="0" w:line="20" w:lineRule="exact"/>
        <w:rPr>
          <w:sz w:val="20"/>
          <w:szCs w:val="20"/>
          <w:color w:val="auto"/>
        </w:rPr>
      </w:pPr>
      <w:r>
        <w:rPr>
          <w:sz w:val="20"/>
          <w:szCs w:val="20"/>
          <w:color w:val="auto"/>
        </w:rPr>
        <w:br w:type="column"/>
      </w:r>
    </w:p>
    <w:p>
      <w:pPr>
        <w:ind w:right="100"/>
        <w:spacing w:after="0" w:line="271" w:lineRule="auto"/>
        <w:rPr>
          <w:sz w:val="20"/>
          <w:szCs w:val="20"/>
          <w:color w:val="auto"/>
        </w:rPr>
      </w:pPr>
      <w:r>
        <w:rPr>
          <w:rFonts w:ascii="Arial" w:cs="Arial" w:eastAsia="Arial" w:hAnsi="Arial"/>
          <w:sz w:val="17"/>
          <w:szCs w:val="17"/>
          <w:color w:val="auto"/>
        </w:rPr>
        <w:t>For a description of material U.S. federal income tax considerations of an investment in our common shares, please review the disclosure in the accompanying prospectus under “Material Federal Income Tax Considerations,” as may be updated from time to time in filings we make with the SEC that are incorporated by reference into this prospectus supplement or the accompanying prospectus, including without limitation our Current Report on Form 8-K that we filed with the SEC on February 10, 2016.</w:t>
      </w:r>
    </w:p>
    <w:p>
      <w:pPr>
        <w:spacing w:after="0" w:line="71"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7"/>
          <w:szCs w:val="17"/>
          <w:color w:val="auto"/>
        </w:rPr>
        <w:t>Investing in our common shares involves risks. Please review the risk factors discussed on page S-3 of this prospectus supplement, on page 3 of the accompanying prospectus and in our Annual Report on Form 10-K for the year ended December 31, 2015 that we filed with the SEC on February 9, 2016, and the other information contained in or incorporated by reference into this prospectus supplement or the accompanying prospectus for a discussion of factors you should consider before deciding to invest in our common shares. You may obtain a copy of our Annual Report on Form 10-K and the other documents incorporated by reference into this prospectus supplement or the accompanying prospectus by following the procedures described under “Where You Can Find More Information” on page 47 of the accompanying prospectus.</w:t>
      </w:r>
    </w:p>
    <w:p>
      <w:pPr>
        <w:spacing w:after="0" w:line="161"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620" w:right="60" w:hanging="423"/>
        <w:spacing w:after="0" w:line="297"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upon 69,819,577 common shares outstanding as of February 29, 2016. Excludes common shares that we may issue upon (i) exercise of outstanding share options, (ii) conversion of our outstanding 5.417% Series 1 Cumulative Convertible Preferred Shares, (iii) conversion, exchange or redemption of “downREIT” partnership units, and (iv) exercise of contractual or put rights by current or former joint venture and other business partners. The number of common shares to be outstanding after this offering assumes that the underwriter’s option to purchase additional shares is not exercised. If the option to purchase additional shares is exercised in full, we will issue and sell an additional 150,000 common shares.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Investing in our common shares involves a significant degree of risk. Before you decide to purchase our common shares, you should carefully consider the following risk factors, together with all of the other information contained in or incorporated by reference into this prospectus supplement, including the additional risk factors discussed on page 3 of the accompanying prospectus and in our Annual Report on Form 10-K for the year ended December 31, 2015 that we filed with the SEC on February 9, 2016.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18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You may experience significant dilution as a result of this offering and additional issuances of our securities, including our common shares, which could harm the market price of our common shares</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declaration of trust permits our board of trustees to authorize, without shareholder approval, the issuance of additional common or preferred shares or securities convertible or exchangeable into equity securities. We may, from time to time and at any time, seek to offer and sell additional common or preferred shares or other securities, based on market conditions and other factors that may be beyond our control.</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offering may have a dilutive effect on our earnings per share and funds from operations per share after giving effect to the issuance of our common shares in this offering and the receipt of the expected net proceeds. The actual amount of dilution from this offering, or from any future offering of common or preferred shares, will be based on numerous factors, particularly the use of proceeds and the return generated by such investment, and cannot be determined at this time. The market price of our common shares could decline as a result of sales of a large number of our common shares in the market pursuant to this or future offerings, or other factors, or as a result of the perception or expectation that such sales or other factors could occur.</w:t>
      </w:r>
    </w:p>
    <w:p>
      <w:pPr>
        <w:spacing w:after="0" w:line="15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Holders of our debt or preferred shares have liquidation and other rights that are senior to the rights of the holders of our common shares, and any future issuance of debt or preferred shares could adversely affect the market price of our common shares.</w:t>
      </w:r>
    </w:p>
    <w:p>
      <w:pPr>
        <w:spacing w:after="0" w:line="16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As of December 31, 2015, we had approximately $2.6 billion of debt outstanding, and 399,896 shares of our 5.417% Series 1 Cumulative Convertible Preferred Shares, or the Series 1 Preferred Shares, were issued and outstanding. Holders of our debt and preferred shares have liquidation rights and other rights that are senior to the rights of the holders of our common shares. Upon any voluntary or involuntary liquidation, dissolution or winding up, payment will be made to holders of our debt and preferred shares, including our Series 1 Preferred Shares, before any payment is made to the holders of our common shares. This will reduce the amount of our assets, if any, available for distribution to holders of our common shares. Because our decision to issue debt and preferred shares is dependent on market conditions and other factors that may be beyond our control, we cannot predict or estimate the amount, timing or nature of our future issuances. Any such future issuance could reduce the market price of our common shares.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net proceeds to us from the sale of the common shares offered by this prospectus supplement are estimated to be approximately $149.3 million after deducting the underwriting discount and other estimated expenses of this offering payable by us (approximately $171.7 million if the underwriter exercises its option to purchase additional shares in full). We intend to use these net proceeds to reduce amounts outstanding under our revolving credit facility and for general corporate purposes.</w:t>
      </w:r>
    </w:p>
    <w:p>
      <w:pPr>
        <w:spacing w:after="0" w:line="18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Our $600 million revolving credit facility bears interest at LIBOR plus 90 basis points and matures on April 21, 2017, subject to a one-year extension at our option. As of February 29, 2016, we had $231.0 million outstanding under our revolving credit facility. An affiliate of the underwriter is a lender under our revolving credit facility and will receive a pro rata portion of the net proceeds from this offering that are used to repay amounts outstanding thereunder.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intend to offer the common shares through the underwriter. Subject to the terms and conditions stated in an underwriting agreement and a related pricing agreement, each dated the date of this prospectus supplement, the underwriter has agreed to purchase, and we have agreed to sell to the underwriter, 1,000,000 common shares.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common shares are offered by the underwriter, subject to prior sale, when, as and if issued to and accepted by it, subject to approval of legal matters by counsel for the underwriter and certain other conditions. The underwriter reserves the right to withdraw, cancel or modify the offers to the public and to reject orders in whole or in part.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underwriter has agreed to purchase the common shares from us at a price of $149.43 per share, which will result in $149,430,000 of proceeds to us before expenses, or approximately $171,844,500 if the underwriter’s option to purchase additional shares described below is exercised in full. The underwriter may offer the common shares from time to time for sale in one or more transactions on the New York Stock Exchange, in the over-the-counter market, through negotiated transactions or otherwise at market prices prevailing at the time of sale, at prices related to prevailing market prices or at negotiated prices. In connection with the sale of the common shares offered hereby, the underwriter may be deemed to have received compensation in the form of underwriting discounts. The underwriter may effect such transactions by selling common shares to or through dealers, and such dealers may receive compensation in the form of discounts, concessions or commissions from the underwriter and/or purchasers of common shares for whom it may act as agent or to whom it may sell as principal.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$150,000.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our chief executive officer and our chief financial officer have agreed that, for a period of 30 days from the date of this prospectus supplement, we and they will not, without the prior written consent of Citigroup Global Markets Inc., offer, sell, contract to sell, pledge or otherwise dispose of or hedge any of our common shares or any securities convertible into or exercisable, exchangeable or redeemable for our common shares. This lock-up agreement, however, will not prevent us from issuing or granting options to purchase:</w:t>
      </w:r>
    </w:p>
    <w:p>
      <w:pPr>
        <w:spacing w:after="0" w:line="9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common shares in this offering;</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common shares pursuant to our Dividend Reinvestment and Share Purchase Plan, including as a result of exercises of options granted under these plans;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common shares pursuant to our employee or trustee benefit plans, including as a result of exercises of options granted under these plans;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common shares upon conversion of our outstanding 5.417% Series 1 Cumulative Convertible Preferred Shares;</w:t>
      </w:r>
    </w:p>
    <w:p>
      <w:pPr>
        <w:spacing w:after="0" w:line="130"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common shares pursuant to any exercise of contractual rights that exist on the date of this prospectus supplement and that require or permit us to issue common shares to current or former holders of partnership or other interests in certain of our “downREIT” partnerships or other subsidiaries, including as a result of exercises of options granted pursuant to such rights; and</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to certain conditions, common shares, preferred shares and any other of our securities, including securities convertible into or exercisable, exchangeable or redeemable for common shares, as consideration for the acquisition of real property.</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lock-up agreements do not prohibit our chief executive officer or chief financial officer from exercising options (as long as they hold the common shares received from such exercises pursuant to the terms of the lock-up agreements) or purchasing common shares under employee or trustee benefit plans, from making gifts of common shares or securities convertible into or exercisable, exchangeable or redeemable for common shares for the benefit of their immediate families or for charitable purposes as long as the underwriter is provided three business days’ prior written notice and the donee enters into a similar lock-up agreement.</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Citigroup Global Markets Inc. may, in its sole discretion and at any time or from time to time, without notice, release us, our chief executive officer or our chief financial officer from the lock-up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granted an option to the underwriter to purchase up to an additional 150,000 common shares at a price of $149.43 per share, less any dividends or distributions payable on the shares initially purchased by the underwriter but not payable on such option shares. The underwriter may exercise this option for 30 days from the date of this prospectus supplement. If any additional common shares are purchased, the underwriter will offer the additional common shares on the same terms as those on which the common shares are being offered.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underwriter: (a) has only communicated or caused to be communicated and will only communicate or cause to be communicated any invitation or inducement to engage in investment activity (within the meaning of Section 21 of the Financial Services and Markets Act 2000, or the FSMA) received by it in connection with the issue or sale of common shares in circumstances in which Section 21(1) of the FSMA does not apply to us, and (b) has complied and will comply with all applicable provisions of the FSMA with respect to anything done by it in relation to the common shares in, from or otherwise involving the United Kingdom.</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This prospectus supplement and the accompanying prospectus are being distributed only to and are directed only at (1) persons having professional experience in matters relating to investments who fall within the definition of “investment professionals” in Article 19(5) of the Financial Services and Markets Act 2000 (Financial Promotion) Order 2005; or (2) high net worth bodies corporate, unincorporated associations and partnerships and trustees of high value trusts as described in Article 49(2) of the Financial Services and Markets Act 2000 (Financial Promotion) Order 2005 (all such person referred to as “relevant persons”). Any investment or investment activity to which this prospectus supplement and the accompanying prospectus relates, including the common shares, is available only to, and will be engaged in only with, relevant persons. No persons other than relevant persons may rely or act upon this communication.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 (Conflicts of Interest)</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underwriter has performed investment banking, and other commercial services for us from time to time for which it has received customary fees and expenses. The underwriter may from time to time engage in transactions with and perform services for us in the ordinary course of its business. An affiliate of the underwriter is a lender under our revolving credit facility and will receive a pro rata portion of the net proceeds from this offering that are used to repay amounts outstanding thereunder.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New York Stock Exchange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Prospectus</w:t>
      </w:r>
    </w:p>
    <w:p>
      <w:pPr>
        <w:spacing w:after="0" w:line="121" w:lineRule="exact"/>
        <w:rPr>
          <w:sz w:val="20"/>
          <w:szCs w:val="20"/>
          <w:color w:val="auto"/>
        </w:rPr>
      </w:pPr>
    </w:p>
    <w:p>
      <w:pPr>
        <w:ind w:right="760"/>
        <w:spacing w:after="0" w:line="264" w:lineRule="auto"/>
        <w:rPr>
          <w:sz w:val="20"/>
          <w:szCs w:val="20"/>
          <w:color w:val="auto"/>
        </w:rPr>
      </w:pPr>
      <w:r>
        <w:rPr>
          <w:rFonts w:ascii="Arial" w:cs="Arial" w:eastAsia="Arial" w:hAnsi="Arial"/>
          <w:sz w:val="18"/>
          <w:szCs w:val="18"/>
          <w:color w:val="auto"/>
        </w:rPr>
        <w:t>A copy of this prospectus supplement and the accompanying prospectus may be made available in electronic format on a website maintained by the underwriter. Other than this prospectus supplement in electronic format, the information on the underwriter’s website is not part of this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or to contribute to payments the underwriter may be required to make because of any of those liabilities.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consolidated financial statements, schedules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legality of the common shares offered by this prospectus supplement will be passed upon for us by Pillsbury Winthrop Shaw Pittman LLP, Washington, DC. In addition, the descriptions of material U.S. federal income tax considerations contained in the accompanying prospectus under “Material Federal Income Tax Considerations”, as updated by our Current Report on Form 8-K that we filed with the SEC on February 10, 2016, are, to the extent that they constitute matters of law, summaries of legal matters or legal conclusions, based upon the opinion of Pillsbury Winthrop Shaw Pittman LLP, Washington, DC. Sidley Austin LLP, New York, New York, will act as counsel to the underwriter.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172085</wp:posOffset>
            </wp:positionV>
            <wp:extent cx="2255520" cy="909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193040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1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May 8, 2015.</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36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2"/>
            <w:vMerge w:val="restart"/>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About this Prospectus</w:t>
              </w:r>
            </w:hyperlink>
          </w:p>
        </w:tc>
        <w:tc>
          <w:tcPr>
            <w:tcW w:w="70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980" w:type="dxa"/>
            <w:vAlign w:val="bottom"/>
            <w:gridSpan w:val="12"/>
            <w:vMerge w:val="continue"/>
          </w:tcPr>
          <w:p>
            <w:pPr>
              <w:spacing w:after="0"/>
              <w:rPr>
                <w:sz w:val="13"/>
                <w:szCs w:val="13"/>
                <w:color w:val="auto"/>
              </w:rPr>
            </w:pPr>
          </w:p>
        </w:tc>
        <w:tc>
          <w:tcPr>
            <w:tcW w:w="70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gridSpan w:val="12"/>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Forward-Looking Statements</w:t>
              </w:r>
            </w:hyperlink>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24"/>
                <w:szCs w:val="24"/>
                <w:color w:val="auto"/>
              </w:rPr>
            </w:pPr>
          </w:p>
        </w:tc>
        <w:tc>
          <w:tcPr>
            <w:tcW w:w="1860" w:type="dxa"/>
            <w:vAlign w:val="bottom"/>
            <w:gridSpan w:val="5"/>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Risk Factors</w:t>
              </w:r>
            </w:hyperlink>
          </w:p>
        </w:tc>
        <w:tc>
          <w:tcPr>
            <w:tcW w:w="3060" w:type="dxa"/>
            <w:vAlign w:val="bottom"/>
            <w:gridSpan w:val="10"/>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Use of Proceeds</w:t>
              </w:r>
            </w:hyperlink>
          </w:p>
        </w:tc>
        <w:tc>
          <w:tcPr>
            <w:tcW w:w="2800" w:type="dxa"/>
            <w:vAlign w:val="bottom"/>
            <w:gridSpan w:val="8"/>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Description of Debt Securities</w:t>
              </w:r>
            </w:hyperlink>
          </w:p>
        </w:tc>
        <w:tc>
          <w:tcPr>
            <w:tcW w:w="1780" w:type="dxa"/>
            <w:vAlign w:val="bottom"/>
            <w:gridSpan w:val="4"/>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Description of Shares of Beneficial Interest</w:t>
              </w:r>
            </w:hyperlink>
          </w:p>
        </w:tc>
        <w:tc>
          <w:tcPr>
            <w:tcW w:w="840" w:type="dxa"/>
            <w:vAlign w:val="bottom"/>
            <w:gridSpan w:val="2"/>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Material Federal Income Tax Considerations</w:t>
              </w:r>
            </w:hyperlink>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60">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24"/>
                <w:szCs w:val="24"/>
                <w:color w:val="auto"/>
              </w:rPr>
            </w:pPr>
          </w:p>
        </w:tc>
        <w:tc>
          <w:tcPr>
            <w:tcW w:w="760" w:type="dxa"/>
            <w:vAlign w:val="bottom"/>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Legal Matters</w:t>
              </w:r>
            </w:hyperlink>
          </w:p>
        </w:tc>
        <w:tc>
          <w:tcPr>
            <w:tcW w:w="2960" w:type="dxa"/>
            <w:vAlign w:val="bottom"/>
            <w:gridSpan w:val="9"/>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61">
              <w:r>
                <w:rPr>
                  <w:rFonts w:ascii="Arial" w:cs="Arial" w:eastAsia="Arial" w:hAnsi="Arial"/>
                  <w:sz w:val="18"/>
                  <w:szCs w:val="18"/>
                  <w:color w:val="0000EE"/>
                  <w:w w:val="88"/>
                </w:rPr>
                <w:t>Experts</w:t>
              </w:r>
            </w:hyperlink>
          </w:p>
        </w:tc>
        <w:tc>
          <w:tcPr>
            <w:tcW w:w="3420" w:type="dxa"/>
            <w:vAlign w:val="bottom"/>
            <w:gridSpan w:val="11"/>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Where You Can Find More Information</w:t>
              </w:r>
            </w:hyperlink>
          </w:p>
        </w:tc>
        <w:tc>
          <w:tcPr>
            <w:tcW w:w="1100" w:type="dxa"/>
            <w:vAlign w:val="bottom"/>
            <w:gridSpan w:val="3"/>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2015, we owned or had a majority interest in community and neighborhood shopping centers and mixed-use properties which are operated as 90 predominantly retail real estate projects comprising approximately 20.7 million square feet. In total, the real estate projects were 95.4% leased and 94.5% occupied at March 31, 2015. A joint venture in which we own a 30% interest owned six retail real estate projects totaling approximately 0.8 million square feet as of March 31, 2015. In total, the joint venture properties in which we own an interest were 85.8% leased and 85.4% occupied at March 31, 2015. We have paid quarterly dividends to our shareholders continuously since our founding in 1962 and have increased our dividends per common share for 47 consecutive years.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244"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ind w:left="7160"/>
        <w:spacing w:after="0"/>
        <w:tabs>
          <w:tab w:leader="none" w:pos="8900" w:val="left"/>
        </w:tabs>
        <w:rPr>
          <w:sz w:val="20"/>
          <w:szCs w:val="20"/>
          <w:color w:val="auto"/>
        </w:rPr>
      </w:pPr>
      <w:r>
        <w:rPr>
          <w:rFonts w:ascii="Arial" w:cs="Arial" w:eastAsia="Arial" w:hAnsi="Arial"/>
          <w:sz w:val="14"/>
          <w:szCs w:val="14"/>
          <w:b w:val="1"/>
          <w:bCs w:val="1"/>
          <w:color w:val="auto"/>
        </w:rPr>
        <w:t>Ended March 31,</w:t>
      </w:r>
      <w:r>
        <w:rPr>
          <w:sz w:val="20"/>
          <w:szCs w:val="20"/>
          <w:color w:val="auto"/>
        </w:rPr>
        <w:tab/>
      </w:r>
      <w:r>
        <w:rPr>
          <w:rFonts w:ascii="Arial" w:cs="Arial" w:eastAsia="Arial" w:hAnsi="Arial"/>
          <w:sz w:val="12"/>
          <w:szCs w:val="12"/>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-3175</wp:posOffset>
            </wp:positionV>
            <wp:extent cx="2744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ind w:left="7540"/>
        <w:spacing w:after="0"/>
        <w:tabs>
          <w:tab w:leader="none" w:pos="8640" w:val="left"/>
          <w:tab w:leader="none" w:pos="9240" w:val="left"/>
          <w:tab w:leader="none" w:pos="9840" w:val="left"/>
          <w:tab w:leader="none" w:pos="10420" w:val="left"/>
          <w:tab w:leader="none" w:pos="110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2010</w:t>
      </w:r>
    </w:p>
    <w:tbl>
      <w:tblPr>
        <w:tblLayout w:type="fixed"/>
        <w:tblInd w:w="0" w:type="dxa"/>
        <w:tblCellMar>
          <w:top w:w="0" w:type="dxa"/>
          <w:left w:w="0" w:type="dxa"/>
          <w:bottom w:w="0" w:type="dxa"/>
          <w:right w:w="0" w:type="dxa"/>
        </w:tblCellMar>
      </w:tblP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6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79"/>
              </w:rPr>
              <w:t>2.5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2.4</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0"/>
                <w:szCs w:val="20"/>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right="200" w:firstLine="8"/>
        <w:spacing w:after="0" w:line="254" w:lineRule="auto"/>
        <w:tabs>
          <w:tab w:leader="none" w:pos="245"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2014,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4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87"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30" w:lineRule="exact"/>
        <w:rPr>
          <w:rFonts w:ascii="Arial" w:cs="Arial" w:eastAsia="Arial" w:hAnsi="Arial"/>
          <w:sz w:val="18"/>
          <w:szCs w:val="18"/>
          <w:color w:val="auto"/>
        </w:rPr>
      </w:pPr>
    </w:p>
    <w:p>
      <w:pPr>
        <w:ind w:left="900" w:right="520" w:hanging="446"/>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75"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86" w:lineRule="exact"/>
        <w:rPr>
          <w:rFonts w:ascii="Arial" w:cs="Arial" w:eastAsia="Arial" w:hAnsi="Arial"/>
          <w:sz w:val="18"/>
          <w:szCs w:val="18"/>
          <w:color w:val="auto"/>
        </w:rPr>
      </w:pPr>
    </w:p>
    <w:p>
      <w:pPr>
        <w:ind w:left="900" w:right="360" w:hanging="446"/>
        <w:spacing w:after="0" w:line="279"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Mandatory Redemption. </w:t>
      </w:r>
      <w:r>
        <w:rPr>
          <w:rFonts w:ascii="Arial" w:cs="Arial" w:eastAsia="Arial" w:hAnsi="Arial"/>
          <w:sz w:val="17"/>
          <w:szCs w:val="17"/>
          <w:color w:val="auto"/>
        </w:rPr>
        <w:t>The obligation, if any, we have to redeem or repurchase the offered debt securities pursuant to any sinking fund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92"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index or pursuant to a formula or other method, the manner in which such amounts will be determined.</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 Rights. </w:t>
      </w:r>
      <w:r>
        <w:rPr>
          <w:rFonts w:ascii="Arial" w:cs="Arial" w:eastAsia="Arial" w:hAnsi="Arial"/>
          <w:sz w:val="17"/>
          <w:szCs w:val="17"/>
          <w:color w:val="auto"/>
        </w:rPr>
        <w:t>Provisions, if any, granting special rights to the holders of the offered debt securities if certain specified events occur.</w:t>
      </w:r>
    </w:p>
    <w:p>
      <w:pPr>
        <w:spacing w:after="0" w:line="142" w:lineRule="exact"/>
        <w:rPr>
          <w:rFonts w:ascii="Arial" w:cs="Arial" w:eastAsia="Arial" w:hAnsi="Arial"/>
          <w:sz w:val="17"/>
          <w:szCs w:val="17"/>
          <w:color w:val="auto"/>
        </w:rPr>
      </w:pPr>
    </w:p>
    <w:p>
      <w:pPr>
        <w:ind w:left="900" w:right="62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92" w:lineRule="exact"/>
        <w:rPr>
          <w:rFonts w:ascii="Arial" w:cs="Arial" w:eastAsia="Arial" w:hAnsi="Arial"/>
          <w:sz w:val="18"/>
          <w:szCs w:val="18"/>
          <w:color w:val="auto"/>
        </w:rPr>
      </w:pPr>
    </w:p>
    <w:p>
      <w:pPr>
        <w:ind w:left="900" w:right="180" w:hanging="446"/>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6" w:lineRule="exact"/>
        <w:rPr>
          <w:rFonts w:ascii="Arial" w:cs="Arial" w:eastAsia="Arial" w:hAnsi="Arial"/>
          <w:sz w:val="18"/>
          <w:szCs w:val="18"/>
          <w:color w:val="auto"/>
        </w:rPr>
      </w:pPr>
    </w:p>
    <w:p>
      <w:pPr>
        <w:ind w:left="900" w:right="440" w:hanging="446"/>
        <w:spacing w:after="0" w:line="308"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Payees. </w:t>
      </w:r>
      <w:r>
        <w:rPr>
          <w:rFonts w:ascii="Arial" w:cs="Arial" w:eastAsia="Arial" w:hAnsi="Arial"/>
          <w:sz w:val="17"/>
          <w:szCs w:val="17"/>
          <w:color w:val="auto"/>
        </w:rPr>
        <w:t>If other than as provided in the applicable indenture, the person to whom any interest on any registered security of the series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the manner in which, or the person to whom, any interest on any bearer securities of the series will be payable.</w:t>
      </w:r>
    </w:p>
    <w:p>
      <w:pPr>
        <w:spacing w:after="0" w:line="51" w:lineRule="exact"/>
        <w:rPr>
          <w:rFonts w:ascii="Arial" w:cs="Arial" w:eastAsia="Arial" w:hAnsi="Arial"/>
          <w:sz w:val="17"/>
          <w:szCs w:val="17"/>
          <w:color w:val="auto"/>
        </w:rPr>
      </w:pPr>
    </w:p>
    <w:p>
      <w:pPr>
        <w:ind w:left="900" w:right="320" w:hanging="446"/>
        <w:spacing w:after="0" w:line="308"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indenture, including, without limitation, the definition of “unrestricted subsidiary” to be used for such series.</w:t>
      </w:r>
    </w:p>
    <w:p>
      <w:pPr>
        <w:spacing w:after="0" w:line="51"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2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75" w:lineRule="exact"/>
        <w:rPr>
          <w:rFonts w:ascii="Arial" w:cs="Arial" w:eastAsia="Arial" w:hAnsi="Arial"/>
          <w:sz w:val="18"/>
          <w:szCs w:val="18"/>
          <w:color w:val="auto"/>
        </w:rPr>
      </w:pPr>
    </w:p>
    <w:p>
      <w:pPr>
        <w:jc w:val="both"/>
        <w:ind w:left="900" w:right="180" w:hanging="446"/>
        <w:spacing w:after="0" w:line="286"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The terms, if any, upon which the offered debt securities may be converted or exchanged into or for our common shares,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900" w:right="38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jc w:val="both"/>
        <w:ind w:left="900" w:right="40" w:hanging="446"/>
        <w:spacing w:after="0" w:line="31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U.S. Bank National Association, 214 North Tryon Street, 27</w:t>
      </w:r>
      <w:r>
        <w:rPr>
          <w:rFonts w:ascii="Arial" w:cs="Arial" w:eastAsia="Arial" w:hAnsi="Arial"/>
          <w:sz w:val="14"/>
          <w:szCs w:val="14"/>
          <w:color w:val="auto"/>
        </w:rPr>
        <w:t>th</w:t>
      </w:r>
      <w:r>
        <w:rPr>
          <w:rFonts w:ascii="Arial" w:cs="Arial" w:eastAsia="Arial" w:hAnsi="Arial"/>
          <w:sz w:val="17"/>
          <w:szCs w:val="17"/>
          <w:color w:val="auto"/>
        </w:rPr>
        <w:t xml:space="preserve"> Floor, Charlotte, North Carolina 28202. We will notify you of any change in the office’s location. At our option, however, we may make any interest payments on debt securities issued in registered form by:</w:t>
      </w:r>
    </w:p>
    <w:p>
      <w:pPr>
        <w:spacing w:after="0" w:line="71"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Existence. </w:t>
      </w:r>
      <w:r>
        <w:rPr>
          <w:rFonts w:ascii="Arial" w:cs="Arial" w:eastAsia="Arial" w:hAnsi="Arial"/>
          <w:sz w:val="17"/>
          <w:szCs w:val="17"/>
          <w:color w:val="auto"/>
        </w:rPr>
        <w:t>Except as permitted under “Consolidation, Merger or Sale of Assets,” we will do or cause to be done all things necessary to preserve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13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7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29" w:lineRule="exact"/>
        <w:rPr>
          <w:sz w:val="20"/>
          <w:szCs w:val="20"/>
          <w:color w:val="auto"/>
        </w:rPr>
      </w:pPr>
    </w:p>
    <w:p>
      <w:pPr>
        <w:jc w:val="both"/>
        <w:ind w:left="900" w:right="200" w:hanging="446"/>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460" w:right="140" w:hanging="547"/>
        <w:spacing w:after="0" w:line="264"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51"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460" w:right="60" w:hanging="547"/>
        <w:spacing w:after="0" w:line="312" w:lineRule="auto"/>
        <w:tabs>
          <w:tab w:leader="none" w:pos="14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52" w:lineRule="exact"/>
        <w:rPr>
          <w:rFonts w:ascii="Arial" w:cs="Arial" w:eastAsia="Arial" w:hAnsi="Arial"/>
          <w:sz w:val="16"/>
          <w:szCs w:val="16"/>
          <w:color w:val="auto"/>
        </w:rPr>
      </w:pPr>
    </w:p>
    <w:p>
      <w:pPr>
        <w:ind w:left="1460" w:right="80" w:hanging="547"/>
        <w:spacing w:after="0" w:line="277"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there will be no restrictions in any subordinated indenture upon the creation of additional senior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7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must resume payment on our subordinated debt securities, and make any payments we have missed, when one of the following has occurred:</w:t>
      </w:r>
    </w:p>
    <w:p>
      <w:pPr>
        <w:spacing w:after="0" w:line="142"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5660" w:right="2000" w:hanging="5206"/>
        <w:spacing w:after="0" w:line="449" w:lineRule="auto"/>
        <w:tabs>
          <w:tab w:leader="none" w:pos="8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 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right="140" w:firstLine="464"/>
        <w:spacing w:after="0" w:line="277" w:lineRule="auto"/>
        <w:tabs>
          <w:tab w:leader="none" w:pos="6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280" w:firstLine="464"/>
        <w:spacing w:after="0" w:line="277" w:lineRule="auto"/>
        <w:tabs>
          <w:tab w:leader="none" w:pos="6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firstLine="464"/>
        <w:spacing w:after="0" w:line="264" w:lineRule="auto"/>
        <w:tabs>
          <w:tab w:leader="none" w:pos="6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1" w:lineRule="exact"/>
        <w:rPr>
          <w:sz w:val="20"/>
          <w:szCs w:val="20"/>
          <w:color w:val="auto"/>
        </w:rPr>
      </w:pPr>
    </w:p>
    <w:p>
      <w:pPr>
        <w:ind w:left="700" w:hanging="23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20" w:firstLine="464"/>
        <w:spacing w:after="0" w:line="271" w:lineRule="auto"/>
        <w:tabs>
          <w:tab w:leader="none" w:pos="633"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78" w:lineRule="exact"/>
        <w:rPr>
          <w:rFonts w:ascii="Arial" w:cs="Arial" w:eastAsia="Arial" w:hAnsi="Arial"/>
          <w:sz w:val="17"/>
          <w:szCs w:val="17"/>
          <w:color w:val="auto"/>
        </w:rPr>
      </w:pPr>
    </w:p>
    <w:p>
      <w:pPr>
        <w:ind w:left="640" w:hanging="17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sz w:val="20"/>
          <w:szCs w:val="20"/>
          <w:color w:val="auto"/>
        </w:rPr>
      </w:pPr>
    </w:p>
    <w:p>
      <w:pPr>
        <w:ind w:left="5620" w:right="4740" w:hanging="5156"/>
        <w:spacing w:after="0" w:line="490" w:lineRule="auto"/>
        <w:tabs>
          <w:tab w:leader="none" w:pos="705" w:val="left"/>
        </w:tabs>
        <w:numPr>
          <w:ilvl w:val="0"/>
          <w:numId w:val="31"/>
        </w:numPr>
        <w:rPr>
          <w:rFonts w:ascii="Arial" w:cs="Arial" w:eastAsia="Arial" w:hAnsi="Arial"/>
          <w:sz w:val="17"/>
          <w:szCs w:val="17"/>
          <w:color w:val="auto"/>
        </w:rPr>
      </w:pPr>
      <w:r>
        <w:rPr>
          <w:rFonts w:ascii="Arial" w:cs="Arial" w:eastAsia="Arial" w:hAnsi="Arial"/>
          <w:sz w:val="17"/>
          <w:szCs w:val="17"/>
          <w:color w:val="auto"/>
        </w:rPr>
        <w:t>is for relief against us or any of our significant subsidiaries in an involuntary case, 10</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 90 days.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We or any of our significant subsidiaries do any of the following:</w:t>
      </w:r>
    </w:p>
    <w:p>
      <w:pPr>
        <w:spacing w:after="0" w:line="225" w:lineRule="exact"/>
        <w:rPr>
          <w:sz w:val="20"/>
          <w:szCs w:val="20"/>
          <w:color w:val="auto"/>
        </w:rPr>
      </w:pPr>
    </w:p>
    <w:p>
      <w:pPr>
        <w:ind w:left="700" w:hanging="23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7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460" w:right="660" w:hanging="547"/>
        <w:spacing w:after="0" w:line="277"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460" w:right="120" w:hanging="547"/>
        <w:spacing w:after="0" w:line="277"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Notices of Default. </w:t>
      </w:r>
      <w:r>
        <w:rPr>
          <w:rFonts w:ascii="Arial" w:cs="Arial" w:eastAsia="Arial" w:hAnsi="Arial"/>
          <w:sz w:val="17"/>
          <w:szCs w:val="17"/>
          <w:color w:val="auto"/>
        </w:rPr>
        <w:t>Unless we say otherwise in a prospectus supplement, we are required to deliver to the trustee, on or before a date not more than 120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 securities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 powers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6"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66"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7" w:lineRule="exact"/>
        <w:rPr>
          <w:sz w:val="20"/>
          <w:szCs w:val="20"/>
          <w:color w:val="auto"/>
        </w:rPr>
      </w:pPr>
    </w:p>
    <w:p>
      <w:pPr>
        <w:ind w:left="900" w:right="22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46" w:lineRule="exact"/>
        <w:rPr>
          <w:rFonts w:ascii="Arial" w:cs="Arial" w:eastAsia="Arial" w:hAnsi="Arial"/>
          <w:sz w:val="16"/>
          <w:szCs w:val="16"/>
          <w:color w:val="auto"/>
        </w:rPr>
      </w:pPr>
    </w:p>
    <w:p>
      <w:pPr>
        <w:ind w:left="900" w:right="160"/>
        <w:spacing w:after="0" w:line="323"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87"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7" w:lineRule="exact"/>
        <w:rPr>
          <w:sz w:val="20"/>
          <w:szCs w:val="20"/>
          <w:color w:val="auto"/>
        </w:rPr>
      </w:pPr>
    </w:p>
    <w:p>
      <w:pPr>
        <w:ind w:left="900" w:right="22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900" w:right="20" w:hanging="446"/>
        <w:spacing w:after="0" w:line="286"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2"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900" w:right="82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900" w:right="14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78"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6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May 4, 2015, we had issued and outstanding 68,682,443 common shares, and 399,896 preferred shares, which are designated as 5.417% Series 1 Cumulative Convertible Preferred Shares, which we refer to as the Series 1 preferred shares.</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76" w:lineRule="exact"/>
        <w:rPr>
          <w:sz w:val="20"/>
          <w:szCs w:val="20"/>
          <w:color w:val="auto"/>
        </w:rPr>
      </w:pPr>
    </w:p>
    <w:p>
      <w:pPr>
        <w:ind w:left="900" w:right="28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 “—Authorized Shares,” our outstanding Series 1 preferred shares rank prior to our common shares with respect to the payment of dividends and as to the distribution of assets in the event of our liquidation, dissolution or winding up.</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7" w:lineRule="exact"/>
        <w:rPr>
          <w:sz w:val="20"/>
          <w:szCs w:val="20"/>
          <w:color w:val="auto"/>
        </w:rPr>
      </w:pPr>
    </w:p>
    <w:p>
      <w:pPr>
        <w:jc w:val="both"/>
        <w:ind w:left="900" w:right="12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9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92"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70"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i w:val="1"/>
          <w:iCs w:val="1"/>
          <w:color w:val="auto"/>
        </w:rPr>
        <w:t xml:space="preserve">Rank. </w:t>
      </w:r>
      <w:r>
        <w:rPr>
          <w:rFonts w:ascii="Arial" w:cs="Arial" w:eastAsia="Arial" w:hAnsi="Arial"/>
          <w:sz w:val="17"/>
          <w:szCs w:val="17"/>
          <w:color w:val="auto"/>
        </w:rPr>
        <w:t>The Series 1 preferred shares rank prior to the common shares with respect to the payment of dividends and the distribution of assets upon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7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purpose, cumulative preferential dividends payable in cash at a rate of 5.417% of the liquidation price of $25, which is equivalent to $1.35425 per annum.</w:t>
      </w:r>
    </w:p>
    <w:p>
      <w:pPr>
        <w:spacing w:after="0" w:line="12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1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per share, plus all accrued and unpaid dividends, before any distribution shall be made with respect to the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Subject to other applicable provisions within the articles supplementary for the Series 1 preferred shares, from the date of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1 preferred shares shall be convertible, at the option of 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54"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76"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Subject to any preferential rights of any outstanding shares or series of shares and to the provisions of our declaration of trust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As to any liquidation preference applicable to preferred shares offered through this prospectus, the applicable supplement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76"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8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51" w:lineRule="exact"/>
        <w:rPr>
          <w:rFonts w:ascii="Arial" w:cs="Arial" w:eastAsia="Arial" w:hAnsi="Arial"/>
          <w:sz w:val="17"/>
          <w:szCs w:val="17"/>
          <w:color w:val="auto"/>
        </w:rPr>
      </w:pPr>
    </w:p>
    <w:p>
      <w:pPr>
        <w:ind w:left="900" w:right="74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76" w:lineRule="exact"/>
        <w:rPr>
          <w:sz w:val="20"/>
          <w:szCs w:val="20"/>
          <w:color w:val="auto"/>
        </w:rPr>
      </w:pPr>
    </w:p>
    <w:p>
      <w:pPr>
        <w:ind w:left="900" w:right="20" w:hanging="446"/>
        <w:spacing w:after="0" w:line="31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52"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71"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90" w:lineRule="exact"/>
        <w:rPr>
          <w:sz w:val="20"/>
          <w:szCs w:val="20"/>
          <w:color w:val="auto"/>
        </w:rPr>
      </w:pPr>
    </w:p>
    <w:p>
      <w:pPr>
        <w:ind w:left="5620" w:right="2940" w:hanging="5166"/>
        <w:spacing w:after="0" w:line="449" w:lineRule="auto"/>
        <w:tabs>
          <w:tab w:leader="none" w:pos="896"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 24</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8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Number of Trustees. </w:t>
      </w:r>
      <w:r>
        <w:rPr>
          <w:rFonts w:ascii="Arial" w:cs="Arial" w:eastAsia="Arial" w:hAnsi="Arial"/>
          <w:sz w:val="18"/>
          <w:szCs w:val="18"/>
          <w:color w:val="auto"/>
        </w:rPr>
        <w:t>The number of trustees may be increased or decreased pursuant to the bylaws, provided that the total number of trustees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less than five or more than 10. Under Maryland law and our declaration of trust, trustees are elected for one-year terms.</w:t>
      </w:r>
    </w:p>
    <w:p>
      <w:pPr>
        <w:spacing w:after="0" w:line="16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86" w:lineRule="exact"/>
        <w:rPr>
          <w:sz w:val="20"/>
          <w:szCs w:val="20"/>
          <w:color w:val="auto"/>
        </w:rPr>
      </w:pPr>
    </w:p>
    <w:p>
      <w:pPr>
        <w:ind w:left="900" w:right="2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i w:val="1"/>
          <w:iCs w:val="1"/>
          <w:color w:val="auto"/>
        </w:rPr>
        <w:t>Meetings of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provide for an annual meeting of shareholders, to be held in May after delivery of the annual report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6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5"/>
          <w:szCs w:val="15"/>
          <w:color w:val="auto"/>
        </w:rPr>
        <w:t>th</w:t>
      </w:r>
      <w:r>
        <w:rPr>
          <w:rFonts w:ascii="Arial" w:cs="Arial" w:eastAsia="Arial" w:hAnsi="Arial"/>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9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7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 xml:space="preserve">Shareholder Liability and Indemnification. </w:t>
      </w:r>
      <w:r>
        <w:rPr>
          <w:rFonts w:ascii="Arial" w:cs="Arial" w:eastAsia="Arial" w:hAnsi="Arial"/>
          <w:sz w:val="17"/>
          <w:szCs w:val="17"/>
          <w:color w:val="auto"/>
        </w:rPr>
        <w:t>Under Maryland law, you will not be personally liable for any obligation of ours solely because you are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7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2"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2014;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8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7" w:lineRule="exact"/>
        <w:rPr>
          <w:sz w:val="20"/>
          <w:szCs w:val="20"/>
          <w:color w:val="auto"/>
        </w:rPr>
      </w:pPr>
    </w:p>
    <w:p>
      <w:pPr>
        <w:ind w:left="900" w:right="34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any items of tax preference that we do not distribute or allocate to our shareholders;</w:t>
      </w:r>
    </w:p>
    <w:p>
      <w:pPr>
        <w:spacing w:after="0" w:line="142" w:lineRule="exact"/>
        <w:rPr>
          <w:rFonts w:ascii="Arial" w:cs="Arial" w:eastAsia="Arial" w:hAnsi="Arial"/>
          <w:sz w:val="17"/>
          <w:szCs w:val="17"/>
          <w:color w:val="auto"/>
        </w:rPr>
      </w:pPr>
    </w:p>
    <w:p>
      <w:pPr>
        <w:jc w:val="both"/>
        <w:ind w:left="900" w:right="60" w:hanging="446"/>
        <w:spacing w:after="0" w:line="264"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60" w:hanging="446"/>
        <w:spacing w:after="0" w:line="286"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right="160" w:hanging="446"/>
        <w:spacing w:after="0" w:line="255"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94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900" w:right="80" w:hanging="446"/>
        <w:spacing w:after="0" w:line="293"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900" w:right="100" w:hanging="446"/>
        <w:spacing w:after="0" w:line="279"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hanging="446"/>
        <w:spacing w:after="0" w:line="297"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63" w:lineRule="exact"/>
        <w:rPr>
          <w:rFonts w:ascii="Arial" w:cs="Arial" w:eastAsia="Arial" w:hAnsi="Arial"/>
          <w:sz w:val="16"/>
          <w:szCs w:val="16"/>
          <w:color w:val="auto"/>
        </w:rPr>
      </w:pPr>
    </w:p>
    <w:p>
      <w:pPr>
        <w:ind w:left="900" w:hanging="446"/>
        <w:spacing w:after="0" w:line="269"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5" w:lineRule="exact"/>
        <w:rPr>
          <w:rFonts w:ascii="Arial" w:cs="Arial" w:eastAsia="Arial" w:hAnsi="Arial"/>
          <w:sz w:val="17"/>
          <w:szCs w:val="17"/>
          <w:color w:val="auto"/>
        </w:rPr>
      </w:pPr>
    </w:p>
    <w:p>
      <w:pPr>
        <w:ind w:left="900" w:right="100" w:hanging="446"/>
        <w:spacing w:after="0" w:line="273"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900" w:right="60" w:hanging="446"/>
        <w:spacing w:after="0" w:line="272"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83" w:lineRule="exact"/>
        <w:rPr>
          <w:rFonts w:ascii="Arial" w:cs="Arial" w:eastAsia="Arial" w:hAnsi="Arial"/>
          <w:sz w:val="17"/>
          <w:szCs w:val="17"/>
          <w:color w:val="auto"/>
        </w:rPr>
      </w:pPr>
    </w:p>
    <w:p>
      <w:pPr>
        <w:ind w:left="900" w:right="140" w:hanging="446"/>
        <w:spacing w:after="0" w:line="270"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or unless, in either instance, we have determined or we determine in our discretion that the amount of disqualified rent resulting from such services will not jeopardize our status as a REIT.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66"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an equity interest will qualify for purposes of the 95% gross income test but not for purposes of the 75% gross income test. Our share of any dividends received from any other REIT in which we own an equity interest will be qualifying income for purposes of both gross income tests.</w:t>
      </w:r>
    </w:p>
    <w:p>
      <w:pPr>
        <w:spacing w:after="0" w:line="166"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20" w:hanging="446"/>
        <w:spacing w:after="0" w:line="308"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16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308"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Tax on Prohibited Transactions. </w:t>
      </w:r>
      <w:r>
        <w:rPr>
          <w:rFonts w:ascii="Arial" w:cs="Arial" w:eastAsia="Arial" w:hAnsi="Arial"/>
          <w:sz w:val="18"/>
          <w:szCs w:val="18"/>
          <w:color w:val="auto"/>
        </w:rPr>
        <w:t>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8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and Treasury regulations,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tests.</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900" w:right="40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60" w:right="260" w:hanging="547"/>
        <w:spacing w:after="0" w:line="277" w:lineRule="auto"/>
        <w:tabs>
          <w:tab w:leader="none" w:pos="14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our properties qualify as real estate assets.</w:t>
      </w:r>
    </w:p>
    <w:p>
      <w:pPr>
        <w:spacing w:after="0" w:line="75" w:lineRule="exact"/>
        <w:rPr>
          <w:rFonts w:ascii="Arial" w:cs="Arial" w:eastAsia="Arial" w:hAnsi="Arial"/>
          <w:sz w:val="18"/>
          <w:szCs w:val="18"/>
          <w:color w:val="auto"/>
        </w:rPr>
      </w:pPr>
    </w:p>
    <w:p>
      <w:pPr>
        <w:jc w:val="both"/>
        <w:ind w:left="1460" w:right="80" w:hanging="547"/>
        <w:spacing w:after="0" w:line="264" w:lineRule="auto"/>
        <w:tabs>
          <w:tab w:leader="none" w:pos="14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60" w:right="180" w:hanging="547"/>
        <w:spacing w:after="0" w:line="277" w:lineRule="auto"/>
        <w:tabs>
          <w:tab w:leader="none" w:pos="14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property on the date the REIT acquires the loan, or (ii) the fair market value of the loan.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73"/>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shares or debt securities.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In addition, the IRS previously issued a revenue procedure authorizing publicly traded REITs to make elective cash/share dividends, but that revenue procedure’s effectiveness has expired and does not apply to our current and future taxable years. Accordingly, it is unclear whether and to what extent we will be able to make taxable dividends payable in cash and shares. We have no current intention to make a taxable dividend payable in our shares or debt securities.</w:t>
      </w:r>
    </w:p>
    <w:p>
      <w:pPr>
        <w:spacing w:after="0" w:line="17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and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w:t>
      </w:r>
    </w:p>
    <w:p>
      <w:pPr>
        <w:spacing w:after="0" w:line="2" w:lineRule="exact"/>
        <w:rPr>
          <w:sz w:val="20"/>
          <w:szCs w:val="20"/>
          <w:color w:val="auto"/>
        </w:rPr>
      </w:pPr>
    </w:p>
    <w:p>
      <w:pPr>
        <w:ind w:firstLine="8"/>
        <w:spacing w:after="0" w:line="269" w:lineRule="auto"/>
        <w:tabs>
          <w:tab w:leader="none" w:pos="215"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66"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9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6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54"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Medicare Tax on Unearned Income. </w:t>
      </w:r>
      <w:r>
        <w:rPr>
          <w:rFonts w:ascii="Arial" w:cs="Arial" w:eastAsia="Arial" w:hAnsi="Arial"/>
          <w:sz w:val="17"/>
          <w:szCs w:val="17"/>
          <w:color w:val="auto"/>
        </w:rPr>
        <w:t>Certain taxable U.S. shareholders who are individuals, estates or trusts are subject to a 3.8% Medicare tax on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Current Tax Rates. </w:t>
      </w:r>
      <w:r>
        <w:rPr>
          <w:rFonts w:ascii="Arial" w:cs="Arial" w:eastAsia="Arial" w:hAnsi="Arial"/>
          <w:sz w:val="18"/>
          <w:szCs w:val="18"/>
          <w:color w:val="auto"/>
        </w:rPr>
        <w:t>The maximum tax rate on the long-term capital gains of domestic non-corporate taxpayers is 20%. The maximum tax rate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lower qualified dividend income/capital gains tax rate (at a maximum of 20%) does generally apply to:</w:t>
      </w:r>
    </w:p>
    <w:p>
      <w:pPr>
        <w:spacing w:after="0" w:line="99"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87"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900" w:right="280" w:hanging="446"/>
        <w:spacing w:after="0" w:line="308" w:lineRule="auto"/>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Ordinary Dividends. </w:t>
      </w:r>
      <w:r>
        <w:rPr>
          <w:rFonts w:ascii="Arial" w:cs="Arial" w:eastAsia="Arial" w:hAnsi="Arial"/>
          <w:sz w:val="17"/>
          <w:szCs w:val="17"/>
          <w:color w:val="auto"/>
        </w:rPr>
        <w:t>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we are treated as a “United States real property holding corporation,” we will be required to withhold 10% of any distribution that exceeds our current and accumulated earnings and profits. Consequently, although we intend to withhold at a rate of 30% on the entire amount of any distribution, to the extent we do not do so, we may withhold at a rate of 10% on any portion of a distribution not subject to withholding at a rate of 30%.</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Capital Gain Dividends. </w:t>
      </w:r>
      <w:r>
        <w:rPr>
          <w:rFonts w:ascii="Arial" w:cs="Arial" w:eastAsia="Arial" w:hAnsi="Arial"/>
          <w:sz w:val="17"/>
          <w:szCs w:val="17"/>
          <w:color w:val="auto"/>
        </w:rPr>
        <w:t>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5%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7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or preferred shares as long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However, even if we are not, or cease to be, a domestically controlled REIT, a non-U.S. shareholder that owns, actually or constructively, 5% or less of a class of our of outstanding shares at all times during a specified testing period will not incur tax under FIRPTA on a sale of such shares if shares of such class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70"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2016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State and Local Taxes. </w:t>
      </w:r>
      <w:r>
        <w:rPr>
          <w:rFonts w:ascii="Arial" w:cs="Arial" w:eastAsia="Arial" w:hAnsi="Arial"/>
          <w:sz w:val="16"/>
          <w:szCs w:val="16"/>
          <w:color w:val="auto"/>
        </w:rPr>
        <w:t>We and/or you may be subject to state and local tax in various states and localities, including those states and localities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46" w:lineRule="exact"/>
        <w:rPr>
          <w:sz w:val="20"/>
          <w:szCs w:val="20"/>
          <w:color w:val="auto"/>
        </w:rPr>
      </w:pPr>
    </w:p>
    <w:p>
      <w:pPr>
        <w:ind w:left="260" w:hanging="252"/>
        <w:spacing w:after="0"/>
        <w:tabs>
          <w:tab w:leader="none" w:pos="2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through agents; (3) in “at the market offerings” to or through a market maker or into an existing trading market or securities exchange or otherwise;</w:t>
      </w:r>
    </w:p>
    <w:p>
      <w:pPr>
        <w:spacing w:after="0" w:line="20" w:lineRule="exact"/>
        <w:rPr>
          <w:rFonts w:ascii="Arial" w:cs="Arial" w:eastAsia="Arial" w:hAnsi="Arial"/>
          <w:sz w:val="17"/>
          <w:szCs w:val="17"/>
          <w:color w:val="auto"/>
        </w:rPr>
      </w:pPr>
    </w:p>
    <w:p>
      <w:pPr>
        <w:ind w:right="20" w:firstLine="8"/>
        <w:spacing w:after="0" w:line="273" w:lineRule="auto"/>
        <w:tabs>
          <w:tab w:leader="none" w:pos="255" w:val="left"/>
        </w:tabs>
        <w:numPr>
          <w:ilvl w:val="0"/>
          <w:numId w:val="80"/>
        </w:numPr>
        <w:rPr>
          <w:rFonts w:ascii="Arial" w:cs="Arial" w:eastAsia="Arial" w:hAnsi="Arial"/>
          <w:sz w:val="17"/>
          <w:szCs w:val="17"/>
          <w:color w:val="auto"/>
        </w:rPr>
      </w:pPr>
      <w:r>
        <w:rPr>
          <w:rFonts w:ascii="Arial" w:cs="Arial" w:eastAsia="Arial" w:hAnsi="Arial"/>
          <w:sz w:val="17"/>
          <w:szCs w:val="17"/>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900" w:right="8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purchases by a dealer as principal and resale by such dealer for its account pursuant to this prospectus or any prospectus supplement;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6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7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If underwriters or dealers are used in the sale, until the distribution of the securities is completed, SEC rules may limit the ability of any such underwriters and selling group members to bid for and purchase the securities. As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2014, filed with the SEC on February 10,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Definitive Proxy Statement for our 2015 Annual Meeting of Shareholders, filed with the SEC on March 27,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2015, filed with the SEC on May 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Our Current Reports on Form 8-K filed with the SEC on February 10, 2015 (with disclosures under Item 5.02) and March 17, 2015;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auto"/>
        </w:rPr>
        <w:t>1,000,000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340360</wp:posOffset>
            </wp:positionV>
            <wp:extent cx="2255520" cy="909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2459"/>
        <w:spacing w:after="0"/>
        <w:rPr>
          <w:sz w:val="20"/>
          <w:szCs w:val="20"/>
          <w:color w:val="auto"/>
        </w:rPr>
      </w:pPr>
      <w:r>
        <w:rPr>
          <w:rFonts w:ascii="Arial" w:cs="Arial" w:eastAsia="Arial" w:hAnsi="Arial"/>
          <w:sz w:val="25"/>
          <w:szCs w:val="25"/>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406400</wp:posOffset>
            </wp:positionV>
            <wp:extent cx="15176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120"/>
        <w:spacing w:after="0"/>
        <w:rPr>
          <w:sz w:val="20"/>
          <w:szCs w:val="20"/>
          <w:color w:val="auto"/>
        </w:rPr>
      </w:pPr>
      <w:r>
        <w:rPr>
          <w:rFonts w:ascii="Arial" w:cs="Arial" w:eastAsia="Arial" w:hAnsi="Arial"/>
          <w:sz w:val="29"/>
          <w:szCs w:val="29"/>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486410</wp:posOffset>
            </wp:positionV>
            <wp:extent cx="15176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March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1)"/>
      <w:numFmt w:val="decimal"/>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lvl w:ilvl="1">
      <w:lvlJc w:val="left"/>
      <w:lvlText w:val="•"/>
      <w:numFmt w:val="bullet"/>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1)"/>
      <w:numFmt w:val="lowerLetter"/>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lvl w:ilvl="1">
      <w:lvlJc w:val="left"/>
      <w:lvlText w:val="•"/>
      <w:numFmt w:val="bullet"/>
      <w:start w:val="1"/>
    </w:lvl>
  </w:abstractNum>
  <w:abstractNum w:abstractNumId="21">
    <w:nsid w:val="75C6C33A"/>
    <w:multiLevelType w:val="hybridMultilevel"/>
    <w:lvl w:ilvl="0">
      <w:lvlJc w:val="left"/>
      <w:lvlText w:val="•"/>
      <w:numFmt w:val="bullet"/>
      <w:start w:val="1"/>
    </w:lvl>
    <w:lvl w:ilvl="1">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1."/>
      <w:numFmt w:val="decimal"/>
      <w:start w:val="1"/>
    </w:lvl>
  </w:abstractNum>
  <w:abstractNum w:abstractNumId="28">
    <w:nsid w:val="649BB77C"/>
    <w:multiLevelType w:val="hybridMultilevel"/>
    <w:lvl w:ilvl="0">
      <w:lvlJc w:val="left"/>
      <w:lvlText w:val="(%1)"/>
      <w:numFmt w:val="lowerLetter"/>
      <w:start w:val="1"/>
    </w:lvl>
  </w:abstractNum>
  <w:abstractNum w:abstractNumId="29">
    <w:nsid w:val="275AC794"/>
    <w:multiLevelType w:val="hybridMultilevel"/>
    <w:lvl w:ilvl="0">
      <w:lvlJc w:val="left"/>
      <w:lvlText w:val="%1."/>
      <w:numFmt w:val="decimal"/>
      <w:start w:val="5"/>
    </w:lvl>
  </w:abstractNum>
  <w:abstractNum w:abstractNumId="30">
    <w:nsid w:val="39386575"/>
    <w:multiLevelType w:val="hybridMultilevel"/>
    <w:lvl w:ilvl="0">
      <w:lvlJc w:val="left"/>
      <w:lvlText w:val="(%1)"/>
      <w:numFmt w:val="lowerLetter"/>
      <w:start w:val="1"/>
    </w:lvl>
  </w:abstractNum>
  <w:abstractNum w:abstractNumId="31">
    <w:nsid w:val="1CF10FD8"/>
    <w:multiLevelType w:val="hybridMultilevel"/>
    <w:lvl w:ilvl="0">
      <w:lvlJc w:val="left"/>
      <w:lvlText w:val="(%1)"/>
      <w:numFmt w:val="lowerLetter"/>
      <w:start w:val="2"/>
    </w:lvl>
  </w:abstractNum>
  <w:abstractNum w:abstractNumId="32">
    <w:nsid w:val="180115BE"/>
    <w:multiLevelType w:val="hybridMultilevel"/>
    <w:lvl w:ilvl="0">
      <w:lvlJc w:val="left"/>
      <w:lvlText w:val="(%1)"/>
      <w:numFmt w:val="lowerLetter"/>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lvl w:ilvl="1">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lvl w:ilvl="1">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lvl w:ilvl="1">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lvl w:ilvl="1">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emdash "/>
      <w:numFmt w:val="bullet"/>
      <w:start w:val="1"/>
    </w:lvl>
  </w:abstractNum>
  <w:abstractNum w:abstractNumId="71">
    <w:nsid w:val="11447B73"/>
    <w:multiLevelType w:val="hybridMultilevel"/>
    <w:lvl w:ilvl="0">
      <w:lvlJc w:val="left"/>
      <w:lvlText w:val="•"/>
      <w:numFmt w:val="bullet"/>
      <w:start w:val="1"/>
    </w:lvl>
    <w:lvl w:ilvl="1">
      <w:lvlJc w:val="left"/>
      <w:lvlText w:val="•"/>
      <w:numFmt w:val="bullet"/>
      <w:start w:val="1"/>
    </w:lvl>
  </w:abstractNum>
  <w:abstractNum w:abstractNumId="72">
    <w:nsid w:val="42963E5A"/>
    <w:multiLevelType w:val="hybridMultilevel"/>
    <w:lvl w:ilvl="0">
      <w:lvlJc w:val="left"/>
      <w:lvlText w:val="(%1)"/>
      <w:numFmt w:val="lowerRoman"/>
      <w:start w:val="2"/>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1)"/>
      <w:numFmt w:val="lowerRoman"/>
      <w:start w:val="1"/>
    </w:lvl>
  </w:abstractNum>
  <w:abstractNum w:abstractNumId="75">
    <w:nsid w:val="1A32234B"/>
    <w:multiLevelType w:val="hybridMultilevel"/>
    <w:lvl w:ilvl="0">
      <w:lvlJc w:val="left"/>
      <w:lvlText w:val="•"/>
      <w:numFmt w:val="bullet"/>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1)"/>
      <w:numFmt w:val="decimal"/>
      <w:start w:val="2"/>
    </w:lvl>
  </w:abstractNum>
  <w:abstractNum w:abstractNumId="79">
    <w:nsid w:val="60B6DF70"/>
    <w:multiLevelType w:val="hybridMultilevel"/>
    <w:lvl w:ilvl="0">
      <w:lvlJc w:val="left"/>
      <w:lvlText w:val="(%1)"/>
      <w:numFmt w:val="decimal"/>
      <w:start w:val="4"/>
    </w:lvl>
  </w:abstractNum>
  <w:abstractNum w:abstractNumId="80">
    <w:nsid w:val="6A5EE64"/>
    <w:multiLevelType w:val="hybridMultilevel"/>
    <w:lvl w:ilvl="0">
      <w:lvlJc w:val="left"/>
      <w:lvlText w:val="•"/>
      <w:numFmt w:val="bullet"/>
      <w:start w:val="1"/>
    </w:lvl>
  </w:abstractNum>
  <w:abstractNum w:abstractNumId="81">
    <w:nsid w:val="1433062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2019-12-05T06:05:28Z</dcterms:created>
  <dcterms:modified xsi:type="dcterms:W3CDTF">2019-12-05T06:05:28Z</dcterms:modified>
</cp:coreProperties>
</file>