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6660" w:type="dxa"/>
            <w:vAlign w:val="bottom"/>
          </w:tcPr>
          <w:p>
            <w:pPr>
              <w:jc w:val="center"/>
              <w:ind w:right="3084"/>
              <w:spacing w:after="0"/>
              <w:rPr>
                <w:sz w:val="20"/>
                <w:szCs w:val="20"/>
                <w:color w:val="auto"/>
              </w:rPr>
            </w:pPr>
            <w:r>
              <w:rPr>
                <w:rFonts w:ascii="Arial" w:cs="Arial" w:eastAsia="Arial" w:hAnsi="Arial"/>
                <w:sz w:val="18"/>
                <w:szCs w:val="18"/>
                <w:b w:val="1"/>
                <w:bCs w:val="1"/>
                <w:color w:val="auto"/>
                <w:w w:val="93"/>
              </w:rPr>
              <w:t>Maryland</w:t>
            </w:r>
          </w:p>
        </w:tc>
        <w:tc>
          <w:tcPr>
            <w:tcW w:w="1500" w:type="dxa"/>
            <w:vAlign w:val="bottom"/>
          </w:tcPr>
          <w:p>
            <w:pPr>
              <w:jc w:val="center"/>
              <w:ind w:left="34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6660" w:type="dxa"/>
            <w:vAlign w:val="bottom"/>
          </w:tcPr>
          <w:p>
            <w:pPr>
              <w:jc w:val="center"/>
              <w:ind w:right="308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60" w:type="dxa"/>
            <w:vAlign w:val="bottom"/>
          </w:tcPr>
          <w:p>
            <w:pPr>
              <w:jc w:val="center"/>
              <w:ind w:right="3084"/>
              <w:spacing w:after="0"/>
              <w:rPr>
                <w:sz w:val="20"/>
                <w:szCs w:val="20"/>
                <w:color w:val="auto"/>
              </w:rPr>
            </w:pPr>
            <w:r>
              <w:rPr>
                <w:rFonts w:ascii="Arial" w:cs="Arial" w:eastAsia="Arial" w:hAnsi="Arial"/>
                <w:sz w:val="14"/>
                <w:szCs w:val="14"/>
                <w:b w:val="1"/>
                <w:bCs w:val="1"/>
                <w:color w:val="auto"/>
                <w:w w:val="89"/>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6660" w:type="dxa"/>
            <w:vAlign w:val="bottom"/>
          </w:tcPr>
          <w:p>
            <w:pPr>
              <w:jc w:val="center"/>
              <w:ind w:right="3004"/>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1500" w:type="dxa"/>
            <w:vAlign w:val="bottom"/>
          </w:tcPr>
          <w:p>
            <w:pPr>
              <w:jc w:val="center"/>
              <w:ind w:left="30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6660" w:type="dxa"/>
            <w:vAlign w:val="bottom"/>
          </w:tcPr>
          <w:p>
            <w:pPr>
              <w:jc w:val="center"/>
              <w:ind w:right="300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60" w:type="dxa"/>
            <w:vAlign w:val="bottom"/>
          </w:tcPr>
          <w:p>
            <w:pPr>
              <w:jc w:val="right"/>
              <w:ind w:right="1344"/>
              <w:spacing w:after="0"/>
              <w:rPr>
                <w:sz w:val="20"/>
                <w:szCs w:val="20"/>
                <w:color w:val="auto"/>
              </w:rPr>
            </w:pPr>
            <w:r>
              <w:rPr>
                <w:rFonts w:ascii="Arial" w:cs="Arial" w:eastAsia="Arial" w:hAnsi="Arial"/>
                <w:sz w:val="18"/>
                <w:szCs w:val="18"/>
                <w:b w:val="1"/>
                <w:bCs w:val="1"/>
                <w:color w:val="auto"/>
              </w:rPr>
              <w:t>(301) 998-8100</w:t>
            </w:r>
          </w:p>
        </w:tc>
        <w:tc>
          <w:tcPr>
            <w:tcW w:w="1500" w:type="dxa"/>
            <w:vAlign w:val="bottom"/>
          </w:tcPr>
          <w:p>
            <w:pPr>
              <w:spacing w:after="0"/>
              <w:rPr>
                <w:sz w:val="24"/>
                <w:szCs w:val="24"/>
                <w:color w:val="auto"/>
              </w:rPr>
            </w:pPr>
          </w:p>
        </w:tc>
      </w:tr>
      <w:tr>
        <w:trPr>
          <w:trHeight w:val="174"/>
        </w:trPr>
        <w:tc>
          <w:tcPr>
            <w:tcW w:w="6660" w:type="dxa"/>
            <w:vAlign w:val="bottom"/>
          </w:tcPr>
          <w:p>
            <w:pPr>
              <w:jc w:val="center"/>
              <w:ind w:left="26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12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4780" w:type="dxa"/>
            <w:vAlign w:val="bottom"/>
            <w:gridSpan w:val="2"/>
          </w:tcPr>
          <w:p>
            <w:pPr>
              <w:jc w:val="center"/>
              <w:ind w:right="4360"/>
              <w:spacing w:after="0"/>
              <w:rPr>
                <w:sz w:val="20"/>
                <w:szCs w:val="20"/>
                <w:color w:val="auto"/>
              </w:rPr>
            </w:pPr>
            <w:r>
              <w:rPr>
                <w:rFonts w:ascii="Arial" w:cs="Arial" w:eastAsia="Arial" w:hAnsi="Arial"/>
                <w:sz w:val="14"/>
                <w:szCs w:val="14"/>
                <w:b w:val="1"/>
                <w:bCs w:val="1"/>
                <w:color w:val="auto"/>
                <w:w w:val="80"/>
              </w:rPr>
              <w:t>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October 29, 2003</w:t>
            </w:r>
          </w:p>
        </w:tc>
        <w:tc>
          <w:tcPr>
            <w:tcW w:w="1540" w:type="dxa"/>
            <w:vAlign w:val="bottom"/>
          </w:tcPr>
          <w:p>
            <w:pPr>
              <w:spacing w:after="0"/>
              <w:rPr>
                <w:sz w:val="15"/>
                <w:szCs w:val="15"/>
                <w:color w:val="auto"/>
              </w:rPr>
            </w:pPr>
          </w:p>
        </w:tc>
      </w:tr>
      <w:tr>
        <w:trPr>
          <w:trHeight w:val="95"/>
        </w:trPr>
        <w:tc>
          <w:tcPr>
            <w:tcW w:w="2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r>
      <w:tr>
        <w:trPr>
          <w:trHeight w:val="316"/>
        </w:trPr>
        <w:tc>
          <w:tcPr>
            <w:tcW w:w="7380" w:type="dxa"/>
            <w:vAlign w:val="bottom"/>
            <w:gridSpan w:val="3"/>
          </w:tcPr>
          <w:p>
            <w:pPr>
              <w:jc w:val="center"/>
              <w:ind w:right="1760"/>
              <w:spacing w:after="0"/>
              <w:rPr>
                <w:sz w:val="20"/>
                <w:szCs w:val="20"/>
                <w:color w:val="auto"/>
              </w:rPr>
            </w:pPr>
            <w:r>
              <w:rPr>
                <w:rFonts w:ascii="Arial" w:cs="Arial" w:eastAsia="Arial" w:hAnsi="Arial"/>
                <w:sz w:val="18"/>
                <w:szCs w:val="18"/>
                <w:color w:val="auto"/>
                <w:w w:val="89"/>
              </w:rPr>
              <w:t>Common Shares of Beneficial Interest</w:t>
            </w:r>
          </w:p>
        </w:tc>
        <w:tc>
          <w:tcPr>
            <w:tcW w:w="2500" w:type="dxa"/>
            <w:vAlign w:val="bottom"/>
          </w:tcPr>
          <w:p>
            <w:pPr>
              <w:jc w:val="right"/>
              <w:ind w:right="782"/>
              <w:spacing w:after="0"/>
              <w:rPr>
                <w:sz w:val="20"/>
                <w:szCs w:val="20"/>
                <w:color w:val="auto"/>
              </w:rPr>
            </w:pPr>
            <w:r>
              <w:rPr>
                <w:rFonts w:ascii="Arial" w:cs="Arial" w:eastAsia="Arial" w:hAnsi="Arial"/>
                <w:sz w:val="18"/>
                <w:szCs w:val="18"/>
                <w:color w:val="auto"/>
              </w:rPr>
              <w:t>49,182,194</w:t>
            </w:r>
          </w:p>
        </w:tc>
        <w:tc>
          <w:tcPr>
            <w:tcW w:w="1540" w:type="dxa"/>
            <w:vAlign w:val="bottom"/>
          </w:tcPr>
          <w:p>
            <w:pPr>
              <w:spacing w:after="0"/>
              <w:rPr>
                <w:sz w:val="24"/>
                <w:szCs w:val="24"/>
                <w:color w:val="auto"/>
              </w:rPr>
            </w:pPr>
          </w:p>
        </w:tc>
      </w:tr>
      <w:tr>
        <w:trPr>
          <w:trHeight w:val="201"/>
        </w:trPr>
        <w:tc>
          <w:tcPr>
            <w:tcW w:w="2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FORM 10-Q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95"/>
        </w:trPr>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9540" w:type="dxa"/>
            <w:vAlign w:val="bottom"/>
            <w:gridSpan w:val="11"/>
            <w:vMerge w:val="restart"/>
          </w:tcPr>
          <w:p>
            <w:pPr>
              <w:spacing w:after="0"/>
              <w:rPr>
                <w:sz w:val="20"/>
                <w:szCs w:val="20"/>
                <w:color w:val="auto"/>
              </w:rPr>
            </w:pPr>
            <w:r>
              <w:rPr>
                <w:rFonts w:ascii="Arial" w:cs="Arial" w:eastAsia="Arial" w:hAnsi="Arial"/>
                <w:sz w:val="18"/>
                <w:szCs w:val="18"/>
                <w:color w:val="auto"/>
              </w:rPr>
              <w:t>FINANCIAL INFORMATION</w:t>
            </w: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240" w:type="dxa"/>
            <w:vAlign w:val="bottom"/>
            <w:gridSpan w:val="2"/>
            <w:vMerge w:val="continue"/>
          </w:tcPr>
          <w:p>
            <w:pPr>
              <w:spacing w:after="0"/>
              <w:rPr>
                <w:sz w:val="24"/>
                <w:szCs w:val="24"/>
                <w:color w:val="auto"/>
              </w:rPr>
            </w:pPr>
          </w:p>
        </w:tc>
        <w:tc>
          <w:tcPr>
            <w:tcW w:w="9540" w:type="dxa"/>
            <w:vAlign w:val="bottom"/>
            <w:gridSpan w:val="11"/>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1.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540" w:type="dxa"/>
            <w:vAlign w:val="bottom"/>
            <w:gridSpan w:val="11"/>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September 30, 2003 (unaudited) and December 31, 2002 (audited)</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Nine months ended September 30, 2003 and 2002</w:t>
              </w:r>
            </w:hyperlink>
          </w:p>
        </w:tc>
        <w:tc>
          <w:tcPr>
            <w:tcW w:w="23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Operations (unaudited) Three months ended September 30, 2003 and 2002</w:t>
              </w:r>
            </w:hyperlink>
          </w:p>
        </w:tc>
        <w:tc>
          <w:tcPr>
            <w:tcW w:w="232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(unaudited) Nine months ended September 30, 2003 and 2002</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top w:val="single" w:sz="8" w:color="0000EE"/>
            </w:tcBorders>
            <w:gridSpan w:val="10"/>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Consolidated Statements of Cash Flows (unaudited) Nine months ended September 30, 2003 and 2002</w:t>
              </w:r>
            </w:hyperlink>
          </w:p>
        </w:tc>
        <w:tc>
          <w:tcPr>
            <w:tcW w:w="1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Financial Statements</w:t>
              </w:r>
            </w:hyperlink>
          </w:p>
        </w:tc>
        <w:tc>
          <w:tcPr>
            <w:tcW w:w="5100" w:type="dxa"/>
            <w:vAlign w:val="bottom"/>
            <w:tcBorders>
              <w:top w:val="single" w:sz="8" w:color="0000EE"/>
            </w:tcBorders>
            <w:gridSpan w:val="6"/>
          </w:tcPr>
          <w:p>
            <w:pPr>
              <w:spacing w:after="0"/>
              <w:rPr>
                <w:sz w:val="24"/>
                <w:szCs w:val="24"/>
                <w:color w:val="auto"/>
              </w:rPr>
            </w:pPr>
          </w:p>
        </w:tc>
        <w:tc>
          <w:tcPr>
            <w:tcW w:w="234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Item 2. Management’s Discussion and Analysis of Financial Condition and Results of Operations</w:t>
              </w:r>
            </w:hyperlink>
          </w:p>
        </w:tc>
        <w:tc>
          <w:tcPr>
            <w:tcW w:w="270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3. 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 Controls and Procedures</w:t>
              </w:r>
            </w:hyperlink>
          </w:p>
        </w:tc>
        <w:tc>
          <w:tcPr>
            <w:tcW w:w="47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OTHER INFORMATION</w:t>
              </w:r>
            </w:hyperlink>
          </w:p>
        </w:tc>
        <w:tc>
          <w:tcPr>
            <w:tcW w:w="420" w:type="dxa"/>
            <w:vAlign w:val="bottom"/>
            <w:tcBorders>
              <w:top w:val="single" w:sz="8" w:color="0000EE"/>
            </w:tcBorders>
            <w:gridSpan w:val="2"/>
          </w:tcPr>
          <w:p>
            <w:pPr>
              <w:spacing w:after="0"/>
              <w:rPr>
                <w:sz w:val="24"/>
                <w:szCs w:val="24"/>
                <w:color w:val="auto"/>
              </w:rPr>
            </w:pPr>
          </w:p>
        </w:tc>
        <w:tc>
          <w:tcPr>
            <w:tcW w:w="728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1. Legal Proceedings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2. Changes in Securities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3. Defaults Upon Senior Securities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4. Submission of Matters to Vote to Security Holders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5. Other Information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Item 6. Exhibits and Reports on Form 8-K</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4"/>
          </w:tcPr>
          <w:p>
            <w:pPr>
              <w:ind w:left="4440"/>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 FORM 10-Q</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7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nine months ended September 30, 2003, are not necessarily indicative of the results that may be expected for the full year. These financial statements should be read in conjunction with our audited consolidated financial statements and footnotes thereto included in the Trust’s Annual Report on Form 10-K for the fiscal year ended December 31, 2002.</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2,185,976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189,572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2,375,548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(499,017)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(450,697)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1,876,531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23,487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reimbursement receivable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Prepaid expenses and other assets, principally lease commissions and property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64,624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$5,361 and $6,344, respectively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2,044,044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Mortgages and construction loans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250,708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Security deposits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rents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 1/4% Convertible subordinated debentures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1,334,572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w w:val="95"/>
              </w:rPr>
              <w:t>7.95% Series A Cumulative Redeemable Preferred Shares, (stated at liquidation preference $25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1060"/>
              <w:spacing w:after="0"/>
              <w:rPr>
                <w:sz w:val="20"/>
                <w:szCs w:val="20"/>
                <w:color w:val="auto"/>
              </w:rPr>
            </w:pPr>
            <w:r>
              <w:rPr>
                <w:rFonts w:ascii="Arial" w:cs="Arial" w:eastAsia="Arial" w:hAnsi="Arial"/>
                <w:sz w:val="18"/>
                <w:szCs w:val="18"/>
                <w:color w:val="auto"/>
              </w:rPr>
              <w:t>4,000,000 shares issued in 1997</w:t>
            </w:r>
          </w:p>
        </w:tc>
        <w:tc>
          <w:tcPr>
            <w:tcW w:w="10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7"/>
              </w:rPr>
              <w:t>8.5% Series B Cumulative Redeemable Preferred Shares, (stated at liquidation preference $25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5,400,000 shares issued in 2001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93"/>
              </w:rPr>
              <w:t>Common shares of beneficial interest, $.01 par, 100,000,000 shares authorized, 50,629,782 and 44,996,382 issued,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10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(395,160)</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(368,839)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1,466,013 and 1,461,147 common shares in treasury—at cost, respectively</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(28,336)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Deferred compensation on restricted shares</w:t>
            </w:r>
          </w:p>
        </w:tc>
        <w:tc>
          <w:tcPr>
            <w:tcW w:w="10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Notes receivable from employee stock plans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679,891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2,044,044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100" w:type="dxa"/>
            <w:vAlign w:val="bottom"/>
            <w:gridSpan w:val="2"/>
          </w:tcPr>
          <w:p>
            <w:pPr>
              <w:ind w:left="2960"/>
              <w:spacing w:after="0"/>
              <w:rPr>
                <w:sz w:val="20"/>
                <w:szCs w:val="20"/>
                <w:color w:val="auto"/>
              </w:rPr>
            </w:pPr>
            <w:r>
              <w:rPr>
                <w:rFonts w:ascii="Arial" w:cs="Arial" w:eastAsia="Arial" w:hAnsi="Arial"/>
                <w:sz w:val="18"/>
                <w:szCs w:val="18"/>
                <w:color w:val="auto"/>
                <w:w w:val="97"/>
              </w:rPr>
              <w:t>The accompanying notes are an integral part of these consolidated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-5677535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-5677535</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-5677535</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-5677535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-5677535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-5677535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666"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666"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6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241,482</w:t>
            </w:r>
          </w:p>
        </w:tc>
        <w:tc>
          <w:tcPr>
            <w:tcW w:w="4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258,478</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228,686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Rental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60,068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54,550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204,156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183,842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Minority Interests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(3,257)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59,097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(12,215)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redemption—excess of redemption cost over carrying value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4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4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41,155</w:t>
            </w:r>
          </w:p>
        </w:tc>
        <w:tc>
          <w:tcPr>
            <w:tcW w:w="0" w:type="dxa"/>
            <w:vAlign w:val="bottom"/>
          </w:tcPr>
          <w:p>
            <w:pPr>
              <w:spacing w:after="0"/>
              <w:rPr>
                <w:sz w:val="1"/>
                <w:szCs w:val="1"/>
                <w:color w:val="auto"/>
              </w:rPr>
            </w:pPr>
          </w:p>
        </w:tc>
      </w:tr>
      <w:tr>
        <w:trPr>
          <w:trHeight w:val="323"/>
        </w:trPr>
        <w:tc>
          <w:tcPr>
            <w:tcW w:w="87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0.92</w:t>
            </w:r>
          </w:p>
        </w:tc>
        <w:tc>
          <w:tcPr>
            <w:tcW w:w="4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w w:val="91"/>
              </w:rPr>
              <w:t>The accompanying notes are an integral part of these consolidated statements.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8"/>
              </w:rPr>
              <w:t>Three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20" w:type="dxa"/>
            <w:vAlign w:val="bottom"/>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3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81,387</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931</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87,229</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78,097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19,126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18,719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18,710</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68,774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58,553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18,455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19,544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(1,053)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17,402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7,172</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24,595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18,504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(2,869)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21,726</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0.30</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48,935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42,802</w:t>
            </w: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50,216</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44,036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100" w:type="dxa"/>
            <w:vAlign w:val="bottom"/>
          </w:tcPr>
          <w:p>
            <w:pPr>
              <w:jc w:val="center"/>
              <w:ind w:left="221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20" w:type="dxa"/>
            <w:vAlign w:val="bottom"/>
            <w:gridSpan w:val="2"/>
          </w:tcPr>
          <w:p>
            <w:pPr>
              <w:jc w:val="right"/>
              <w:ind w:right="32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Paid-</w:t>
            </w:r>
          </w:p>
        </w:tc>
        <w:tc>
          <w:tcPr>
            <w:tcW w:w="0" w:type="dxa"/>
            <w:vAlign w:val="bottom"/>
          </w:tcPr>
          <w:p>
            <w:pPr>
              <w:spacing w:after="0"/>
              <w:rPr>
                <w:sz w:val="1"/>
                <w:szCs w:val="1"/>
                <w:color w:val="auto"/>
              </w:rPr>
            </w:pPr>
          </w:p>
        </w:tc>
      </w:tr>
      <w:tr>
        <w:trPr>
          <w:trHeight w:val="174"/>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data)</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in Capital</w:t>
            </w:r>
          </w:p>
        </w:tc>
        <w:tc>
          <w:tcPr>
            <w:tcW w:w="42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of Beneficial Interest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44,996,382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$ 818,290</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41,524,165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$ 730,835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2,105,843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50,332</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747,770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Shares issued under dividend reinvestment plan</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87,792</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2,703</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102,318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and Restricted Shares granted, net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Restricted Shares retired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138,568</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98,092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Issuance of shares in public offering</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3,236,245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98,425</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2,185,000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for preferred stock redemption</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Shares issued to purchase operating partnership</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640"/>
              <w:spacing w:after="0"/>
              <w:rPr>
                <w:sz w:val="20"/>
                <w:szCs w:val="20"/>
                <w:color w:val="auto"/>
              </w:rPr>
            </w:pPr>
            <w:r>
              <w:rPr>
                <w:rFonts w:ascii="Arial" w:cs="Arial" w:eastAsia="Arial" w:hAnsi="Arial"/>
                <w:sz w:val="18"/>
                <w:szCs w:val="18"/>
                <w:color w:val="auto"/>
              </w:rPr>
              <w:t>units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64,952</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Accelerated vesting of options and restricted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Shares issued to purchase partnership interest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2,907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50,629,782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$ 979,029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$ 44,760,252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$ 812,354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Accumulated Dividends in Excess of Trust Net Income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(368,839)</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(322,428)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59,097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52,508</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(69,780)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(61,157)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Dividends declared to preferred shareholders and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redemption costs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(14,568)</w:t>
            </w: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(395,160)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(345,645)</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of Beneficial Interest in Treasury</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(1,461,147)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(28,193)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(1,452,926)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(27,990)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and Restricted Shares forfeited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(1,466,013)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(1,459,719)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(28,154)</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on Restricted Shares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(129,448)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(666,656)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(15,005)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Performance and Restricted Shares issued, net of</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forfeitures</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(118,400)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(73,821)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(1,763)</w:t>
            </w: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Vesting of Performance and Restricted Shares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26,009</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193,990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4,447</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(221,839)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(546,487)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(12,321)</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Subscriptions receivable from employee stock plans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(184,063)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(5,151)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(218,555)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(7,245)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Subscription loans issued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(82,641)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(88,469)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(2,612)</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Subscription loans paid</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68,329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1,437</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(238,695)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(8,420)</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(4,613)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(4,293)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due to recognizing loss on securities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Change in valuation on interest rate swap</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3,563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(1,076)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interest rate hedge transaction</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(6,873)</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59,097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52,508</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due to recognizing loss on securities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Change in valuation on interest rate swap</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3,563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(1,076)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interest rate hedge transaction</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7" w:name="page8"/>
    <w:bookmarkEnd w:id="7"/>
    <w:p>
      <w:pPr>
        <w:spacing w:after="0"/>
        <w:tabs>
          <w:tab w:leader="none" w:pos="5200" w:val="left"/>
          <w:tab w:leader="none" w:pos="5460" w:val="left"/>
          <w:tab w:leader="none" w:pos="9000" w:val="left"/>
          <w:tab w:leader="none" w:pos="9260" w:val="left"/>
        </w:tabs>
        <w:rPr>
          <w:sz w:val="20"/>
          <w:szCs w:val="20"/>
          <w:color w:val="auto"/>
        </w:rPr>
      </w:pPr>
      <w:r>
        <w:rPr>
          <w:rFonts w:ascii="Arial" w:cs="Arial" w:eastAsia="Arial" w:hAnsi="Arial"/>
          <w:sz w:val="18"/>
          <w:szCs w:val="18"/>
          <w:color w:val="auto"/>
        </w:rPr>
        <w:t>Total other comprehensive income</w:t>
      </w:r>
      <w:r>
        <w:rPr>
          <w:sz w:val="20"/>
          <w:szCs w:val="20"/>
          <w:color w:val="auto"/>
        </w:rPr>
        <w:tab/>
      </w:r>
      <w:r>
        <w:rPr>
          <w:rFonts w:ascii="Arial" w:cs="Arial" w:eastAsia="Arial" w:hAnsi="Arial"/>
          <w:sz w:val="18"/>
          <w:szCs w:val="18"/>
          <w:color w:val="auto"/>
        </w:rPr>
        <w:t>$</w:t>
        <w:tab/>
        <w:t>62,643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49,928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80010</wp:posOffset>
            </wp:positionV>
            <wp:extent cx="4718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80010</wp:posOffset>
            </wp:positionV>
            <wp:extent cx="4718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192"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79"/>
          </w:cols>
          <w:pgMar w:left="680" w:top="131"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59,097</w:t>
            </w:r>
          </w:p>
        </w:tc>
        <w:tc>
          <w:tcPr>
            <w:tcW w:w="9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Items not requiring cash outlays: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54,317</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Loss on abandoned developments held for sale</w:t>
            </w:r>
          </w:p>
        </w:tc>
        <w:tc>
          <w:tcPr>
            <w:tcW w:w="14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portion of restructuring expense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1,557</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80"/>
              <w:spacing w:after="0"/>
              <w:rPr>
                <w:sz w:val="20"/>
                <w:szCs w:val="20"/>
                <w:color w:val="auto"/>
              </w:rPr>
            </w:pPr>
            <w:r>
              <w:rPr>
                <w:rFonts w:ascii="Arial" w:cs="Arial" w:eastAsia="Arial" w:hAnsi="Arial"/>
                <w:sz w:val="18"/>
                <w:szCs w:val="18"/>
                <w:color w:val="auto"/>
              </w:rPr>
              <w:t>(Increase) decrease in accounts receivable</w:t>
            </w: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(12,682)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80"/>
              <w:spacing w:after="0"/>
              <w:rPr>
                <w:sz w:val="20"/>
                <w:szCs w:val="20"/>
                <w:color w:val="auto"/>
              </w:rPr>
            </w:pPr>
            <w:r>
              <w:rPr>
                <w:rFonts w:ascii="Arial" w:cs="Arial" w:eastAsia="Arial" w:hAnsi="Arial"/>
                <w:sz w:val="18"/>
                <w:szCs w:val="18"/>
                <w:color w:val="auto"/>
              </w:rPr>
              <w:t>Increase in operating accounts payable, security deposits and prepaid rent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accrued expenses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real estate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(15,559)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Capital expenditures—development</w:t>
            </w: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(117,942)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expenditures—other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(25,223)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Santana Row fire insurance proceeds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81,107</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(Issuance) repayment of mortgage notes receivable, net</w:t>
            </w:r>
          </w:p>
        </w:tc>
        <w:tc>
          <w:tcPr>
            <w:tcW w:w="140" w:type="dxa"/>
            <w:vAlign w:val="bottom"/>
          </w:tcPr>
          <w:p>
            <w:pPr>
              <w:spacing w:after="0"/>
              <w:rPr>
                <w:sz w:val="19"/>
                <w:szCs w:val="19"/>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(2,436)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(58,847)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(168,118)</w:t>
            </w: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 of short-term debt,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127,000</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Proceeds from mortgage and construction financing, net of costs</w:t>
            </w:r>
          </w:p>
        </w:tc>
        <w:tc>
          <w:tcPr>
            <w:tcW w:w="14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150,025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Redemption of Series A Preferred Shares</w:t>
            </w: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mortgages, capital leases and notes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Repayment of 5.25% convertible subordinated debentures</w:t>
            </w: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(78,480)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(Decrease) in minority interest, net</w:t>
            </w:r>
          </w:p>
        </w:tc>
        <w:tc>
          <w:tcPr>
            <w:tcW w:w="140" w:type="dxa"/>
            <w:vAlign w:val="bottom"/>
          </w:tcPr>
          <w:p>
            <w:pPr>
              <w:spacing w:after="0"/>
              <w:rPr>
                <w:sz w:val="19"/>
                <w:szCs w:val="19"/>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(20,629)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23,123</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33,656</w:t>
            </w:r>
          </w:p>
        </w:tc>
        <w:tc>
          <w:tcPr>
            <w:tcW w:w="9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jc w:val="center"/>
              <w:ind w:left="249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40" w:type="dxa"/>
            <w:vAlign w:val="bottom"/>
            <w:gridSpan w:val="2"/>
          </w:tcPr>
          <w:p>
            <w:pPr>
              <w:jc w:val="right"/>
              <w:ind w:right="299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-557530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-557530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-557530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September 30, 2003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A—ACCOUNTING POLICIES AND OTHER DATA</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September 30, 2003, we owned or had an interest in 60 community and neighborhood shopping centers comprising approximately 13 million square feet, primarily located in densely populated and affluent communities throughout the Northeast and Mid-Atlantic United States. In addition, we owned 53 urban, mixed-use properties comprising over 2.5 million square feet, and one apartment complex, all located in strategic metropolitan markets across the United States. Our properties, excluding Santana Row, were 94.3% leased at September 30, 2003, 93.6% leased at June 30, 2003 and 95.5% leased at September 30, 2002. Including Santana Row, we were 93.9% leased at September 30, 2003 and 93.1% leased at June30, 2003. We have paid quarterly dividends to our shareholders continuously since our founding in 1962, and have increased our dividend rate for 36 consecutive years.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generally accepted accounting principles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the Company’s Form 10-K for the year ended December 31, 2002.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Nine months ending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Three months 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Numerator</w:t>
            </w:r>
          </w:p>
        </w:tc>
        <w:tc>
          <w:tcPr>
            <w:tcW w:w="3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shareholders—basic</w:t>
            </w:r>
          </w:p>
        </w:tc>
        <w:tc>
          <w:tcPr>
            <w:tcW w:w="3780" w:type="dxa"/>
            <w:vAlign w:val="bottom"/>
            <w:gridSpan w:val="3"/>
          </w:tcPr>
          <w:p>
            <w:pPr>
              <w:jc w:val="right"/>
              <w:spacing w:after="0"/>
              <w:rPr>
                <w:sz w:val="20"/>
                <w:szCs w:val="20"/>
                <w:color w:val="auto"/>
              </w:rPr>
            </w:pPr>
            <w:r>
              <w:rPr>
                <w:rFonts w:ascii="Arial" w:cs="Arial" w:eastAsia="Arial" w:hAnsi="Arial"/>
                <w:sz w:val="18"/>
                <w:szCs w:val="18"/>
                <w:color w:val="auto"/>
              </w:rPr>
              <w:t>$ 43,459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$ 37,940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$ 21,726</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$ 13,648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shareholders—diluted</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$ 44,275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$ 38,717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$ 22,101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Denominator</w:t>
            </w:r>
          </w:p>
        </w:tc>
        <w:tc>
          <w:tcPr>
            <w:tcW w:w="390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Denominator for basic EPS—Weighted average shares</w:t>
            </w:r>
          </w:p>
        </w:tc>
        <w:tc>
          <w:tcPr>
            <w:tcW w:w="3780" w:type="dxa"/>
            <w:vAlign w:val="bottom"/>
            <w:gridSpan w:val="3"/>
          </w:tcPr>
          <w:p>
            <w:pPr>
              <w:jc w:val="right"/>
              <w:spacing w:after="0"/>
              <w:rPr>
                <w:sz w:val="20"/>
                <w:szCs w:val="20"/>
                <w:color w:val="auto"/>
              </w:rPr>
            </w:pPr>
            <w:r>
              <w:rPr>
                <w:rFonts w:ascii="Arial" w:cs="Arial" w:eastAsia="Arial" w:hAnsi="Arial"/>
                <w:sz w:val="18"/>
                <w:szCs w:val="18"/>
                <w:color w:val="auto"/>
              </w:rPr>
              <w:t>46,810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41,155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48,935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420"/>
              <w:spacing w:after="0"/>
              <w:rPr>
                <w:sz w:val="20"/>
                <w:szCs w:val="20"/>
                <w:color w:val="auto"/>
              </w:rPr>
            </w:pPr>
            <w:r>
              <w:rPr>
                <w:rFonts w:ascii="Arial" w:cs="Arial" w:eastAsia="Arial" w:hAnsi="Arial"/>
                <w:sz w:val="18"/>
                <w:szCs w:val="18"/>
                <w:color w:val="auto"/>
              </w:rPr>
              <w:t>Stock options and awards</w:t>
            </w:r>
          </w:p>
        </w:tc>
        <w:tc>
          <w:tcPr>
            <w:tcW w:w="3780" w:type="dxa"/>
            <w:vAlign w:val="bottom"/>
            <w:gridSpan w:val="3"/>
          </w:tcPr>
          <w:p>
            <w:pPr>
              <w:jc w:val="right"/>
              <w:spacing w:after="0"/>
              <w:rPr>
                <w:sz w:val="20"/>
                <w:szCs w:val="20"/>
                <w:color w:val="auto"/>
              </w:rPr>
            </w:pPr>
            <w:r>
              <w:rPr>
                <w:rFonts w:ascii="Arial" w:cs="Arial" w:eastAsia="Arial" w:hAnsi="Arial"/>
                <w:sz w:val="18"/>
                <w:szCs w:val="18"/>
                <w:color w:val="auto"/>
              </w:rPr>
              <w:t>369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Operating partnership units</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Denominator for diluted EPS</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180" w:type="dxa"/>
            <w:vAlign w:val="bottom"/>
            <w:vMerge w:val="restart"/>
          </w:tcPr>
          <w:p>
            <w:pPr>
              <w:jc w:val="right"/>
              <w:ind w:right="2174"/>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-1457960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-1457960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-1457960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-1457960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-1457960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-1457960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-1457960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-1457960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-1457960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-1457960</wp:posOffset>
            </wp:positionV>
            <wp:extent cx="3816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816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components of rental income, other property income, rental expense, real estate tax expense and depreciation and amortization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September 30, 2002 Consolidated Statements of Operations have been reclassified to Income from operations of discontinued assets to assure comparability of all periods presented. In addition, certain December 31, 2002 Balance Sheet accounts and components of the September 30, 2002 Consolidated Statement of Cash Flows have been reclassified to assure comparability of all periods presented.</w:t>
      </w:r>
    </w:p>
    <w:p>
      <w:pPr>
        <w:spacing w:after="0" w:line="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Redemption of preferred stock</w:t>
      </w:r>
      <w:r>
        <w:rPr>
          <w:rFonts w:ascii="Arial" w:cs="Arial" w:eastAsia="Arial" w:hAnsi="Arial"/>
          <w:sz w:val="16"/>
          <w:szCs w:val="16"/>
          <w:color w:val="auto"/>
        </w:rPr>
        <w:t>. On June 13, 2003, we redeemed our $100 million 7.95% Series A Cumulative Redeemable Preferred Shares at their face value.</w:t>
      </w:r>
      <w:r>
        <w:rPr>
          <w:rFonts w:ascii="Arial" w:cs="Arial" w:eastAsia="Arial" w:hAnsi="Arial"/>
          <w:sz w:val="16"/>
          <w:szCs w:val="16"/>
          <w:i w:val="1"/>
          <w:iCs w:val="1"/>
          <w:color w:val="auto"/>
        </w:rPr>
        <w:t xml:space="preserve"> </w:t>
      </w:r>
      <w:r>
        <w:rPr>
          <w:rFonts w:ascii="Arial" w:cs="Arial" w:eastAsia="Arial" w:hAnsi="Arial"/>
          <w:sz w:val="16"/>
          <w:szCs w:val="16"/>
          <w:color w:val="auto"/>
        </w:rPr>
        <w:t>The original issuance costs of $3.4 million were charged to shareholders’ equity in 1997, when the shares were issued. On July 31, 2003, the Emerging Issues Task Force provided clarification on the treatment of the difference between the redemption value and the carrying value, adjusted for issuance costs, for GAAP financial reporting. In accordance with this clarification, we are required to make a change in accounting to retroactively reflect this difference as a reduction of net earnings to arrive at net earnings available to common shareholders. As a result of this change in accounting presentation, our Consolidated Statement of Operations for the nine months ended September 30, 2003 reflects a charge of $3.4 million in the line “Preferred stock redemption – excess of redemption cost over carrying value” as a reduction of net income in computing net income available for common shareholders.</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December 2002 the FASB issued SFAS No. 148, “Accounting for Stock Based Compensation-Transition and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amending FASB Statement No. 123, “Accounting for Stock-Based Compensation”. SFAS No. 148 amends the disclosure provisions to require prominent disclosure about the effects on reported net income of an entity’s accounting policy decisions with respect to stock-based compensation. We account for stock options using the intrinsic method in accordance with APB No. 25, “Accounting for Stock Issued to Employees,” as interpreted, whereby if options are priced at fair market value or above at the date of grant, no compensation expense is recognized.</w:t>
      </w:r>
    </w:p>
    <w:p>
      <w:pPr>
        <w:spacing w:after="0" w:line="10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Statement of Financial Accounting Standards No. 150. </w:t>
      </w:r>
      <w:r>
        <w:rPr>
          <w:rFonts w:ascii="Arial" w:cs="Arial" w:eastAsia="Arial" w:hAnsi="Arial"/>
          <w:sz w:val="16"/>
          <w:szCs w:val="16"/>
          <w:color w:val="auto"/>
        </w:rPr>
        <w:t>In May 2003, the FASB issued SFAS No. 150, “Accounting for Certain Financial Instruments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of Both Liabilities and Equity.” SFAS No. 150 addresses the classification and measurement of freestanding financial instruments, including mandatorily redeemable preferred and common stock, and requires an issuer to classify certain instruments as liabilities. SFAS No. 150 is effective for financial instruments entered into or modified after May 31, 2003, and otherwise is effective at the beginning of the first interim period after June 15, 2003. The adoption of SFAS No. 150 has not had a material effect on the Trusts financial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is as follows (in thousands except for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93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5"/>
              </w:rPr>
              <w:t>Nine months ended</w:t>
            </w:r>
          </w:p>
        </w:tc>
        <w:tc>
          <w:tcPr>
            <w:tcW w:w="16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93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10" w:type="dxa"/>
            <w:vAlign w:val="bottom"/>
          </w:tcPr>
          <w:p>
            <w:pPr>
              <w:jc w:val="right"/>
              <w:ind w:right="78"/>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ind w:right="115"/>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59,097</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52,508</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$ 24,595</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$ 18,504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employee compensation cost included in net income as reported</w:t>
            </w:r>
          </w:p>
        </w:tc>
        <w:tc>
          <w:tcPr>
            <w:tcW w:w="90" w:type="dxa"/>
            <w:vAlign w:val="bottom"/>
          </w:tcPr>
          <w:p>
            <w:pPr>
              <w:spacing w:after="0"/>
              <w:rPr>
                <w:sz w:val="18"/>
                <w:szCs w:val="18"/>
                <w:color w:val="auto"/>
              </w:rPr>
            </w:pPr>
          </w:p>
        </w:tc>
        <w:tc>
          <w:tcPr>
            <w:tcW w:w="9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9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58,566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52,184</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$ 24,441</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as reported, 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Earnings per common share as reported, 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color w:val="auto"/>
              </w:rPr>
              <w:t>0.92</w:t>
            </w: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0.91</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 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 forma earnings per share, 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color w:val="auto"/>
              </w:rPr>
              <w:t>0.91</w:t>
            </w: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0.90</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-717550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-717550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-717550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-717550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-717550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-717550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-717550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-717550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-717550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-717550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-717550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-717550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On January 31, 2003, the FASB issued FASB Interpretation No. 46, Consolidation of Variable Interest Entities (“FIN 46”). FIN 46</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existing accounting for whether variable interest entities should be consolidated in financial statements based upon the entity’s ability to finance its activities without additional financial support and whether investors possess characteristics of a controlling financial interest. FIN 46 applies to years or interim periods beginning after June 15, 2003 with certain disclosure provisions required for financial statements issued after January 31, 2003. We have evaluated the applicability of FIN 46 to our investments in certain restaurant joint ventures established in 2001 and 2002 at Santana Row and have determined that these joint ventures do not meet the definition of a Variable Interest Entity and therefore consolidation of these ventures is not required and these investments will continue to be accounted for using the equity method.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B—REAL ESTATE ASSETS AND ENCUMBRANCES</w:t>
      </w:r>
    </w:p>
    <w:p>
      <w:pPr>
        <w:spacing w:after="0" w:line="15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March 21, 2003 a partnership in which one of our wholly owned subsidiaries is the general partner, purchased the 214,000 square foot South Valley Shopping Center in Alexandria, Virginia for a purchase price of approximately $13.7 million in cash, of which $215,000 was allocated to a liability associated with the net fair value assigned to the assumed leases at the property.</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assumption of a $13.3 million mortgage. $1.1 million of the net assets acquired was allocated to a liability associated with the net fair value assigned to the assumed leases at the property.</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$1.5 million resulting in a gain of $551,000.</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rental income. We have agreed on a condemnation value of $14.3 million, subject to certain terms, with the governmental authority and anticipate closing of this transaction in mid-2004. As the condemnation proceeds anticipated are in excess of our carrying value, we have not recorded any impairment in value of the property.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31, 2003 we sold the street retail property located at 4925 Bethesda Avenue in Bethesda, Maryland for $1.1 million resulting in a gain of $157,000.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12, 2003 we sold the development property located in Washington County, Oregon for $9.7 million resulting in a gain of $1.9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15, 2003 we sold the street retail property located in Brookline, Massachusetts for $8.2 million resulting in a gain of $4.3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22, 2003 we sold the street retail property located in North Evanston, Illinois for $1.7 million resulting in a gain of $780,000.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nine months of 2003, we loaned an additional $2.4 million to existing borrowers at a weighted average interest rate of 9.7%.</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C—MORTGAGES AND CONSTRUCTION LOANS PAYABLE, NOTES PAYABLE AND OTHER LONG TERM DEBT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8, 2003, we closed on a new $550 million unsecured credit facility to replace our existing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 Covenants under the new credit facility are substantially the same type as were required under the previous facility. Had the new facility been in place on September 30, 2003, we would have been in compliance with all covenants of that facility. Concurrent with the replacement of our $125 million term loan with a new loan, we unwound the related interest rate swaps which were due to expire on December 19, 2003 at of cost of approximately $1.1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September 30, 2003 there was $198 million borrowed under our $300 million revolving credit facility. The maximum amount drawn during the first nine months of 2003 was $225 million. The weighted average interest rate on borrowings for the nine months ended September 30, 2003 was 2.0%. The facility requires us to comply with various financial and other covenants, including the maintenance of a minimum shareholders’ equity and a maximum ratio of debt to net worth. At September 30, 2003, we were in compliance with all loan covenants.</w:t>
      </w:r>
    </w:p>
    <w:p>
      <w:pPr>
        <w:spacing w:after="0" w:line="9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February 11, 2003 the $24.4 million Woodmont East construction loan and the $17.0 million Friendship Center mortgage were paid off through borrowings under our revolving credit facility.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June 23, 2003 our $75 million, 5 ¼% Convertible Subordinated Debentures, originally due to mature on October 28, 2003, were paid off through borrowings under our revolving credit facility.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D—SHAREHOLDERS’ EQUITY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first nine months of 2003, options for 419,500 shares at prices ranging from $28.01 to $35.91 per share, fair market value at the dates of award, were awarded to certain of our officers, employees and Trustees. The options vest over a six month period for Trustees and a three year period for officers and employees.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$98.6 million in cash proceeds.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13, 2003 we redeemed our $100 million Series A Cumulative Redeemable Preferred Shares using the proceeds from the May 14, 2003 common stock offering and additional borrowings.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E—INTEREST EXPENSE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incurred interest totaling $66.4 million during the first nine months of 2003 and $64.7 million during the first nine months of 2002, of which $11.8 million and $19.4 million, respectively, was capitalized in connection with development projects. Interest paid was $61.4 million in the first nine months of 2003 and $61.0 million in the first nine months of 2002.</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F—COMMITMENTS AND CONTINGENCIES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currently committed to invest approximately $8.0 million in six restaurant joint ventures at Santana Row. As of September 30, 2003 we have invested approximately $7.8 million,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$2.8 million of which was invested in 2003. We do not anticipate having to make any further investments beyond our original commitment, nor are we obligated to do so. These joint ventures are accounted for using the equity method of accounting.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including the Congressional Apartments, at the interest’s then-current fair market value. Based on management’s current estimate of fair market value, our estimated liability upon exercise of the put option is approximately $34.8 million. In conjunction with the construction of apartments currently taking place at the property, we have agreed to acquire an additional 7.5% interest in Congressional Plaza from RPC, thereby lowering their ownership percentage to 30%, in exchange for funding approximately $7 million of RPC’s share of the redevelopment cost. The development funding has taken place through the first three quarters of 2003 and the transaction is anticipated to be completed by year end. After the completion of this transaction, our estimated liability upon the exercise of the put option will be approximately $28 million.</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terms of various other partnerships which own shopping center properties with a cost of approximately $103 million, including one of the two shopping centers purchased in the first quarter of 2003, the partners have the right to exchange their 839,828 operating units for cash or the same number of our common shares, at our option. On February 14, 2003 we paid $333,000 to redeem 12,000 operating units. On April 3, 2003 we issued 64,952 of our common shares valued at $1.9 million in exchange for 64,952 operating units.</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 we may choose to purchase the limited partnership interests upon the same terms.</w:t>
      </w:r>
    </w:p>
    <w:p>
      <w:pPr>
        <w:spacing w:after="0" w:line="1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generated in the Zone not cover the debt service. We posted a letter of credit with the City on September 25, 2002 for $795,000. Our obligation under this agreement is estimated to range from $1.6 million to $3.0 million of which approximately $360,000 has been funded in 2003. We were not required to provide any funding in 2002 or for the semi-annual payment due March 15, 2003. We have accrued for additional payments of $1.2 million as of September 30, 2003 as part of the project costs due to the estimated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G—COMPONENTS OF RENTAL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rental income for the periods ended September 30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Nine months ending</w:t>
            </w:r>
          </w:p>
        </w:tc>
        <w:tc>
          <w:tcPr>
            <w:tcW w:w="34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Three months 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6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Retail Properties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Minimum rents</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$ 188,810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$ 173,771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$ 63,903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$ 58,742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42,104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Percentage rents</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4,495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Apartments</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$ 241,482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$ 213,532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$ 81,387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22764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7647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H—RESTRUCTURING EXPENSE</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$6.9 million of that unpaid amount was paid in the first nine months of 2003 bringing the remaining unpaid balance as of September 30, 2003 to $1.0 million. These unpaid amounts will be paid out through December 31, 2005 in accordance with Mr. Guttman’s contractual arrangements.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I—DISCONTINUED OPERATIONS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third quarter of this year, we sold three retail properties and one undeveloped parcel for a total gain of $7.2 million. In addition, we sold a street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for a gain of $551,000 during the second quarter of 2003. During the second quarter of 2002, we sold six properties for a combined gain of $19.1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The results of operations from these properties, reported as income from operations of discontinued assets in accordance with Financial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No. 144, “Accounting for the Impairment or Disposal of Long-Lived Assets”, was $309,000 for the nine months ended September 30, 2003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$1,567,000 for the nine months ended September 30, 2002 on total revenues of $628,000 and $2.8 million for the same periods, respectively. The property sold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second quarter of 2003 was a component of our Mid-Atlantic region while those operating properties sold in the third quarter were components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Northeast (two properties) and Mid-Atlantic (one property). The undeveloped parcel sold in the third quarter of 2003 was part of our West segment. Four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properties sold in 2002 were components of our Northeast region and two were components of our Western region.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J—RELATED PARTY TRANSACTIONS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former Chairman and CEO, Steven J. Guttman, has an ownership interest in three retailers, comprising approximately 3,500 square feet, at Santana Row. The leases were negotiated at what management believes to be arms length, market terms.</w:t>
      </w:r>
    </w:p>
    <w:p>
      <w:pPr>
        <w:spacing w:after="0" w:line="118" w:lineRule="exact"/>
        <w:rPr>
          <w:sz w:val="20"/>
          <w:szCs w:val="20"/>
          <w:color w:val="auto"/>
        </w:rPr>
      </w:pPr>
    </w:p>
    <w:p>
      <w:pPr>
        <w:jc w:val="both"/>
        <w:ind w:right="580" w:firstLine="456"/>
        <w:spacing w:after="0" w:line="370" w:lineRule="auto"/>
        <w:rPr>
          <w:sz w:val="20"/>
          <w:szCs w:val="20"/>
          <w:color w:val="auto"/>
        </w:rPr>
      </w:pPr>
      <w:r>
        <w:rPr>
          <w:rFonts w:ascii="Arial" w:cs="Arial" w:eastAsia="Arial" w:hAnsi="Arial"/>
          <w:sz w:val="15"/>
          <w:szCs w:val="15"/>
          <w:color w:val="auto"/>
        </w:rPr>
        <w:t>In addition, Nate Fishkin, a former officer whose last day of employment with the Trust was March 31, 2003, has an ownership interest in a retailer occupying approximately 2,600 square feet at Santana Row. This lease was also negotiated at what management believes to be arms length, market terms.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K—SEGMENT INFORMATION</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operate our portfolio of properties in three geographic operating regions: Northeast, Mid-Atlantic and West, which constitute our segments under Statement of Financial Accounting Standard No. 131, “Disclosures about Segments of an Enterprise and Related Information.”.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6"/>
              </w:rPr>
              <w:t>Nine months ended September 30, 2003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Northeast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Mid-Atlantic</w:t>
            </w:r>
          </w:p>
        </w:tc>
        <w:tc>
          <w:tcPr>
            <w:tcW w:w="100" w:type="dxa"/>
            <w:vAlign w:val="bottom"/>
          </w:tcPr>
          <w:p>
            <w:pPr>
              <w:spacing w:after="0"/>
              <w:rPr>
                <w:sz w:val="22"/>
                <w:szCs w:val="22"/>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West</w:t>
            </w:r>
          </w:p>
        </w:tc>
        <w:tc>
          <w:tcPr>
            <w:tcW w:w="100" w:type="dxa"/>
            <w:vAlign w:val="bottom"/>
          </w:tcPr>
          <w:p>
            <w:pPr>
              <w:spacing w:after="0"/>
              <w:rPr>
                <w:sz w:val="22"/>
                <w:szCs w:val="2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111,893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3,732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Rental expense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(18,468)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(24,122)</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(17,478)</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(12,740)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gridSpan w:val="3"/>
          </w:tcPr>
          <w:p>
            <w:pPr>
              <w:ind w:lef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(54,550)</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(20,678)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(21,410)</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(11,622)</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(54,223)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Income before minority interests and discontinued operations</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(64,705)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108,302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$ 749,190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$ 874,653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751,705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2,375,548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6"/>
              </w:rPr>
              <w:t>Nine months ended September 30, 2002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Borders>
              <w:bottom w:val="single" w:sz="8" w:color="auto"/>
            </w:tcBorders>
            <w:gridSpan w:val="4"/>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Northeast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Mid-Atlantic</w:t>
            </w:r>
          </w:p>
        </w:tc>
        <w:tc>
          <w:tcPr>
            <w:tcW w:w="100" w:type="dxa"/>
            <w:vAlign w:val="bottom"/>
          </w:tcPr>
          <w:p>
            <w:pPr>
              <w:spacing w:after="0"/>
              <w:rPr>
                <w:sz w:val="22"/>
                <w:szCs w:val="22"/>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West</w:t>
            </w:r>
          </w:p>
        </w:tc>
        <w:tc>
          <w:tcPr>
            <w:tcW w:w="100" w:type="dxa"/>
            <w:vAlign w:val="bottom"/>
          </w:tcPr>
          <w:p>
            <w:pPr>
              <w:spacing w:after="0"/>
              <w:rPr>
                <w:sz w:val="22"/>
                <w:szCs w:val="2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$ 100,653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4,356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Rental expense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(16,159)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(22,371)</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(10,666)</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(11,836)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156,573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gridSpan w:val="3"/>
          </w:tcPr>
          <w:p>
            <w:pPr>
              <w:ind w:lef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(45,313)</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(10,209)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gridSpan w:val="3"/>
          </w:tcPr>
          <w:p>
            <w:pPr>
              <w:ind w:lef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(20,739)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Income before minority interests and discontinued operations</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(64,625)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179,185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$ 745,794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$ 817,283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691,463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2,254,540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20" w:type="dxa"/>
            <w:vAlign w:val="bottom"/>
            <w:vMerge w:val="restart"/>
          </w:tcPr>
          <w:p>
            <w:pPr>
              <w:jc w:val="right"/>
              <w:ind w:right="152"/>
              <w:spacing w:after="0"/>
              <w:rPr>
                <w:sz w:val="20"/>
                <w:szCs w:val="20"/>
                <w:color w:val="auto"/>
              </w:rPr>
            </w:pPr>
            <w:r>
              <w:rPr>
                <w:rFonts w:ascii="Arial" w:cs="Arial" w:eastAsia="Arial" w:hAnsi="Arial"/>
                <w:sz w:val="18"/>
                <w:szCs w:val="18"/>
                <w:color w:val="auto"/>
              </w:rPr>
              <w:t>17</w:t>
            </w: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-4176395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-4176395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-4176395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-4176395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-4176395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-4176395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-4176395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-4176395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-4176395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-4176395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-4176395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-4176395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-4176395</wp:posOffset>
            </wp:positionV>
            <wp:extent cx="54419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-3876675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-3876675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-3876675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-3876675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-3876675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-3876675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-3876675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-3876675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-3876675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-3876675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-3876675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-3876675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-3876675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-3876675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-3876675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-3576320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-3576320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-3576320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-3576320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-3576320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-3576320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-3576320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-3576320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-3576320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-3576320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-3576320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-3576320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-3576320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-3576320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-3576320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-926465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-926465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-926465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-926465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-926465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-926465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-926465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-926465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-926465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-926465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-926465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-926465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-926465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-926465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-926465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-626110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-626110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-626110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-626110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-626110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-626110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-626110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-626110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-626110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-626110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-626110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-626110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-626110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-626110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-325755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3"/>
              </w:rPr>
              <w:t>Three months ended September 30, 2003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Northeast</w:t>
            </w:r>
          </w:p>
        </w:tc>
        <w:tc>
          <w:tcPr>
            <w:tcW w:w="120" w:type="dxa"/>
            <w:vAlign w:val="bottom"/>
          </w:tcPr>
          <w:p>
            <w:pPr>
              <w:spacing w:after="0"/>
              <w:rPr>
                <w:sz w:val="15"/>
                <w:szCs w:val="15"/>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Atlantic</w:t>
            </w:r>
          </w:p>
        </w:tc>
        <w:tc>
          <w:tcPr>
            <w:tcW w:w="100" w:type="dxa"/>
            <w:vAlign w:val="bottom"/>
          </w:tcPr>
          <w:p>
            <w:pPr>
              <w:spacing w:after="0"/>
              <w:rPr>
                <w:sz w:val="15"/>
                <w:szCs w:val="15"/>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West</w:t>
            </w:r>
          </w:p>
        </w:tc>
        <w:tc>
          <w:tcPr>
            <w:tcW w:w="10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property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Rental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22,364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(18,719)</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15,518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(22,112)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$ 749,190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874,653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751,705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2,375,548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3"/>
              </w:rPr>
              <w:t>Three months ended September 30, 2002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Northeast</w:t>
            </w:r>
          </w:p>
        </w:tc>
        <w:tc>
          <w:tcPr>
            <w:tcW w:w="120" w:type="dxa"/>
            <w:vAlign w:val="bottom"/>
          </w:tcPr>
          <w:p>
            <w:pPr>
              <w:spacing w:after="0"/>
              <w:rPr>
                <w:sz w:val="15"/>
                <w:szCs w:val="15"/>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Atlantic</w:t>
            </w:r>
          </w:p>
        </w:tc>
        <w:tc>
          <w:tcPr>
            <w:tcW w:w="100" w:type="dxa"/>
            <w:vAlign w:val="bottom"/>
          </w:tcPr>
          <w:p>
            <w:pPr>
              <w:spacing w:after="0"/>
              <w:rPr>
                <w:sz w:val="15"/>
                <w:szCs w:val="15"/>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West</w:t>
            </w:r>
          </w:p>
        </w:tc>
        <w:tc>
          <w:tcPr>
            <w:tcW w:w="10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property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Rental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(7,751)</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22,447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(13,540)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Income before investors’ share of operations and discontinued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15,581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(17,447)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2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$ 745,794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817,283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691,463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2,254,540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vMerge w:val="restart"/>
          </w:tcPr>
          <w:p>
            <w:pPr>
              <w:ind w:left="440"/>
              <w:spacing w:after="0"/>
              <w:rPr>
                <w:sz w:val="20"/>
                <w:szCs w:val="20"/>
                <w:color w:val="auto"/>
              </w:rPr>
            </w:pPr>
            <w:r>
              <w:rPr>
                <w:rFonts w:ascii="Arial" w:cs="Arial" w:eastAsia="Arial" w:hAnsi="Arial"/>
                <w:sz w:val="18"/>
                <w:szCs w:val="18"/>
                <w:color w:val="auto"/>
              </w:rPr>
              <w:t>There are no transactions between geographic areas.</w:t>
            </w: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-4253865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-4253865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-4253865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-4253865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-4253865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-4253865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-4253865</wp:posOffset>
            </wp:positionV>
            <wp:extent cx="46736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-4253865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-4253865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-4253865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-4253865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-4253865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-4253865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-3953510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-3953510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-3953510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-3953510</wp:posOffset>
            </wp:positionV>
            <wp:extent cx="46736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-3953510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-3953510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-3953510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-3953510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-3953510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-3953510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-3953510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-3953510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-3953510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-3653155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-3653155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-3653155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-3653155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-3653155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-3653155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-3653155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-3653155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-3653155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-3653155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-3653155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-3653155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-3653155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-3653155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-3653155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-1157605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-1157605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-1157605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-1157605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-1157605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-1157605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-1157605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-1157605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-1157605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-1157605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-1157605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-1157605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-1157605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-1157605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-1157605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-857885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-857885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-857885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-857885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-857885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-857885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-857885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-857885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-857885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-857885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-857885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-857885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-857885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-857885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-857885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-557530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-557530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-557530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-557530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-557530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-557530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-557530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-557530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-557530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-557530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 FORM 10-Q</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2003</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appearing in Item 1 of this report.</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Section 21E of the Securities Exchange Act of 1934 and the Private Securities Litigation Reform Act of 1995. Also, documents that we “incorporate by reference” into this Quarterly Report on Form 10-Q,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Quarterly Report on Form 10-Q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4"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w:t>
      </w:r>
    </w:p>
    <w:p>
      <w:pPr>
        <w:spacing w:after="0" w:line="76" w:lineRule="exact"/>
        <w:rPr>
          <w:rFonts w:ascii="Arial" w:cs="Arial" w:eastAsia="Arial" w:hAnsi="Arial"/>
          <w:sz w:val="18"/>
          <w:szCs w:val="18"/>
          <w:color w:val="auto"/>
        </w:rPr>
      </w:pPr>
    </w:p>
    <w:p>
      <w:pPr>
        <w:ind w:left="800" w:right="140" w:hanging="346"/>
        <w:spacing w:after="0" w:line="325"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ind w:left="800" w:right="120" w:hanging="346"/>
        <w:spacing w:after="0" w:line="256"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that we may encounter environmental issues,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and</w:t>
      </w:r>
    </w:p>
    <w:p>
      <w:pPr>
        <w:spacing w:after="0" w:line="76" w:lineRule="exact"/>
        <w:rPr>
          <w:rFonts w:ascii="Arial" w:cs="Arial" w:eastAsia="Arial" w:hAnsi="Arial"/>
          <w:sz w:val="18"/>
          <w:szCs w:val="18"/>
          <w:color w:val="auto"/>
        </w:rPr>
      </w:pPr>
    </w:p>
    <w:p>
      <w:pPr>
        <w:jc w:val="both"/>
        <w:ind w:left="800" w:right="16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into this Quarterly Report on Form 10-Q. We also make no promise to update any of the forward-looking statements. You should carefully review the risks and the risk factors incorporated herein by reference from our Form 8-K filed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March 25, 2003, as well as the other information in our Annual Report on Form 10-K or in this Quarterly Report on Form 10-Q before making any investment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 quality retail and mixed-use properties. As of September 30, 2003, we owned or had an interest in 60 community and neighborhood shopping centers, primarily located in densely populated and affluent communities throughout the Northeast and Mid-Atlantic United States. In addition, we owned 53 urban, mixed-use properties, and one apartment complex, all located in strategic metropolitan markets across the United States. Our properties, excluding Santana Row, were 94.3% leased at September 30, 2003, 93.6% leased at June 30, 2003 and 95.5% leased at September 30, 2002. Including Santana Row, we were 93.9% leased at September 30, 2003 and 93.1% leased at June30, 2003.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 Covenants under the new credit facility are substantially the same type as were required under the previous facility. Had the new facility been in place on September 30, 2003, we would have been in compliance with all covenants of that facility. Concurrent with the replacement of our $125 million term loan with a new loan, we unwound the related interest rate swaps which were due to expire on December 19, 2003 at of cost of approximately $1.1 million.</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acquired Mercer Mall, a community shopping center located in Mercer County, New Jersey, on October 15, 2003. Mercer Mall contains approximately 406,000 square feet of retail space and was acquired in part in fee simple and in part through a master lease with a fixed purchase price option for $55 million in 2023. The total acquisition cost was $10.9 million and was paid in cash from proceeds of previous property dispositions. The main portion of the center is held under a 25-year master lease with initial annual base rent of approximately $4.0 million rising to approximately $4.8 million by 2009. If we fail to exercise our purchase option, the owner of Mercer Mall has an option which would require us to purchase Mercer Mall for $60 million in 2025</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31, 2003, we acquired Plaza del Mercado, a 96,000 square foot shopping center located in Silver Spring, Maryland. The center was originally developed in 1969 and is approximately 97% leased. The purchase price of the property of approximately $20 million was paid from borrowings under our line of credit and proceeds from the disposition of 234 Greenwich Avenue.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 separate transaction on October 31, 2003, we sold a 15,000 square foot street retail asset located at 234 Greenwich Avenue in Greenwich, Connecticut for approximately $7.5 million. As a result of this sale, the Trust will record a gain of approximately $4.5 million in the fourth quarter of 2003.</w:t>
      </w:r>
    </w:p>
    <w:p>
      <w:pPr>
        <w:spacing w:after="0" w:line="7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accordance with our previous announcement regarding the closing of three of our five Kmart locations, Kohl’s Corporation has assumed the previous Kmart lease at Fresh Meadows located in Queens, New York and we have re-claimed the leases for both the Flourtown, Pennsylvania and Leesburg, Virginia locations. Based on the demographics at these centers and the rent previously paid by Kmart we believe that these spaces will be re-leased or redeveloped on favorable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Property Acquisitions and Dispositions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On March 21, 2003 a partnership in which one of our wholly owned subsidiaries is the general partner, purchased the 214,000 square foot South Valley Shopping Center in Alexandria, Virginia for a purchase price of approximately $13.7 million in cash, of which $215,000 was allocated to a liability associated with the net fair value assigned to the assumed leases at the property.</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$1.1 million of the net assets acquired was allocated to a liability associated with the fair value assigned to the assumed leases at the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third quarter of this year, we sold three retail properties and one undeveloped parcel for gross cash proceeds of $20.7 million. The properties sold were Coolidge Corner in Brookline, MA (13,000 retail square feet), Tanasbourne in Washington County, OR (undeveloped), 4925 Bethesda Avenue in Bethesda,MD (3,400 square feet) and 2106 Central Avenue in Evanston, IL (19,000 square feet). The combined gain on the dispositions was $7.2 million. The net proceeds were used to reduce current borrowings under our credit facility or held in cash to be used to fund acquisitions which took place in October 2003 (see ‘Recent Developments” above).</w:t>
      </w:r>
    </w:p>
    <w:p>
      <w:pPr>
        <w:spacing w:after="0" w:line="12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$1.5 million resulting in a gain of $551,000. Net proceeds were used to reduce borrowings under our credit facility.</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nine months ended September 30, 2003, gross cash proceeds from dispositions were $22.2 million. Costs of dispositions were approximately $1 million which resulted in net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real estate for the first nine months of 2003 being $21.2 million compared to net proceeds in 2002 for the same period of $7.4 million.</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rental income. We have agreed on a condemnation value of $14.3 million, subject to certain terms, with the governmental authority and anticipate closing of this transaction in mid-2004. As the condemnation proceeds anticipated are in excess of our carrying value, we have not recorded any impairment in value of the property.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Financing Developments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$5.9 million loan receivable, which currently bears interest at 7.88% and is secured by an office building in San Francisco, California, was due February 28, 2003 but was not repaid on the due date. We are currently negotiating with the borrower to extend the loan for one year. We believe that the loan is collectible and as such, no reserve has been established at this time.</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February 11, 2003, the $24.4 million Woodmont East construction loan and the $17.0 million Friendship Center mortgage were paid off through borrowings under our revolving credit facility.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$98.6 million in cash proceeds.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June 13, 2003, we redeemed our $100 million Series A Cumulative Redeemable Preferred Shares using the proceeds from the May 9, 2003 common stock offering and additional borrowings.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June 23, 2003, we redeemed and paid in full our $75 million, 5 ¼% Convertible Subordinated Debentures originally due to mature on October 28, 2003, through borrowings under our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our single largest development capital need has been the completion of Phase I and Phase II of Santana Row, a multi-phase mixed-use project being built on 42 acres in San Jose, California in the heart of Silicon Valley. The project consists of residential, retail and hotel components, creating a community with the feel of an urban district.</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Phase I of the project includes Santana Row, the “1,500 foot long main street” and eight buildings which contain approximately 444,000 square feet of retail space, 255 residential units, a 213 room hotel and the supporting infrastructure. The first building, containing 40,000 square feet has been leased to Crate &amp; Barrel which opened on June 27, 2002. Six of the remaining seven buildings, consisting of approximately 317,000 square feet of retail space, opened 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November 7, 2002. The remaining building, “Building Seven,” contained approximately 87,000 square feet of retail space, approximately 1,000 parking spaces and 246 residential units until a fire on August 19, 2002, prior to its scheduled opening. The fire in August 2002 destroyed all but 11 of the 246 residential units and damaged the retail units and a parking structure resulting in a delay of the opening of the retail units from September 2002 until February 2003.</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estimate the total cost of Phase I to be approximately $443 million, net of related insurance proceeds. The cost of rebuilding the destroyed portion of Building Seven would amount to nearly $60 million. The rebuilding of Building Seven has been approved by management with construction anticipated to start in late 2003 and be completed in 2005.</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September 30, 2003, approximately 367,000 square feet, or 83%, of the Phase I retail space is leased, of which approximately 300,000 square feet, or 68%, of the Phase I retail space is open. Of the 255 residential units available for lease, 244 units or 96% have signed leases of which 93% are occupied.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our loss from the fire in August 2002 to be in excess of $120 million, which includes costs to clean-up, repair and rebuild as well as soft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construction) costs and lost rents. We believe that our insurance will cover substantially all of our losses from the fire and that our recovery will be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 million. As of September 30, 2003, we have received approximately $102.1 million in insurance reimbursements which have been used to offset the costs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clean-up and the cost basis of the damaged property. A gain of $200,000 was recognized in the second quarter of 2003 to account for that portion of the insurance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proceeds received in excess of costs of the constructed assets and the associated reconstruction. Because the final amount of our insurance recovery has not yet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resolved with our carrier, insurance proceeds expected to be received over and above those received to date have not been recorded in our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2003 financial statements. We currently anticipate final resolution of our claim in the fourth quarter of 2003.</w:t>
      </w:r>
    </w:p>
    <w:p>
      <w:pPr>
        <w:spacing w:after="0" w:line="1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7, 2003, we announced plans for Phase II of Santana Row, which includes approximately 84,000 square feet of retail space on two pad sites and 275 additional parking spaces. 95% of the Phase II retail space has been pre-leased to Best Buy and The Container Store. Total development costs for Phase II are expected to be approximately $26 million. The Container Store opened in October 2003 and Best Buy is scheduled to open in November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only for those properties owned and operated for the entirety of both periods being compared and includes properties which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redeveloped or expanded during the periods being compared. Properties purchased or sold and properties under development during the periods being compared are excluded from our same center analysis. Same center basis excludes (i) those properties discussed above under “Acquisitions,” (ii) those properties that had been sold as discussed above under “Dispositions” and (iii) Santana Row which was under construction for most of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2003 to 2002—Nine Months Ended September 30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Increase /</w:t>
            </w: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241,482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213,532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27,950</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1,799</w:t>
            </w:r>
          </w:p>
        </w:tc>
        <w:tc>
          <w:tcPr>
            <w:tcW w:w="4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258,478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228,686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29,792</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10,872</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Real estate taxes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2,756</w:t>
            </w:r>
          </w:p>
        </w:tc>
        <w:tc>
          <w:tcPr>
            <w:tcW w:w="4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13,628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172,737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156,573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16,164</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9,237</w:t>
            </w:r>
          </w:p>
        </w:tc>
        <w:tc>
          <w:tcPr>
            <w:tcW w:w="4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Restructuring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(8,489)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111,729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Minority interests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(1,258)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(1,731)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59,097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6,589</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-29210</wp:posOffset>
            </wp:positionV>
            <wp:extent cx="183959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39595" cy="29845"/>
                    </a:xfrm>
                    <a:prstGeom prst="rect">
                      <a:avLst/>
                    </a:prstGeom>
                    <a:noFill/>
                  </pic:spPr>
                </pic:pic>
              </a:graphicData>
            </a:graphic>
          </wp:anchor>
        </w:drawing>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Total revenues increased $29.8 million, or 13.0%, to $258.5 million for the nine months ended September 30, 2003, as compared to $228.7 million for the nine months ended September 30, 2002. The primary components of the increase in total revenues are discussed below.</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for common area maintenance, insurance and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rental income of $28.0 million, or 13.1%, for the nine months ended September 30, 2003, as compared to the nine months ended September 30, 2002, is attributable to:</w:t>
      </w:r>
    </w:p>
    <w:p>
      <w:pPr>
        <w:spacing w:after="0" w:line="46" w:lineRule="exact"/>
        <w:rPr>
          <w:sz w:val="20"/>
          <w:szCs w:val="20"/>
          <w:color w:val="auto"/>
        </w:rPr>
      </w:pPr>
    </w:p>
    <w:p>
      <w:pPr>
        <w:ind w:left="800" w:right="100" w:hanging="346"/>
        <w:spacing w:after="0" w:line="256"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$14.0 million, or 6.6%, on a same center basis, due primarily to an approximately $7.6 million increase in minimum rents which reflect increased rental rates at redeveloped and retenanted centers, as well as increased rental rates associated with lease rollovers; increased cost recoveries of approximately $6.3 million, which reflect increased rental expenses, the majority of which are snow removal costs; and increased real estate tax expense;</w:t>
      </w:r>
    </w:p>
    <w:p>
      <w:pPr>
        <w:spacing w:after="0" w:line="48"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$11.7 million in rental income from Santana Row which was under development for most of 2002 and began phasing into service in late 2002;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increase of $2.2 million from South Valley Shopping Center and Mount Vernon Plaza which were acquired in the first quarter of 2003.</w:t>
      </w:r>
    </w:p>
    <w:p>
      <w:pPr>
        <w:spacing w:after="0" w:line="18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Same center rental income, excluding the contribution from property redevelopments and expansions, for the nine months ended September 30, 2003 increased 5.6% from 2002, reflecting increases due to increases in rental rates, cost recoveries, retenanting and lease rollovers as described above.</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includes items, which although recurring, tend to fluctuate more than rental income from period to period,</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utility reimbursements, telephone income, merchant association dues, late fees, lease termination fees and temporary tenant income. The increase in other property income of $1.8 million, or 15.8%, for the nine months ended September 30, 2003, as compared to the nine months ended September 30, 2002, is attributable mainly to an increase of $2.4 million at Santana Row as the project began phasing into service in the fourth quarter of 2002. In 2002, we earned a non-recurring fee of $800,000 for granting a perpetual easement to a residential development adjacent to Pentagon Row.</w:t>
      </w:r>
    </w:p>
    <w:p>
      <w:pPr>
        <w:spacing w:after="0" w:line="10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includes interest earned on mortgage notes receivable, overnight cash investments, including tax-deferred exchange escrow deposits, if applicable, and security deposits. Interest and other income remained relatively unchanged for the nine months ended September 30 at $3.8 million.</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Interest from mortgage notes receivable decreased approximately $1.2 million in 2003, reflecting the payoff of a $10 million mortgage note in July 2002 and the payoff of a $3.2 million note in August 2002 offset by increased interest on other notes. During 2003, however, losses related to our unconsolidated restaurant joint ventures decreased approximately $1.3 million to less than $300,000 in 2003 compared to $1.5 million in 2002 when a provision for estimated losses related to the restaurant joint ventures was recorded.</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$200,000 gain recognized from insurance proceeds at Santana Row in 2003 was offset by a decrease in interest earned on invested funds, reflecting lower cash and non-mortgage note balances and lower interest rates.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Total property operating expenses increased $13.6 million to $85.7 million for the nine months ended September 30, 2003, as compared to $72.1 million for the nine months ended September 30, 2002. The components of the increase in total property operating expenses are discussed below.</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Rental Expense</w:t>
      </w:r>
      <w:r>
        <w:rPr>
          <w:rFonts w:ascii="Arial" w:cs="Arial" w:eastAsia="Arial" w:hAnsi="Arial"/>
          <w:sz w:val="18"/>
          <w:szCs w:val="18"/>
          <w:color w:val="auto"/>
        </w:rPr>
        <w:t>. The increase in rental expense of $10.9 million, or 22.1%, for the nine months ended September 30, 2003,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2002, is attributable to:</w:t>
      </w:r>
    </w:p>
    <w:p>
      <w:pPr>
        <w:spacing w:after="0" w:line="37" w:lineRule="exact"/>
        <w:rPr>
          <w:sz w:val="20"/>
          <w:szCs w:val="20"/>
          <w:color w:val="auto"/>
        </w:rPr>
      </w:pPr>
    </w:p>
    <w:p>
      <w:pPr>
        <w:ind w:left="800" w:right="1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$6.5 million in rental expenses at Santana Row which was under development for most of 2002 and began phasing into service in late 2002;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$3.8 million, or 8.4%, on a same center basis due primarily to increased snow removal costs in our Northeast and Mid Atlantic regions; and</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$600,000 attributable to expenses associated with South Valley Shopping Center and Mount Vernon Plaza, both of which were acquired in the first quarter of 2003.</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Rental expense as a percentage of rental income plus other property income increased from 21.9% for the first nine months of 2002 to 23.6% for the first nine months of 2003 due primarily to the initial operating expenses at Santana Row as the property phases into service and the increased snow removal costs incurred in the first quarter of 2003.</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Real Estate Taxes</w:t>
      </w:r>
      <w:r>
        <w:rPr>
          <w:rFonts w:ascii="Arial" w:cs="Arial" w:eastAsia="Arial" w:hAnsi="Arial"/>
          <w:sz w:val="18"/>
          <w:szCs w:val="18"/>
          <w:color w:val="auto"/>
        </w:rPr>
        <w:t>. The increase in real estate taxes of $2.8 million, or 12.0%, for the nine months ended September 30, 2003, as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2002, is attributable to increased taxes on new development projects, recently redeveloped properties and overall increases in tax assessments. On a same center basis, real estate taxes increased 6.9%.</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Property Operating Income</w:t>
      </w:r>
      <w:r>
        <w:rPr>
          <w:rFonts w:ascii="Arial" w:cs="Arial" w:eastAsia="Arial" w:hAnsi="Arial"/>
          <w:sz w:val="16"/>
          <w:szCs w:val="16"/>
          <w:color w:val="auto"/>
        </w:rPr>
        <w:t>. As a result of the changes and variances explained above, property operating income, total income less rental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taxes, increased $16.2 million, or 10.3%, to $172.7 million for the nine months ended September 30, 2003 as compared to $156.6 million for the nine months ended September 30, 2002. Same center property operating income increased $7.7 million or 4.8% for the nine months ended September 30, 2003. Excluding the contribution from property redevelopments and expansions same center property operating income increased 4.3%.</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Expenses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Total other expenses increased $6.7 million, or 6.0%, to $118.4 million for the nine months ended September 30, 2003 as compared to $111.7 million for the nine months ended September 30, 2002. The primary components of the decrease in total other expenses are discussed below.</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 the first nine months of 2003, we incurred interest of $66.4 million, of which $11.8 million was capitalized yielding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$54.6 million, as compared to interest incurred of $64.7 million in 2002, of which $19.4 million was capitalized yielding interest expense of $45.3 million. The increase in interest expense of $9.2 million, or 20.4%, for the nine months ended September 30, 2003, as compared to the nine months ended September 30, 2002, is attributable to:</w:t>
      </w:r>
    </w:p>
    <w:p>
      <w:pPr>
        <w:spacing w:after="0" w:line="4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capitalized interest, mostly at the Santana Row project reflecting the phasing into operations of the project; and</w:t>
      </w:r>
    </w:p>
    <w:p>
      <w:pPr>
        <w:spacing w:after="0" w:line="76"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on the $150 million 6.125% senior notes issued in November 2002 partially offset by lower mortgage loan interest on the Santana Row construction loan which was paid off in November 2002; and</w:t>
      </w:r>
    </w:p>
    <w:p>
      <w:pPr>
        <w:spacing w:after="0" w:line="37" w:lineRule="exact"/>
        <w:rPr>
          <w:rFonts w:ascii="Arial" w:cs="Arial" w:eastAsia="Arial" w:hAnsi="Arial"/>
          <w:sz w:val="18"/>
          <w:szCs w:val="18"/>
          <w:color w:val="auto"/>
        </w:rPr>
      </w:pPr>
    </w:p>
    <w:p>
      <w:pPr>
        <w:ind w:left="800" w:right="2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interest on our revolving credit facility as the average balance on the facility increased from $44.7 million in the first nine months of 2002 to $113.7 million in the first nine months of 2003. This interest increase due to the higher loan balance was slightly offset by a decrease in the weighted average interest rate on the loan from 2.7% as of September 30, 2002 to 2.0% as of September 30, 2003; offset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346"/>
        <w:spacing w:after="0" w:line="325"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lower mortgage loan interest as the Woodmont East construction loan and Friendship Center mortgage were paid off in February 2003 which offset the additional mortgage interest incurred as a result of the mortgage assumed with the Mount Vernon Plaza acquisition;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bond interest reflecting the June 2003 payoff of the $75 million 5 ¼% Convertible subordinated debentures.</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ratio of earnings to combined fixed charges (consisting of interest on borrowed funds, including capitalized interest, amortization of debt discount and expenses and the portion of rent expense representing an interest factor) and preferred dividends was 1.34x and 1.11x for the first nine months of 2003 and 2002,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ratio of earnings to fixed charges was 1.59x and 1.36x for the first nine months of 2003 and 2002, respectively.</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ratio of earnings before interest, income taxes, depreciation and amortization (“EBITDA”) to combined fixed charges and preferred dividends was 2.01x for the nine months of 2003 and 1.69x for the first nine months of 2002.</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EBITDA, which is a non-GAAP financial measure that is presented because we believe it provides useful information regarding our ability to service debt, should not be considered an alternative measure of operating results or cash flow from operations as determined in accordance with GAAP. See “EBITDA” in this section for a reconciliation of net income to EBITDA. Excluding the one-time restructuring charge of $8.5 million in the first quarter of 2002, our ratio of earnings to combined fixed charges and preferred dividends was 1.34x and 1.22x for the first nine months of 2003 and 2002, respectively, the ratio of earnings to fixed charges was 1.59x and 1.49x for the first nine months of 2003 and 2002, respectively and the ratio of EBITDA to combined fixed charges and preferred dividends was 2.01x for the first nine months of 2003 and 1.80x for the same period in 2002.</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The decrease in administrative expense of almost $600,000 or 5.6%, for the nine months ended September 30, 2003,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2002, is attributable to:</w:t>
      </w:r>
    </w:p>
    <w:p>
      <w:pPr>
        <w:spacing w:after="0" w:line="3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payroll and related costs as a result of our 2002 restructuring;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information technology expenditures;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income tax expense; partly offset by</w:t>
      </w:r>
    </w:p>
    <w:p>
      <w:pPr>
        <w:spacing w:after="0" w:line="76"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$360,000 reimbursement received in the first quarter of 2002, which decreased administrative expense related to acquisition costs that had been expensed in a prior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Administrative expenses as a percentage of total revenue decreased from 4.5% in the nine months ended September 30, 2002 to 3.7% in the nine months ended September 30, 2003.</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i w:val="1"/>
          <w:iCs w:val="1"/>
          <w:color w:val="auto"/>
        </w:rPr>
        <w:t xml:space="preserve">Restructuring Charge and New Business </w:t>
      </w:r>
      <w:r>
        <w:rPr>
          <w:rFonts w:ascii="Arial" w:cs="Arial" w:eastAsia="Arial" w:hAnsi="Arial"/>
          <w:sz w:val="15"/>
          <w:szCs w:val="15"/>
          <w:color w:val="auto"/>
        </w:rPr>
        <w:t>Plan. In early 2002, we adopted a new business plan which returned our primary focus to our traditional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of acquiring and redeveloping community and neighborhood shopping centers that are anchored by supermarkets, drug stores, or high volume, value oriented retailers that provide consumer necessities. Concurrently with the adoption of the business plan, we adopted a management succession plan and restructured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management team. In connection with these changes, we recorded a charge of $18.2 million. This charge included a reserve for a restructuring charge of $8.5 million made up of $6.9 million of severance and other compensation costs for several of our senior officers related to the management restructuring, as well as the write-off of $1.6 million of our development costs. All charges against the reserve, totaling $8.5 million, were expended during 2002.</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The increase in depreciation and amortization expense of $6.5 million, or 13.6%,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2003, as compared to the nine months ended September 30, 2002 reflects the impact of recent new developments, tenant improvements and property redevelopments which were placed into service throughout 2002 and the first half of 2003. The depreciation increase at Santana Row in 2003 over 2002 accounted for $4.0 million of this increase.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Minority Interests. </w:t>
      </w:r>
      <w:r>
        <w:rPr>
          <w:rFonts w:ascii="Arial" w:cs="Arial" w:eastAsia="Arial" w:hAnsi="Arial"/>
          <w:sz w:val="16"/>
          <w:szCs w:val="16"/>
          <w:color w:val="auto"/>
        </w:rPr>
        <w:t>Minority interests represents the minority partners’ financial interest in the income of certain properties. Minority interest in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were almost unchanged for the nine months ended September 30, 2003 as compared to the nine months ended September 30, 2002.</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Beginning in 2002, SFAS No. 144, “Accounting for the Impairment or Disposal of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gains and losses from dispositions of properties and all operating earnings from these properties be reported as income from operations of discontinued assets. As a result, previously reported income will be updated for properties sold. This requirement is for presentation only and has no impact on net income. The earnings generated from the four retail properties sold in 2003 and the six properties sold in the first nine months of 2002 have been reported as operating income from discontinued operations in accordance with SFAS No. 144. The income from operations of discontinued assets for the nine months ended September 30, 2003 and September 30, 2002 was $309,000 and $1.6 million, respectively.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Gain on Sale of Real Estate Net of Loss on Abandoned Developments Held for Sale. </w:t>
      </w:r>
      <w:r>
        <w:rPr>
          <w:rFonts w:ascii="Arial" w:cs="Arial" w:eastAsia="Arial" w:hAnsi="Arial"/>
          <w:sz w:val="16"/>
          <w:szCs w:val="16"/>
          <w:color w:val="auto"/>
        </w:rPr>
        <w:t>Through the first nine months of 2003, we have recognized a gain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real estate of $7.7 million. In June 2003 we sold a street retail property located in Bethesda, Maryland with a gain of $551,000. In the third quarter of 2003 we sold three retail properties consisting of Coolidge Corner, 2106 Central Ave. and 4925 Bethesda Ave. and our undeveloped parcel in Washington County, Oregon known as Tanasbourne for gains of $4.3 million, $780,000, $157,000 and $1.9 million, respectively. In the second quarter of 2002, we sold six properties for a combined gain of $19.1 million. An additional component of our restructuring charge, as described under “Restructuring Charge and New Business Plan,” recorded in the first quarter of 2002 represented an estimated loss of $9.7 million on the abandonment of development projects held for sale. The largest part of this write-down was for Tanasbourne which was sold in September 2003 at a price above the market value determined in early 2002 . The net gain in 2002 from the sale of the six properties less the charge for the abandonment of development projects held for sale was $9.4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operating results for the three segments are as follows (in thousands):</w:t>
      </w:r>
    </w:p>
    <w:p>
      <w:pPr>
        <w:spacing w:after="0" w:line="153"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ending</w:t>
      </w:r>
    </w:p>
    <w:p>
      <w:pPr>
        <w:spacing w:after="0" w:line="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60325</wp:posOffset>
            </wp:positionV>
            <wp:extent cx="10890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Northeast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91,263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Mid-Atlantic</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111,893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West</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38,326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241,482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Northeast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66,332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Mid-Atlantic</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West</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22,628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172,737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-1024255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-1024255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-1024255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-1024255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-1024255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-1024255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18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interest income, less rental expense and real estate taxes. This measure is used internally to evaluate the performance of our regional operations and we consider it to be a significant measurement.</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Northeast</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September 30, 2003, 46 of our properties were located in the Northeast region. The Northeast region extends from suburban Philadelphia north through New York and its suburbs into New England and west to Illinois and Michigan.</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$3.4 million, or 3.9%, for the nine months ended September 30, 2003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2002, is mainly attributable to:</w:t>
      </w:r>
    </w:p>
    <w:p>
      <w:pPr>
        <w:spacing w:after="0" w:line="37" w:lineRule="exact"/>
        <w:rPr>
          <w:sz w:val="20"/>
          <w:szCs w:val="20"/>
          <w:color w:val="auto"/>
        </w:rPr>
      </w:pPr>
    </w:p>
    <w:p>
      <w:pPr>
        <w:jc w:val="both"/>
        <w:ind w:left="800" w:right="4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increase of approximately $1.4 million due to the increased rental income at retenanted centers, such as Lawrence Park, Ellisburg, Finley Square, Rutgers and Fresh Meadows and the balance from increased rental rates associated with lease rollovers at other properties which offset higher vacancy levels at two of the region’s shopping centers.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$1.4 million increase in cost recoveries reflecting the income resulting from the increased snow removal costs incurred in the region during the first quarter of 2003 and increased real estate taxes;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was no significant contribution to rental income from property redevelopments or expansions in the first nine months of 2003 in the Northeast region.</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consists of rental income, other property income and interest income, less rental expense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decrease in property operating income of approximately $800,000, or 1.2%, for the nine months ended September 30, 2003, as compared to the nine months ended September 30, 2002, is attributable to:</w:t>
      </w:r>
    </w:p>
    <w:p>
      <w:pPr>
        <w:spacing w:after="0" w:line="46" w:lineRule="exact"/>
        <w:rPr>
          <w:sz w:val="20"/>
          <w:szCs w:val="20"/>
          <w:color w:val="auto"/>
        </w:rPr>
      </w:pPr>
    </w:p>
    <w:p>
      <w:pPr>
        <w:ind w:left="800" w:right="48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$2.3 million in rental expense primarily due to the increased snow removal costs incurred in the region in the first quarter of 2003 largely offset by related cost recoveries as described above;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$624,000 in other property income due primarily to lower lease termination fees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increase of $900,000 in real estate tax expense as a result of higher assessments which is partly offset by related cost recoveries as described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Mid-Atlantic</w:t>
      </w:r>
    </w:p>
    <w:p>
      <w:pPr>
        <w:spacing w:after="0" w:line="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of September 30, 2003, 34 of our properties were located in the Mid-Atlantic region. The Mid-Atlantic region extends from Baltimore south to metropolitan Washington, D.C. and further south through Virginia and North Carolina into Florida.</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$11.2 million, or 11.2%, for the nine months ended September 30, 2003,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2002, is attributable to:</w:t>
      </w:r>
    </w:p>
    <w:p>
      <w:pPr>
        <w:spacing w:after="0" w:line="37" w:lineRule="exact"/>
        <w:rPr>
          <w:sz w:val="20"/>
          <w:szCs w:val="20"/>
          <w:color w:val="auto"/>
        </w:rPr>
      </w:pPr>
    </w:p>
    <w:p>
      <w:pPr>
        <w:ind w:left="800" w:right="500" w:hanging="346"/>
        <w:spacing w:after="0" w:line="32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increase of approximately $4.4 million due primarily to the increased rental rates at redeveloped, expanded and retenanted centers, such as Pentagon Row, Laurel, Congressional and Mid-Pike as well as increased rental rates associated with lease rollovers; and</w:t>
      </w:r>
    </w:p>
    <w:p>
      <w:pPr>
        <w:spacing w:after="0" w:line="1" w:lineRule="exact"/>
        <w:rPr>
          <w:rFonts w:ascii="Arial" w:cs="Arial" w:eastAsia="Arial" w:hAnsi="Arial"/>
          <w:sz w:val="16"/>
          <w:szCs w:val="16"/>
          <w:color w:val="auto"/>
        </w:rPr>
      </w:pPr>
    </w:p>
    <w:p>
      <w:pPr>
        <w:ind w:left="800" w:right="24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approximately $4.3 million increase in cost recoveries reflecting the income earned as a result of the increased snow removal, utilities, insurance and real estate taxes incurred in the region during the first nine months of 2003;</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$2.2 million from South Valley Shopping Center and Mount Vernon Plaza which were acquired in the first quarter of 2003.</w:t>
      </w:r>
    </w:p>
    <w:p>
      <w:pPr>
        <w:spacing w:after="0" w:line="18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Same center basis for the nine months ended September 30, 2003 excludes South Valley Shopping Center and Mount Vernon Plaza, which were acquired in the first quarter of 2003. Same center rental income increased $9.0 million or 9% for the nine months ended September 30, 2003 as compared to the nine months ended September 30, 2002. Excluding the contribution from property redevelopments and expansion, rental income increased 7.9%.</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The increase in property operating income of $8.2 million, or 10.8%, for the nine months ended September 30, 2003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2002, is attributable to:</w:t>
      </w:r>
    </w:p>
    <w:p>
      <w:pPr>
        <w:spacing w:after="0" w:line="3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$11.2 million in rental revenue as described above; offset by</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$1.8 million in rental expense due primarily to the increased snow removal costs, insurance costs and utilities incurred in the region in the first nine months of 2003;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real estate taxes of $900,000 due to increased tax assessments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2003, 34 of our properties, including Santana Row, were located in the West region. The West region extends from Texas to the West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Coast.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Rental. </w:t>
      </w:r>
      <w:r>
        <w:rPr>
          <w:rFonts w:ascii="Arial" w:cs="Arial" w:eastAsia="Arial" w:hAnsi="Arial"/>
          <w:sz w:val="16"/>
          <w:szCs w:val="16"/>
          <w:color w:val="auto"/>
        </w:rPr>
        <w:t>The increase in rental income of $13.3 million, or 53.0%, for the nine months ended September 30, 2003 as compared to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2002, is attributable to:</w:t>
      </w:r>
    </w:p>
    <w:p>
      <w:pPr>
        <w:spacing w:after="0" w:line="70" w:lineRule="exact"/>
        <w:rPr>
          <w:sz w:val="20"/>
          <w:szCs w:val="20"/>
          <w:color w:val="auto"/>
        </w:rPr>
      </w:pPr>
    </w:p>
    <w:p>
      <w:pPr>
        <w:ind w:left="800" w:right="2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$11.7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800" w:right="220" w:hanging="346"/>
        <w:spacing w:after="0" w:line="332"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net increase of $1.6 million, or 6.2%, on a same center basis due primarily to the increased rental rates at redeveloped and retenanted properties in Los Angeles, California and San Antonio, Texas, as well as the increased rental income associated with lease rollovers.</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Same center basis for the nine months ended September 30, 2003 excludes Santana Row, which was under development for the majority of 2002 and began phasing into service in late 2002 and through 2003. Same center rental income, excluding the contribution from property redevelopments and expansions, for the nine months ended September 30, 2003 increased 3.3% from 2002.</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Property Operating Income. </w:t>
      </w:r>
      <w:r>
        <w:rPr>
          <w:rFonts w:ascii="Arial" w:cs="Arial" w:eastAsia="Arial" w:hAnsi="Arial"/>
          <w:sz w:val="18"/>
          <w:szCs w:val="18"/>
          <w:color w:val="auto"/>
        </w:rPr>
        <w:t>The increase in property operating income of $8.8 million, or 63.9%, for the nine months ended September 30, 2003,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2002, is attributable to:</w:t>
      </w:r>
    </w:p>
    <w:p>
      <w:pPr>
        <w:spacing w:after="0" w:line="3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$13.3 million in rental income as described above;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approximately $2.4 million in other income primarily due to insurance and utility recoveries paid by tenants at Santana Row; and</w:t>
      </w:r>
    </w:p>
    <w:p>
      <w:pPr>
        <w:spacing w:after="0" w:line="99" w:lineRule="exact"/>
        <w:rPr>
          <w:rFonts w:ascii="Arial" w:cs="Arial" w:eastAsia="Arial" w:hAnsi="Arial"/>
          <w:sz w:val="16"/>
          <w:szCs w:val="16"/>
          <w:color w:val="auto"/>
        </w:rPr>
      </w:pPr>
    </w:p>
    <w:p>
      <w:pPr>
        <w:ind w:left="800" w:right="20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$900,000 in interest and other income due to an approximately $1.3 million decrease in 2003 from 2002 in losses related to various unconsolidated restaurant joint ventures, a $200,000 gain from an insurance settlement at Santana Row in 2003 offset by lower interest on mortgage notes receivable which were paid off in 2002, offset by</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$7.7 million in rental expense and real estate taxes primarily at Santana Row as the project is phased into operations.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Same center property operating income in the nine months ended September 30, 2003 increased 5.5% from 2002. Same center property operating income, excluding the contribution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from property redevelopments and expansions, for the nine months ended September 30, 2003 increased approximately 2.6%.</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success of Santana Row and Houston Street in San Antonio, Texas will depend on many factors which are not entirely within our control. We monitor current and long-term economic forecasts for these markets in order to evaluate the long-term financial returns of these projects. The overall return on investment in the West segment significantly lags the Northeast and Mid-Atlantic due to the phasing into service of Santana Row and Houston Street. We expect that the returns on investment in the West will continue to rise as these projects come into service but not necessarily to the same level of overall returns as generated in the other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2003 to 2002—Three Months Ended September 30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Increase /</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6"/>
              </w:rPr>
              <w:t>(Decrease)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$ 81,387</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$ 72,041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4,911</w:t>
            </w:r>
          </w:p>
        </w:tc>
        <w:tc>
          <w:tcPr>
            <w:tcW w:w="280" w:type="dxa"/>
            <w:vAlign w:val="bottom"/>
          </w:tcPr>
          <w:p>
            <w:pPr>
              <w:spacing w:after="0"/>
              <w:rPr>
                <w:sz w:val="18"/>
                <w:szCs w:val="18"/>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4,412</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87,229</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78,097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9,132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17,450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Real estate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8,998</w:t>
            </w:r>
          </w:p>
        </w:tc>
        <w:tc>
          <w:tcPr>
            <w:tcW w:w="280" w:type="dxa"/>
            <w:vAlign w:val="bottom"/>
          </w:tcPr>
          <w:p>
            <w:pPr>
              <w:spacing w:after="0"/>
              <w:rPr>
                <w:sz w:val="19"/>
                <w:szCs w:val="19"/>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7,813</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28,124</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25,263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2,861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59,105</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52,834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6,271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18,719</w:t>
            </w:r>
          </w:p>
        </w:tc>
        <w:tc>
          <w:tcPr>
            <w:tcW w:w="280" w:type="dxa"/>
            <w:vAlign w:val="bottom"/>
          </w:tcPr>
          <w:p>
            <w:pPr>
              <w:spacing w:after="0"/>
              <w:rPr>
                <w:sz w:val="18"/>
                <w:szCs w:val="18"/>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13,540</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5,179</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3,713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18,710</w:t>
            </w:r>
          </w:p>
        </w:tc>
        <w:tc>
          <w:tcPr>
            <w:tcW w:w="280" w:type="dxa"/>
            <w:vAlign w:val="bottom"/>
          </w:tcPr>
          <w:p>
            <w:pPr>
              <w:spacing w:after="0"/>
              <w:rPr>
                <w:sz w:val="19"/>
                <w:szCs w:val="19"/>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16,037</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2,673</w:t>
            </w:r>
          </w:p>
        </w:tc>
        <w:tc>
          <w:tcPr>
            <w:tcW w:w="5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40,650</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33,290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18,455</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19,544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4"/>
              </w:rPr>
              <w:t>(1,089)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(1,053)</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7,172</w:t>
            </w:r>
          </w:p>
        </w:tc>
        <w:tc>
          <w:tcPr>
            <w:tcW w:w="280" w:type="dxa"/>
            <w:vAlign w:val="bottom"/>
          </w:tcPr>
          <w:p>
            <w:pPr>
              <w:spacing w:after="0"/>
              <w:rPr>
                <w:sz w:val="19"/>
                <w:szCs w:val="19"/>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7,172</w:t>
            </w:r>
          </w:p>
        </w:tc>
        <w:tc>
          <w:tcPr>
            <w:tcW w:w="5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$ 24,595</w:t>
            </w:r>
          </w:p>
        </w:tc>
        <w:tc>
          <w:tcPr>
            <w:tcW w:w="2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$ 18,504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6,091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-2722245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-2722245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-2722245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-2722245</wp:posOffset>
            </wp:positionV>
            <wp:extent cx="4070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-2722245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-2722245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-2722245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-2001520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-2001520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-2001520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-2001520</wp:posOffset>
            </wp:positionV>
            <wp:extent cx="4070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-2001520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-2001520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-2001520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4070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4070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Total revenues increased $9.1 million, or 11.7%, to $87.2 million for the three months ended September 30, 2003, as compared to $78.1 million for the three months ended September 30, 2002. The primary components of the increase in total revenues are discussed below.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for common area maintenance, insurance and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rental income of $9.3 million, or 13.0%, for the three months ended September 30, 2003, as compared to the three months ended September 30, 2002, is attributable to:</w:t>
      </w:r>
    </w:p>
    <w:p>
      <w:pPr>
        <w:spacing w:after="0" w:line="46" w:lineRule="exact"/>
        <w:rPr>
          <w:sz w:val="20"/>
          <w:szCs w:val="20"/>
          <w:color w:val="auto"/>
        </w:rPr>
      </w:pPr>
    </w:p>
    <w:p>
      <w:pPr>
        <w:ind w:left="800" w:right="1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$4.8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800" w:right="220" w:hanging="346"/>
        <w:spacing w:after="0" w:line="306"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$3.5 million, or 4.8%, on a same center basis due primarily to an approximately $2.2 million increase in minimum rents which reflect increased rental rates at redeveloped and retenanted centers, as well as increased rental rates associated with lease rollovers and increased cost recoveries of approximately $1.5 million, which reflect increased rental expenses, such as utility and insurance costs; and</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$1.1 million from South Valley Shopping Center and Mount Vernon Plaza which were acquired in the first quarter of 2003.</w:t>
      </w:r>
    </w:p>
    <w:p>
      <w:pPr>
        <w:spacing w:after="0" w:line="18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Same center basis for the three months ended September 30, 2003 excludes the properties sold in the first nine months of 2003, the six properties sold in 2002, South Valley Shopping Center and Mount Vernon Plaza which were acquired in the first quarter of 2003 and Santana Row which was under construction for most of 2002. Same center rental income excluding the contribution from property redevelopments and expansions, for the three months ended September 30, 2003 increased 3.4% from 2002, reflecting increases due to cost recoveries, retenanting and lease rollovers as described above.</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telephone income, merchant association dues, late fees, lease termination fees and temporary tenant income. The increase in other property income of almost $500,000, or 11.3%, for the three months ended September 30, 2003, as compared to the three months ended September 30, 2002, is attributable largely to an increase of other property income at Santana Row of $1.1 million as the project began phasing into service in the fourth quarter of 2002. In the third quarter of 2002, we had earned a non-recurring $800,000 fee for granting a perpetual easement to a residential development adjacent to Pentagon Row.</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 same center basis, excluding the one-time easement income, other property income increased approximately $200,000.</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includes interest earned on mortgage notes receivable, overnight cash investments, including tax-deferred exchange escrow deposits if applicable and security deposits. Interest and other income decreased approximately $700,000 or 43% from $1.6 million for the three months ended September 30, 2002 to $931,000 for the three months ended September 30, 2003. Interest from mortgage notes receivable decreased approximately $300,000 in 2003 reflecting the payoff of a $10 million mortgage note in July 2002 and the payoff of a $3.2 million note in August 2002. Additionally, our share of losses on our unconsolidated restaurant joint ventures recognized in the third quarter increased to $272,000 in 2003 from $100,000 in 2002 and interest on invested funds decreased in 2003 from 2002, reflecting lower interest rates.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Total property operating expenses increased $2.8 million to $28.1 million for the three months ended September 30, 2003, as compared to $25.3 million for the three months ended September 30, 2002. The components of the increase in total property operating expenses are discussed below.</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Rental Expense</w:t>
      </w:r>
      <w:r>
        <w:rPr>
          <w:rFonts w:ascii="Arial" w:cs="Arial" w:eastAsia="Arial" w:hAnsi="Arial"/>
          <w:sz w:val="18"/>
          <w:szCs w:val="18"/>
          <w:color w:val="auto"/>
        </w:rPr>
        <w:t>. The increase in rental expense of $1.7 million, or 9.6%, for the three months ended September 30, 2003,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2002, is attributable to:</w:t>
      </w:r>
    </w:p>
    <w:p>
      <w:pPr>
        <w:spacing w:after="0" w:line="37" w:lineRule="exact"/>
        <w:rPr>
          <w:sz w:val="20"/>
          <w:szCs w:val="20"/>
          <w:color w:val="auto"/>
        </w:rPr>
      </w:pPr>
    </w:p>
    <w:p>
      <w:pPr>
        <w:ind w:left="800" w:right="2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$1.7 million in rental expenses at Santana Row which was under development for most of 2002 and began phasing into service in late 2002;</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$300,000 attributable to expenses associated with South Valley Shopping Center and Mount Vernon Plaza, both of which were acquired in the first quarter of 2003; and</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approximately $300,000 on a same center basis as higher utility, insurance and costs associated with expansions were offset by lower property marketing and other costs.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Rental expense as a percentage of rental income and other property income decreased from 22.8% for the three months ended September 30, 2002 to 22.2% for the three months ended September 30, 2003 due primarily to increased revenues at Santana Row resulting in decreasing expense ratios for that property.</w:t>
      </w:r>
    </w:p>
    <w:p>
      <w:pPr>
        <w:spacing w:after="0" w:line="49"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i w:val="1"/>
          <w:iCs w:val="1"/>
          <w:color w:val="auto"/>
        </w:rPr>
        <w:t>Real Estate Taxes</w:t>
      </w:r>
      <w:r>
        <w:rPr>
          <w:rFonts w:ascii="Arial" w:cs="Arial" w:eastAsia="Arial" w:hAnsi="Arial"/>
          <w:sz w:val="16"/>
          <w:szCs w:val="16"/>
          <w:color w:val="auto"/>
        </w:rPr>
        <w:t>. The increase in real estate taxes of $1.2 million, or 15.2%, for the three months ended September 30, 2003,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2002, is attributable to increased taxes on new development projects, recently redeveloped properties and overall increases in tax assessments. On a same center basis real estate taxes increased 8.9% reflecting increases in tax assessments.</w:t>
      </w:r>
    </w:p>
    <w:p>
      <w:pPr>
        <w:spacing w:after="0" w:line="93"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i w:val="1"/>
          <w:iCs w:val="1"/>
          <w:color w:val="auto"/>
        </w:rPr>
        <w:t>Property Operating Income</w:t>
      </w:r>
      <w:r>
        <w:rPr>
          <w:rFonts w:ascii="Arial" w:cs="Arial" w:eastAsia="Arial" w:hAnsi="Arial"/>
          <w:sz w:val="16"/>
          <w:szCs w:val="16"/>
          <w:color w:val="auto"/>
        </w:rPr>
        <w:t>. As a result of the changes and variances explained above, property operating income, total income less rental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taxes, increased $6.3 million, or 11.9%, to $59.1 million for the three months ended September 30, 2003 as compared to $52.8 million for the three months ended September 30, 2002. Same center property operating income increased $2.2 million or 4.1% for the three months ended September 30, 2003. Excluding the contribution from property redevelopments and expansions same center property operating income increased 3.1%.</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Total other expenses increased $7.4 million, or 22.1%, to $40.7 million for the three months ended September 30, 2003, as compared to $33.3 million for the three months ended September 30, 2002. The primary components of the increase in total other expenses are discussed below.</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 the third quarter of 2003, we incurred interest of $21.2 million, of which $2.5 million was capitalized yielding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$18.7 million, as compared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25" w:lineRule="auto"/>
        <w:rPr>
          <w:sz w:val="20"/>
          <w:szCs w:val="20"/>
          <w:color w:val="auto"/>
        </w:rPr>
      </w:pPr>
      <w:r>
        <w:rPr>
          <w:rFonts w:ascii="Arial" w:cs="Arial" w:eastAsia="Arial" w:hAnsi="Arial"/>
          <w:sz w:val="16"/>
          <w:szCs w:val="16"/>
          <w:color w:val="auto"/>
        </w:rPr>
        <w:t>interest of $21.6 million in 2002, of which $8.1 million was capitalized yielding interest expense of $13.5 million. The increase in interest expense of $5.2 million, or 38.2%, for the three months ended September 30, 2003, as compared to the three months ended September 30, 2002, is attributable to:</w:t>
      </w:r>
    </w:p>
    <w:p>
      <w:pPr>
        <w:spacing w:after="0" w:line="1" w:lineRule="exact"/>
        <w:rPr>
          <w:sz w:val="20"/>
          <w:szCs w:val="20"/>
          <w:color w:val="auto"/>
        </w:rPr>
      </w:pPr>
    </w:p>
    <w:p>
      <w:pPr>
        <w:ind w:left="80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approximately $5.6 million in capitalized interest, mostly at the Santana Row project reflecting the phasing into operations of the project; and</w:t>
      </w:r>
    </w:p>
    <w:p>
      <w:pPr>
        <w:spacing w:after="0" w:line="37"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interest on the $150 million 6.125% senior notes issued in November 2002, partially offset by a decrease in mortgage loan interest on the Santana Row construction loan which was paid off in November 2002; and</w:t>
      </w:r>
    </w:p>
    <w:p>
      <w:pPr>
        <w:spacing w:after="0" w:line="37" w:lineRule="exact"/>
        <w:rPr>
          <w:rFonts w:ascii="Arial" w:cs="Arial" w:eastAsia="Arial" w:hAnsi="Arial"/>
          <w:sz w:val="18"/>
          <w:szCs w:val="18"/>
          <w:color w:val="auto"/>
        </w:rPr>
      </w:pPr>
    </w:p>
    <w:p>
      <w:pPr>
        <w:ind w:left="800" w:right="60" w:hanging="346"/>
        <w:spacing w:after="0" w:line="25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interest on our revolving credit facility as the average balance on the facility increased from $44.7 million in the first nine months of 2002 to $113.7 million in the first nine months of 2003, partially offset by a decrease in the weighted average interest rate on the loan from 2.7% as of September 30, 2002 to 2.0% as of September 30, 2003; partially offset by</w:t>
      </w:r>
    </w:p>
    <w:p>
      <w:pPr>
        <w:spacing w:after="0" w:line="45" w:lineRule="exact"/>
        <w:rPr>
          <w:rFonts w:ascii="Arial" w:cs="Arial" w:eastAsia="Arial" w:hAnsi="Arial"/>
          <w:sz w:val="18"/>
          <w:szCs w:val="18"/>
          <w:color w:val="auto"/>
        </w:rPr>
      </w:pPr>
    </w:p>
    <w:p>
      <w:pPr>
        <w:ind w:left="800" w:hanging="346"/>
        <w:spacing w:after="0" w:line="325"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lower mortgage loan interest as the Woodmont East construction loan and Friendship Center mortgage were paid off in February 2003 which offset the additional mortgage interest incurred as a result of the mortgage assumed with the Mount Vernon Plaza acquisition;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bond interest reflecting the June 2003 payoff of the $75 million 5.25% convertible subordinated debentures.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The decrease in administrative expense of almost $500,000, or 13.3%, for the three months ended September 30, 2003,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2002, is attributable to lower payroll costs as a result of our 2002 restructuring and lower income taxes. Administrative expenses as a percentage of total revenue decreased from 4.8% in the three months ended September 30, 2002 to 3.7% in the three months ended September 30, 2003.</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Depreciation and Amortization Expense</w:t>
      </w:r>
      <w:r>
        <w:rPr>
          <w:rFonts w:ascii="Arial" w:cs="Arial" w:eastAsia="Arial" w:hAnsi="Arial"/>
          <w:sz w:val="16"/>
          <w:szCs w:val="16"/>
          <w:color w:val="auto"/>
        </w:rPr>
        <w:t>. The increase in depreciation and amortization expense of $2.7 million, or 16.7%,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2003, as compared to the three months ended September 30, 2002 reflects the impact of recent new developments, tenant improvements and property redevelopments which were placed into service throughout 2002 and the first nine months of 2003. The largest single cause of the depreciation expense increase in the third quarter is the placing into service of Santana Row where depreciation rose $1.8 million.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Minority Interests. </w:t>
      </w:r>
      <w:r>
        <w:rPr>
          <w:rFonts w:ascii="Arial" w:cs="Arial" w:eastAsia="Arial" w:hAnsi="Arial"/>
          <w:sz w:val="16"/>
          <w:szCs w:val="16"/>
          <w:color w:val="auto"/>
        </w:rPr>
        <w:t>Minority interests’ share of operations represents the minority partners’ interest in the income of certain properties. The results for</w:t>
      </w:r>
      <w:r>
        <w:rPr>
          <w:rFonts w:ascii="Arial" w:cs="Arial" w:eastAsia="Arial" w:hAnsi="Arial"/>
          <w:sz w:val="16"/>
          <w:szCs w:val="16"/>
          <w:i w:val="1"/>
          <w:iCs w:val="1"/>
          <w:color w:val="auto"/>
        </w:rPr>
        <w:t xml:space="preserve"> </w:t>
      </w:r>
      <w:r>
        <w:rPr>
          <w:rFonts w:ascii="Arial" w:cs="Arial" w:eastAsia="Arial" w:hAnsi="Arial"/>
          <w:sz w:val="16"/>
          <w:szCs w:val="16"/>
          <w:color w:val="auto"/>
        </w:rPr>
        <w:t>minority interests remained relatively unchanged for the three months ended September 30, 2003, as compared to the same period in 2002.</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Beginning in 2002, SFAS No. 144, “Accounting for the Impairment or Disposal of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gains and losses from dispositions of properties and all operating earnings from these properties be reported as income from operations of discontinued assets. As a result, previously reported income will be updated each time a property is sold. This requirement is for presentation only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has no impact on net income. The earnings generated from the properties sold in the first nine months of 2003 and 2002 have been reported as income from operations of discontinued assets in accordance with SFAS No. 144. The income from operations of discontinued assets for the three months ended September 30, 2003 and September 30, 2002 was not significant.</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In the third quarter of this year, we sold three retail properties and one undeveloped parcel for total gross proceeds of $20.7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combined gain on the disposals was $7.2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operating results for the three segments are as follows (in thousands):</w:t>
      </w:r>
    </w:p>
    <w:p>
      <w:pPr>
        <w:spacing w:after="0" w:line="153"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Three months ending</w:t>
      </w:r>
    </w:p>
    <w:p>
      <w:pPr>
        <w:spacing w:after="0" w:line="1"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10547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Northeast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5"/>
              </w:rPr>
              <w:t>$ 30,342</w:t>
            </w:r>
          </w:p>
        </w:tc>
        <w:tc>
          <w:tcPr>
            <w:tcW w:w="3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5"/>
              </w:rPr>
              <w:t>$ 29,267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Mid-Atlantic</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3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West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13,544</w:t>
            </w:r>
          </w:p>
        </w:tc>
        <w:tc>
          <w:tcPr>
            <w:tcW w:w="3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$ 81,387</w:t>
            </w:r>
          </w:p>
        </w:tc>
        <w:tc>
          <w:tcPr>
            <w:tcW w:w="3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$ 72,041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Northeast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5"/>
              </w:rPr>
              <w:t>$ 22,364</w:t>
            </w:r>
          </w:p>
        </w:tc>
        <w:tc>
          <w:tcPr>
            <w:tcW w:w="3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5"/>
              </w:rPr>
              <w:t>$ 22,447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Mid-Atlantic</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28,437</w:t>
            </w:r>
          </w:p>
        </w:tc>
        <w:tc>
          <w:tcPr>
            <w:tcW w:w="3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West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8,304</w:t>
            </w:r>
          </w:p>
        </w:tc>
        <w:tc>
          <w:tcPr>
            <w:tcW w:w="3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4,139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$ 59,105</w:t>
            </w:r>
          </w:p>
        </w:tc>
        <w:tc>
          <w:tcPr>
            <w:tcW w:w="3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$ 52,834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-1021715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-1021715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-1021715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-1021715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-1021715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-1021715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-27305</wp:posOffset>
            </wp:positionV>
            <wp:extent cx="103314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147" w:lineRule="exact"/>
        <w:rPr>
          <w:sz w:val="20"/>
          <w:szCs w:val="20"/>
          <w:color w:val="auto"/>
        </w:rPr>
      </w:pPr>
    </w:p>
    <w:p>
      <w:pPr>
        <w:ind w:left="460" w:right="18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interest income, less rental expense and real estate taxes. This measure is used internally to evaluate the performance of our regional operations and we consider it to be a significant measurement.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Northeast</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2003, 46 of our properties were located in the Northeast region. The Northeast region extends from suburban Philadelphia north through New York and its suburbs into New England and west to Illinois and Michigan.</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Rental Income. </w:t>
      </w:r>
      <w:r>
        <w:rPr>
          <w:rFonts w:ascii="Arial" w:cs="Arial" w:eastAsia="Arial" w:hAnsi="Arial"/>
          <w:sz w:val="16"/>
          <w:szCs w:val="16"/>
          <w:color w:val="auto"/>
        </w:rPr>
        <w:t>The increase in rental income of $1.1 million, or 3.7%, for the three months ended September 30, 2003 as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2002, is attributable to increased rental rates at retenanted centers, such as Ellisburg and Finley Square as well as increased rental rates associated with lease rollovers which offset higher vacancy levels at two of the region’s shopping centers.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consists of rental income, other property income and interest income, less rental expense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$83,000, or 0.4%, decrease in property operating income for the three months ended September 30, 2003 as compared to the three months ended September 30, 2002, is attributable to:</w:t>
      </w:r>
    </w:p>
    <w:p>
      <w:pPr>
        <w:spacing w:after="0" w:line="46"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$1.1 million in rental revenue as described above, partially offset by</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approximate increase of $1.0 million in rental expense and real estate tax expense and an approximate decrease of $200,000 in other property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Mid-Atlantic</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September 30, 2003, 34 of our properties were located in the Mid-Atlantic region. The Mid-Atlantic region extends from Baltimore south to metropolitan Washington, D.C. and further south through Virginia and North Carolina into Florida.</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$3.0 million, or 8.7%, for the three months ended September 30, 2003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2002, is attributable to:</w:t>
      </w:r>
    </w:p>
    <w:p>
      <w:pPr>
        <w:spacing w:after="0" w:line="37" w:lineRule="exact"/>
        <w:rPr>
          <w:sz w:val="20"/>
          <w:szCs w:val="20"/>
          <w:color w:val="auto"/>
        </w:rPr>
      </w:pPr>
    </w:p>
    <w:p>
      <w:pPr>
        <w:ind w:left="800" w:right="480" w:hanging="346"/>
        <w:spacing w:after="0" w:line="325"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net increase of approximately $1.9 million due primarily to the increased rental rates at redeveloped, expanded and retenanted centers, such as Congressional, Loehmann’s, Pentagon Row, Mid-Pike and Laurel as well as increased rental rates associated with lease rollovers;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increase $1.1 million from South Valley Shopping Center and Mount Vernon Plaza which were acquired in the first quarter of 2003.</w:t>
      </w:r>
    </w:p>
    <w:p>
      <w:pPr>
        <w:spacing w:after="0" w:line="18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Same center basis for the three months ended September 30, 2003 excludes South Valley Shopping Center and Mount Vernon Plaza, which were acquired in the first quarter of 2003. Same center rental income increased $1.9 million, or 5.5%, for the three months ended September 30, 2003 as compared to the three months ended September 30, 2002. Excluding the contribution from property redevelopments and expansions, rental income increased 3.9%.</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The increase in property operating income of $2.2 million, or 8.3%, for the three months ended September 30, 2003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2002, is attributable mainly to:</w:t>
      </w:r>
    </w:p>
    <w:p>
      <w:pPr>
        <w:spacing w:after="0" w:line="3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$3.0 million in rental revenue as described above and a reduction in rental expenses of $250,000; partially offset by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$500,000 in real estate taxes due to increased tax assessments;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decrease of approximately $400,000 in other income due primarily to non-recurring income in 2002 for granting a perpetual easement;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$200,000 in interest income.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2003, 34 of our properties, including Santana Row, were located in the West region. The West region extends from Texas to the West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Coast.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Rental. </w:t>
      </w:r>
      <w:r>
        <w:rPr>
          <w:rFonts w:ascii="Arial" w:cs="Arial" w:eastAsia="Arial" w:hAnsi="Arial"/>
          <w:sz w:val="16"/>
          <w:szCs w:val="16"/>
          <w:color w:val="auto"/>
        </w:rPr>
        <w:t>The increase in rental income of $5.3 million, or 63.5%, for the three months ended September 30, 2003 as compared to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2002, is attributable to:</w:t>
      </w:r>
    </w:p>
    <w:p>
      <w:pPr>
        <w:spacing w:after="0" w:line="70" w:lineRule="exact"/>
        <w:rPr>
          <w:sz w:val="20"/>
          <w:szCs w:val="20"/>
          <w:color w:val="auto"/>
        </w:rPr>
      </w:pPr>
    </w:p>
    <w:p>
      <w:pPr>
        <w:ind w:left="800" w:right="2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$4.8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800" w:right="40" w:hanging="346"/>
        <w:spacing w:after="0" w:line="33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net increase of $444,000, or 5.3%, on a same center basis due primarily to the increased rental rates at redeveloped and retenanted properties in Los Angeles, California and San Antonio, Texas, as well as the increased rental income associated with lease rollovers.</w:t>
      </w:r>
    </w:p>
    <w:p>
      <w:pPr>
        <w:spacing w:after="0" w:line="7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Same center basis for the three months ended September 30, 2003 excludes Santana Row, which was under development for the majority of 2002 and began phasing into service in late 2002 and through 2003. Same center rental income excluding the contribution from property redevelopments and expansions increased $200,000 or 2.3% for the three months ended September 30, 2003 as compared to the three months ended September 30, 2002.</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Property Operating Income. </w:t>
      </w:r>
      <w:r>
        <w:rPr>
          <w:rFonts w:ascii="Arial" w:cs="Arial" w:eastAsia="Arial" w:hAnsi="Arial"/>
          <w:sz w:val="18"/>
          <w:szCs w:val="18"/>
          <w:color w:val="auto"/>
        </w:rPr>
        <w:t>The property operating income increase of $4.2 million, or over 100%, for the three months ended September 30, 2003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2002, is attributable to:</w:t>
      </w:r>
    </w:p>
    <w:p>
      <w:pPr>
        <w:spacing w:after="0" w:line="37"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$5.3 million in rental income as described above;</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$1.1 million in other property income primarily due to increased insurance and utility recoveries paid by tenants at Santana Row; offset by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$500,000 in interest and other income, mainly as a result of the repayment of a mortgage note receivable;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of $1.7 million in rental expense and real estate taxes primarily at Santana Row as the project is phased into operations.</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Same center property operating income in the three months ended September 30, 2003 increased approximately $790,000 from 2002 due to the increase in rental income as described above and a decrease in rental expenses. Same center property operating income excluding the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contribution from property redevelopments and expansions, for the three months ended September 30, 2003 increased approximately $778,000 from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September 30,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20" w:type="dxa"/>
            <w:vAlign w:val="bottom"/>
            <w:gridSpan w:val="11"/>
          </w:tcPr>
          <w:p>
            <w:pPr>
              <w:ind w:left="520"/>
              <w:spacing w:after="0"/>
              <w:rPr>
                <w:sz w:val="20"/>
                <w:szCs w:val="20"/>
                <w:color w:val="auto"/>
              </w:rPr>
            </w:pPr>
            <w:r>
              <w:rPr>
                <w:rFonts w:ascii="Arial" w:cs="Arial" w:eastAsia="Arial" w:hAnsi="Arial"/>
                <w:sz w:val="14"/>
                <w:szCs w:val="14"/>
                <w:b w:val="1"/>
                <w:bCs w:val="1"/>
                <w:color w:val="auto"/>
              </w:rPr>
              <w:t>Commitments Due by Period (in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Remainder</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2007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gridSpan w:val="3"/>
          </w:tcPr>
          <w:p>
            <w:pPr>
              <w:ind w:left="1420"/>
              <w:spacing w:after="0"/>
              <w:rPr>
                <w:sz w:val="20"/>
                <w:szCs w:val="20"/>
                <w:color w:val="auto"/>
              </w:rPr>
            </w:pPr>
            <w:r>
              <w:rPr>
                <w:rFonts w:ascii="Arial" w:cs="Arial" w:eastAsia="Arial" w:hAnsi="Arial"/>
                <w:sz w:val="14"/>
                <w:szCs w:val="14"/>
                <w:b w:val="1"/>
                <w:bCs w:val="1"/>
                <w:color w:val="auto"/>
              </w:rPr>
              <w:t>Contractual Obligations (a)(b)(c)(d)(e)(f)</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of 2003</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and long-term debt (g)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$ 1,120,317</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$ 323,389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2"/>
              </w:rPr>
              <w:t>$ 42,568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$ 167,773</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$ 499,051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Capital lease obligations, principal only</w:t>
            </w:r>
          </w:p>
        </w:tc>
        <w:tc>
          <w:tcPr>
            <w:tcW w:w="800" w:type="dxa"/>
            <w:vAlign w:val="bottom"/>
          </w:tcPr>
          <w:p>
            <w:pPr>
              <w:jc w:val="right"/>
              <w:spacing w:after="0"/>
              <w:rPr>
                <w:sz w:val="20"/>
                <w:szCs w:val="20"/>
                <w:color w:val="auto"/>
              </w:rPr>
            </w:pPr>
            <w:r>
              <w:rPr>
                <w:rFonts w:ascii="Arial" w:cs="Arial" w:eastAsia="Arial" w:hAnsi="Arial"/>
                <w:sz w:val="18"/>
                <w:szCs w:val="18"/>
                <w:color w:val="auto"/>
              </w:rPr>
              <w:t>104,206</w:t>
            </w:r>
          </w:p>
        </w:tc>
        <w:tc>
          <w:tcPr>
            <w:tcW w:w="3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653</w:t>
            </w: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292,711</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Development and redevelopment obligations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16,549</w:t>
            </w:r>
          </w:p>
        </w:tc>
        <w:tc>
          <w:tcPr>
            <w:tcW w:w="340" w:type="dxa"/>
            <w:vAlign w:val="bottom"/>
          </w:tcPr>
          <w:p>
            <w:pPr>
              <w:spacing w:after="0"/>
              <w:rPr>
                <w:sz w:val="18"/>
                <w:szCs w:val="18"/>
                <w:color w:val="auto"/>
              </w:rPr>
            </w:pP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3,155</w:t>
            </w:r>
          </w:p>
        </w:tc>
        <w:tc>
          <w:tcPr>
            <w:tcW w:w="700" w:type="dxa"/>
            <w:vAlign w:val="bottom"/>
          </w:tcPr>
          <w:p>
            <w:pPr>
              <w:jc w:val="right"/>
              <w:spacing w:after="0"/>
              <w:rPr>
                <w:sz w:val="20"/>
                <w:szCs w:val="20"/>
                <w:color w:val="auto"/>
              </w:rPr>
            </w:pPr>
            <w:r>
              <w:rPr>
                <w:rFonts w:ascii="Arial" w:cs="Arial" w:eastAsia="Arial" w:hAnsi="Arial"/>
                <w:sz w:val="18"/>
                <w:szCs w:val="18"/>
                <w:color w:val="auto"/>
              </w:rPr>
              <w:t>2,121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Restaurant joint ventures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Contractual operating obligations</w:t>
            </w:r>
          </w:p>
        </w:tc>
        <w:tc>
          <w:tcPr>
            <w:tcW w:w="800" w:type="dxa"/>
            <w:vAlign w:val="bottom"/>
          </w:tcPr>
          <w:p>
            <w:pPr>
              <w:jc w:val="right"/>
              <w:spacing w:after="0"/>
              <w:rPr>
                <w:sz w:val="20"/>
                <w:szCs w:val="20"/>
                <w:color w:val="auto"/>
              </w:rPr>
            </w:pPr>
            <w:r>
              <w:rPr>
                <w:rFonts w:ascii="Arial" w:cs="Arial" w:eastAsia="Arial" w:hAnsi="Arial"/>
                <w:sz w:val="18"/>
                <w:szCs w:val="18"/>
                <w:color w:val="auto"/>
              </w:rPr>
              <w:t>3,822</w:t>
            </w: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32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513</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$ 1,538,026</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$ 325,826</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2"/>
              </w:rPr>
              <w:t>$ 60,862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100,563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$ 179,529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$ 871,247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3368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36800" cy="29845"/>
                    </a:xfrm>
                    <a:prstGeom prst="rect">
                      <a:avLst/>
                    </a:prstGeom>
                    <a:noFill/>
                  </pic:spPr>
                </pic:pic>
              </a:graphicData>
            </a:graphic>
          </wp:anchor>
        </w:drawing>
      </w:r>
    </w:p>
    <w:p>
      <w:pPr>
        <w:spacing w:after="0" w:line="144" w:lineRule="exact"/>
        <w:rPr>
          <w:sz w:val="20"/>
          <w:szCs w:val="20"/>
          <w:color w:val="auto"/>
        </w:rPr>
      </w:pPr>
    </w:p>
    <w:p>
      <w:pPr>
        <w:ind w:left="460" w:right="40" w:hanging="452"/>
        <w:spacing w:after="0" w:line="28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including the Congressional Apartments, at the interest’s then-current fair market value. Based on management’s current estimate of fair market value, our estimated liability upon exercise of the put option is approximately $34.8 million. In conjunction with the construction of apartments currently taking place at the property, we have agreed to acquire an additional 7.5% interest in Congressional Plaza from RPC, thereby lowering their ownership percentage to 30%, in exchange for funding approximately $7 million of RPC’s share of the redevelopment cost. The development funding has taken place through the first three quarters of 2003 and the transaction is anticipated to be completed by year end. After the completion of this transaction, our estimated liability upon the exercise of the put option will be approximately $28 million.</w:t>
      </w:r>
    </w:p>
    <w:p>
      <w:pPr>
        <w:spacing w:after="0" w:line="5"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 we may choose to purchase the limited partnership interests upon the same terms.</w:t>
      </w:r>
    </w:p>
    <w:p>
      <w:pPr>
        <w:spacing w:after="0" w:line="2"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in the Zone not cover the debt service. We posted a letter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3" w:lineRule="auto"/>
        <w:rPr>
          <w:sz w:val="20"/>
          <w:szCs w:val="20"/>
          <w:color w:val="auto"/>
        </w:rPr>
      </w:pPr>
      <w:r>
        <w:rPr>
          <w:rFonts w:ascii="Arial" w:cs="Arial" w:eastAsia="Arial" w:hAnsi="Arial"/>
          <w:sz w:val="16"/>
          <w:szCs w:val="16"/>
          <w:color w:val="auto"/>
        </w:rPr>
        <w:t>of credit with the City on September 25, 2002 for $795,000. Our obligation under this agreement is estimated to range from $1.6 million to $3.0 million of which approximately $360,000 has been funded in 2003. We have accrued for additional payments of $1.2 million as of September 30, 2003 as part of the project costs in anticipation of a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 w:lineRule="exact"/>
        <w:rPr>
          <w:sz w:val="20"/>
          <w:szCs w:val="20"/>
          <w:color w:val="auto"/>
        </w:rPr>
      </w:pPr>
    </w:p>
    <w:p>
      <w:pPr>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terms of various other partnerships which own shopping center properties with a cost of approximately $103 million, including one of the two shopping centers purchased in the first quarter of 2003, the partners have the right to exchange their 839,828 operating units for cash or the same number of our common shares, at our option. On February 14, 2003 we paid $333,000 to redeem 12,000 operating units. On April 3, 2003 we issued 64,952 of our common shares valued at $1.9 million in exchange for 64,952 operating units.</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Santana Row.</w:t>
      </w:r>
    </w:p>
    <w:p>
      <w:pPr>
        <w:spacing w:after="0" w:line="3" w:lineRule="exact"/>
        <w:rPr>
          <w:rFonts w:ascii="Arial" w:cs="Arial" w:eastAsia="Arial" w:hAnsi="Arial"/>
          <w:sz w:val="16"/>
          <w:szCs w:val="16"/>
          <w:color w:val="auto"/>
        </w:rPr>
      </w:pPr>
    </w:p>
    <w:p>
      <w:pPr>
        <w:jc w:val="both"/>
        <w:ind w:left="460" w:right="2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October 15, 2003, we acquired Mercer Mall, a retail shopping center, in part in fee simple and in part through a master lease with a fixed purchase price option for $55 million in 2003. If we fail to exercise our purchase option, the owner of Mercer Mall has an option which will require us to purchase Mercer Mall for $60 million in 2025. This commitment is excluded from the table as it occurred subsequent to quarter end.</w:t>
      </w:r>
    </w:p>
    <w:p>
      <w:pPr>
        <w:spacing w:after="0" w:line="2" w:lineRule="exact"/>
        <w:rPr>
          <w:rFonts w:ascii="Arial" w:cs="Arial" w:eastAsia="Arial" w:hAnsi="Arial"/>
          <w:sz w:val="16"/>
          <w:szCs w:val="16"/>
          <w:color w:val="auto"/>
        </w:rPr>
      </w:pPr>
    </w:p>
    <w:p>
      <w:pPr>
        <w:jc w:val="both"/>
        <w:ind w:left="460" w:right="22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September 30, 2003, our current contractual payment obligations due within one year total approximately $323 million. Included in this amount is $198 million that represents our revolving credit facility and term loan which were scheduled to mature on December 19, 2003 and were repaid in full in October 2003.</w:t>
      </w:r>
    </w:p>
    <w:p>
      <w:pPr>
        <w:spacing w:after="0" w:line="13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Cash and cash equivalents were $33.7 million and $23.1 million at September 30, 2003 and December 31, 2002, respectively. This $10.6 million increase in cash on hand is largely attributable to cash proceeds from the sale of real estate in late September 2003.</w:t>
      </w:r>
    </w:p>
    <w:p>
      <w:pPr>
        <w:spacing w:after="0" w:line="114" w:lineRule="exact"/>
        <w:rPr>
          <w:sz w:val="20"/>
          <w:szCs w:val="20"/>
          <w:color w:val="auto"/>
        </w:rPr>
      </w:pPr>
    </w:p>
    <w:p>
      <w:pPr>
        <w:spacing w:after="0"/>
        <w:tabs>
          <w:tab w:leader="none" w:pos="10100" w:val="left"/>
        </w:tabs>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i w:val="1"/>
          <w:iCs w:val="1"/>
          <w:color w:val="auto"/>
        </w:rPr>
        <w:t>thousands</w:t>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For the Nine Months</w:t>
      </w:r>
    </w:p>
    <w:p>
      <w:pPr>
        <w:jc w:val="center"/>
        <w:ind w:left="10020"/>
        <w:spacing w:after="0" w:line="223" w:lineRule="auto"/>
        <w:rPr>
          <w:sz w:val="20"/>
          <w:szCs w:val="20"/>
          <w:color w:val="auto"/>
        </w:rPr>
      </w:pPr>
      <w:r>
        <w:rPr>
          <w:rFonts w:ascii="Arial" w:cs="Arial" w:eastAsia="Arial" w:hAnsi="Arial"/>
          <w:sz w:val="14"/>
          <w:szCs w:val="14"/>
          <w:b w:val="1"/>
          <w:bCs w:val="1"/>
          <w:color w:val="auto"/>
        </w:rPr>
        <w:t>Ended</w:t>
      </w:r>
    </w:p>
    <w:p>
      <w:pPr>
        <w:jc w:val="center"/>
        <w:ind w:left="10020"/>
        <w:spacing w:after="0"/>
        <w:rPr>
          <w:sz w:val="20"/>
          <w:szCs w:val="20"/>
          <w:color w:val="auto"/>
        </w:rPr>
      </w:pPr>
      <w:r>
        <w:rPr>
          <w:rFonts w:ascii="Arial" w:cs="Arial" w:eastAsia="Arial" w:hAnsi="Arial"/>
          <w:sz w:val="14"/>
          <w:szCs w:val="14"/>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60325</wp:posOffset>
            </wp:positionV>
            <wp:extent cx="7543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Provided by 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660" w:hanging="657"/>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(58,847)</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90,009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543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10,533</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543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33,656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8422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8422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0" w:space="720"/>
            <w:col w:w="1280"/>
          </w:cols>
          <w:pgMar w:left="240" w:top="459" w:right="2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cash used in investing activities for the nine months ended September 30, 2003 of $58.9 million is attributable to:</w:t>
      </w:r>
    </w:p>
    <w:p>
      <w:pPr>
        <w:spacing w:after="0" w:line="111" w:lineRule="exact"/>
        <w:rPr>
          <w:sz w:val="20"/>
          <w:szCs w:val="20"/>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$15.6 million for the acquisition of South Valley Shopping Center and Mount Vernon Plaza;</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$107.1 million for the development of Santana Row, offset by insurance proceeds received of $81.1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$25.2 million of capital expenditures relating to improvements to common areas, tenant work, Santana Row restaurant joint venture investments and various redevelopments;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 million of additional mortgage notes made to existing borrowers; offset by</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$21.2 million in net sale proceeds from the sale of 4929 Bethesda Avenue and 4925 Bethesda Avenue in Bethesda, MD, vacant land in Washington County, OR, Coolidge Corner in Brookline, MA, 2106 Central Avenue in Evanston, IL.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cash provided by operating activities for the nine months ended September 30, 2003 of $90.0 million is attributable to property operations including changes in working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used in financing activities for the nine months ended September 30, 2003 of $20.6 million is attributable to:</w:t>
      </w:r>
    </w:p>
    <w:p>
      <w:pPr>
        <w:spacing w:after="0" w:line="7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$127.0 million of net proceeds under our credit facility;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$98.6 million of net proceeds received from the issuance of 3.2 million common shares in a public offering; and</w:t>
      </w:r>
    </w:p>
    <w:p>
      <w:pPr>
        <w:spacing w:after="0" w:line="76"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$51.4 million of net proceeds received from the issuance of common shares under our dividend reinvestment plan and exercise of common stock options.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provided by financing activities was offset by:</w:t>
      </w:r>
    </w:p>
    <w:p>
      <w:pPr>
        <w:spacing w:after="0" w:line="77"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$100.0 million redemption of our Series A Preferred Shares;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$78.5 million of distributions to shareholders;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 million repayment of our 5.25% Convertible Subordinated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$41.5 million payoff and retirement of the Woodmont East construction loan and the Friendship Center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$750,000 of principal payments on mortgages, capital leases and notes payable;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$1.9 million decrease in minority interest.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2003, we had total debt outstanding of $1.1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September 30, 2003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Original Debt</w:t>
            </w:r>
          </w:p>
        </w:tc>
        <w:tc>
          <w:tcPr>
            <w:tcW w:w="2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Principal Balance</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Interest Rate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Issued 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as of</w:t>
            </w:r>
          </w:p>
        </w:tc>
        <w:tc>
          <w:tcPr>
            <w:tcW w:w="16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as of</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Available</w:t>
            </w:r>
          </w:p>
        </w:tc>
        <w:tc>
          <w:tcPr>
            <w:tcW w:w="2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2003</w:t>
            </w: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September 30, 2003</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and Construction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9,900</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6.510%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7.500%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35,638</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6,782</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7.400%</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44,300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16,700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7.950%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31,400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27,600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7.950%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7.415%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Mount Vernon (1)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5.660%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15, 2028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Mortgage and Construction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250,708</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with banks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125,000</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19,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Perring Plaza Renovation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2,164</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Various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Escondido (Municipal Bonds)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facilities (4)</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198,000</w:t>
            </w:r>
          </w:p>
        </w:tc>
        <w:tc>
          <w:tcPr>
            <w:tcW w:w="5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Libor + 0.80%</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December 19, 2003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Notes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334,609</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6.74% Medium Term Notes (5)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39,500</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6.625% Notes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6.625%</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6.99% Medium Term Notes (6)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6.894%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6.125% Notes (7)</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6.325%</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7.48% Debentures (8)</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7.480%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 (9)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6.820%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Senior Notes and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Debt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1,120,317</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interest rate is fixed at 5.66% for the first ten years and then is reset to a market rate. The lender has the option to call the loan after year ten.</w:t>
      </w:r>
    </w:p>
    <w:p>
      <w:pPr>
        <w:spacing w:after="0" w:line="38"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LIBOR plus 95 basis points. We purchased interest rate swaps or hedges on this note, thereby locking in the LIBOR rate at 5.27%. As a result, the interest rate on this loan is fixed at 6.22% as of September 30, 2003.</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nine months ended September 30, 2003 was 2.90%. The property is not encumbered by a lien.</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maximum amount drawn under the facility during the first nine months of 2003 was $225 million. The weighted average interest rate on borrowings under the facility for the nine months ended September 30, 2003 was 2.0%.</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6.74% to 6.37%.</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Beginning on August 15, 2008, the debentures are redeemable by the holders thereof at the original purchase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 the amount of debt as a percentage of gross asset value to less than .6 to 1 (we maintained a ratio of .46 to 1 as of September 30, 2003);</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limit the amount of secured debt as a percentage of gross asset value to less than .35 to 1 (we maintained a ratio of .13 to 1 as of September 30, 2003);</w:t>
      </w:r>
    </w:p>
    <w:p>
      <w:pPr>
        <w:spacing w:after="0" w:line="111" w:lineRule="exact"/>
        <w:rPr>
          <w:rFonts w:ascii="Arial" w:cs="Arial" w:eastAsia="Arial" w:hAnsi="Arial"/>
          <w:sz w:val="15"/>
          <w:szCs w:val="15"/>
          <w:color w:val="auto"/>
        </w:rPr>
      </w:pPr>
    </w:p>
    <w:p>
      <w:pPr>
        <w:ind w:left="800" w:right="2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on a rolling four quarter basis (we maintained a ratio of 2.36 to 1 as of September 30, 2003);</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amount of secured debt so that unencumbered asset value to unsecured debt will equal or exceed 1.67 to 1 (we maintained a ratio of 1.97 to 1 as of September 30, 2003); and</w:t>
      </w:r>
    </w:p>
    <w:p>
      <w:pPr>
        <w:spacing w:after="0" w:line="37" w:lineRule="exact"/>
        <w:rPr>
          <w:rFonts w:ascii="Arial" w:cs="Arial" w:eastAsia="Arial" w:hAnsi="Arial"/>
          <w:sz w:val="18"/>
          <w:szCs w:val="18"/>
          <w:color w:val="auto"/>
        </w:rPr>
      </w:pPr>
    </w:p>
    <w:p>
      <w:pPr>
        <w:ind w:left="800" w:right="58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30% or less of gross asset value (the budgeted total cost of our projects under construction represented 11.0% of gross asset value as of September 30, 2003).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September 30, 2003, we were in compliance with all of the listed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7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September 30, 2003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3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Unsecured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8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60" w:type="dxa"/>
            <w:vAlign w:val="bottom"/>
            <w:vMerge w:val="continue"/>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$ 323,036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2004</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2,917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39,652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2006</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3,515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40,685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2008 and thereafter</w:t>
            </w: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236,968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275,864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250,708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$ 869,609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44132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organizational documents do not limit the level or amount of debt that we may incur. Also see “Liquidity Requirements” in this section regarding management’s plans with respect to debt maturing in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2001, to hedge our exposure to interest rates on our $125 million term loan, we entered into interest rate swaps, which fixed the LIBOR interest rate on the term loan at 5.27%. The interest rate on the term loan as of September 30, 2003 (prior to the October 2003 repayment) was LIBOR plus 95 basis points, thus fixing the interest rate at 6.22% on notional amounts totaling $125 million. As of September 30, 2003, we were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Standard and Poor’s Ratings Service (“S&amp;P”) and Aa2 or above by Moody’s Investors Service (“Moody’s”). Although our cap is not exchange 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 component of other comprehensive income within shareholders’ equity and either a derivative instrument asset or liability is recorded on the balance sheet. At September 30, 2003, a cumulative unrealized loss of $1.1 million, representing the difference between the current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market value and the 6.22% fixed interest rate on the swap, was recorded in other comprehensive income with a corresponding derivative liability on the balance sheet. Interest expense of approximately $1.1 million would have been reclassified from other comprehensive income into current earnings during the remainder of 2003 to bring the effective interest rate up to 6.22%. The hedges open at the end of the third quarter 2003 relating to the $125 million term loan were unwound on October 8, 2003, in connection with the replacement of that loan with a new loan, at a cost of approximately $1.1 million which will be charged to interest expense in the fourth quarter of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Short-term liquidity requirements consist primarily of obligations under capital and operating leases, normal recurring operating expenses, regular debt service requirements (including debt service relating to additional or replacement debt, as well as scheduled debt maturities), recurring corporate expenditures, non-recurring corporate expenditures (such as tenant improvements and redevelopments) and dividends to common and preferred shareholders. Included in short-term liquidity requirements as of September 30, 2003 is $323 million that represents our revolving credit facility and our term loan which were scheduled to mature on December 19, 2003, which were replaced with a new facility and term loan in October 2003. Overall capital requirements in 2003 will depend upon acquisition opportunities, the level of improvements and redevelopments on existing properties and the timing and cost of future phases of Santana Row. We expect to fund our capital requirements, as well as our development and redevelopment costs, acquisitions and normal recurring operating costs through a combination of cash provided by operating activities, borrowings under our credit facility and other funding sources which may consist of additional and replacement debt, both secured and unsecured, additional equity, joint venture relationships and property dispositions.</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800" w:right="4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terms available under then-prevailing market conditions;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 xml:space="preserve">certain technical requirements of the Code, including the requirement to distribute 90% of our REIT taxable income to our shareholders. </w:t>
      </w:r>
      <w:r>
        <w:rPr>
          <w:rFonts w:ascii="Arial" w:cs="Arial" w:eastAsia="Arial" w:hAnsi="Arial"/>
          <w:sz w:val="18"/>
          <w:szCs w:val="18"/>
          <w:b w:val="1"/>
          <w:bCs w:val="1"/>
          <w:color w:val="auto"/>
        </w:rPr>
        <w:t>Funds From Operations</w:t>
      </w:r>
    </w:p>
    <w:p>
      <w:pPr>
        <w:spacing w:after="0" w:line="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historically reported our FFO in addition to our net income and net cash provided by operating activities. FFO is a supplemental non-GAAP financial measure of real estate companies’ operating performance. The National Association of Real Estate 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21" w:lineRule="exact"/>
        <w:rPr>
          <w:sz w:val="20"/>
          <w:szCs w:val="20"/>
          <w:color w:val="auto"/>
        </w:rPr>
      </w:pPr>
    </w:p>
    <w:p>
      <w:pPr>
        <w:ind w:left="8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pay dividends.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An increase or decrease in FFO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Therefore, a significant increase in FFO will generally require an increase in distributions to shareholders although not necessarily on a proportionate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available for common shareholders to funds from operations is as follows: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88"/>
              </w:rPr>
              <w:t>For the Nine</w:t>
            </w: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9"/>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5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shareholders—basic</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$ 43,459</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$ 37,940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$ 21,726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1120" w:type="dxa"/>
            <w:vAlign w:val="bottom"/>
            <w:gridSpan w:val="5"/>
          </w:tcPr>
          <w:p>
            <w:pPr>
              <w:jc w:val="right"/>
              <w:ind w:right="280"/>
              <w:spacing w:after="0"/>
              <w:rPr>
                <w:sz w:val="20"/>
                <w:szCs w:val="20"/>
                <w:color w:val="auto"/>
              </w:rPr>
            </w:pPr>
            <w:r>
              <w:rPr>
                <w:rFonts w:ascii="Arial" w:cs="Arial" w:eastAsia="Arial" w:hAnsi="Arial"/>
                <w:sz w:val="18"/>
                <w:szCs w:val="18"/>
                <w:color w:val="auto"/>
              </w:rPr>
              <w:t>(7,723)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(9,454)</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43,672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4,173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3,546</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for common shareholders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$ 89,871</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$ 76,481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$ 33,330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used to Compute diluted FFO per share</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48,004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42,421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1.87</w:t>
            </w:r>
          </w:p>
        </w:tc>
        <w:tc>
          <w:tcPr>
            <w:tcW w:w="3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tcPr>
          <w:p>
            <w:pPr>
              <w:jc w:val="right"/>
              <w:ind w:right="192"/>
              <w:spacing w:after="0"/>
              <w:rPr>
                <w:sz w:val="20"/>
                <w:szCs w:val="20"/>
                <w:color w:val="auto"/>
              </w:rPr>
            </w:pPr>
            <w:r>
              <w:rPr>
                <w:rFonts w:ascii="Arial" w:cs="Arial" w:eastAsia="Arial" w:hAnsi="Arial"/>
                <w:sz w:val="18"/>
                <w:szCs w:val="18"/>
                <w:color w:val="auto"/>
                <w:w w:val="95"/>
              </w:rPr>
              <w:t>The reconciliation of EBITDA, adjusted for discontinued operations, to net income is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6"/>
          </w:tcPr>
          <w:p>
            <w:pPr>
              <w:jc w:val="center"/>
              <w:ind w:left="112"/>
              <w:spacing w:after="0"/>
              <w:rPr>
                <w:sz w:val="20"/>
                <w:szCs w:val="20"/>
                <w:color w:val="auto"/>
              </w:rPr>
            </w:pPr>
            <w:r>
              <w:rPr>
                <w:rFonts w:ascii="Arial" w:cs="Arial" w:eastAsia="Arial" w:hAnsi="Arial"/>
                <w:sz w:val="14"/>
                <w:szCs w:val="14"/>
                <w:b w:val="1"/>
                <w:bCs w:val="1"/>
                <w:color w:val="auto"/>
                <w:w w:val="88"/>
              </w:rPr>
              <w:t>For the Nine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9"/>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5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6"/>
          </w:tcPr>
          <w:p>
            <w:pPr>
              <w:jc w:val="center"/>
              <w:ind w:left="112"/>
              <w:spacing w:after="0"/>
              <w:rPr>
                <w:sz w:val="20"/>
                <w:szCs w:val="20"/>
                <w:color w:val="auto"/>
              </w:rPr>
            </w:pPr>
            <w:r>
              <w:rPr>
                <w:rFonts w:ascii="Arial" w:cs="Arial" w:eastAsia="Arial" w:hAnsi="Arial"/>
                <w:sz w:val="14"/>
                <w:szCs w:val="14"/>
                <w:b w:val="1"/>
                <w:bCs w:val="1"/>
                <w:color w:val="auto"/>
                <w:w w:val="87"/>
              </w:rPr>
              <w:t>September 30,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6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6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59,097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52,508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$ 24,595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54,317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47,826</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45,313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(7,723)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(9,454)</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6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5"/>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$ 160,241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2"/>
              </w:rPr>
              <w:t>$ 136,193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$ 54,882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60" w:type="dxa"/>
            <w:vAlign w:val="bottom"/>
            <w:gridSpan w:val="2"/>
            <w:vMerge w:val="restart"/>
          </w:tcPr>
          <w:p>
            <w:pPr>
              <w:jc w:val="right"/>
              <w:ind w:right="1672"/>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-3096260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-3096260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-3096260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-3096260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-3096260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-3096260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-3096260</wp:posOffset>
            </wp:positionV>
            <wp:extent cx="4070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-3096260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-3096260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-3096260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-2795905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-2795905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-2795905</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-2795905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-2795905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-2795905</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-2795905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-2795905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-2795905</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-2795905</wp:posOffset>
            </wp:positionV>
            <wp:extent cx="3816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-2495550</wp:posOffset>
            </wp:positionV>
            <wp:extent cx="23368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368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4070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5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its variable rate debt.</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 Risk</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rate risk is most sensitive to fluctuations in interest rates on our variable rate debt. At September 30, 2003, we had $207.4 million of variable rate debt. Based upon this balance of variable operating debt, if interest rates increased 1%, our earnings and cash flows for the year would decrease by approximately $2.1 million. If interest rates decreased 1%, our earnings and cash flows for the year would increase by approximately $2.1 million. We believe that the change in the fair value of our financial instruments resulting from a foreseeable fluctuation in interest rates would be immaterial to our total assets and total liabilities.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Flow Hedges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use derivative financial instruments to convert a portion of our variable rate debt to fixed rate debt and to manage our fixed to variable rate debt ratio. A description of these derivative financial instruments is contained in “Item 2. Interest Rate Hedging” and is incorporated by reference into this Item 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 closely on the definition of “disclosure controls and procedures” in Rule 13a-14(c)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Within 90 days prior to the date of this report, we carried out an evaluation, under the supervision and with the participation of our management, including our President and Chief Executive Officer and our Senior Vice President and Chief Financial Officer, of the effectiveness of our design and operation of our disclosure controls and procedures. Based on the foregoing, the President and Chief Executive Officer and our Senior Vice President and Chief Financial Officer concluded that our disclosure controls and procedures were effective.</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the internal controls subsequent to the date we completed our evaluation.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 II—OTHER INFORMATION</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Changes in Securities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3, 2003 we issued 64,952 of our common shares valued at $1.9 million in exchange for 64,952 operating units that were initially issued in August 1998 in connection with our acquisition of a shopping center. The shares were issued in a private offering in reliance upon an exemption from the registration requirements of the federal securities laws pursuant to Section 4(2) of the Securities Act of 1933.</w:t>
      </w:r>
    </w:p>
    <w:p>
      <w:pPr>
        <w:spacing w:after="0" w:line="1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Vote to Security Holders</w:t>
      </w:r>
    </w:p>
    <w:p>
      <w:pPr>
        <w:spacing w:after="0" w:line="15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At the 2003 Annual Meeting of Shareholders on May 7, 2003, the Shareholders elected Ms. Amy B. Lane, Mr. Walter F. Loeb and Mr. Joseph S. Vassalluzzo as trustees, to serve for the ensuing three years. Holders of 28.4 million shares, 29.7 million shares and 28.6 million shares voted for each trustee, respectively, and holders of 1.4 million shares, 200,000 shares and 1.3 million shares withheld their votes for each trustee, respectively.</w:t>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266" w:lineRule="exact"/>
        <w:rPr>
          <w:sz w:val="20"/>
          <w:szCs w:val="20"/>
          <w:color w:val="auto"/>
        </w:rPr>
      </w:pPr>
    </w:p>
    <w:p>
      <w:pPr>
        <w:ind w:left="740" w:hanging="683"/>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40" w:hanging="730"/>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Rule 13a-14(a)/15d-14(a) Certifications of Chief Executive Officer and Chief Financial Officer (filed herewith).</w:t>
      </w:r>
    </w:p>
    <w:p>
      <w:pPr>
        <w:spacing w:after="0" w:line="117" w:lineRule="exact"/>
        <w:rPr>
          <w:rFonts w:ascii="Arial" w:cs="Arial" w:eastAsia="Arial" w:hAnsi="Arial"/>
          <w:sz w:val="18"/>
          <w:szCs w:val="18"/>
          <w:color w:val="auto"/>
        </w:rPr>
      </w:pPr>
    </w:p>
    <w:p>
      <w:pPr>
        <w:ind w:left="740" w:hanging="730"/>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1350 Certifications of Chief Executive Office and Chief Financial Officer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00" w:hanging="788"/>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17"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A Form 8-K, dated June 30, 2003 was filed on July 30, 2003 in response to Items 7 and 12 to file a press release announcing our financial results for the quarter ended March 31, 2003 and to file supplemental information related thereto.</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SIGNATURES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EDERAL</w:t>
      </w:r>
      <w:r>
        <w:rPr>
          <w:rFonts w:ascii="Arial" w:cs="Arial" w:eastAsia="Arial" w:hAnsi="Arial"/>
          <w:sz w:val="18"/>
          <w:szCs w:val="18"/>
          <w:u w:val="single" w:color="auto"/>
          <w:color w:val="auto"/>
        </w:rPr>
        <w:t xml:space="preserve"> R</w:t>
      </w:r>
      <w:r>
        <w:rPr>
          <w:rFonts w:ascii="Arial" w:cs="Arial" w:eastAsia="Arial" w:hAnsi="Arial"/>
          <w:sz w:val="14"/>
          <w:szCs w:val="14"/>
          <w:u w:val="single" w:color="auto"/>
          <w:color w:val="auto"/>
        </w:rPr>
        <w:t>EALTY</w:t>
      </w:r>
      <w:r>
        <w:rPr>
          <w:rFonts w:ascii="Arial" w:cs="Arial" w:eastAsia="Arial" w:hAnsi="Arial"/>
          <w:sz w:val="18"/>
          <w:szCs w:val="18"/>
          <w:u w:val="single" w:color="auto"/>
          <w:color w:val="auto"/>
        </w:rPr>
        <w:t xml:space="preserve"> I</w:t>
      </w:r>
      <w:r>
        <w:rPr>
          <w:rFonts w:ascii="Arial" w:cs="Arial" w:eastAsia="Arial" w:hAnsi="Arial"/>
          <w:sz w:val="14"/>
          <w:szCs w:val="14"/>
          <w:u w:val="single" w:color="auto"/>
          <w:color w:val="auto"/>
        </w:rPr>
        <w:t>NVESTMENT</w:t>
      </w:r>
      <w:r>
        <w:rPr>
          <w:rFonts w:ascii="Arial" w:cs="Arial" w:eastAsia="Arial" w:hAnsi="Arial"/>
          <w:sz w:val="18"/>
          <w:szCs w:val="18"/>
          <w:u w:val="single" w:color="auto"/>
          <w:color w:val="auto"/>
        </w:rPr>
        <w:t xml:space="preserve"> T</w:t>
      </w:r>
      <w:r>
        <w:rPr>
          <w:rFonts w:ascii="Arial" w:cs="Arial" w:eastAsia="Arial" w:hAnsi="Arial"/>
          <w:sz w:val="14"/>
          <w:szCs w:val="14"/>
          <w:u w:val="single" w:color="auto"/>
          <w:color w:val="auto"/>
        </w:rPr>
        <w:t>RUST</w:t>
      </w:r>
    </w:p>
    <w:p>
      <w:pPr>
        <w:spacing w:after="0" w:line="225" w:lineRule="exact"/>
        <w:rPr>
          <w:sz w:val="20"/>
          <w:szCs w:val="20"/>
          <w:color w:val="auto"/>
        </w:rPr>
      </w:pPr>
    </w:p>
    <w:p>
      <w:pPr>
        <w:spacing w:after="0"/>
        <w:tabs>
          <w:tab w:leader="none" w:pos="7780" w:val="left"/>
          <w:tab w:leader="none" w:pos="8120" w:val="left"/>
        </w:tabs>
        <w:rPr>
          <w:sz w:val="20"/>
          <w:szCs w:val="20"/>
          <w:color w:val="auto"/>
        </w:rPr>
      </w:pPr>
      <w:r>
        <w:rPr>
          <w:rFonts w:ascii="Arial" w:cs="Arial" w:eastAsia="Arial" w:hAnsi="Arial"/>
          <w:sz w:val="18"/>
          <w:szCs w:val="18"/>
          <w:color w:val="auto"/>
        </w:rPr>
        <w:t>November 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Donald C. Wood, President, Chief Executive</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Officer and Trustee (Principal Executive Officer)</w:t>
      </w:r>
    </w:p>
    <w:p>
      <w:pPr>
        <w:spacing w:after="0" w:line="343"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November 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ind w:left="7400"/>
        <w:spacing w:after="0"/>
        <w:rPr>
          <w:sz w:val="20"/>
          <w:szCs w:val="20"/>
          <w:color w:val="auto"/>
        </w:rPr>
      </w:pPr>
      <w:r>
        <w:rPr>
          <w:rFonts w:ascii="Arial" w:cs="Arial" w:eastAsia="Arial" w:hAnsi="Arial"/>
          <w:sz w:val="12"/>
          <w:szCs w:val="12"/>
          <w:b w:val="1"/>
          <w:bCs w:val="1"/>
          <w:color w:val="auto"/>
        </w:rPr>
        <w:t>Larry E. Finger, Senior Vice President and Chief</w:t>
      </w:r>
    </w:p>
    <w:p>
      <w:pPr>
        <w:spacing w:after="0" w:line="24"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Financial Officer (Principal 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40"/>
          </w:cols>
          <w:pgMar w:left="240" w:top="459" w:right="11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ind w:left="920" w:hanging="912"/>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Rule 13a-14(a)/15d-14(a) Certifications of Chief Executive Officer and Chief Financial Officer (filed herewith).</w:t>
      </w:r>
    </w:p>
    <w:p>
      <w:pPr>
        <w:spacing w:after="0" w:line="140" w:lineRule="exact"/>
        <w:rPr>
          <w:rFonts w:ascii="Arial" w:cs="Arial" w:eastAsia="Arial" w:hAnsi="Arial"/>
          <w:sz w:val="16"/>
          <w:szCs w:val="16"/>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1350 Certifications of Chief Executive Office and Chief Financial Officer (filed herewith).</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13a-15(e)4 and 15d-15(e)) for the registrant and have:</w:t>
      </w:r>
    </w:p>
    <w:p>
      <w:pPr>
        <w:spacing w:after="0" w:line="37" w:lineRule="exact"/>
        <w:rPr>
          <w:rFonts w:ascii="Arial" w:cs="Arial" w:eastAsia="Arial" w:hAnsi="Arial"/>
          <w:sz w:val="18"/>
          <w:szCs w:val="18"/>
          <w:color w:val="auto"/>
        </w:rPr>
      </w:pPr>
    </w:p>
    <w:p>
      <w:pPr>
        <w:jc w:val="both"/>
        <w:ind w:left="1360" w:right="140" w:hanging="447"/>
        <w:spacing w:after="0" w:line="259"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360" w:right="620" w:hanging="447"/>
        <w:spacing w:after="0" w:line="347" w:lineRule="auto"/>
        <w:tabs>
          <w:tab w:leader="none" w:pos="136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60" w:right="140" w:hanging="447"/>
        <w:spacing w:after="0" w:line="259"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 w:lineRule="exact"/>
        <w:rPr>
          <w:rFonts w:ascii="Arial" w:cs="Arial" w:eastAsia="Arial" w:hAnsi="Arial"/>
          <w:sz w:val="16"/>
          <w:szCs w:val="16"/>
          <w:color w:val="auto"/>
        </w:rPr>
      </w:pPr>
    </w:p>
    <w:p>
      <w:pPr>
        <w:ind w:left="1360" w:right="60" w:hanging="447"/>
        <w:spacing w:after="0" w:line="325" w:lineRule="auto"/>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60" w:right="20" w:hanging="447"/>
        <w:spacing w:after="0" w:line="268"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7780" w:val="left"/>
          <w:tab w:leader="none" w:pos="8120" w:val="left"/>
        </w:tabs>
        <w:rPr>
          <w:sz w:val="20"/>
          <w:szCs w:val="20"/>
          <w:color w:val="auto"/>
        </w:rPr>
      </w:pPr>
      <w:r>
        <w:rPr>
          <w:rFonts w:ascii="Arial" w:cs="Arial" w:eastAsia="Arial" w:hAnsi="Arial"/>
          <w:sz w:val="18"/>
          <w:szCs w:val="18"/>
          <w:color w:val="auto"/>
        </w:rPr>
        <w:t>November 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Donald C. Wood, President, Chief Executive</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Officer and Trustee (Principal Executive Officer)</w:t>
      </w:r>
    </w:p>
    <w:p>
      <w:pPr>
        <w:sectPr>
          <w:pgSz w:w="11900" w:h="16838" w:orient="portrait"/>
          <w:cols w:equalWidth="0" w:num="1">
            <w:col w:w="11420"/>
          </w:cols>
          <w:pgMar w:left="240" w:top="131"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7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45"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13a-15(e)4 and 15d-15(e)) for the registrant and have:</w:t>
      </w:r>
    </w:p>
    <w:p>
      <w:pPr>
        <w:spacing w:after="0" w:line="37" w:lineRule="exact"/>
        <w:rPr>
          <w:rFonts w:ascii="Arial" w:cs="Arial" w:eastAsia="Arial" w:hAnsi="Arial"/>
          <w:sz w:val="18"/>
          <w:szCs w:val="18"/>
          <w:color w:val="auto"/>
        </w:rPr>
      </w:pPr>
    </w:p>
    <w:p>
      <w:pPr>
        <w:jc w:val="both"/>
        <w:ind w:left="1360" w:right="120" w:hanging="447"/>
        <w:spacing w:after="0" w:line="259" w:lineRule="auto"/>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360" w:right="600" w:hanging="447"/>
        <w:spacing w:after="0" w:line="347" w:lineRule="auto"/>
        <w:tabs>
          <w:tab w:leader="none" w:pos="136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60" w:right="120" w:hanging="447"/>
        <w:spacing w:after="0" w:line="259" w:lineRule="auto"/>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 w:lineRule="exact"/>
        <w:rPr>
          <w:rFonts w:ascii="Arial" w:cs="Arial" w:eastAsia="Arial" w:hAnsi="Arial"/>
          <w:sz w:val="16"/>
          <w:szCs w:val="16"/>
          <w:color w:val="auto"/>
        </w:rPr>
      </w:pPr>
    </w:p>
    <w:p>
      <w:pPr>
        <w:ind w:left="1360" w:right="40" w:hanging="447"/>
        <w:spacing w:after="0" w:line="325" w:lineRule="auto"/>
        <w:tabs>
          <w:tab w:leader="none" w:pos="13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60" w:hanging="447"/>
        <w:spacing w:after="0" w:line="268" w:lineRule="auto"/>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November 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Larry E. Finger, Senior Vice President and Chief</w:t>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Financial Officer(Principal Accounting Officer)</w:t>
      </w:r>
    </w:p>
    <w:p>
      <w:pPr>
        <w:sectPr>
          <w:pgSz w:w="11900" w:h="16838" w:orient="portrait"/>
          <w:cols w:equalWidth="0" w:num="1">
            <w:col w:w="11400"/>
          </w:cols>
          <w:pgMar w:left="240" w:top="280"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ending September 30, 2003,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7800"/>
        <w:spacing w:after="0"/>
        <w:tabs>
          <w:tab w:leader="none" w:pos="8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-65405</wp:posOffset>
            </wp:positionV>
            <wp:extent cx="33274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Donald C. Wood, President, Chief Executive</w:t>
      </w:r>
    </w:p>
    <w:p>
      <w:pPr>
        <w:jc w:val="center"/>
        <w:ind w:left="6180"/>
        <w:spacing w:after="0"/>
        <w:rPr>
          <w:sz w:val="20"/>
          <w:szCs w:val="20"/>
          <w:color w:val="auto"/>
        </w:rPr>
      </w:pPr>
      <w:r>
        <w:rPr>
          <w:rFonts w:ascii="Arial" w:cs="Arial" w:eastAsia="Arial" w:hAnsi="Arial"/>
          <w:sz w:val="14"/>
          <w:szCs w:val="14"/>
          <w:b w:val="1"/>
          <w:bCs w:val="1"/>
          <w:color w:val="auto"/>
        </w:rPr>
        <w:t>Officer and Trustee (Principal Executive Officer)</w:t>
      </w:r>
    </w:p>
    <w:p>
      <w:pPr>
        <w:sectPr>
          <w:pgSz w:w="11900" w:h="16838" w:orient="portrait"/>
          <w:cols w:equalWidth="0" w:num="1">
            <w:col w:w="11420"/>
          </w:cols>
          <w:pgMar w:left="240" w:top="131" w:right="239" w:bottom="1440" w:gutter="0" w:footer="0" w:header="0"/>
        </w:sectPr>
      </w:pPr>
    </w:p>
    <w:bookmarkStart w:id="57" w:name="page58"/>
    <w:bookmarkEnd w:id="57"/>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7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ending September 30, 2003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7840"/>
        <w:spacing w:after="0"/>
        <w:tabs>
          <w:tab w:leader="none" w:pos="8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-65405</wp:posOffset>
            </wp:positionV>
            <wp:extent cx="33274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4"/>
          <w:szCs w:val="14"/>
          <w:b w:val="1"/>
          <w:bCs w:val="1"/>
          <w:color w:val="auto"/>
        </w:rPr>
        <w:t>Larry E. Finger, Senior Vice President and Chief</w:t>
      </w:r>
    </w:p>
    <w:p>
      <w:pPr>
        <w:ind w:left="7420"/>
        <w:spacing w:after="0"/>
        <w:rPr>
          <w:sz w:val="20"/>
          <w:szCs w:val="20"/>
          <w:color w:val="auto"/>
        </w:rPr>
      </w:pPr>
      <w:r>
        <w:rPr>
          <w:rFonts w:ascii="Arial" w:cs="Arial" w:eastAsia="Arial" w:hAnsi="Arial"/>
          <w:sz w:val="14"/>
          <w:szCs w:val="14"/>
          <w:b w:val="1"/>
          <w:bCs w:val="1"/>
          <w:color w:val="auto"/>
        </w:rPr>
        <w:t>Financial Officer(Principal Accounting Officer)</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4"/>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upperLetter"/>
      <w:start w:val="1"/>
    </w:lvl>
  </w:abstractNum>
  <w:abstractNum w:abstractNumId="39">
    <w:nsid w:val="1D4ED43B"/>
    <w:multiLevelType w:val="hybridMultilevel"/>
    <w:lvl w:ilvl="0">
      <w:lvlJc w:val="left"/>
      <w:lvlText w:val="(%1)"/>
      <w:numFmt w:val="decimal"/>
      <w:start w:val="31"/>
    </w:lvl>
  </w:abstractNum>
  <w:abstractNum w:abstractNumId="40">
    <w:nsid w:val="725A06FB"/>
    <w:multiLevelType w:val="hybridMultilevel"/>
    <w:lvl w:ilvl="0">
      <w:lvlJc w:val="left"/>
      <w:lvlText w:val="(%1)"/>
      <w:numFmt w:val="upperLetter"/>
      <w:start w:val="2"/>
    </w:lvl>
  </w:abstractNum>
  <w:abstractNum w:abstractNumId="41">
    <w:nsid w:val="2CD89A32"/>
    <w:multiLevelType w:val="hybridMultilevel"/>
    <w:lvl w:ilvl="0">
      <w:lvlJc w:val="left"/>
      <w:lvlText w:val="(%1)"/>
      <w:numFmt w:val="upperLetter"/>
      <w:start w:val="1"/>
    </w:lvl>
  </w:abstractNum>
  <w:abstractNum w:abstractNumId="42">
    <w:nsid w:val="57E4CCAF"/>
    <w:multiLevelType w:val="hybridMultilevel"/>
    <w:lvl w:ilvl="0">
      <w:lvlJc w:val="left"/>
      <w:lvlText w:val="(%1)"/>
      <w:numFmt w:val="decimal"/>
      <w:start w:val="3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2019-12-13T00:55:07Z</dcterms:created>
  <dcterms:modified xsi:type="dcterms:W3CDTF">2019-12-13T00:55:07Z</dcterms:modified>
</cp:coreProperties>
</file>