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8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CURRENT REPORT</w:t>
      </w:r>
    </w:p>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17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August 1, 2024</w:t>
      </w:r>
    </w:p>
    <w:p>
      <w:pPr>
        <w:spacing w:after="0" w:line="16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Federal Realty Investment Trust</w:t>
      </w:r>
    </w:p>
    <w:p>
      <w:pPr>
        <w:spacing w:after="0" w:line="18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Federal Realty OP LP</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06" w:lineRule="exact"/>
        <w:rPr>
          <w:sz w:val="24"/>
          <w:szCs w:val="24"/>
          <w:color w:val="auto"/>
        </w:rPr>
      </w:pPr>
    </w:p>
    <w:tbl>
      <w:tblPr>
        <w:tblLayout w:type="fixed"/>
        <w:tblInd w:w="460" w:type="dxa"/>
        <w:tblCellMar>
          <w:top w:w="0" w:type="dxa"/>
          <w:left w:w="0" w:type="dxa"/>
          <w:bottom w:w="0" w:type="dxa"/>
          <w:right w:w="0" w:type="dxa"/>
        </w:tblCellMar>
      </w:tblPr>
      <w:tr>
        <w:trPr>
          <w:trHeight w:val="226"/>
        </w:trPr>
        <w:tc>
          <w:tcPr>
            <w:tcW w:w="4240" w:type="dxa"/>
            <w:vAlign w:val="bottom"/>
          </w:tcPr>
          <w:p>
            <w:pPr>
              <w:jc w:val="center"/>
              <w:ind w:right="904"/>
              <w:spacing w:after="0"/>
              <w:rPr>
                <w:sz w:val="20"/>
                <w:szCs w:val="20"/>
                <w:color w:val="auto"/>
              </w:rPr>
            </w:pPr>
            <w:r>
              <w:rPr>
                <w:rFonts w:ascii="Times New Roman" w:cs="Times New Roman" w:eastAsia="Times New Roman" w:hAnsi="Times New Roman"/>
                <w:sz w:val="17"/>
                <w:szCs w:val="17"/>
                <w:b w:val="1"/>
                <w:bCs w:val="1"/>
                <w:color w:val="auto"/>
              </w:rPr>
              <w:t>Maryland (Federal Realty Investment Trust)</w:t>
            </w:r>
          </w:p>
        </w:tc>
        <w:tc>
          <w:tcPr>
            <w:tcW w:w="1700" w:type="dxa"/>
            <w:vAlign w:val="bottom"/>
          </w:tcPr>
          <w:p>
            <w:pPr>
              <w:jc w:val="right"/>
              <w:ind w:right="444"/>
              <w:spacing w:after="0"/>
              <w:rPr>
                <w:sz w:val="20"/>
                <w:szCs w:val="20"/>
                <w:color w:val="auto"/>
              </w:rPr>
            </w:pPr>
            <w:r>
              <w:rPr>
                <w:rFonts w:ascii="Times New Roman" w:cs="Times New Roman" w:eastAsia="Times New Roman" w:hAnsi="Times New Roman"/>
                <w:sz w:val="17"/>
                <w:szCs w:val="17"/>
                <w:b w:val="1"/>
                <w:bCs w:val="1"/>
                <w:color w:val="auto"/>
              </w:rPr>
              <w:t>1-07533</w:t>
            </w:r>
          </w:p>
        </w:tc>
        <w:tc>
          <w:tcPr>
            <w:tcW w:w="1340" w:type="dxa"/>
            <w:vAlign w:val="bottom"/>
          </w:tcPr>
          <w:p>
            <w:pPr>
              <w:spacing w:after="0"/>
              <w:rPr>
                <w:sz w:val="19"/>
                <w:szCs w:val="19"/>
                <w:color w:val="auto"/>
              </w:rPr>
            </w:pPr>
          </w:p>
        </w:tc>
        <w:tc>
          <w:tcPr>
            <w:tcW w:w="1900" w:type="dxa"/>
            <w:vAlign w:val="bottom"/>
          </w:tcPr>
          <w:p>
            <w:pPr>
              <w:jc w:val="center"/>
              <w:ind w:left="844"/>
              <w:spacing w:after="0"/>
              <w:rPr>
                <w:sz w:val="20"/>
                <w:szCs w:val="20"/>
                <w:color w:val="auto"/>
              </w:rPr>
            </w:pPr>
            <w:r>
              <w:rPr>
                <w:rFonts w:ascii="Times New Roman" w:cs="Times New Roman" w:eastAsia="Times New Roman" w:hAnsi="Times New Roman"/>
                <w:sz w:val="17"/>
                <w:szCs w:val="17"/>
                <w:b w:val="1"/>
                <w:bCs w:val="1"/>
                <w:color w:val="auto"/>
                <w:w w:val="99"/>
              </w:rPr>
              <w:t>87-3916363</w:t>
            </w:r>
          </w:p>
        </w:tc>
      </w:tr>
      <w:tr>
        <w:trPr>
          <w:trHeight w:val="229"/>
        </w:trPr>
        <w:tc>
          <w:tcPr>
            <w:tcW w:w="4240" w:type="dxa"/>
            <w:vAlign w:val="bottom"/>
          </w:tcPr>
          <w:p>
            <w:pPr>
              <w:jc w:val="center"/>
              <w:ind w:right="904"/>
              <w:spacing w:after="0"/>
              <w:rPr>
                <w:sz w:val="20"/>
                <w:szCs w:val="20"/>
                <w:color w:val="auto"/>
              </w:rPr>
            </w:pPr>
            <w:r>
              <w:rPr>
                <w:rFonts w:ascii="Times New Roman" w:cs="Times New Roman" w:eastAsia="Times New Roman" w:hAnsi="Times New Roman"/>
                <w:sz w:val="17"/>
                <w:szCs w:val="17"/>
                <w:b w:val="1"/>
                <w:bCs w:val="1"/>
                <w:color w:val="auto"/>
              </w:rPr>
              <w:t>Delaware (Federal Realty OP LP)</w:t>
            </w:r>
          </w:p>
        </w:tc>
        <w:tc>
          <w:tcPr>
            <w:tcW w:w="1700" w:type="dxa"/>
            <w:vAlign w:val="bottom"/>
          </w:tcPr>
          <w:p>
            <w:pPr>
              <w:jc w:val="right"/>
              <w:ind w:right="184"/>
              <w:spacing w:after="0"/>
              <w:rPr>
                <w:sz w:val="20"/>
                <w:szCs w:val="20"/>
                <w:color w:val="auto"/>
              </w:rPr>
            </w:pPr>
            <w:r>
              <w:rPr>
                <w:rFonts w:ascii="Times New Roman" w:cs="Times New Roman" w:eastAsia="Times New Roman" w:hAnsi="Times New Roman"/>
                <w:sz w:val="17"/>
                <w:szCs w:val="17"/>
                <w:b w:val="1"/>
                <w:bCs w:val="1"/>
                <w:color w:val="auto"/>
              </w:rPr>
              <w:t>333-262016-01</w:t>
            </w:r>
          </w:p>
        </w:tc>
        <w:tc>
          <w:tcPr>
            <w:tcW w:w="1340" w:type="dxa"/>
            <w:vAlign w:val="bottom"/>
          </w:tcPr>
          <w:p>
            <w:pPr>
              <w:spacing w:after="0"/>
              <w:rPr>
                <w:sz w:val="19"/>
                <w:szCs w:val="19"/>
                <w:color w:val="auto"/>
              </w:rPr>
            </w:pPr>
          </w:p>
        </w:tc>
        <w:tc>
          <w:tcPr>
            <w:tcW w:w="1900" w:type="dxa"/>
            <w:vAlign w:val="bottom"/>
          </w:tcPr>
          <w:p>
            <w:pPr>
              <w:jc w:val="center"/>
              <w:ind w:left="844"/>
              <w:spacing w:after="0"/>
              <w:rPr>
                <w:sz w:val="20"/>
                <w:szCs w:val="20"/>
                <w:color w:val="auto"/>
              </w:rPr>
            </w:pPr>
            <w:r>
              <w:rPr>
                <w:rFonts w:ascii="Times New Roman" w:cs="Times New Roman" w:eastAsia="Times New Roman" w:hAnsi="Times New Roman"/>
                <w:sz w:val="17"/>
                <w:szCs w:val="17"/>
                <w:b w:val="1"/>
                <w:bCs w:val="1"/>
                <w:color w:val="auto"/>
                <w:w w:val="99"/>
              </w:rPr>
              <w:t>52-0782497</w:t>
            </w:r>
          </w:p>
        </w:tc>
      </w:tr>
      <w:tr>
        <w:trPr>
          <w:trHeight w:val="144"/>
        </w:trPr>
        <w:tc>
          <w:tcPr>
            <w:tcW w:w="4240" w:type="dxa"/>
            <w:vAlign w:val="bottom"/>
          </w:tcPr>
          <w:p>
            <w:pPr>
              <w:jc w:val="center"/>
              <w:ind w:right="884"/>
              <w:spacing w:after="0" w:line="144" w:lineRule="exact"/>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1700" w:type="dxa"/>
            <w:vAlign w:val="bottom"/>
          </w:tcPr>
          <w:p>
            <w:pPr>
              <w:ind w:left="560"/>
              <w:spacing w:after="0" w:line="144" w:lineRule="exact"/>
              <w:rPr>
                <w:sz w:val="20"/>
                <w:szCs w:val="20"/>
                <w:color w:val="auto"/>
              </w:rPr>
            </w:pPr>
            <w:r>
              <w:rPr>
                <w:rFonts w:ascii="Times New Roman" w:cs="Times New Roman" w:eastAsia="Times New Roman" w:hAnsi="Times New Roman"/>
                <w:sz w:val="13"/>
                <w:szCs w:val="13"/>
                <w:b w:val="1"/>
                <w:bCs w:val="1"/>
                <w:color w:val="auto"/>
              </w:rPr>
              <w:t>(Commission</w:t>
            </w:r>
          </w:p>
        </w:tc>
        <w:tc>
          <w:tcPr>
            <w:tcW w:w="1340" w:type="dxa"/>
            <w:vAlign w:val="bottom"/>
          </w:tcPr>
          <w:p>
            <w:pPr>
              <w:spacing w:after="0"/>
              <w:rPr>
                <w:sz w:val="12"/>
                <w:szCs w:val="12"/>
                <w:color w:val="auto"/>
              </w:rPr>
            </w:pPr>
          </w:p>
        </w:tc>
        <w:tc>
          <w:tcPr>
            <w:tcW w:w="1900" w:type="dxa"/>
            <w:vAlign w:val="bottom"/>
          </w:tcPr>
          <w:p>
            <w:pPr>
              <w:jc w:val="center"/>
              <w:ind w:left="844"/>
              <w:spacing w:after="0" w:line="144"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4240" w:type="dxa"/>
            <w:vAlign w:val="bottom"/>
          </w:tcPr>
          <w:p>
            <w:pPr>
              <w:jc w:val="center"/>
              <w:ind w:right="884"/>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1700" w:type="dxa"/>
            <w:vAlign w:val="bottom"/>
          </w:tcPr>
          <w:p>
            <w:pPr>
              <w:ind w:left="54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1340" w:type="dxa"/>
            <w:vAlign w:val="bottom"/>
          </w:tcPr>
          <w:p>
            <w:pPr>
              <w:spacing w:after="0"/>
              <w:rPr>
                <w:sz w:val="14"/>
                <w:szCs w:val="14"/>
                <w:color w:val="auto"/>
              </w:rPr>
            </w:pPr>
          </w:p>
        </w:tc>
        <w:tc>
          <w:tcPr>
            <w:tcW w:w="1900" w:type="dxa"/>
            <w:vAlign w:val="bottom"/>
          </w:tcPr>
          <w:p>
            <w:pPr>
              <w:jc w:val="center"/>
              <w:ind w:left="844"/>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442"/>
        </w:trPr>
        <w:tc>
          <w:tcPr>
            <w:tcW w:w="4240" w:type="dxa"/>
            <w:vAlign w:val="bottom"/>
          </w:tcPr>
          <w:p>
            <w:pPr>
              <w:ind w:left="2140"/>
              <w:spacing w:after="0"/>
              <w:rPr>
                <w:sz w:val="20"/>
                <w:szCs w:val="20"/>
                <w:color w:val="auto"/>
              </w:rPr>
            </w:pPr>
            <w:r>
              <w:rPr>
                <w:rFonts w:ascii="Times New Roman" w:cs="Times New Roman" w:eastAsia="Times New Roman" w:hAnsi="Times New Roman"/>
                <w:sz w:val="16"/>
                <w:szCs w:val="16"/>
                <w:b w:val="1"/>
                <w:bCs w:val="1"/>
                <w:color w:val="auto"/>
              </w:rPr>
              <w:t>909 Rose Avenue, Suite 200</w:t>
            </w:r>
          </w:p>
        </w:tc>
        <w:tc>
          <w:tcPr>
            <w:tcW w:w="17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North Bethesda,</w:t>
            </w:r>
          </w:p>
        </w:tc>
        <w:tc>
          <w:tcPr>
            <w:tcW w:w="13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Maryland</w:t>
            </w:r>
          </w:p>
        </w:tc>
        <w:tc>
          <w:tcPr>
            <w:tcW w:w="1900" w:type="dxa"/>
            <w:vAlign w:val="bottom"/>
          </w:tcPr>
          <w:p>
            <w:pPr>
              <w:jc w:val="right"/>
              <w:ind w:right="724"/>
              <w:spacing w:after="0"/>
              <w:rPr>
                <w:sz w:val="20"/>
                <w:szCs w:val="20"/>
                <w:color w:val="auto"/>
              </w:rPr>
            </w:pPr>
            <w:r>
              <w:rPr>
                <w:rFonts w:ascii="Times New Roman" w:cs="Times New Roman" w:eastAsia="Times New Roman" w:hAnsi="Times New Roman"/>
                <w:sz w:val="16"/>
                <w:szCs w:val="16"/>
                <w:b w:val="1"/>
                <w:bCs w:val="1"/>
                <w:color w:val="auto"/>
              </w:rPr>
              <w:t>20852</w:t>
            </w:r>
          </w:p>
        </w:tc>
      </w:tr>
      <w:tr>
        <w:trPr>
          <w:trHeight w:val="216"/>
        </w:trPr>
        <w:tc>
          <w:tcPr>
            <w:tcW w:w="5940" w:type="dxa"/>
            <w:vAlign w:val="bottom"/>
            <w:gridSpan w:val="2"/>
          </w:tcPr>
          <w:p>
            <w:pPr>
              <w:ind w:left="310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1340" w:type="dxa"/>
            <w:vAlign w:val="bottom"/>
          </w:tcPr>
          <w:p>
            <w:pPr>
              <w:spacing w:after="0"/>
              <w:rPr>
                <w:sz w:val="18"/>
                <w:szCs w:val="18"/>
                <w:color w:val="auto"/>
              </w:rPr>
            </w:pPr>
          </w:p>
        </w:tc>
        <w:tc>
          <w:tcPr>
            <w:tcW w:w="190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rPr>
              <w:t>(Zip Code)</w:t>
            </w:r>
          </w:p>
        </w:tc>
      </w:tr>
    </w:tbl>
    <w:p>
      <w:pPr>
        <w:spacing w:after="0" w:line="1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301/998-8100</w:t>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136" w:lineRule="exact"/>
        <w:rPr>
          <w:sz w:val="24"/>
          <w:szCs w:val="24"/>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40"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40"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24"/>
        </w:trPr>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182"/>
        </w:trPr>
        <w:tc>
          <w:tcPr>
            <w:tcW w:w="1680" w:type="dxa"/>
            <w:vAlign w:val="bottom"/>
          </w:tcPr>
          <w:p>
            <w:pPr>
              <w:spacing w:after="0"/>
              <w:rPr>
                <w:sz w:val="15"/>
                <w:szCs w:val="15"/>
                <w:color w:val="auto"/>
              </w:rPr>
            </w:pP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Trading Symbol</w:t>
            </w:r>
          </w:p>
        </w:tc>
        <w:tc>
          <w:tcPr>
            <w:tcW w:w="840" w:type="dxa"/>
            <w:vAlign w:val="bottom"/>
          </w:tcPr>
          <w:p>
            <w:pPr>
              <w:spacing w:after="0"/>
              <w:rPr>
                <w:sz w:val="15"/>
                <w:szCs w:val="15"/>
                <w:color w:val="auto"/>
              </w:rPr>
            </w:pPr>
          </w:p>
        </w:tc>
        <w:tc>
          <w:tcPr>
            <w:tcW w:w="3500" w:type="dxa"/>
            <w:vAlign w:val="bottom"/>
            <w:gridSpan w:val="2"/>
          </w:tcPr>
          <w:p>
            <w:pPr>
              <w:jc w:val="center"/>
              <w:ind w:left="199"/>
              <w:spacing w:after="0" w:line="181"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680" w:type="dxa"/>
            <w:vAlign w:val="bottom"/>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r>
      <w:tr>
        <w:trPr>
          <w:trHeight w:val="230"/>
        </w:trPr>
        <w:tc>
          <w:tcPr>
            <w:tcW w:w="448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auto"/>
              </w:rPr>
              <w:t>Common Shares of Beneficial Interest</w:t>
            </w:r>
          </w:p>
        </w:tc>
        <w:tc>
          <w:tcPr>
            <w:tcW w:w="580" w:type="dxa"/>
            <w:vAlign w:val="bottom"/>
          </w:tcPr>
          <w:p>
            <w:pPr>
              <w:spacing w:after="0"/>
              <w:rPr>
                <w:sz w:val="20"/>
                <w:szCs w:val="20"/>
                <w:color w:val="auto"/>
              </w:rPr>
            </w:pPr>
          </w:p>
        </w:tc>
        <w:tc>
          <w:tcPr>
            <w:tcW w:w="1960" w:type="dxa"/>
            <w:vAlign w:val="bottom"/>
            <w:gridSpan w:val="2"/>
          </w:tcPr>
          <w:p>
            <w:pPr>
              <w:jc w:val="center"/>
              <w:ind w:right="840"/>
              <w:spacing w:after="0"/>
              <w:rPr>
                <w:sz w:val="20"/>
                <w:szCs w:val="20"/>
                <w:color w:val="auto"/>
              </w:rPr>
            </w:pPr>
            <w:r>
              <w:rPr>
                <w:rFonts w:ascii="Times New Roman" w:cs="Times New Roman" w:eastAsia="Times New Roman" w:hAnsi="Times New Roman"/>
                <w:sz w:val="16"/>
                <w:szCs w:val="16"/>
                <w:color w:val="auto"/>
                <w:w w:val="95"/>
              </w:rPr>
              <w:t>FRT</w:t>
            </w:r>
          </w:p>
        </w:tc>
        <w:tc>
          <w:tcPr>
            <w:tcW w:w="280" w:type="dxa"/>
            <w:vAlign w:val="bottom"/>
          </w:tcPr>
          <w:p>
            <w:pPr>
              <w:spacing w:after="0"/>
              <w:rPr>
                <w:sz w:val="20"/>
                <w:szCs w:val="20"/>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168"/>
        </w:trPr>
        <w:tc>
          <w:tcPr>
            <w:tcW w:w="4480" w:type="dxa"/>
            <w:vAlign w:val="bottom"/>
            <w:gridSpan w:val="3"/>
          </w:tcPr>
          <w:p>
            <w:pPr>
              <w:jc w:val="center"/>
              <w:ind w:left="99"/>
              <w:spacing w:after="0" w:line="168" w:lineRule="exact"/>
              <w:rPr>
                <w:sz w:val="20"/>
                <w:szCs w:val="20"/>
                <w:color w:val="auto"/>
              </w:rPr>
            </w:pPr>
            <w:r>
              <w:rPr>
                <w:rFonts w:ascii="Times New Roman" w:cs="Times New Roman" w:eastAsia="Times New Roman" w:hAnsi="Times New Roman"/>
                <w:sz w:val="16"/>
                <w:szCs w:val="16"/>
                <w:color w:val="auto"/>
              </w:rPr>
              <w:t>$.01 par value per share, with associated Common Share Purchase</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10"/>
        </w:trPr>
        <w:tc>
          <w:tcPr>
            <w:tcW w:w="1680" w:type="dxa"/>
            <w:vAlign w:val="bottom"/>
          </w:tcPr>
          <w:p>
            <w:pPr>
              <w:spacing w:after="0"/>
              <w:rPr>
                <w:sz w:val="18"/>
                <w:szCs w:val="18"/>
                <w:color w:val="auto"/>
              </w:rPr>
            </w:pPr>
          </w:p>
        </w:tc>
        <w:tc>
          <w:tcPr>
            <w:tcW w:w="2800" w:type="dxa"/>
            <w:vAlign w:val="bottom"/>
            <w:gridSpan w:val="2"/>
          </w:tcPr>
          <w:p>
            <w:pPr>
              <w:jc w:val="center"/>
              <w:ind w:right="1500"/>
              <w:spacing w:after="0"/>
              <w:rPr>
                <w:sz w:val="20"/>
                <w:szCs w:val="20"/>
                <w:color w:val="auto"/>
              </w:rPr>
            </w:pPr>
            <w:r>
              <w:rPr>
                <w:rFonts w:ascii="Times New Roman" w:cs="Times New Roman" w:eastAsia="Times New Roman" w:hAnsi="Times New Roman"/>
                <w:sz w:val="16"/>
                <w:szCs w:val="16"/>
                <w:color w:val="auto"/>
              </w:rPr>
              <w:t>Rights</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24"/>
        </w:trPr>
        <w:tc>
          <w:tcPr>
            <w:tcW w:w="448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auto"/>
              </w:rPr>
              <w:t>Depositary Shares, each representing 1/1000 of a share</w:t>
            </w:r>
          </w:p>
        </w:tc>
        <w:tc>
          <w:tcPr>
            <w:tcW w:w="580" w:type="dxa"/>
            <w:vAlign w:val="bottom"/>
          </w:tcPr>
          <w:p>
            <w:pPr>
              <w:spacing w:after="0"/>
              <w:rPr>
                <w:sz w:val="24"/>
                <w:szCs w:val="24"/>
                <w:color w:val="auto"/>
              </w:rPr>
            </w:pPr>
          </w:p>
        </w:tc>
        <w:tc>
          <w:tcPr>
            <w:tcW w:w="1960" w:type="dxa"/>
            <w:vAlign w:val="bottom"/>
            <w:gridSpan w:val="2"/>
          </w:tcPr>
          <w:p>
            <w:pPr>
              <w:jc w:val="center"/>
              <w:ind w:right="840"/>
              <w:spacing w:after="0"/>
              <w:rPr>
                <w:sz w:val="20"/>
                <w:szCs w:val="20"/>
                <w:color w:val="auto"/>
              </w:rPr>
            </w:pPr>
            <w:r>
              <w:rPr>
                <w:rFonts w:ascii="Times New Roman" w:cs="Times New Roman" w:eastAsia="Times New Roman" w:hAnsi="Times New Roman"/>
                <w:sz w:val="16"/>
                <w:szCs w:val="16"/>
                <w:color w:val="auto"/>
                <w:w w:val="96"/>
              </w:rPr>
              <w:t>FRT-C</w:t>
            </w:r>
          </w:p>
        </w:tc>
        <w:tc>
          <w:tcPr>
            <w:tcW w:w="28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168"/>
        </w:trPr>
        <w:tc>
          <w:tcPr>
            <w:tcW w:w="7020" w:type="dxa"/>
            <w:vAlign w:val="bottom"/>
            <w:gridSpan w:val="6"/>
          </w:tcPr>
          <w:p>
            <w:pPr>
              <w:jc w:val="center"/>
              <w:ind w:right="2380"/>
              <w:spacing w:after="0" w:line="168" w:lineRule="exact"/>
              <w:rPr>
                <w:sz w:val="20"/>
                <w:szCs w:val="20"/>
                <w:color w:val="auto"/>
              </w:rPr>
            </w:pPr>
            <w:r>
              <w:rPr>
                <w:rFonts w:ascii="Times New Roman" w:cs="Times New Roman" w:eastAsia="Times New Roman" w:hAnsi="Times New Roman"/>
                <w:sz w:val="16"/>
                <w:szCs w:val="16"/>
                <w:color w:val="auto"/>
              </w:rPr>
              <w:t>of 5.00% Series C Cumulative Redeemable Preferred Stock, $.01 par</w:t>
            </w:r>
          </w:p>
        </w:tc>
        <w:tc>
          <w:tcPr>
            <w:tcW w:w="2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10"/>
        </w:trPr>
        <w:tc>
          <w:tcPr>
            <w:tcW w:w="1680" w:type="dxa"/>
            <w:vAlign w:val="bottom"/>
          </w:tcPr>
          <w:p>
            <w:pPr>
              <w:spacing w:after="0"/>
              <w:rPr>
                <w:sz w:val="18"/>
                <w:szCs w:val="18"/>
                <w:color w:val="auto"/>
              </w:rPr>
            </w:pPr>
          </w:p>
        </w:tc>
        <w:tc>
          <w:tcPr>
            <w:tcW w:w="2800" w:type="dxa"/>
            <w:vAlign w:val="bottom"/>
            <w:gridSpan w:val="2"/>
          </w:tcPr>
          <w:p>
            <w:pPr>
              <w:jc w:val="center"/>
              <w:ind w:right="1500"/>
              <w:spacing w:after="0"/>
              <w:rPr>
                <w:sz w:val="20"/>
                <w:szCs w:val="20"/>
                <w:color w:val="auto"/>
              </w:rPr>
            </w:pPr>
            <w:r>
              <w:rPr>
                <w:rFonts w:ascii="Times New Roman" w:cs="Times New Roman" w:eastAsia="Times New Roman" w:hAnsi="Times New Roman"/>
                <w:sz w:val="16"/>
                <w:szCs w:val="16"/>
                <w:color w:val="auto"/>
              </w:rPr>
              <w:t>value per share</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10"/>
        </w:trPr>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Federal Realty OP LP</w:t>
            </w: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182"/>
        </w:trPr>
        <w:tc>
          <w:tcPr>
            <w:tcW w:w="1680" w:type="dxa"/>
            <w:vAlign w:val="bottom"/>
          </w:tcPr>
          <w:p>
            <w:pPr>
              <w:spacing w:after="0"/>
              <w:rPr>
                <w:sz w:val="15"/>
                <w:szCs w:val="15"/>
                <w:color w:val="auto"/>
              </w:rPr>
            </w:pP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Trading Symbol</w:t>
            </w:r>
          </w:p>
        </w:tc>
        <w:tc>
          <w:tcPr>
            <w:tcW w:w="840" w:type="dxa"/>
            <w:vAlign w:val="bottom"/>
          </w:tcPr>
          <w:p>
            <w:pPr>
              <w:spacing w:after="0"/>
              <w:rPr>
                <w:sz w:val="15"/>
                <w:szCs w:val="15"/>
                <w:color w:val="auto"/>
              </w:rPr>
            </w:pPr>
          </w:p>
        </w:tc>
        <w:tc>
          <w:tcPr>
            <w:tcW w:w="3500" w:type="dxa"/>
            <w:vAlign w:val="bottom"/>
            <w:gridSpan w:val="2"/>
          </w:tcPr>
          <w:p>
            <w:pPr>
              <w:jc w:val="center"/>
              <w:ind w:left="199"/>
              <w:spacing w:after="0" w:line="181"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0"/>
        </w:trPr>
        <w:tc>
          <w:tcPr>
            <w:tcW w:w="1680" w:type="dxa"/>
            <w:vAlign w:val="bottom"/>
          </w:tcPr>
          <w:p>
            <w:pPr>
              <w:spacing w:after="0"/>
              <w:rPr>
                <w:sz w:val="20"/>
                <w:szCs w:val="20"/>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c>
          <w:tcPr>
            <w:tcW w:w="1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r>
    </w:tbl>
    <w:p>
      <w:pPr>
        <w:spacing w:after="0" w:line="208" w:lineRule="exact"/>
        <w:rPr>
          <w:sz w:val="24"/>
          <w:szCs w:val="24"/>
          <w:color w:val="auto"/>
        </w:rPr>
      </w:pPr>
    </w:p>
    <w:p>
      <w:pPr>
        <w:ind w:left="20" w:right="600"/>
        <w:spacing w:after="0" w:line="242"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or Rule 12b-2 of the Securities Exchange Act of 1934.</w:t>
      </w:r>
    </w:p>
    <w:p>
      <w:pPr>
        <w:spacing w:after="0" w:line="1" w:lineRule="exact"/>
        <w:rPr>
          <w:sz w:val="24"/>
          <w:szCs w:val="24"/>
          <w:color w:val="auto"/>
        </w:rPr>
      </w:pPr>
    </w:p>
    <w:p>
      <w:pPr>
        <w:ind w:left="20"/>
        <w:spacing w:after="0" w:line="184" w:lineRule="exact"/>
        <w:tabs>
          <w:tab w:leader="none" w:pos="3940" w:val="left"/>
        </w:tabs>
        <w:rPr>
          <w:sz w:val="20"/>
          <w:szCs w:val="20"/>
          <w:color w:val="auto"/>
        </w:rPr>
      </w:pPr>
      <w:r>
        <w:rPr>
          <w:rFonts w:ascii="Times New Roman" w:cs="Times New Roman" w:eastAsia="Times New Roman" w:hAnsi="Times New Roman"/>
          <w:sz w:val="16"/>
          <w:szCs w:val="16"/>
          <w:color w:val="auto"/>
        </w:rPr>
        <w:t xml:space="preserve">Federal Realty Investment Trust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Federal Realty OP LP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59" w:lineRule="exact"/>
        <w:rPr>
          <w:sz w:val="24"/>
          <w:szCs w:val="24"/>
          <w:color w:val="auto"/>
        </w:rPr>
      </w:pPr>
    </w:p>
    <w:p>
      <w:pPr>
        <w:ind w:left="20" w:right="100"/>
        <w:spacing w:after="0" w:line="242" w:lineRule="auto"/>
        <w:rPr>
          <w:sz w:val="20"/>
          <w:szCs w:val="20"/>
          <w:color w:val="auto"/>
        </w:rPr>
      </w:pPr>
      <w:r>
        <w:rPr>
          <w:rFonts w:ascii="Times New Roman" w:cs="Times New Roman" w:eastAsia="Times New Roman" w:hAnsi="Times New Roman"/>
          <w:sz w:val="16"/>
          <w:szCs w:val="16"/>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20"/>
        <w:spacing w:after="0" w:line="184" w:lineRule="exact"/>
        <w:tabs>
          <w:tab w:leader="none" w:pos="3940" w:val="left"/>
        </w:tabs>
        <w:rPr>
          <w:sz w:val="20"/>
          <w:szCs w:val="20"/>
          <w:color w:val="auto"/>
        </w:rPr>
      </w:pPr>
      <w:r>
        <w:rPr>
          <w:rFonts w:ascii="Times New Roman" w:cs="Times New Roman" w:eastAsia="Times New Roman" w:hAnsi="Times New Roman"/>
          <w:sz w:val="16"/>
          <w:szCs w:val="16"/>
          <w:color w:val="auto"/>
        </w:rPr>
        <w:t xml:space="preserve">Federal Realty Investment Trust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Federal Realty OP LP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620395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3"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251" w:lineRule="exact"/>
        <w:rPr>
          <w:sz w:val="20"/>
          <w:szCs w:val="20"/>
          <w:color w:val="auto"/>
        </w:rPr>
      </w:pPr>
    </w:p>
    <w:p>
      <w:pPr>
        <w:ind w:firstLine="180"/>
        <w:spacing w:after="0" w:line="268" w:lineRule="auto"/>
        <w:rPr>
          <w:sz w:val="20"/>
          <w:szCs w:val="20"/>
          <w:color w:val="auto"/>
        </w:rPr>
      </w:pPr>
      <w:r>
        <w:rPr>
          <w:rFonts w:ascii="Times New Roman" w:cs="Times New Roman" w:eastAsia="Times New Roman" w:hAnsi="Times New Roman"/>
          <w:sz w:val="21"/>
          <w:szCs w:val="21"/>
          <w:color w:val="auto"/>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91" w:lineRule="exact"/>
        <w:rPr>
          <w:sz w:val="20"/>
          <w:szCs w:val="20"/>
          <w:color w:val="auto"/>
        </w:rPr>
      </w:pPr>
    </w:p>
    <w:p>
      <w:pPr>
        <w:ind w:right="200" w:firstLine="180"/>
        <w:spacing w:after="0" w:line="263" w:lineRule="auto"/>
        <w:rPr>
          <w:sz w:val="20"/>
          <w:szCs w:val="20"/>
          <w:color w:val="auto"/>
        </w:rPr>
      </w:pPr>
      <w:r>
        <w:rPr>
          <w:rFonts w:ascii="Times New Roman" w:cs="Times New Roman" w:eastAsia="Times New Roman" w:hAnsi="Times New Roman"/>
          <w:sz w:val="22"/>
          <w:szCs w:val="22"/>
          <w:color w:val="auto"/>
        </w:rPr>
        <w:t>On August 1, 2024, Federal Realty Investment Trust issued supplemental data pertaining to its operations, as well as a press release, to report its financial results for the quarter ended June 30, 2024. The supplemental data and press release are furnished as Exhibit 99.1 hereto.</w:t>
      </w:r>
    </w:p>
    <w:p>
      <w:pPr>
        <w:spacing w:after="0" w:line="19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Item 9.01.</w:t>
      </w:r>
      <w:r>
        <w:rPr>
          <w:sz w:val="20"/>
          <w:szCs w:val="20"/>
          <w:color w:val="auto"/>
        </w:rPr>
        <w:tab/>
      </w:r>
      <w:r>
        <w:rPr>
          <w:rFonts w:ascii="Times New Roman" w:cs="Times New Roman" w:eastAsia="Times New Roman" w:hAnsi="Times New Roman"/>
          <w:sz w:val="21"/>
          <w:szCs w:val="21"/>
          <w:b w:val="1"/>
          <w:bCs w:val="1"/>
          <w:color w:val="auto"/>
        </w:rPr>
        <w:t>Financial Statements and Exhibits.</w:t>
      </w:r>
    </w:p>
    <w:p>
      <w:pPr>
        <w:spacing w:after="0" w:line="251" w:lineRule="exact"/>
        <w:rPr>
          <w:sz w:val="20"/>
          <w:szCs w:val="20"/>
          <w:color w:val="auto"/>
        </w:rPr>
      </w:pPr>
    </w:p>
    <w:p>
      <w:pPr>
        <w:ind w:left="180"/>
        <w:spacing w:after="0"/>
        <w:tabs>
          <w:tab w:leader="none" w:pos="58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Exhibits</w:t>
      </w:r>
    </w:p>
    <w:p>
      <w:pPr>
        <w:spacing w:after="0" w:line="247" w:lineRule="exact"/>
        <w:rPr>
          <w:sz w:val="20"/>
          <w:szCs w:val="20"/>
          <w:color w:val="auto"/>
        </w:rPr>
      </w:pPr>
    </w:p>
    <w:p>
      <w:pPr>
        <w:ind w:left="180"/>
        <w:spacing w:after="0"/>
        <w:tabs>
          <w:tab w:leader="none" w:pos="720" w:val="left"/>
        </w:tabs>
        <w:rPr>
          <w:sz w:val="20"/>
          <w:szCs w:val="20"/>
          <w:color w:val="auto"/>
        </w:rPr>
      </w:pPr>
      <w:r>
        <w:rPr>
          <w:rFonts w:ascii="Times New Roman" w:cs="Times New Roman" w:eastAsia="Times New Roman" w:hAnsi="Times New Roman"/>
          <w:sz w:val="22"/>
          <w:szCs w:val="22"/>
          <w:color w:val="auto"/>
        </w:rPr>
        <w:t>99.1</w:t>
      </w:r>
      <w:r>
        <w:rPr>
          <w:sz w:val="20"/>
          <w:szCs w:val="20"/>
          <w:color w:val="auto"/>
        </w:rPr>
        <w:tab/>
      </w:r>
      <w:r>
        <w:rPr>
          <w:rFonts w:ascii="Times New Roman" w:cs="Times New Roman" w:eastAsia="Times New Roman" w:hAnsi="Times New Roman"/>
          <w:sz w:val="21"/>
          <w:szCs w:val="21"/>
          <w:color w:val="auto"/>
        </w:rPr>
        <w:t>Supplemental information at June 30, 2024 (including press release dated August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00" w:lineRule="exact"/>
        <w:rPr>
          <w:sz w:val="20"/>
          <w:szCs w:val="20"/>
          <w:color w:val="auto"/>
        </w:rPr>
      </w:pPr>
    </w:p>
    <w:p>
      <w:pPr>
        <w:spacing w:after="0" w:line="294" w:lineRule="exact"/>
        <w:rPr>
          <w:sz w:val="20"/>
          <w:szCs w:val="20"/>
          <w:color w:val="auto"/>
        </w:rPr>
      </w:pPr>
    </w:p>
    <w:p>
      <w:pPr>
        <w:ind w:right="200" w:firstLine="180"/>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registrants have duly caused this report to be signed on their behalf by the undersigned hereunto duly authorized.</w:t>
      </w:r>
    </w:p>
    <w:p>
      <w:pPr>
        <w:spacing w:after="0" w:line="19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FEDERAL REALTY INVESTMENT TRUST</w:t>
      </w:r>
    </w:p>
    <w:p>
      <w:pPr>
        <w:spacing w:after="0" w:line="3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FEDERAL REALTY OP LP</w:t>
      </w:r>
    </w:p>
    <w:p>
      <w:pPr>
        <w:spacing w:after="0" w:line="275" w:lineRule="exact"/>
        <w:rPr>
          <w:sz w:val="20"/>
          <w:szCs w:val="20"/>
          <w:color w:val="auto"/>
        </w:rPr>
      </w:pPr>
    </w:p>
    <w:p>
      <w:pPr>
        <w:ind w:left="40"/>
        <w:spacing w:after="0"/>
        <w:tabs>
          <w:tab w:leader="none" w:pos="1700" w:val="left"/>
          <w:tab w:leader="none" w:pos="4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August 1, 2024</w:t>
      </w:r>
      <w:r>
        <w:rPr>
          <w:sz w:val="20"/>
          <w:szCs w:val="20"/>
          <w:color w:val="auto"/>
        </w:rPr>
        <w:tab/>
      </w:r>
      <w:r>
        <w:rPr>
          <w:rFonts w:ascii="Times New Roman" w:cs="Times New Roman" w:eastAsia="Times New Roman" w:hAnsi="Times New Roman"/>
          <w:sz w:val="21"/>
          <w:szCs w:val="21"/>
          <w:u w:val="single" w:color="auto"/>
          <w:color w:val="auto"/>
        </w:rPr>
        <w:t>/s/ Daniel Guglielmone</w:t>
      </w:r>
    </w:p>
    <w:p>
      <w:pPr>
        <w:spacing w:after="0" w:line="28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Daniel Guglielmone</w:t>
      </w:r>
    </w:p>
    <w:p>
      <w:pPr>
        <w:spacing w:after="0" w:line="2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Executive Vice President-</w:t>
      </w:r>
    </w:p>
    <w:p>
      <w:pPr>
        <w:spacing w:after="0" w:line="1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2"/>
        </w:trPr>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80" w:type="dxa"/>
            <w:vAlign w:val="bottom"/>
          </w:tcPr>
          <w:p>
            <w:pPr>
              <w:ind w:left="2980"/>
              <w:spacing w:after="0"/>
              <w:rPr>
                <w:sz w:val="20"/>
                <w:szCs w:val="20"/>
                <w:color w:val="auto"/>
              </w:rPr>
            </w:pPr>
            <w:r>
              <w:rPr>
                <w:rFonts w:ascii="Times New Roman" w:cs="Times New Roman" w:eastAsia="Times New Roman" w:hAnsi="Times New Roman"/>
                <w:sz w:val="22"/>
                <w:szCs w:val="22"/>
                <w:color w:val="auto"/>
              </w:rPr>
              <w:t>EXHIBIT INDEX</w:t>
            </w:r>
          </w:p>
        </w:tc>
      </w:tr>
      <w:tr>
        <w:trPr>
          <w:trHeight w:val="555"/>
        </w:trPr>
        <w:tc>
          <w:tcPr>
            <w:tcW w:w="1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170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15"/>
                <w:szCs w:val="15"/>
                <w:color w:val="auto"/>
              </w:rPr>
            </w:pPr>
          </w:p>
        </w:tc>
        <w:tc>
          <w:tcPr>
            <w:tcW w:w="93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Supplemental Information at June 30, 2024</w:t>
            </w:r>
          </w:p>
        </w:tc>
      </w:tr>
      <w:tr>
        <w:trPr>
          <w:trHeight w:val="304"/>
        </w:trPr>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(the Cover Page Interactive Data File is embedded within the Inline XBRL document)</w:t>
            </w:r>
          </w:p>
        </w:tc>
      </w:tr>
    </w:tbl>
    <w:p>
      <w:pPr>
        <w:sectPr>
          <w:pgSz w:w="11900" w:h="16838" w:orient="portrait"/>
          <w:cols w:equalWidth="0" w:num="1">
            <w:col w:w="11180"/>
          </w:cols>
          <w:pgMar w:left="360" w:top="895" w:right="35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SUPPLEMENTAL INFORMATION</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June 30, 2024</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1</w:t>
            </w:r>
          </w:p>
        </w:tc>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Second Quarter 2024 Earnings Press Release</w:t>
            </w:r>
          </w:p>
        </w:tc>
        <w:tc>
          <w:tcPr>
            <w:tcW w:w="13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16"/>
        </w:trPr>
        <w:tc>
          <w:tcPr>
            <w:tcW w:w="460" w:type="dxa"/>
            <w:vAlign w:val="bottom"/>
            <w:tcBorders>
              <w:top w:val="single" w:sz="8" w:color="CCEEFF"/>
            </w:tcBorders>
          </w:tcPr>
          <w:p>
            <w:pPr>
              <w:spacing w:after="0"/>
              <w:rPr>
                <w:sz w:val="18"/>
                <w:szCs w:val="18"/>
                <w:color w:val="auto"/>
              </w:rPr>
            </w:pPr>
          </w:p>
        </w:tc>
        <w:tc>
          <w:tcPr>
            <w:tcW w:w="75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29"/>
        </w:trPr>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2</w:t>
            </w:r>
          </w:p>
        </w:tc>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Financial Highlights</w:t>
            </w: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460" w:type="dxa"/>
            <w:vAlign w:val="bottom"/>
          </w:tcPr>
          <w:p>
            <w:pPr>
              <w:spacing w:after="0"/>
              <w:rPr>
                <w:sz w:val="16"/>
                <w:szCs w:val="16"/>
                <w:color w:val="auto"/>
              </w:rPr>
            </w:pPr>
          </w:p>
        </w:tc>
        <w:tc>
          <w:tcPr>
            <w:tcW w:w="7500" w:type="dxa"/>
            <w:vAlign w:val="bottom"/>
          </w:tcPr>
          <w:p>
            <w:pPr>
              <w:ind w:left="1140"/>
              <w:spacing w:after="0" w:line="189" w:lineRule="exact"/>
              <w:rPr>
                <w:sz w:val="20"/>
                <w:szCs w:val="20"/>
                <w:color w:val="auto"/>
              </w:rPr>
            </w:pPr>
            <w:r>
              <w:rPr>
                <w:rFonts w:ascii="Times New Roman" w:cs="Times New Roman" w:eastAsia="Times New Roman" w:hAnsi="Times New Roman"/>
                <w:sz w:val="18"/>
                <w:szCs w:val="18"/>
                <w:color w:val="auto"/>
              </w:rPr>
              <w:t>Consolidated Income Statements</w:t>
            </w:r>
          </w:p>
        </w:tc>
        <w:tc>
          <w:tcPr>
            <w:tcW w:w="13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1"/>
        </w:trPr>
        <w:tc>
          <w:tcPr>
            <w:tcW w:w="46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60" w:type="dxa"/>
            <w:vAlign w:val="bottom"/>
            <w:tcBorders>
              <w:bottom w:val="single" w:sz="8" w:color="CCEEFF"/>
            </w:tcBorders>
            <w:shd w:val="clear" w:color="auto" w:fill="CCEEFF"/>
          </w:tcPr>
          <w:p>
            <w:pPr>
              <w:spacing w:after="0"/>
              <w:rPr>
                <w:sz w:val="18"/>
                <w:szCs w:val="18"/>
                <w:color w:val="auto"/>
              </w:rPr>
            </w:pPr>
          </w:p>
        </w:tc>
        <w:tc>
          <w:tcPr>
            <w:tcW w:w="7500" w:type="dxa"/>
            <w:vAlign w:val="bottom"/>
            <w:tcBorders>
              <w:bottom w:val="single" w:sz="8" w:color="CCEEFF"/>
            </w:tcBorders>
            <w:shd w:val="clear" w:color="auto" w:fill="CCEEFF"/>
          </w:tcPr>
          <w:p>
            <w:pPr>
              <w:ind w:left="1140"/>
              <w:spacing w:after="0" w:line="189" w:lineRule="exact"/>
              <w:rPr>
                <w:sz w:val="20"/>
                <w:szCs w:val="20"/>
                <w:color w:val="auto"/>
              </w:rPr>
            </w:pPr>
            <w:r>
              <w:rPr>
                <w:rFonts w:ascii="Times New Roman" w:cs="Times New Roman" w:eastAsia="Times New Roman" w:hAnsi="Times New Roman"/>
                <w:sz w:val="18"/>
                <w:szCs w:val="18"/>
                <w:color w:val="auto"/>
              </w:rPr>
              <w:t>Consolidated Balance Sheets</w:t>
            </w:r>
          </w:p>
        </w:tc>
        <w:tc>
          <w:tcPr>
            <w:tcW w:w="122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8</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460" w:type="dxa"/>
            <w:vAlign w:val="bottom"/>
          </w:tcPr>
          <w:p>
            <w:pPr>
              <w:spacing w:after="0"/>
              <w:rPr>
                <w:sz w:val="16"/>
                <w:szCs w:val="16"/>
                <w:color w:val="auto"/>
              </w:rPr>
            </w:pPr>
          </w:p>
        </w:tc>
        <w:tc>
          <w:tcPr>
            <w:tcW w:w="7500" w:type="dxa"/>
            <w:vAlign w:val="bottom"/>
          </w:tcPr>
          <w:p>
            <w:pPr>
              <w:ind w:left="1140"/>
              <w:spacing w:after="0" w:line="189" w:lineRule="exact"/>
              <w:rPr>
                <w:sz w:val="20"/>
                <w:szCs w:val="20"/>
                <w:color w:val="auto"/>
              </w:rPr>
            </w:pPr>
            <w:r>
              <w:rPr>
                <w:rFonts w:ascii="Times New Roman" w:cs="Times New Roman" w:eastAsia="Times New Roman" w:hAnsi="Times New Roman"/>
                <w:sz w:val="18"/>
                <w:szCs w:val="18"/>
                <w:color w:val="auto"/>
              </w:rPr>
              <w:t>Funds From Operations / Other Supplemental Information</w:t>
            </w:r>
          </w:p>
        </w:tc>
        <w:tc>
          <w:tcPr>
            <w:tcW w:w="13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w:t>
            </w:r>
          </w:p>
        </w:tc>
      </w:tr>
      <w:tr>
        <w:trPr>
          <w:trHeight w:val="20"/>
        </w:trPr>
        <w:tc>
          <w:tcPr>
            <w:tcW w:w="46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60" w:type="dxa"/>
            <w:vAlign w:val="bottom"/>
            <w:shd w:val="clear" w:color="auto" w:fill="CCEEFF"/>
          </w:tcPr>
          <w:p>
            <w:pPr>
              <w:spacing w:after="0"/>
              <w:rPr>
                <w:sz w:val="18"/>
                <w:szCs w:val="18"/>
                <w:color w:val="auto"/>
              </w:rPr>
            </w:pPr>
          </w:p>
        </w:tc>
        <w:tc>
          <w:tcPr>
            <w:tcW w:w="7500" w:type="dxa"/>
            <w:vAlign w:val="bottom"/>
            <w:shd w:val="clear" w:color="auto" w:fill="CCEEFF"/>
          </w:tcPr>
          <w:p>
            <w:pPr>
              <w:ind w:left="1140"/>
              <w:spacing w:after="0" w:line="189" w:lineRule="exact"/>
              <w:rPr>
                <w:sz w:val="20"/>
                <w:szCs w:val="20"/>
                <w:color w:val="auto"/>
              </w:rPr>
            </w:pPr>
            <w:r>
              <w:rPr>
                <w:rFonts w:ascii="Times New Roman" w:cs="Times New Roman" w:eastAsia="Times New Roman" w:hAnsi="Times New Roman"/>
                <w:sz w:val="18"/>
                <w:szCs w:val="18"/>
                <w:color w:val="auto"/>
              </w:rPr>
              <w:t>Components of Rental Income</w:t>
            </w:r>
          </w:p>
        </w:tc>
        <w:tc>
          <w:tcPr>
            <w:tcW w:w="13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10</w:t>
            </w:r>
          </w:p>
        </w:tc>
        <w:tc>
          <w:tcPr>
            <w:tcW w:w="20" w:type="dxa"/>
            <w:vAlign w:val="bottom"/>
            <w:shd w:val="clear" w:color="auto" w:fill="CCEEFF"/>
          </w:tcPr>
          <w:p>
            <w:pPr>
              <w:spacing w:after="0"/>
              <w:rPr>
                <w:sz w:val="18"/>
                <w:szCs w:val="18"/>
                <w:color w:val="auto"/>
              </w:rPr>
            </w:pPr>
          </w:p>
        </w:tc>
      </w:tr>
      <w:tr>
        <w:trPr>
          <w:trHeight w:val="189"/>
        </w:trPr>
        <w:tc>
          <w:tcPr>
            <w:tcW w:w="460" w:type="dxa"/>
            <w:vAlign w:val="bottom"/>
            <w:tcBorders>
              <w:top w:val="single" w:sz="8" w:color="CCEEFF"/>
            </w:tcBorders>
          </w:tcPr>
          <w:p>
            <w:pPr>
              <w:spacing w:after="0"/>
              <w:rPr>
                <w:sz w:val="16"/>
                <w:szCs w:val="16"/>
                <w:color w:val="auto"/>
              </w:rPr>
            </w:pPr>
          </w:p>
        </w:tc>
        <w:tc>
          <w:tcPr>
            <w:tcW w:w="7500" w:type="dxa"/>
            <w:vAlign w:val="bottom"/>
            <w:tcBorders>
              <w:top w:val="single" w:sz="8" w:color="CCEEFF"/>
            </w:tcBorders>
          </w:tcPr>
          <w:p>
            <w:pPr>
              <w:ind w:left="1140"/>
              <w:spacing w:after="0" w:line="189" w:lineRule="exact"/>
              <w:rPr>
                <w:sz w:val="20"/>
                <w:szCs w:val="20"/>
                <w:color w:val="auto"/>
              </w:rPr>
            </w:pPr>
            <w:r>
              <w:rPr>
                <w:rFonts w:ascii="Times New Roman" w:cs="Times New Roman" w:eastAsia="Times New Roman" w:hAnsi="Times New Roman"/>
                <w:sz w:val="18"/>
                <w:szCs w:val="18"/>
                <w:color w:val="auto"/>
              </w:rPr>
              <w:t>Comparable Property Information</w:t>
            </w:r>
          </w:p>
        </w:tc>
        <w:tc>
          <w:tcPr>
            <w:tcW w:w="1140" w:type="dxa"/>
            <w:vAlign w:val="bottom"/>
            <w:tcBorders>
              <w:top w:val="single" w:sz="8" w:color="CCEEFF"/>
            </w:tcBorders>
          </w:tcPr>
          <w:p>
            <w:pPr>
              <w:spacing w:after="0"/>
              <w:rPr>
                <w:sz w:val="16"/>
                <w:szCs w:val="16"/>
                <w:color w:val="auto"/>
              </w:rPr>
            </w:pPr>
          </w:p>
        </w:tc>
        <w:tc>
          <w:tcPr>
            <w:tcW w:w="180" w:type="dxa"/>
            <w:vAlign w:val="bottom"/>
            <w:tcBorders>
              <w:top w:val="single" w:sz="8" w:color="0000FF"/>
              <w:bottom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11</w:t>
            </w:r>
          </w:p>
        </w:tc>
        <w:tc>
          <w:tcPr>
            <w:tcW w:w="20" w:type="dxa"/>
            <w:vAlign w:val="bottom"/>
            <w:tcBorders>
              <w:top w:val="single" w:sz="8" w:color="CCEEFF"/>
            </w:tcBorders>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60" w:type="dxa"/>
            <w:vAlign w:val="bottom"/>
            <w:shd w:val="clear" w:color="auto" w:fill="CCEEFF"/>
          </w:tcPr>
          <w:p>
            <w:pPr>
              <w:spacing w:after="0"/>
              <w:rPr>
                <w:sz w:val="16"/>
                <w:szCs w:val="16"/>
                <w:color w:val="auto"/>
              </w:rPr>
            </w:pPr>
          </w:p>
        </w:tc>
        <w:tc>
          <w:tcPr>
            <w:tcW w:w="7500" w:type="dxa"/>
            <w:vAlign w:val="bottom"/>
            <w:shd w:val="clear" w:color="auto" w:fill="CCEEFF"/>
          </w:tcPr>
          <w:p>
            <w:pPr>
              <w:ind w:left="1140"/>
              <w:spacing w:after="0" w:line="189" w:lineRule="exact"/>
              <w:rPr>
                <w:sz w:val="20"/>
                <w:szCs w:val="20"/>
                <w:color w:val="auto"/>
              </w:rPr>
            </w:pPr>
            <w:r>
              <w:rPr>
                <w:rFonts w:ascii="Times New Roman" w:cs="Times New Roman" w:eastAsia="Times New Roman" w:hAnsi="Times New Roman"/>
                <w:sz w:val="18"/>
                <w:szCs w:val="18"/>
                <w:color w:val="auto"/>
              </w:rPr>
              <w:t>Market Data, Debt Metrics, and Senior Notes and Debentures Covenants</w:t>
            </w:r>
          </w:p>
        </w:tc>
        <w:tc>
          <w:tcPr>
            <w:tcW w:w="13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shd w:val="clear" w:color="auto" w:fill="CCEEFF"/>
          </w:tcPr>
          <w:p>
            <w:pPr>
              <w:spacing w:after="0"/>
              <w:rPr>
                <w:sz w:val="16"/>
                <w:szCs w:val="16"/>
                <w:color w:val="auto"/>
              </w:rPr>
            </w:pP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75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11" w:lineRule="exact"/>
        <w:rPr>
          <w:sz w:val="20"/>
          <w:szCs w:val="20"/>
          <w:color w:val="auto"/>
        </w:rPr>
      </w:pPr>
    </w:p>
    <w:p>
      <w:pPr>
        <w:ind w:left="800" w:hanging="789"/>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5906135" cy="145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6135" cy="1454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65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Summary of Outstanding Debt</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17"/>
                <w:szCs w:val="17"/>
                <w:color w:val="auto"/>
              </w:rPr>
            </w:pPr>
          </w:p>
        </w:tc>
      </w:tr>
      <w:tr>
        <w:trPr>
          <w:trHeight w:val="21"/>
        </w:trPr>
        <w:tc>
          <w:tcPr>
            <w:tcW w:w="5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00" w:type="dxa"/>
            <w:vAlign w:val="bottom"/>
            <w:shd w:val="clear" w:color="auto" w:fill="CCEEFF"/>
          </w:tcPr>
          <w:p>
            <w:pPr>
              <w:spacing w:after="0"/>
              <w:rPr>
                <w:sz w:val="18"/>
                <w:szCs w:val="18"/>
                <w:color w:val="auto"/>
              </w:rPr>
            </w:pPr>
          </w:p>
        </w:tc>
        <w:tc>
          <w:tcPr>
            <w:tcW w:w="6560" w:type="dxa"/>
            <w:vAlign w:val="bottom"/>
            <w:shd w:val="clear" w:color="auto" w:fill="CCEEFF"/>
          </w:tcPr>
          <w:p>
            <w:pPr>
              <w:ind w:left="1100"/>
              <w:spacing w:after="0" w:line="189" w:lineRule="exact"/>
              <w:rPr>
                <w:sz w:val="20"/>
                <w:szCs w:val="20"/>
                <w:color w:val="auto"/>
              </w:rPr>
            </w:pPr>
            <w:r>
              <w:rPr>
                <w:rFonts w:ascii="Times New Roman" w:cs="Times New Roman" w:eastAsia="Times New Roman" w:hAnsi="Times New Roman"/>
                <w:sz w:val="18"/>
                <w:szCs w:val="18"/>
                <w:color w:val="auto"/>
              </w:rPr>
              <w:t>Summary of Debt Maturities</w:t>
            </w:r>
          </w:p>
        </w:tc>
        <w:tc>
          <w:tcPr>
            <w:tcW w:w="22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14</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9"/>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w:t>
            </w:r>
          </w:p>
        </w:tc>
        <w:tc>
          <w:tcPr>
            <w:tcW w:w="656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Summary of Redevelopment and Expansion Opportunities</w:t>
            </w:r>
          </w:p>
        </w:tc>
        <w:tc>
          <w:tcPr>
            <w:tcW w:w="22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15</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9"/>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5</w:t>
            </w:r>
          </w:p>
        </w:tc>
        <w:tc>
          <w:tcPr>
            <w:tcW w:w="656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Future Redevelopment and Expansion Opportunities</w:t>
            </w:r>
          </w:p>
        </w:tc>
        <w:tc>
          <w:tcPr>
            <w:tcW w:w="22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16</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6</w:t>
            </w:r>
          </w:p>
        </w:tc>
        <w:tc>
          <w:tcPr>
            <w:tcW w:w="656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2024 Transactions</w:t>
            </w:r>
          </w:p>
        </w:tc>
        <w:tc>
          <w:tcPr>
            <w:tcW w:w="22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17</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9"/>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656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Real Estate Status Report</w:t>
            </w:r>
          </w:p>
        </w:tc>
        <w:tc>
          <w:tcPr>
            <w:tcW w:w="22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18</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9"/>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8</w:t>
            </w:r>
          </w:p>
        </w:tc>
        <w:tc>
          <w:tcPr>
            <w:tcW w:w="656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Retail Leasing Summary</w:t>
            </w:r>
          </w:p>
        </w:tc>
        <w:tc>
          <w:tcPr>
            <w:tcW w:w="22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23</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9</w:t>
            </w:r>
          </w:p>
        </w:tc>
        <w:tc>
          <w:tcPr>
            <w:tcW w:w="656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Lease Expirations</w:t>
            </w:r>
          </w:p>
        </w:tc>
        <w:tc>
          <w:tcPr>
            <w:tcW w:w="22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24</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656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Portfolio Leased Statistics</w:t>
            </w:r>
          </w:p>
        </w:tc>
        <w:tc>
          <w:tcPr>
            <w:tcW w:w="22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11</w:t>
            </w:r>
          </w:p>
        </w:tc>
        <w:tc>
          <w:tcPr>
            <w:tcW w:w="656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Summary of Top 25 Tenants</w:t>
            </w:r>
          </w:p>
        </w:tc>
        <w:tc>
          <w:tcPr>
            <w:tcW w:w="22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12</w:t>
            </w:r>
          </w:p>
        </w:tc>
        <w:tc>
          <w:tcPr>
            <w:tcW w:w="656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Reconciliation of FFO Guidance</w:t>
            </w:r>
          </w:p>
        </w:tc>
        <w:tc>
          <w:tcPr>
            <w:tcW w:w="22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27</w:t>
            </w:r>
          </w:p>
        </w:tc>
        <w:tc>
          <w:tcPr>
            <w:tcW w:w="20" w:type="dxa"/>
            <w:vAlign w:val="bottom"/>
            <w:shd w:val="clear" w:color="auto" w:fill="CCEEFF"/>
          </w:tcPr>
          <w:p>
            <w:pPr>
              <w:spacing w:after="0"/>
              <w:rPr>
                <w:sz w:val="18"/>
                <w:szCs w:val="18"/>
                <w:color w:val="auto"/>
              </w:rPr>
            </w:pPr>
          </w:p>
        </w:tc>
      </w:tr>
      <w:tr>
        <w:trPr>
          <w:trHeight w:val="270"/>
        </w:trPr>
        <w:tc>
          <w:tcPr>
            <w:tcW w:w="500" w:type="dxa"/>
            <w:vAlign w:val="bottom"/>
            <w:tcBorders>
              <w:top w:val="single" w:sz="8" w:color="CCEEFF"/>
            </w:tcBorders>
          </w:tcPr>
          <w:p>
            <w:pPr>
              <w:spacing w:after="0"/>
              <w:rPr>
                <w:sz w:val="23"/>
                <w:szCs w:val="23"/>
                <w:color w:val="auto"/>
              </w:rPr>
            </w:pPr>
          </w:p>
        </w:tc>
        <w:tc>
          <w:tcPr>
            <w:tcW w:w="656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13</w:t>
            </w:r>
          </w:p>
        </w:tc>
        <w:tc>
          <w:tcPr>
            <w:tcW w:w="656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Glossary of Terms</w:t>
            </w:r>
          </w:p>
        </w:tc>
        <w:tc>
          <w:tcPr>
            <w:tcW w:w="22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28</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500" w:type="dxa"/>
            <w:vAlign w:val="bottom"/>
            <w:shd w:val="clear" w:color="auto" w:fill="CCEEFF"/>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bl>
    <w:p>
      <w:pPr>
        <w:jc w:val="center"/>
        <w:ind w:right="20"/>
        <w:spacing w:after="0"/>
        <w:rPr>
          <w:sz w:val="20"/>
          <w:szCs w:val="20"/>
          <w:color w:val="auto"/>
        </w:rPr>
      </w:pPr>
      <w:r>
        <w:rPr>
          <w:rFonts w:ascii="Times New Roman" w:cs="Times New Roman" w:eastAsia="Times New Roman" w:hAnsi="Times New Roman"/>
          <w:sz w:val="18"/>
          <w:szCs w:val="18"/>
          <w:color w:val="auto"/>
        </w:rPr>
        <w:t>909 Rose Avenue, Suite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906135" cy="146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6135" cy="146050"/>
                    </a:xfrm>
                    <a:prstGeom prst="rect">
                      <a:avLst/>
                    </a:prstGeom>
                    <a:noFill/>
                  </pic:spPr>
                </pic:pic>
              </a:graphicData>
            </a:graphic>
          </wp:anchor>
        </w:drawing>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North Bethesda, Maryland 20852</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301-998-8100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300"/>
          </w:cols>
          <w:pgMar w:left="1300" w:top="1022" w:right="1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Language</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12, 2024, and include the following:</w:t>
      </w:r>
    </w:p>
    <w:p>
      <w:pPr>
        <w:spacing w:after="0" w:line="214" w:lineRule="exact"/>
        <w:rPr>
          <w:sz w:val="20"/>
          <w:szCs w:val="20"/>
          <w:color w:val="auto"/>
        </w:rPr>
      </w:pPr>
    </w:p>
    <w:p>
      <w:pPr>
        <w:ind w:left="980" w:right="160" w:hanging="324"/>
        <w:spacing w:after="0" w:line="26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that our tenants will not pay rent, may vacate early or may file for bankruptcy or that we may be unable to renew leases or re-let space at favorable rents as leases expire or to fill existing vacancy;</w:t>
      </w:r>
    </w:p>
    <w:p>
      <w:pPr>
        <w:ind w:left="98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spacing w:after="0" w:line="1" w:lineRule="exact"/>
        <w:rPr>
          <w:rFonts w:ascii="Times New Roman" w:cs="Times New Roman" w:eastAsia="Times New Roman" w:hAnsi="Times New Roman"/>
          <w:sz w:val="18"/>
          <w:szCs w:val="18"/>
          <w:color w:val="auto"/>
        </w:rPr>
      </w:pPr>
    </w:p>
    <w:p>
      <w:pPr>
        <w:ind w:left="980" w:right="100" w:hanging="324"/>
        <w:spacing w:after="0" w:line="250" w:lineRule="auto"/>
        <w:tabs>
          <w:tab w:leader="none" w:pos="97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Times New Roman" w:cs="Times New Roman" w:eastAsia="Times New Roman" w:hAnsi="Times New Roman"/>
          <w:sz w:val="18"/>
          <w:szCs w:val="18"/>
          <w:i w:val="1"/>
          <w:iCs w:val="1"/>
          <w:color w:val="auto"/>
        </w:rPr>
      </w:pPr>
    </w:p>
    <w:p>
      <w:pPr>
        <w:ind w:left="980" w:right="28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that our growth will be limited if we cannot obtain additional capital, or if the costs of capital we obtain are significantly higher than historical levels;</w:t>
      </w:r>
    </w:p>
    <w:p>
      <w:pPr>
        <w:ind w:left="980" w:hanging="324"/>
        <w:spacing w:after="0"/>
        <w:tabs>
          <w:tab w:leader="none" w:pos="9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general economic conditions, including inflation and local economic conditions in our geographic markets;</w:t>
      </w:r>
    </w:p>
    <w:p>
      <w:pPr>
        <w:spacing w:after="0" w:line="9" w:lineRule="exact"/>
        <w:rPr>
          <w:rFonts w:ascii="Times New Roman" w:cs="Times New Roman" w:eastAsia="Times New Roman" w:hAnsi="Times New Roman"/>
          <w:sz w:val="18"/>
          <w:szCs w:val="18"/>
          <w:i w:val="1"/>
          <w:iCs w:val="1"/>
          <w:color w:val="auto"/>
        </w:rPr>
      </w:pPr>
    </w:p>
    <w:p>
      <w:pPr>
        <w:ind w:left="980" w:right="36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jc w:val="both"/>
        <w:ind w:left="980" w:right="42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1" w:lineRule="exact"/>
        <w:rPr>
          <w:rFonts w:ascii="Times New Roman" w:cs="Times New Roman" w:eastAsia="Times New Roman" w:hAnsi="Times New Roman"/>
          <w:sz w:val="18"/>
          <w:szCs w:val="18"/>
          <w:color w:val="auto"/>
        </w:rPr>
      </w:pPr>
    </w:p>
    <w:p>
      <w:pPr>
        <w:ind w:left="980" w:right="40" w:hanging="324"/>
        <w:spacing w:after="0" w:line="253" w:lineRule="auto"/>
        <w:tabs>
          <w:tab w:leader="none" w:pos="97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21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12, 2024 and subsequent quarterly reports on Form 10-Q.</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87"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2548255</wp:posOffset>
            </wp:positionH>
            <wp:positionV relativeFrom="page">
              <wp:posOffset>757555</wp:posOffset>
            </wp:positionV>
            <wp:extent cx="2451735" cy="960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45173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tabs>
          <w:tab w:leader="none" w:pos="9000" w:val="left"/>
        </w:tabs>
        <w:rPr>
          <w:sz w:val="20"/>
          <w:szCs w:val="20"/>
          <w:color w:val="auto"/>
        </w:rPr>
      </w:pPr>
      <w:r>
        <w:rPr>
          <w:rFonts w:ascii="Arial" w:cs="Arial" w:eastAsia="Arial" w:hAnsi="Arial"/>
          <w:sz w:val="17"/>
          <w:szCs w:val="17"/>
          <w:b w:val="1"/>
          <w:bCs w:val="1"/>
          <w:color w:val="auto"/>
        </w:rPr>
        <w:t>NEWS RELEASE</w:t>
      </w:r>
      <w:r>
        <w:rPr>
          <w:sz w:val="20"/>
          <w:szCs w:val="20"/>
          <w:color w:val="auto"/>
        </w:rPr>
        <w:tab/>
      </w:r>
      <w:r>
        <w:rPr>
          <w:rFonts w:ascii="Arial" w:cs="Arial" w:eastAsia="Arial" w:hAnsi="Arial"/>
          <w:sz w:val="16"/>
          <w:szCs w:val="16"/>
          <w:b w:val="1"/>
          <w:bCs w:val="1"/>
          <w:color w:val="auto"/>
        </w:rPr>
        <w:t>www.federalrealty.com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69005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00545" cy="17145"/>
                    </a:xfrm>
                    <a:prstGeom prst="rect">
                      <a:avLst/>
                    </a:prstGeom>
                    <a:noFill/>
                  </pic:spPr>
                </pic:pic>
              </a:graphicData>
            </a:graphic>
          </wp:anchor>
        </w:drawing>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FOR IMMEDIATE RELEASE</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Inquiries: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Brenda Pomar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Director, Corporate Communications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301.998.8316</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bpomar@federalrealty.com</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 Announces Second Quarter 2024 Operating Results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Active acquisition activity with $287 million of investments</w:t>
      </w:r>
    </w:p>
    <w:p>
      <w:pPr>
        <w:spacing w:after="0" w:line="260" w:lineRule="exact"/>
        <w:rPr>
          <w:sz w:val="20"/>
          <w:szCs w:val="20"/>
          <w:color w:val="auto"/>
        </w:rPr>
      </w:pPr>
    </w:p>
    <w:p>
      <w:pPr>
        <w:jc w:val="both"/>
        <w:ind w:right="320"/>
        <w:spacing w:after="0" w:line="372" w:lineRule="auto"/>
        <w:rPr>
          <w:sz w:val="20"/>
          <w:szCs w:val="20"/>
          <w:color w:val="auto"/>
        </w:rPr>
      </w:pPr>
      <w:r>
        <w:rPr>
          <w:rFonts w:ascii="Arial" w:cs="Arial" w:eastAsia="Arial" w:hAnsi="Arial"/>
          <w:sz w:val="18"/>
          <w:szCs w:val="18"/>
          <w:color w:val="auto"/>
        </w:rPr>
        <w:t xml:space="preserve">NORTH BETHESDA, Md. (August 1, 2024) - </w:t>
      </w:r>
      <w:r>
        <w:rPr>
          <w:rFonts w:ascii="Arial" w:cs="Arial" w:eastAsia="Arial" w:hAnsi="Arial"/>
          <w:sz w:val="18"/>
          <w:szCs w:val="18"/>
          <w:u w:val="single" w:color="auto"/>
          <w:color w:val="auto"/>
        </w:rPr>
        <w:t>Federal Realty Investment Trust</w:t>
      </w:r>
      <w:r>
        <w:rPr>
          <w:rFonts w:ascii="Arial" w:cs="Arial" w:eastAsia="Arial" w:hAnsi="Arial"/>
          <w:sz w:val="18"/>
          <w:szCs w:val="18"/>
          <w:color w:val="auto"/>
        </w:rPr>
        <w:t xml:space="preserve"> (NYSE:FRT) today reported operating results for its second quarter ended June 30, 2024. For the three months ended June 30, 2024 and 2023, net income available for common shareholders was $1.32 per diluted share and $0.72 per diluted share, respectively. For the three months ended June 30, 2024 and 2023, operating income was $157.0 million and $101.8 million,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Highlights for the second quarter include:</w:t>
      </w:r>
    </w:p>
    <w:p>
      <w:pPr>
        <w:spacing w:after="0" w:line="252" w:lineRule="exact"/>
        <w:rPr>
          <w:sz w:val="20"/>
          <w:szCs w:val="20"/>
          <w:color w:val="auto"/>
        </w:rPr>
      </w:pPr>
    </w:p>
    <w:p>
      <w:pPr>
        <w:ind w:left="660" w:right="20" w:hanging="328"/>
        <w:spacing w:after="0" w:line="3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funds from operations available to common shareholders (FFO) per diluted share of $1.69 for the quarter, compared to $1.67 for the second quarter of 2023.</w:t>
      </w:r>
    </w:p>
    <w:p>
      <w:pPr>
        <w:ind w:left="660" w:hanging="328"/>
        <w:spacing w:after="0" w:line="36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Signed 122 leases for 594,361 square feet of comparable retail space, a record level of comparable square footage signed in any second quarter and the second highest of any quarter, at a cash basis rollover growth of 10% and 23% on a straight-line basis.</w:t>
      </w:r>
    </w:p>
    <w:p>
      <w:pPr>
        <w:spacing w:after="0" w:line="1" w:lineRule="exact"/>
        <w:rPr>
          <w:rFonts w:ascii="Arial" w:cs="Arial" w:eastAsia="Arial" w:hAnsi="Arial"/>
          <w:sz w:val="18"/>
          <w:szCs w:val="18"/>
          <w:color w:val="auto"/>
        </w:rPr>
      </w:pPr>
    </w:p>
    <w:p>
      <w:pPr>
        <w:ind w:left="660" w:hanging="328"/>
        <w:spacing w:after="0" w:line="3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comparable property operating income (POI) growth of 2.9% for the second quarter, excluding lease termination fees and prior period rents collected.</w:t>
      </w:r>
    </w:p>
    <w:p>
      <w:pPr>
        <w:ind w:left="660" w:hanging="328"/>
        <w:spacing w:after="0" w:line="36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Reported portfolio occupancy of 93.1% and a leased rate of 95.3% at quarter end, representing an increase of 110 basis points and 100 basis points, respectively, quarter-over-quarter.</w:t>
      </w:r>
    </w:p>
    <w:p>
      <w:pPr>
        <w:spacing w:after="0" w:line="1" w:lineRule="exact"/>
        <w:rPr>
          <w:rFonts w:ascii="Arial" w:cs="Arial" w:eastAsia="Arial" w:hAnsi="Arial"/>
          <w:sz w:val="18"/>
          <w:szCs w:val="18"/>
          <w:color w:val="auto"/>
        </w:rPr>
      </w:pPr>
    </w:p>
    <w:p>
      <w:pPr>
        <w:ind w:left="660" w:hanging="328"/>
        <w:spacing w:after="0" w:line="3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strong small shop leasing, ending the quarter at 92.5% leased, with an increase of 110 basis points quarter-over-quarter and 230 basis points year-over-year.</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quarter and subsequent to quarter end:</w:t>
      </w:r>
    </w:p>
    <w:p>
      <w:pPr>
        <w:spacing w:after="0" w:line="103" w:lineRule="exact"/>
        <w:rPr>
          <w:rFonts w:ascii="Arial" w:cs="Arial" w:eastAsia="Arial" w:hAnsi="Arial"/>
          <w:sz w:val="18"/>
          <w:szCs w:val="18"/>
          <w:color w:val="auto"/>
        </w:rPr>
      </w:pPr>
    </w:p>
    <w:p>
      <w:pPr>
        <w:ind w:left="1360" w:hanging="380"/>
        <w:spacing w:after="0"/>
        <w:tabs>
          <w:tab w:leader="none" w:pos="13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Acquired two assets totaling 880,000 square feet on 129 acres for a total purchase price of $275 million.</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Completed the sale of its remaining assets on Third Street Promenade in Santa Monica, CA, for $103 million.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ind w:left="660" w:right="40" w:hanging="328"/>
        <w:spacing w:after="0" w:line="36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Increased the regular quarterly cash dividend to $1.10 per common share, resulting in an indicated annual rate of $4.40 per common share. This marks the 57th consecutive year that Federal Realty has increased its common dividend, the longest record of consecutive annual dividend increases in the REIT sector.</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Tightened and raised 2024 earnings per diluted share guidance to $3.33 - $3.51, 2024 FFO per diluted share guidance to $6.70 -</w:t>
      </w:r>
    </w:p>
    <w:p>
      <w:pPr>
        <w:spacing w:after="0" w:line="103" w:lineRule="exact"/>
        <w:rPr>
          <w:rFonts w:ascii="Arial" w:cs="Arial" w:eastAsia="Arial" w:hAnsi="Arial"/>
          <w:sz w:val="18"/>
          <w:szCs w:val="18"/>
          <w:color w:val="auto"/>
        </w:rPr>
      </w:pPr>
    </w:p>
    <w:p>
      <w:pPr>
        <w:ind w:left="660" w:right="120"/>
        <w:spacing w:after="0" w:line="360" w:lineRule="auto"/>
        <w:rPr>
          <w:rFonts w:ascii="Arial" w:cs="Arial" w:eastAsia="Arial" w:hAnsi="Arial"/>
          <w:sz w:val="18"/>
          <w:szCs w:val="18"/>
          <w:color w:val="auto"/>
        </w:rPr>
      </w:pPr>
      <w:r>
        <w:rPr>
          <w:rFonts w:ascii="Arial" w:cs="Arial" w:eastAsia="Arial" w:hAnsi="Arial"/>
          <w:sz w:val="18"/>
          <w:szCs w:val="18"/>
          <w:color w:val="auto"/>
        </w:rPr>
        <w:t>$6.88, and 2024 comparable properties growth excluding lease termination fees and prior period rents collected assumption to 3% - 4%.</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Issued the company’s 2023 Sustainability Report.</w:t>
      </w:r>
    </w:p>
    <w:p>
      <w:pPr>
        <w:spacing w:after="0" w:line="252" w:lineRule="exact"/>
        <w:rPr>
          <w:sz w:val="20"/>
          <w:szCs w:val="20"/>
          <w:color w:val="auto"/>
        </w:rPr>
      </w:pPr>
    </w:p>
    <w:p>
      <w:pPr>
        <w:ind w:right="200"/>
        <w:spacing w:after="0" w:line="377" w:lineRule="auto"/>
        <w:rPr>
          <w:sz w:val="20"/>
          <w:szCs w:val="20"/>
          <w:color w:val="auto"/>
        </w:rPr>
      </w:pPr>
      <w:r>
        <w:rPr>
          <w:rFonts w:ascii="Arial" w:cs="Arial" w:eastAsia="Arial" w:hAnsi="Arial"/>
          <w:sz w:val="18"/>
          <w:szCs w:val="18"/>
          <w:color w:val="auto"/>
        </w:rPr>
        <w:t>“Another record quarter for Federal Realty, starting with funds from operations per share of $1.69, to continued record leasing volume, to furthering our REIT industry record with the 57th consecutive year of increased common dividends,” said Donald C. Wood, Chief Executive Officer. “The robust leasing demand we continue to see is a clear indicator of the value and attractiveness of our properties, setting a solid foundation for strong future earnings growth.”</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w:t>
      </w:r>
      <w:r>
        <w:rPr>
          <w:rFonts w:ascii="Arial" w:cs="Arial" w:eastAsia="Arial" w:hAnsi="Arial"/>
          <w:sz w:val="18"/>
          <w:szCs w:val="18"/>
          <w:color w:val="auto"/>
        </w:rPr>
        <w:t>e</w:t>
      </w:r>
    </w:p>
    <w:p>
      <w:pPr>
        <w:spacing w:after="0" w:line="252" w:lineRule="exact"/>
        <w:rPr>
          <w:sz w:val="20"/>
          <w:szCs w:val="20"/>
          <w:color w:val="auto"/>
        </w:rPr>
      </w:pPr>
    </w:p>
    <w:p>
      <w:pPr>
        <w:spacing w:after="0" w:line="434" w:lineRule="auto"/>
        <w:rPr>
          <w:sz w:val="20"/>
          <w:szCs w:val="20"/>
          <w:color w:val="auto"/>
        </w:rPr>
      </w:pPr>
      <w:r>
        <w:rPr>
          <w:rFonts w:ascii="Arial" w:cs="Arial" w:eastAsia="Arial" w:hAnsi="Arial"/>
          <w:sz w:val="16"/>
          <w:szCs w:val="16"/>
          <w:color w:val="auto"/>
        </w:rPr>
        <w:t>F</w:t>
      </w:r>
      <w:r>
        <w:rPr>
          <w:rFonts w:ascii="Arial" w:cs="Arial" w:eastAsia="Arial" w:hAnsi="Arial"/>
          <w:sz w:val="17"/>
          <w:szCs w:val="17"/>
          <w:color w:val="auto"/>
        </w:rPr>
        <w:t>or the second quarter 2024, net income available for common shareholders was $110.0 million and earnings per diluted share was $1.32</w:t>
      </w:r>
      <w:r>
        <w:rPr>
          <w:rFonts w:ascii="Arial" w:cs="Arial" w:eastAsia="Arial" w:hAnsi="Arial"/>
          <w:sz w:val="16"/>
          <w:szCs w:val="16"/>
          <w:color w:val="auto"/>
        </w:rPr>
        <w:t xml:space="preserve"> </w:t>
      </w:r>
      <w:r>
        <w:rPr>
          <w:rFonts w:ascii="Arial" w:cs="Arial" w:eastAsia="Arial" w:hAnsi="Arial"/>
          <w:sz w:val="17"/>
          <w:szCs w:val="17"/>
          <w:color w:val="auto"/>
        </w:rPr>
        <w:t>versus $58.5 million and $0.72, respectively, for the second quarter 2023.</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FFO</w:t>
      </w:r>
    </w:p>
    <w:p>
      <w:pPr>
        <w:spacing w:after="0" w:line="250" w:lineRule="exact"/>
        <w:rPr>
          <w:sz w:val="20"/>
          <w:szCs w:val="20"/>
          <w:color w:val="auto"/>
        </w:rPr>
      </w:pPr>
    </w:p>
    <w:p>
      <w:pPr>
        <w:spacing w:after="0" w:line="396" w:lineRule="auto"/>
        <w:rPr>
          <w:sz w:val="20"/>
          <w:szCs w:val="20"/>
          <w:color w:val="auto"/>
        </w:rPr>
      </w:pPr>
      <w:r>
        <w:rPr>
          <w:rFonts w:ascii="Arial" w:cs="Arial" w:eastAsia="Arial" w:hAnsi="Arial"/>
          <w:sz w:val="18"/>
          <w:szCs w:val="18"/>
          <w:color w:val="auto"/>
        </w:rPr>
        <w:t>For the second quarter 2024, FFO was $141.3 million, or $1.69 per diluted share, compared to $136.9 million, or $1.67 per diluted share for the second quarter 2023.</w:t>
      </w:r>
    </w:p>
    <w:p>
      <w:pPr>
        <w:spacing w:after="0" w:line="86" w:lineRule="exact"/>
        <w:rPr>
          <w:sz w:val="20"/>
          <w:szCs w:val="20"/>
          <w:color w:val="auto"/>
        </w:rPr>
      </w:pPr>
    </w:p>
    <w:p>
      <w:pPr>
        <w:spacing w:after="0" w:line="396"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Update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Occupancy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portfolio was 93.1% occupied and 95.3% leased as of June 30, 2024.</w:t>
      </w:r>
    </w:p>
    <w:p>
      <w:pPr>
        <w:spacing w:after="0" w:line="252" w:lineRule="exact"/>
        <w:rPr>
          <w:sz w:val="20"/>
          <w:szCs w:val="20"/>
          <w:color w:val="auto"/>
        </w:rPr>
      </w:pPr>
    </w:p>
    <w:p>
      <w:pPr>
        <w:spacing w:after="0" w:line="396" w:lineRule="auto"/>
        <w:rPr>
          <w:sz w:val="20"/>
          <w:szCs w:val="20"/>
          <w:color w:val="auto"/>
        </w:rPr>
      </w:pPr>
      <w:r>
        <w:rPr>
          <w:rFonts w:ascii="Arial" w:cs="Arial" w:eastAsia="Arial" w:hAnsi="Arial"/>
          <w:sz w:val="18"/>
          <w:szCs w:val="18"/>
          <w:color w:val="auto"/>
        </w:rPr>
        <w:t>Small shop leased rate was 92.5% as of June 30, 2024, an increase of 110 basis points quarter-over-quarter and 230 basis points year-over-year.</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The anchor tenant leased rate was 96.7%, reflecting an increase of 90 basis points quarter-over-quarter and 30 basis points year-over-year.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Additionally, residential properties were 97.6% leased as of June 30, 2024.</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Leasing Activity</w:t>
      </w:r>
    </w:p>
    <w:p>
      <w:pPr>
        <w:spacing w:after="0" w:line="250" w:lineRule="exact"/>
        <w:rPr>
          <w:sz w:val="20"/>
          <w:szCs w:val="20"/>
          <w:color w:val="auto"/>
        </w:rPr>
      </w:pPr>
    </w:p>
    <w:p>
      <w:pPr>
        <w:spacing w:after="0" w:line="377" w:lineRule="auto"/>
        <w:rPr>
          <w:sz w:val="20"/>
          <w:szCs w:val="20"/>
          <w:color w:val="auto"/>
        </w:rPr>
      </w:pPr>
      <w:r>
        <w:rPr>
          <w:rFonts w:ascii="Arial" w:cs="Arial" w:eastAsia="Arial" w:hAnsi="Arial"/>
          <w:sz w:val="18"/>
          <w:szCs w:val="18"/>
          <w:color w:val="auto"/>
        </w:rPr>
        <w:t>During the second quarter 2024, Federal Realty signed 124 leases for 600,669 square feet of retail space. On a comparable space basis (i.e., spaces for which there was a former tenant), Federal Realty signed 122 leases for 594,361 square feet at an average rent of $37.72 per square foot compared to the average contractual rent of $34.29 per square foot for the last year of the prior leases, representing a cash basis rollover growth on those comparable</w:t>
      </w:r>
    </w:p>
    <w:p>
      <w:pPr>
        <w:sectPr>
          <w:pgSz w:w="11900" w:h="16838" w:orient="portrait"/>
          <w:cols w:equalWidth="0" w:num="1">
            <w:col w:w="11240"/>
          </w:cols>
          <w:pgMar w:left="320" w:top="12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228" w:right="339" w:bottom="1440" w:gutter="0" w:footer="0" w:header="0"/>
          <w:type w:val="continuous"/>
        </w:sectPr>
      </w:pPr>
    </w:p>
    <w:bookmarkStart w:id="7" w:name="page8"/>
    <w:bookmarkEnd w:id="7"/>
    <w:p>
      <w:pPr>
        <w:ind w:right="380"/>
        <w:spacing w:after="0" w:line="39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spaces of 10%, 23% on a straight-line basis. Comparable leases represented 98% of total comparable and non-comparable retail leases signed during the second quarter 2024.</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Activity</w:t>
      </w:r>
    </w:p>
    <w:p>
      <w:pPr>
        <w:spacing w:after="0" w:line="250" w:lineRule="exact"/>
        <w:rPr>
          <w:sz w:val="20"/>
          <w:szCs w:val="20"/>
          <w:color w:val="auto"/>
        </w:rPr>
      </w:pPr>
    </w:p>
    <w:p>
      <w:pPr>
        <w:ind w:left="660" w:right="220" w:hanging="328"/>
        <w:spacing w:after="0" w:line="36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April 1, 2024 – Acquired the approximately 10% non-controlling interest in the partnership that owns CocoWalk in suburban Miami, Florida for $12.4 million bringing Federal Realty’s ownership to 100%.</w:t>
      </w:r>
    </w:p>
    <w:p>
      <w:pPr>
        <w:jc w:val="both"/>
        <w:ind w:left="660" w:right="600" w:hanging="328"/>
        <w:spacing w:after="0" w:line="365"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May 31, 2024 - Acquired Virginia Gateway, a 664,000 square-foot, 110-acre super-regional community center comprising five adjacent open-air retail properties located at the highly trafficked intersection of I-66 and Route 29 in Gainesville, VA, for $215 million, further expanding Federal Realty’s presence in Northern Virginia.</w:t>
      </w:r>
    </w:p>
    <w:p>
      <w:pPr>
        <w:ind w:left="660" w:right="420" w:hanging="328"/>
        <w:spacing w:after="0" w:line="36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July 31, 2024 - Acquired Pinole Vista Crossing, a dominant 216,000-square-foot, 19-acre regional open-air grocery-anchored community center located along I-80 in Pinole, CA, 13 miles north of Federal Realty’s East Bay Bridge Shopping Center, for $60 million, expanding the company’s presence in Northern California’s East Bay sub-market.</w:t>
      </w:r>
    </w:p>
    <w:p>
      <w:pPr>
        <w:ind w:left="660" w:right="720" w:hanging="328"/>
        <w:spacing w:after="0" w:line="412"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June 5, 2024 - Completed the sale of its remaining assets on Third Street Promenade in Santa Monica, CA, for $103 million, resulting in a gain on sale of $52 million.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Regular Quarterly Dividends</w:t>
      </w:r>
    </w:p>
    <w:p>
      <w:pPr>
        <w:spacing w:after="0" w:line="252" w:lineRule="exact"/>
        <w:rPr>
          <w:sz w:val="20"/>
          <w:szCs w:val="20"/>
          <w:color w:val="auto"/>
        </w:rPr>
      </w:pPr>
    </w:p>
    <w:p>
      <w:pPr>
        <w:jc w:val="both"/>
        <w:spacing w:after="0" w:line="377" w:lineRule="auto"/>
        <w:rPr>
          <w:sz w:val="20"/>
          <w:szCs w:val="20"/>
          <w:color w:val="auto"/>
        </w:rPr>
      </w:pPr>
      <w:r>
        <w:rPr>
          <w:rFonts w:ascii="Arial" w:cs="Arial" w:eastAsia="Arial" w:hAnsi="Arial"/>
          <w:sz w:val="18"/>
          <w:szCs w:val="18"/>
          <w:color w:val="auto"/>
        </w:rPr>
        <w:t>Federal Realty announced today that its Board of Trustees increased the regular quarterly cash dividend to $1.10 per common share, resulting in an indicated annual rate of $4.40 per common share. The regular common dividend will be payable on October 15, 2024 to common shareholders of record as of October 1, 2024. This increase represents the 57th consecutive year that Federal Realty has increased its common dividend, the longest record of consecutive annual dividend increases in the REIT sector.</w:t>
      </w:r>
    </w:p>
    <w:p>
      <w:pPr>
        <w:spacing w:after="0" w:line="103" w:lineRule="exact"/>
        <w:rPr>
          <w:sz w:val="20"/>
          <w:szCs w:val="20"/>
          <w:color w:val="auto"/>
        </w:rPr>
      </w:pPr>
    </w:p>
    <w:p>
      <w:pPr>
        <w:jc w:val="both"/>
        <w:spacing w:after="0" w:line="378" w:lineRule="auto"/>
        <w:rPr>
          <w:sz w:val="20"/>
          <w:szCs w:val="20"/>
          <w:color w:val="auto"/>
        </w:rPr>
      </w:pPr>
      <w:r>
        <w:rPr>
          <w:rFonts w:ascii="Arial" w:cs="Arial" w:eastAsia="Arial" w:hAnsi="Arial"/>
          <w:sz w:val="18"/>
          <w:szCs w:val="18"/>
          <w:color w:val="auto"/>
        </w:rPr>
        <w:t>Federal Realty’s Board of Trustees also declared a quarterly cash dividend on its Class C depositary shares, each representing 1/1000 of a 5.000% Series C Cumulative Preferred Share of Beneficial Interest, of $0.3125 per depositary share. All dividends on the depositary shares will be payable on October 15, 2024 to shareholders of record as of October 1, 2024.</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Guidance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has updated its 2024 guidance, as summarized in the table below: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Full Year 2024 Guidance</w:t>
            </w:r>
          </w:p>
        </w:tc>
        <w:tc>
          <w:tcPr>
            <w:tcW w:w="3980" w:type="dxa"/>
            <w:vAlign w:val="bottom"/>
            <w:gridSpan w:val="3"/>
          </w:tcPr>
          <w:p>
            <w:pPr>
              <w:jc w:val="center"/>
              <w:ind w:left="610"/>
              <w:spacing w:after="0"/>
              <w:rPr>
                <w:sz w:val="20"/>
                <w:szCs w:val="20"/>
                <w:color w:val="auto"/>
              </w:rPr>
            </w:pPr>
            <w:r>
              <w:rPr>
                <w:rFonts w:ascii="Arial" w:cs="Arial" w:eastAsia="Arial" w:hAnsi="Arial"/>
                <w:sz w:val="18"/>
                <w:szCs w:val="18"/>
                <w:color w:val="auto"/>
              </w:rPr>
              <w:t>Revised Guidance</w:t>
            </w:r>
          </w:p>
        </w:tc>
        <w:tc>
          <w:tcPr>
            <w:tcW w:w="3060" w:type="dxa"/>
            <w:vAlign w:val="bottom"/>
            <w:gridSpan w:val="3"/>
          </w:tcPr>
          <w:p>
            <w:pPr>
              <w:ind w:left="900"/>
              <w:spacing w:after="0"/>
              <w:rPr>
                <w:sz w:val="20"/>
                <w:szCs w:val="20"/>
                <w:color w:val="auto"/>
              </w:rPr>
            </w:pPr>
            <w:r>
              <w:rPr>
                <w:rFonts w:ascii="Arial" w:cs="Arial" w:eastAsia="Arial" w:hAnsi="Arial"/>
                <w:sz w:val="18"/>
                <w:szCs w:val="18"/>
                <w:color w:val="auto"/>
              </w:rPr>
              <w:t>Prior Guidance</w:t>
            </w:r>
          </w:p>
        </w:tc>
      </w:tr>
      <w:tr>
        <w:trPr>
          <w:trHeight w:val="21"/>
        </w:trPr>
        <w:tc>
          <w:tcPr>
            <w:tcW w:w="4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9"/>
        </w:trPr>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diluted share</w:t>
            </w:r>
          </w:p>
        </w:tc>
        <w:tc>
          <w:tcPr>
            <w:tcW w:w="160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jc w:val="center"/>
              <w:ind w:right="900"/>
              <w:spacing w:after="0"/>
              <w:rPr>
                <w:sz w:val="20"/>
                <w:szCs w:val="20"/>
                <w:color w:val="auto"/>
              </w:rPr>
            </w:pPr>
            <w:r>
              <w:rPr>
                <w:rFonts w:ascii="Arial" w:cs="Arial" w:eastAsia="Arial" w:hAnsi="Arial"/>
                <w:sz w:val="18"/>
                <w:szCs w:val="18"/>
                <w:color w:val="auto"/>
              </w:rPr>
              <w:t>$3.33 to $3.51</w:t>
            </w:r>
          </w:p>
        </w:tc>
        <w:tc>
          <w:tcPr>
            <w:tcW w:w="90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$2.74 to $2.94</w:t>
            </w:r>
          </w:p>
        </w:tc>
      </w:tr>
      <w:tr>
        <w:trPr>
          <w:trHeight w:val="239"/>
        </w:trPr>
        <w:tc>
          <w:tcPr>
            <w:tcW w:w="460" w:type="dxa"/>
            <w:vAlign w:val="bottom"/>
          </w:tcPr>
          <w:p>
            <w:pPr>
              <w:ind w:left="20"/>
              <w:spacing w:after="0"/>
              <w:rPr>
                <w:sz w:val="20"/>
                <w:szCs w:val="20"/>
                <w:color w:val="auto"/>
              </w:rPr>
            </w:pPr>
            <w:r>
              <w:rPr>
                <w:rFonts w:ascii="Arial" w:cs="Arial" w:eastAsia="Arial" w:hAnsi="Arial"/>
                <w:sz w:val="18"/>
                <w:szCs w:val="18"/>
                <w:color w:val="auto"/>
              </w:rPr>
              <w:t>2024</w:t>
            </w:r>
          </w:p>
        </w:tc>
        <w:tc>
          <w:tcPr>
            <w:tcW w:w="3740" w:type="dxa"/>
            <w:vAlign w:val="bottom"/>
          </w:tcPr>
          <w:p>
            <w:pPr>
              <w:ind w:left="20"/>
              <w:spacing w:after="0"/>
              <w:rPr>
                <w:sz w:val="20"/>
                <w:szCs w:val="20"/>
                <w:color w:val="auto"/>
              </w:rPr>
            </w:pPr>
            <w:r>
              <w:rPr>
                <w:rFonts w:ascii="Arial" w:cs="Arial" w:eastAsia="Arial" w:hAnsi="Arial"/>
                <w:sz w:val="18"/>
                <w:szCs w:val="18"/>
                <w:color w:val="auto"/>
              </w:rPr>
              <w:t>FFO per diluted share</w:t>
            </w:r>
          </w:p>
        </w:tc>
        <w:tc>
          <w:tcPr>
            <w:tcW w:w="1600" w:type="dxa"/>
            <w:vAlign w:val="bottom"/>
          </w:tcPr>
          <w:p>
            <w:pPr>
              <w:spacing w:after="0"/>
              <w:rPr>
                <w:sz w:val="20"/>
                <w:szCs w:val="20"/>
                <w:color w:val="auto"/>
              </w:rPr>
            </w:pPr>
          </w:p>
        </w:tc>
        <w:tc>
          <w:tcPr>
            <w:tcW w:w="2380" w:type="dxa"/>
            <w:vAlign w:val="bottom"/>
            <w:gridSpan w:val="2"/>
          </w:tcPr>
          <w:p>
            <w:pPr>
              <w:jc w:val="center"/>
              <w:ind w:right="900"/>
              <w:spacing w:after="0"/>
              <w:rPr>
                <w:sz w:val="20"/>
                <w:szCs w:val="20"/>
                <w:color w:val="auto"/>
              </w:rPr>
            </w:pPr>
            <w:r>
              <w:rPr>
                <w:rFonts w:ascii="Arial" w:cs="Arial" w:eastAsia="Arial" w:hAnsi="Arial"/>
                <w:sz w:val="18"/>
                <w:szCs w:val="18"/>
                <w:color w:val="auto"/>
              </w:rPr>
              <w:t>$6.70 to $6.88</w:t>
            </w:r>
          </w:p>
        </w:tc>
        <w:tc>
          <w:tcPr>
            <w:tcW w:w="900" w:type="dxa"/>
            <w:vAlign w:val="bottom"/>
          </w:tcPr>
          <w:p>
            <w:pPr>
              <w:spacing w:after="0"/>
              <w:rPr>
                <w:sz w:val="20"/>
                <w:szCs w:val="20"/>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$6.67 to $6.87</w:t>
            </w:r>
          </w:p>
        </w:tc>
      </w:tr>
    </w:tbl>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04" w:lineRule="exact"/>
        <w:rPr>
          <w:sz w:val="20"/>
          <w:szCs w:val="20"/>
          <w:color w:val="auto"/>
        </w:rPr>
      </w:pPr>
    </w:p>
    <w:p>
      <w:pPr>
        <w:jc w:val="both"/>
        <w:spacing w:after="0" w:line="377" w:lineRule="auto"/>
        <w:rPr>
          <w:sz w:val="20"/>
          <w:szCs w:val="20"/>
          <w:color w:val="auto"/>
        </w:rPr>
      </w:pPr>
      <w:r>
        <w:rPr>
          <w:rFonts w:ascii="Arial" w:cs="Arial" w:eastAsia="Arial" w:hAnsi="Arial"/>
          <w:sz w:val="18"/>
          <w:szCs w:val="18"/>
          <w:color w:val="auto"/>
        </w:rPr>
        <w:t>Federal Realty’s management team will present an in-depth discussion of Federal Realty’s operating performance on its second quarter 2024 earnings conference call, which is scheduled for Thursday, August 1, 2024 at 5:00 PM ET. To participate, please call 1-844-826-3035 or 1-412-317-5195 five to ten minutes prior to the call start time. The teleconference can also be accessed via a live webcast at www.federalrealty.com in the Investors section. A replay of</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228" w:right="339" w:bottom="1440" w:gutter="0" w:footer="0" w:header="0"/>
        </w:sectPr>
      </w:pPr>
    </w:p>
    <w:bookmarkStart w:id="8" w:name="page9"/>
    <w:bookmarkEnd w:id="8"/>
    <w:p>
      <w:pPr>
        <w:jc w:val="both"/>
        <w:ind w:right="20"/>
        <w:spacing w:after="0" w:line="39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the webcast will be available on Federal Realty’s website at www.federalrealty.com. A telephonic replay of the conference call will also be available through August 15, 2024 by dialing 1-844-512-2921 or 1-412-317-6671; Passcode: 10189450.</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Federal Realty</w:t>
      </w:r>
    </w:p>
    <w:p>
      <w:pPr>
        <w:spacing w:after="0" w:line="104" w:lineRule="exact"/>
        <w:rPr>
          <w:sz w:val="20"/>
          <w:szCs w:val="20"/>
          <w:color w:val="auto"/>
        </w:rPr>
      </w:pPr>
    </w:p>
    <w:p>
      <w:pPr>
        <w:jc w:val="both"/>
        <w:spacing w:after="0" w:line="368" w:lineRule="auto"/>
        <w:rPr>
          <w:sz w:val="20"/>
          <w:szCs w:val="20"/>
          <w:color w:val="auto"/>
        </w:rPr>
      </w:pPr>
      <w:r>
        <w:rPr>
          <w:rFonts w:ascii="Arial" w:cs="Arial" w:eastAsia="Arial" w:hAnsi="Arial"/>
          <w:sz w:val="18"/>
          <w:szCs w:val="18"/>
          <w:color w:val="auto"/>
        </w:rPr>
        <w:t>Federal Realty is a recognized leader in the ownership, operation and redevelopment of high-quality retail-based properties located primarily in major coastal markets from Washington, D.C. to Boston as well as Northern and Southern California. Founded in 1962, Federal Realty’s mission is to deliver long-term, sustainable growth through investing in communities where retail demand exceeds supply. Its expertise includes creating urban, mixed-use neighborhoods 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 Federal Realty's 102 properties include approximately 3,400 tenants, in 27 million commercial square feet, and approximately 3,100 residential units.</w:t>
      </w:r>
    </w:p>
    <w:p>
      <w:pPr>
        <w:spacing w:after="0" w:line="114" w:lineRule="exact"/>
        <w:rPr>
          <w:sz w:val="20"/>
          <w:szCs w:val="20"/>
          <w:color w:val="auto"/>
        </w:rPr>
      </w:pPr>
    </w:p>
    <w:p>
      <w:pPr>
        <w:ind w:right="120"/>
        <w:spacing w:after="0" w:line="386" w:lineRule="auto"/>
        <w:rPr>
          <w:sz w:val="20"/>
          <w:szCs w:val="20"/>
          <w:color w:val="auto"/>
        </w:rPr>
      </w:pPr>
      <w:r>
        <w:rPr>
          <w:rFonts w:ascii="Arial" w:cs="Arial" w:eastAsia="Arial" w:hAnsi="Arial"/>
          <w:sz w:val="18"/>
          <w:szCs w:val="18"/>
          <w:color w:val="auto"/>
        </w:rPr>
        <w:t>Federal Realty has increased its quarterly dividends to its shareholders for 57 consecutive years, the longest record in the REIT industry. Federal Realty is an S&amp;P 500 index member and its shares are traded on the NYSE under the symbol FRT. For additional information about Federal Realty and its properties, visit www.federalrealty.com.</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Language</w:t>
      </w:r>
    </w:p>
    <w:p>
      <w:pPr>
        <w:spacing w:after="0" w:line="210" w:lineRule="exact"/>
        <w:rPr>
          <w:sz w:val="20"/>
          <w:szCs w:val="20"/>
          <w:color w:val="auto"/>
        </w:rPr>
      </w:pPr>
    </w:p>
    <w:p>
      <w:pPr>
        <w:spacing w:after="0" w:line="281"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12, 2024 and include the following:</w:t>
      </w:r>
    </w:p>
    <w:p>
      <w:pPr>
        <w:spacing w:after="0" w:line="204" w:lineRule="exact"/>
        <w:rPr>
          <w:sz w:val="20"/>
          <w:szCs w:val="20"/>
          <w:color w:val="auto"/>
        </w:rPr>
      </w:pPr>
    </w:p>
    <w:p>
      <w:pPr>
        <w:ind w:left="980" w:right="60" w:hanging="324"/>
        <w:spacing w:after="0" w:line="270" w:lineRule="auto"/>
        <w:tabs>
          <w:tab w:leader="none" w:pos="976" w:val="left"/>
        </w:tabs>
        <w:numPr>
          <w:ilvl w:val="0"/>
          <w:numId w:val="7"/>
        </w:numPr>
        <w:rPr>
          <w:rFonts w:ascii="Times New Roman" w:cs="Times New Roman" w:eastAsia="Times New Roman" w:hAnsi="Times New Roman"/>
          <w:sz w:val="14"/>
          <w:szCs w:val="14"/>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 or to fill existing vacancy;</w:t>
      </w:r>
    </w:p>
    <w:p>
      <w:pPr>
        <w:ind w:left="980" w:right="160" w:hanging="324"/>
        <w:spacing w:after="0" w:line="261" w:lineRule="auto"/>
        <w:tabs>
          <w:tab w:leader="none" w:pos="976"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spacing w:after="0" w:line="1" w:lineRule="exact"/>
        <w:rPr>
          <w:rFonts w:ascii="Arial" w:cs="Arial" w:eastAsia="Arial" w:hAnsi="Arial"/>
          <w:sz w:val="14"/>
          <w:szCs w:val="14"/>
          <w:i w:val="1"/>
          <w:iCs w:val="1"/>
          <w:color w:val="auto"/>
        </w:rPr>
      </w:pPr>
    </w:p>
    <w:p>
      <w:pPr>
        <w:ind w:left="980" w:hanging="324"/>
        <w:spacing w:after="0" w:line="257" w:lineRule="auto"/>
        <w:tabs>
          <w:tab w:leader="none" w:pos="976"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2" w:lineRule="exact"/>
        <w:rPr>
          <w:rFonts w:ascii="Arial" w:cs="Arial" w:eastAsia="Arial" w:hAnsi="Arial"/>
          <w:sz w:val="14"/>
          <w:szCs w:val="14"/>
          <w:i w:val="1"/>
          <w:iCs w:val="1"/>
          <w:color w:val="auto"/>
        </w:rPr>
      </w:pPr>
    </w:p>
    <w:p>
      <w:pPr>
        <w:ind w:left="980" w:hanging="324"/>
        <w:spacing w:after="0"/>
        <w:tabs>
          <w:tab w:leader="none" w:pos="980" w:val="left"/>
        </w:tabs>
        <w:numPr>
          <w:ilvl w:val="0"/>
          <w:numId w:val="7"/>
        </w:numPr>
        <w:rPr>
          <w:rFonts w:ascii="Arial" w:cs="Arial" w:eastAsia="Arial" w:hAnsi="Arial"/>
          <w:sz w:val="14"/>
          <w:szCs w:val="14"/>
          <w:color w:val="auto"/>
        </w:rPr>
      </w:pPr>
      <w:r>
        <w:rPr>
          <w:rFonts w:ascii="Arial" w:cs="Arial" w:eastAsia="Arial" w:hAnsi="Arial"/>
          <w:sz w:val="14"/>
          <w:szCs w:val="14"/>
          <w:i w:val="1"/>
          <w:iCs w:val="1"/>
          <w:color w:val="auto"/>
        </w:rPr>
        <w:t>risks that our growth will be limited if we cannot obtain additional capital, or if the costs of capital we obtain are significantly higher than historical levels;</w:t>
      </w:r>
    </w:p>
    <w:p>
      <w:pPr>
        <w:spacing w:after="0" w:line="1" w:lineRule="exact"/>
        <w:rPr>
          <w:rFonts w:ascii="Arial" w:cs="Arial" w:eastAsia="Arial" w:hAnsi="Arial"/>
          <w:sz w:val="14"/>
          <w:szCs w:val="14"/>
          <w:color w:val="auto"/>
        </w:rPr>
      </w:pPr>
    </w:p>
    <w:p>
      <w:pPr>
        <w:ind w:left="980" w:hanging="324"/>
        <w:spacing w:after="0"/>
        <w:tabs>
          <w:tab w:leader="none" w:pos="98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risks associated with general economic conditions, including inflation and local economic conditions in our geographic markets;</w:t>
      </w:r>
    </w:p>
    <w:p>
      <w:pPr>
        <w:spacing w:after="0" w:line="14" w:lineRule="exact"/>
        <w:rPr>
          <w:rFonts w:ascii="Arial" w:cs="Arial" w:eastAsia="Arial" w:hAnsi="Arial"/>
          <w:sz w:val="14"/>
          <w:szCs w:val="14"/>
          <w:i w:val="1"/>
          <w:iCs w:val="1"/>
          <w:color w:val="auto"/>
        </w:rPr>
      </w:pPr>
    </w:p>
    <w:p>
      <w:pPr>
        <w:ind w:left="980" w:right="320" w:hanging="324"/>
        <w:spacing w:after="0" w:line="261" w:lineRule="auto"/>
        <w:tabs>
          <w:tab w:leader="none" w:pos="976"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ind w:left="980" w:hanging="324"/>
        <w:spacing w:after="0" w:line="254" w:lineRule="auto"/>
        <w:tabs>
          <w:tab w:leader="none" w:pos="976"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1" w:lineRule="exact"/>
        <w:rPr>
          <w:rFonts w:ascii="Arial" w:cs="Arial" w:eastAsia="Arial" w:hAnsi="Arial"/>
          <w:sz w:val="14"/>
          <w:szCs w:val="14"/>
          <w:i w:val="1"/>
          <w:iCs w:val="1"/>
          <w:color w:val="auto"/>
        </w:rPr>
      </w:pPr>
    </w:p>
    <w:p>
      <w:pPr>
        <w:ind w:left="980" w:right="40" w:hanging="324"/>
        <w:spacing w:after="0" w:line="269" w:lineRule="auto"/>
        <w:tabs>
          <w:tab w:leader="none" w:pos="976"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346"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12, 2024 and subsequent quarterly reports on Form 10-Q.</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228" w:right="33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Income Statements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6"/>
                <w:szCs w:val="16"/>
                <w:color w:val="auto"/>
              </w:rPr>
            </w:pPr>
          </w:p>
        </w:tc>
        <w:tc>
          <w:tcPr>
            <w:tcW w:w="208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1"/>
        </w:trPr>
        <w:tc>
          <w:tcPr>
            <w:tcW w:w="6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0"/>
        </w:trPr>
        <w:tc>
          <w:tcPr>
            <w:tcW w:w="6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Rental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553,186</w:t>
            </w:r>
          </w:p>
        </w:tc>
        <w:tc>
          <w:tcPr>
            <w:tcW w:w="0" w:type="dxa"/>
            <w:vAlign w:val="bottom"/>
          </w:tcPr>
          <w:p>
            <w:pPr>
              <w:spacing w:after="0"/>
              <w:rPr>
                <w:sz w:val="1"/>
                <w:szCs w:val="1"/>
                <w:color w:val="auto"/>
              </w:rPr>
            </w:pPr>
          </w:p>
        </w:tc>
      </w:tr>
      <w:tr>
        <w:trPr>
          <w:trHeight w:val="229"/>
        </w:trPr>
        <w:tc>
          <w:tcPr>
            <w:tcW w:w="6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Mortgage interest income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296,052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280,679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587,375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553,738</w:t>
            </w:r>
          </w:p>
        </w:tc>
        <w:tc>
          <w:tcPr>
            <w:tcW w:w="0" w:type="dxa"/>
            <w:vAlign w:val="bottom"/>
          </w:tcPr>
          <w:p>
            <w:pPr>
              <w:spacing w:after="0"/>
              <w:rPr>
                <w:sz w:val="1"/>
                <w:szCs w:val="1"/>
                <w:color w:val="auto"/>
              </w:rPr>
            </w:pPr>
          </w:p>
        </w:tc>
      </w:tr>
      <w:tr>
        <w:trPr>
          <w:trHeight w:val="20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Rental expenses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110,815</w:t>
            </w:r>
          </w:p>
        </w:tc>
        <w:tc>
          <w:tcPr>
            <w:tcW w:w="0" w:type="dxa"/>
            <w:vAlign w:val="bottom"/>
          </w:tcPr>
          <w:p>
            <w:pPr>
              <w:spacing w:after="0"/>
              <w:rPr>
                <w:sz w:val="1"/>
                <w:szCs w:val="1"/>
                <w:color w:val="auto"/>
              </w:rPr>
            </w:pPr>
          </w:p>
        </w:tc>
      </w:tr>
      <w:tr>
        <w:trPr>
          <w:trHeight w:val="229"/>
        </w:trPr>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 estate taxes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64,947</w:t>
            </w: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24,458</w:t>
            </w:r>
          </w:p>
        </w:tc>
        <w:tc>
          <w:tcPr>
            <w:tcW w:w="0" w:type="dxa"/>
            <w:vAlign w:val="bottom"/>
          </w:tcPr>
          <w:p>
            <w:pPr>
              <w:spacing w:after="0"/>
              <w:rPr>
                <w:sz w:val="1"/>
                <w:szCs w:val="1"/>
                <w:color w:val="auto"/>
              </w:rPr>
            </w:pPr>
          </w:p>
        </w:tc>
      </w:tr>
      <w:tr>
        <w:trPr>
          <w:trHeight w:val="230"/>
        </w:trPr>
        <w:tc>
          <w:tcPr>
            <w:tcW w:w="6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85,049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78,974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168,453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157,611</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178,878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382,450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357,831</w:t>
            </w:r>
          </w:p>
        </w:tc>
        <w:tc>
          <w:tcPr>
            <w:tcW w:w="0" w:type="dxa"/>
            <w:vAlign w:val="bottom"/>
          </w:tcPr>
          <w:p>
            <w:pPr>
              <w:spacing w:after="0"/>
              <w:rPr>
                <w:sz w:val="1"/>
                <w:szCs w:val="1"/>
                <w:color w:val="auto"/>
              </w:rPr>
            </w:pPr>
          </w:p>
        </w:tc>
      </w:tr>
      <w:tr>
        <w:trPr>
          <w:trHeight w:val="250"/>
        </w:trPr>
        <w:tc>
          <w:tcPr>
            <w:tcW w:w="6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0" w:type="dxa"/>
            <w:vAlign w:val="bottom"/>
          </w:tcPr>
          <w:p>
            <w:pPr>
              <w:spacing w:after="0"/>
              <w:rPr>
                <w:sz w:val="1"/>
                <w:szCs w:val="1"/>
                <w:color w:val="auto"/>
              </w:rPr>
            </w:pPr>
          </w:p>
        </w:tc>
      </w:tr>
      <w:tr>
        <w:trPr>
          <w:trHeight w:val="250"/>
        </w:trPr>
        <w:tc>
          <w:tcPr>
            <w:tcW w:w="61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197,609</w:t>
            </w: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interest income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(82,109)</w:t>
            </w:r>
          </w:p>
        </w:tc>
        <w:tc>
          <w:tcPr>
            <w:tcW w:w="0" w:type="dxa"/>
            <w:vAlign w:val="bottom"/>
          </w:tcPr>
          <w:p>
            <w:pPr>
              <w:spacing w:after="0"/>
              <w:rPr>
                <w:sz w:val="1"/>
                <w:szCs w:val="1"/>
                <w:color w:val="auto"/>
              </w:rPr>
            </w:pPr>
          </w:p>
        </w:tc>
      </w:tr>
      <w:tr>
        <w:trPr>
          <w:trHeight w:val="230"/>
        </w:trPr>
        <w:tc>
          <w:tcPr>
            <w:tcW w:w="6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from partnerships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120,735</w:t>
            </w:r>
          </w:p>
        </w:tc>
        <w:tc>
          <w:tcPr>
            <w:tcW w:w="0" w:type="dxa"/>
            <w:vAlign w:val="bottom"/>
          </w:tcPr>
          <w:p>
            <w:pPr>
              <w:spacing w:after="0"/>
              <w:rPr>
                <w:sz w:val="1"/>
                <w:szCs w:val="1"/>
                <w:color w:val="auto"/>
              </w:rPr>
            </w:pPr>
          </w:p>
        </w:tc>
      </w:tr>
      <w:tr>
        <w:trPr>
          <w:trHeight w:val="230"/>
        </w:trPr>
        <w:tc>
          <w:tcPr>
            <w:tcW w:w="61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(4,901)</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TRUST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115,834</w:t>
            </w:r>
          </w:p>
        </w:tc>
        <w:tc>
          <w:tcPr>
            <w:tcW w:w="0" w:type="dxa"/>
            <w:vAlign w:val="bottom"/>
          </w:tcPr>
          <w:p>
            <w:pPr>
              <w:spacing w:after="0"/>
              <w:rPr>
                <w:sz w:val="1"/>
                <w:szCs w:val="1"/>
                <w:color w:val="auto"/>
              </w:rPr>
            </w:pPr>
          </w:p>
        </w:tc>
      </w:tr>
      <w:tr>
        <w:trPr>
          <w:trHeight w:val="230"/>
        </w:trPr>
        <w:tc>
          <w:tcPr>
            <w:tcW w:w="6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Dividends on preferred shares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0" w:type="dxa"/>
            <w:vAlign w:val="bottom"/>
          </w:tcPr>
          <w:p>
            <w:pPr>
              <w:spacing w:after="0"/>
              <w:rPr>
                <w:sz w:val="1"/>
                <w:szCs w:val="1"/>
                <w:color w:val="auto"/>
              </w:rPr>
            </w:pPr>
          </w:p>
        </w:tc>
      </w:tr>
      <w:tr>
        <w:trPr>
          <w:trHeight w:val="248"/>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111,818</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81,178</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COMMON SHARE, 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1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Weighted average number of common shares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83,563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81,214</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82,768</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81,178</w:t>
            </w: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00"/>
          </w:cols>
          <w:pgMar w:left="340" w:top="1022"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560" w:type="dxa"/>
            <w:vAlign w:val="bottom"/>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r>
      <w:tr>
        <w:trPr>
          <w:trHeight w:val="128"/>
        </w:trPr>
        <w:tc>
          <w:tcPr>
            <w:tcW w:w="8560" w:type="dxa"/>
            <w:vAlign w:val="bottom"/>
          </w:tcPr>
          <w:p>
            <w:pPr>
              <w:spacing w:after="0"/>
              <w:rPr>
                <w:sz w:val="11"/>
                <w:szCs w:val="11"/>
                <w:color w:val="auto"/>
              </w:rPr>
            </w:pPr>
          </w:p>
        </w:tc>
        <w:tc>
          <w:tcPr>
            <w:tcW w:w="2620" w:type="dxa"/>
            <w:vAlign w:val="bottom"/>
            <w:gridSpan w:val="5"/>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w:t>
            </w:r>
          </w:p>
        </w:tc>
      </w:tr>
      <w:tr>
        <w:trPr>
          <w:trHeight w:val="190"/>
        </w:trPr>
        <w:tc>
          <w:tcPr>
            <w:tcW w:w="8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data)</w:t>
            </w:r>
          </w:p>
        </w:tc>
        <w:tc>
          <w:tcPr>
            <w:tcW w:w="1100" w:type="dxa"/>
            <w:vAlign w:val="bottom"/>
          </w:tcPr>
          <w:p>
            <w:pPr>
              <w:spacing w:after="0"/>
              <w:rPr>
                <w:sz w:val="16"/>
                <w:szCs w:val="16"/>
                <w:color w:val="auto"/>
              </w:rPr>
            </w:pPr>
          </w:p>
        </w:tc>
      </w:tr>
      <w:tr>
        <w:trPr>
          <w:trHeight w:val="191"/>
        </w:trPr>
        <w:tc>
          <w:tcPr>
            <w:tcW w:w="8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Real estate, at cost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Operating (including $1,829,059 and $2,021,622 of consolidated variable interest entities, respectively)</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10,222,540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9,932,891</w:t>
            </w:r>
          </w:p>
        </w:tc>
      </w:tr>
      <w:tr>
        <w:trPr>
          <w:trHeight w:val="175"/>
        </w:trPr>
        <w:tc>
          <w:tcPr>
            <w:tcW w:w="856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Construction-in-progress (including $9,132 and $8,677 of consolidated variable interest entities,</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553,365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613,296</w:t>
            </w:r>
          </w:p>
        </w:tc>
      </w:tr>
      <w:tr>
        <w:trPr>
          <w:trHeight w:val="223"/>
        </w:trPr>
        <w:tc>
          <w:tcPr>
            <w:tcW w:w="8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10,775,905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10,546,187</w:t>
            </w:r>
          </w:p>
        </w:tc>
      </w:tr>
      <w:tr>
        <w:trPr>
          <w:trHeight w:val="175"/>
        </w:trPr>
        <w:tc>
          <w:tcPr>
            <w:tcW w:w="856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Less accumulated depreciation and amortization (including $410,922 and $416,663 of consolidated variable</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interest entities, respectively)</w:t>
            </w: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(3,054,555)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(2,963,519)</w:t>
            </w:r>
          </w:p>
        </w:tc>
      </w:tr>
      <w:tr>
        <w:trPr>
          <w:trHeight w:val="223"/>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real estate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7,721,350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7,582,668</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250,825</w:t>
            </w: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201,733</w:t>
            </w: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Mortgage notes receivable, net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9,196</w:t>
            </w:r>
          </w:p>
        </w:tc>
      </w:tr>
      <w:tr>
        <w:trPr>
          <w:trHeight w:val="230"/>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34,870</w:t>
            </w: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right of use assets, net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86,993</w:t>
            </w:r>
          </w:p>
        </w:tc>
      </w:tr>
      <w:tr>
        <w:trPr>
          <w:trHeight w:val="230"/>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Finance lease right of use assets, net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w:t>
            </w: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265,128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263,377</w:t>
            </w:r>
          </w:p>
        </w:tc>
      </w:tr>
      <w:tr>
        <w:trPr>
          <w:trHeight w:val="22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8,421,167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8,436,512</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8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 AND SHAREHOLDERS’ EQUITY</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76"/>
        </w:trPr>
        <w:tc>
          <w:tcPr>
            <w:tcW w:w="856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Mortgages payable, net (including $187,972 and $189,286 of consolidated variable interest entities,</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515,637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516,936</w:t>
            </w:r>
          </w:p>
        </w:tc>
      </w:tr>
      <w:tr>
        <w:trPr>
          <w:trHeight w:val="230"/>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Notes payable, net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683,280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601,945</w:t>
            </w:r>
          </w:p>
        </w:tc>
      </w:tr>
      <w:tr>
        <w:trPr>
          <w:trHeight w:val="229"/>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Senior notes and debentures, net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3,354,755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3,480,296</w:t>
            </w:r>
          </w:p>
        </w:tc>
      </w:tr>
      <w:tr>
        <w:trPr>
          <w:trHeight w:val="230"/>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174,714</w:t>
            </w:r>
          </w:p>
        </w:tc>
      </w:tr>
      <w:tr>
        <w:trPr>
          <w:trHeight w:val="230"/>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Dividends payable</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92,634</w:t>
            </w:r>
          </w:p>
        </w:tc>
      </w:tr>
      <w:tr>
        <w:trPr>
          <w:trHeight w:val="230"/>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Security deposits payable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30,482</w:t>
            </w:r>
          </w:p>
        </w:tc>
      </w:tr>
      <w:tr>
        <w:trPr>
          <w:trHeight w:val="229"/>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75,870</w:t>
            </w:r>
          </w:p>
        </w:tc>
      </w:tr>
      <w:tr>
        <w:trPr>
          <w:trHeight w:val="230"/>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12,670</w:t>
            </w:r>
          </w:p>
        </w:tc>
      </w:tr>
      <w:tr>
        <w:trPr>
          <w:trHeight w:val="230"/>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liabilities and deferred credits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225,465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225,443</w:t>
            </w:r>
          </w:p>
        </w:tc>
      </w:tr>
      <w:tr>
        <w:trPr>
          <w:trHeight w:val="223"/>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5,167,796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5,210,990</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183,363</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Preferred shares, authorized 15,000,000 shares, $.01 par:</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75"/>
        </w:trPr>
        <w:tc>
          <w:tcPr>
            <w:tcW w:w="8560" w:type="dxa"/>
            <w:vAlign w:val="bottom"/>
            <w:shd w:val="clear" w:color="auto" w:fill="CCEEFF"/>
          </w:tcPr>
          <w:p>
            <w:pPr>
              <w:ind w:left="780"/>
              <w:spacing w:after="0" w:line="176" w:lineRule="exact"/>
              <w:rPr>
                <w:sz w:val="20"/>
                <w:szCs w:val="20"/>
                <w:color w:val="auto"/>
              </w:rPr>
            </w:pPr>
            <w:r>
              <w:rPr>
                <w:rFonts w:ascii="Times New Roman" w:cs="Times New Roman" w:eastAsia="Times New Roman" w:hAnsi="Times New Roman"/>
                <w:sz w:val="18"/>
                <w:szCs w:val="18"/>
                <w:color w:val="auto"/>
              </w:rPr>
              <w:t>5.0% Series C Cumulative Redeemable Preferred Shares, (stated at liquidation preference $25,000 per</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share), 6,000 shares issued and outstanding</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176"/>
        </w:trPr>
        <w:tc>
          <w:tcPr>
            <w:tcW w:w="8560" w:type="dxa"/>
            <w:vAlign w:val="bottom"/>
          </w:tcPr>
          <w:p>
            <w:pPr>
              <w:ind w:left="780"/>
              <w:spacing w:after="0" w:line="176" w:lineRule="exact"/>
              <w:rPr>
                <w:sz w:val="20"/>
                <w:szCs w:val="20"/>
                <w:color w:val="auto"/>
              </w:rPr>
            </w:pPr>
            <w:r>
              <w:rPr>
                <w:rFonts w:ascii="Times New Roman" w:cs="Times New Roman" w:eastAsia="Times New Roman" w:hAnsi="Times New Roman"/>
                <w:sz w:val="18"/>
                <w:szCs w:val="18"/>
                <w:color w:val="auto"/>
              </w:rPr>
              <w:t>5.417% Series 1 Cumulative Convertible Preferred Shares, (stated at liquidation preference $25 per share),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8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392,878 shares issued and outstanding</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9,822</w:t>
            </w:r>
          </w:p>
        </w:tc>
      </w:tr>
      <w:tr>
        <w:trPr>
          <w:trHeight w:val="175"/>
        </w:trPr>
        <w:tc>
          <w:tcPr>
            <w:tcW w:w="856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Common shares of beneficial interest, $.01 par, 200,000,000 shares authorized, respectively, 83,590,543 and</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82,775,286 shares issued and outstanding, respectively</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r>
      <w:tr>
        <w:trPr>
          <w:trHeight w:val="229"/>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4,005,249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3,959,276</w:t>
            </w:r>
          </w:p>
        </w:tc>
      </w:tr>
      <w:tr>
        <w:trPr>
          <w:trHeight w:val="230"/>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Accumulated dividends in excess of net income</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(1,177,336)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(1,160,474)</w:t>
            </w:r>
          </w:p>
        </w:tc>
      </w:tr>
      <w:tr>
        <w:trPr>
          <w:trHeight w:val="230"/>
        </w:trPr>
        <w:tc>
          <w:tcPr>
            <w:tcW w:w="85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4,052</w:t>
            </w:r>
          </w:p>
        </w:tc>
      </w:tr>
      <w:tr>
        <w:trPr>
          <w:trHeight w:val="223"/>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equity of the Trust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2,995,618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2,963,509</w:t>
            </w:r>
          </w:p>
        </w:tc>
      </w:tr>
      <w:tr>
        <w:trPr>
          <w:trHeight w:val="229"/>
        </w:trPr>
        <w:tc>
          <w:tcPr>
            <w:tcW w:w="85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75,195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78,650</w:t>
            </w:r>
          </w:p>
        </w:tc>
      </w:tr>
      <w:tr>
        <w:trPr>
          <w:trHeight w:val="223"/>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3,070,813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3,042,159</w:t>
            </w:r>
          </w:p>
        </w:tc>
      </w:tr>
      <w:tr>
        <w:trPr>
          <w:trHeight w:val="22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8,421,167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8,436,512</w:t>
            </w:r>
          </w:p>
        </w:tc>
      </w:tr>
      <w:tr>
        <w:trPr>
          <w:trHeight w:val="20"/>
        </w:trPr>
        <w:tc>
          <w:tcPr>
            <w:tcW w:w="8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60" w:top="10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180"/>
          </w:cols>
          <w:pgMar w:left="360" w:top="1022" w:right="359" w:bottom="1440" w:gutter="0" w:footer="0" w:header="0"/>
          <w:type w:val="continuous"/>
        </w:sectPr>
      </w:pPr>
    </w:p>
    <w:bookmarkStart w:id="11" w:name="page12"/>
    <w:bookmarkEnd w:id="11"/>
    <w:p>
      <w:pPr>
        <w:ind w:left="10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Funds From Operations / Other Supplemental Information</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3"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14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1"/>
        </w:trPr>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5000" w:type="dxa"/>
            <w:vAlign w:val="bottom"/>
            <w:tcBorders>
              <w:bottom w:val="single" w:sz="8" w:color="auto"/>
            </w:tcBorders>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w w:val="99"/>
              </w:rPr>
              <w:t>Funds from Operations available for common shareholders (FFO) (1)</w:t>
            </w:r>
          </w:p>
        </w:tc>
        <w:tc>
          <w:tcPr>
            <w:tcW w:w="9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114,655</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63,004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120,735</w:t>
            </w:r>
          </w:p>
        </w:tc>
      </w:tr>
      <w:tr>
        <w:trPr>
          <w:trHeight w:val="229"/>
        </w:trPr>
        <w:tc>
          <w:tcPr>
            <w:tcW w:w="20" w:type="dxa"/>
            <w:vAlign w:val="bottom"/>
            <w:shd w:val="clear" w:color="auto" w:fill="CCEEFF"/>
          </w:tcPr>
          <w:p>
            <w:pPr>
              <w:spacing w:after="0"/>
              <w:rPr>
                <w:sz w:val="19"/>
                <w:szCs w:val="19"/>
                <w:color w:val="auto"/>
              </w:rPr>
            </w:pPr>
          </w:p>
        </w:tc>
        <w:tc>
          <w:tcPr>
            <w:tcW w:w="59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(2,673)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(2,505)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w:t>
            </w:r>
          </w:p>
        </w:tc>
      </w:tr>
      <w:tr>
        <w:trPr>
          <w:trHeight w:val="229"/>
        </w:trPr>
        <w:tc>
          <w:tcPr>
            <w:tcW w:w="20" w:type="dxa"/>
            <w:vAlign w:val="bottom"/>
          </w:tcPr>
          <w:p>
            <w:pPr>
              <w:spacing w:after="0"/>
              <w:rPr>
                <w:sz w:val="19"/>
                <w:szCs w:val="19"/>
                <w:color w:val="auto"/>
              </w:rPr>
            </w:pPr>
          </w:p>
        </w:tc>
        <w:tc>
          <w:tcPr>
            <w:tcW w:w="5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8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(52,280)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r>
      <w:tr>
        <w:trPr>
          <w:trHeight w:val="230"/>
        </w:trPr>
        <w:tc>
          <w:tcPr>
            <w:tcW w:w="20" w:type="dxa"/>
            <w:vAlign w:val="bottom"/>
            <w:shd w:val="clear" w:color="auto" w:fill="CCEEFF"/>
          </w:tcPr>
          <w:p>
            <w:pPr>
              <w:spacing w:after="0"/>
              <w:rPr>
                <w:sz w:val="19"/>
                <w:szCs w:val="19"/>
                <w:color w:val="auto"/>
              </w:rPr>
            </w:pPr>
          </w:p>
        </w:tc>
        <w:tc>
          <w:tcPr>
            <w:tcW w:w="59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of real estate assets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75,157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70,486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140,990</w:t>
            </w:r>
          </w:p>
        </w:tc>
      </w:tr>
      <w:tr>
        <w:trPr>
          <w:trHeight w:val="229"/>
        </w:trPr>
        <w:tc>
          <w:tcPr>
            <w:tcW w:w="20" w:type="dxa"/>
            <w:vAlign w:val="bottom"/>
            <w:tcBorders>
              <w:bottom w:val="single" w:sz="8" w:color="CCEEFF"/>
            </w:tcBorders>
          </w:tcPr>
          <w:p>
            <w:pPr>
              <w:spacing w:after="0"/>
              <w:rPr>
                <w:sz w:val="19"/>
                <w:szCs w:val="19"/>
                <w:color w:val="auto"/>
              </w:rPr>
            </w:pPr>
          </w:p>
        </w:tc>
        <w:tc>
          <w:tcPr>
            <w:tcW w:w="5900" w:type="dxa"/>
            <w:vAlign w:val="bottom"/>
            <w:tcBorders>
              <w:bottom w:val="single" w:sz="8" w:color="CCEEFF"/>
            </w:tcBorders>
            <w:gridSpan w:val="6"/>
          </w:tcPr>
          <w:p>
            <w:pPr>
              <w:spacing w:after="0"/>
              <w:rPr>
                <w:sz w:val="20"/>
                <w:szCs w:val="20"/>
                <w:color w:val="auto"/>
              </w:rPr>
            </w:pPr>
            <w:r>
              <w:rPr>
                <w:rFonts w:ascii="Times New Roman" w:cs="Times New Roman" w:eastAsia="Times New Roman" w:hAnsi="Times New Roman"/>
                <w:sz w:val="18"/>
                <w:szCs w:val="18"/>
                <w:color w:val="auto"/>
              </w:rPr>
              <w:t>Amortization of initial direct costs of leases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8,179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7,567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15,352</w:t>
            </w:r>
          </w:p>
        </w:tc>
      </w:tr>
      <w:tr>
        <w:trPr>
          <w:trHeight w:val="223"/>
        </w:trPr>
        <w:tc>
          <w:tcPr>
            <w:tcW w:w="20" w:type="dxa"/>
            <w:vAlign w:val="bottom"/>
            <w:shd w:val="clear" w:color="auto" w:fill="CCEEFF"/>
          </w:tcPr>
          <w:p>
            <w:pPr>
              <w:spacing w:after="0"/>
              <w:rPr>
                <w:sz w:val="19"/>
                <w:szCs w:val="19"/>
                <w:color w:val="auto"/>
              </w:rPr>
            </w:pPr>
          </w:p>
        </w:tc>
        <w:tc>
          <w:tcPr>
            <w:tcW w:w="5900" w:type="dxa"/>
            <w:vAlign w:val="bottom"/>
            <w:gridSpan w:val="6"/>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Funds from operations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143,038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138,552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270,474</w:t>
            </w:r>
          </w:p>
        </w:tc>
      </w:tr>
      <w:tr>
        <w:trPr>
          <w:trHeight w:val="229"/>
        </w:trPr>
        <w:tc>
          <w:tcPr>
            <w:tcW w:w="20" w:type="dxa"/>
            <w:vAlign w:val="bottom"/>
          </w:tcPr>
          <w:p>
            <w:pPr>
              <w:spacing w:after="0"/>
              <w:rPr>
                <w:sz w:val="19"/>
                <w:szCs w:val="19"/>
                <w:color w:val="auto"/>
              </w:rPr>
            </w:pPr>
          </w:p>
        </w:tc>
        <w:tc>
          <w:tcPr>
            <w:tcW w:w="5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Dividends on preferred shares (2)</w:t>
            </w:r>
          </w:p>
        </w:tc>
        <w:tc>
          <w:tcPr>
            <w:tcW w:w="28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r>
      <w:tr>
        <w:trPr>
          <w:trHeight w:val="229"/>
        </w:trPr>
        <w:tc>
          <w:tcPr>
            <w:tcW w:w="20" w:type="dxa"/>
            <w:vAlign w:val="bottom"/>
            <w:shd w:val="clear" w:color="auto" w:fill="CCEEFF"/>
          </w:tcPr>
          <w:p>
            <w:pPr>
              <w:spacing w:after="0"/>
              <w:rPr>
                <w:sz w:val="19"/>
                <w:szCs w:val="19"/>
                <w:color w:val="auto"/>
              </w:rPr>
            </w:pPr>
          </w:p>
        </w:tc>
        <w:tc>
          <w:tcPr>
            <w:tcW w:w="59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attributable to downREIT operating partnership units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r>
      <w:tr>
        <w:trPr>
          <w:trHeight w:val="230"/>
        </w:trPr>
        <w:tc>
          <w:tcPr>
            <w:tcW w:w="20" w:type="dxa"/>
            <w:vAlign w:val="bottom"/>
            <w:tcBorders>
              <w:bottom w:val="single" w:sz="8" w:color="CCEEFF"/>
            </w:tcBorders>
          </w:tcPr>
          <w:p>
            <w:pPr>
              <w:spacing w:after="0"/>
              <w:rPr>
                <w:sz w:val="19"/>
                <w:szCs w:val="19"/>
                <w:color w:val="auto"/>
              </w:rPr>
            </w:pPr>
          </w:p>
        </w:tc>
        <w:tc>
          <w:tcPr>
            <w:tcW w:w="5900" w:type="dxa"/>
            <w:vAlign w:val="bottom"/>
            <w:tcBorders>
              <w:bottom w:val="single" w:sz="8" w:color="CCEEFF"/>
            </w:tcBorders>
            <w:gridSpan w:val="6"/>
          </w:tcPr>
          <w:p>
            <w:pPr>
              <w:spacing w:after="0"/>
              <w:rPr>
                <w:sz w:val="20"/>
                <w:szCs w:val="20"/>
                <w:color w:val="auto"/>
              </w:rPr>
            </w:pPr>
            <w:r>
              <w:rPr>
                <w:rFonts w:ascii="Times New Roman" w:cs="Times New Roman" w:eastAsia="Times New Roman" w:hAnsi="Times New Roman"/>
                <w:sz w:val="18"/>
                <w:szCs w:val="18"/>
                <w:color w:val="auto"/>
              </w:rPr>
              <w:t>Income attributable to unvested shares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5900" w:type="dxa"/>
            <w:vAlign w:val="bottom"/>
            <w:tcBorders>
              <w:bottom w:val="single" w:sz="8" w:color="CCEEFF"/>
            </w:tcBorders>
            <w:gridSpan w:val="6"/>
            <w:shd w:val="clear" w:color="auto" w:fill="CCEEFF"/>
          </w:tcPr>
          <w:p>
            <w:pPr>
              <w:ind w:left="320"/>
              <w:spacing w:after="0" w:line="196" w:lineRule="exact"/>
              <w:rPr>
                <w:sz w:val="20"/>
                <w:szCs w:val="20"/>
                <w:color w:val="auto"/>
              </w:rPr>
            </w:pPr>
            <w:r>
              <w:rPr>
                <w:rFonts w:ascii="Times New Roman" w:cs="Times New Roman" w:eastAsia="Times New Roman" w:hAnsi="Times New Roman"/>
                <w:sz w:val="18"/>
                <w:szCs w:val="18"/>
                <w:color w:val="auto"/>
              </w:rPr>
              <w:t>FFO</w:t>
            </w: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32"/>
              <w:spacing w:after="0" w:line="196" w:lineRule="exact"/>
              <w:rPr>
                <w:sz w:val="20"/>
                <w:szCs w:val="20"/>
                <w:color w:val="auto"/>
              </w:rPr>
            </w:pPr>
            <w:r>
              <w:rPr>
                <w:rFonts w:ascii="Times New Roman" w:cs="Times New Roman" w:eastAsia="Times New Roman" w:hAnsi="Times New Roman"/>
                <w:sz w:val="18"/>
                <w:szCs w:val="18"/>
                <w:color w:val="auto"/>
              </w:rPr>
              <w:t>141,337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51"/>
              <w:spacing w:after="0" w:line="196" w:lineRule="exact"/>
              <w:rPr>
                <w:sz w:val="20"/>
                <w:szCs w:val="20"/>
                <w:color w:val="auto"/>
              </w:rPr>
            </w:pPr>
            <w:r>
              <w:rPr>
                <w:rFonts w:ascii="Times New Roman" w:cs="Times New Roman" w:eastAsia="Times New Roman" w:hAnsi="Times New Roman"/>
                <w:sz w:val="18"/>
                <w:szCs w:val="18"/>
                <w:color w:val="auto"/>
              </w:rPr>
              <w:t>136,860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278,062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267,118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gridSpan w:val="6"/>
          </w:tcPr>
          <w:p>
            <w:pPr>
              <w:spacing w:after="0" w:line="203" w:lineRule="exact"/>
              <w:rPr>
                <w:sz w:val="20"/>
                <w:szCs w:val="20"/>
                <w:color w:val="auto"/>
              </w:rPr>
            </w:pPr>
            <w:r>
              <w:rPr>
                <w:rFonts w:ascii="Times New Roman" w:cs="Times New Roman" w:eastAsia="Times New Roman" w:hAnsi="Times New Roman"/>
                <w:sz w:val="18"/>
                <w:szCs w:val="18"/>
                <w:color w:val="auto"/>
              </w:rPr>
              <w:t>Weighted average number of common shares, diluted (2)(3)</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32"/>
              <w:spacing w:after="0" w:line="203" w:lineRule="exact"/>
              <w:rPr>
                <w:sz w:val="20"/>
                <w:szCs w:val="20"/>
                <w:color w:val="auto"/>
              </w:rPr>
            </w:pPr>
            <w:r>
              <w:rPr>
                <w:rFonts w:ascii="Times New Roman" w:cs="Times New Roman" w:eastAsia="Times New Roman" w:hAnsi="Times New Roman"/>
                <w:sz w:val="18"/>
                <w:szCs w:val="18"/>
                <w:color w:val="auto"/>
              </w:rPr>
              <w:t>83,657</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51"/>
              <w:spacing w:after="0" w:line="203" w:lineRule="exact"/>
              <w:rPr>
                <w:sz w:val="20"/>
                <w:szCs w:val="20"/>
                <w:color w:val="auto"/>
              </w:rPr>
            </w:pPr>
            <w:r>
              <w:rPr>
                <w:rFonts w:ascii="Times New Roman" w:cs="Times New Roman" w:eastAsia="Times New Roman" w:hAnsi="Times New Roman"/>
                <w:sz w:val="18"/>
                <w:szCs w:val="18"/>
                <w:color w:val="auto"/>
              </w:rPr>
              <w:t>81,945</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83,495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81,911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229"/>
        </w:trPr>
        <w:tc>
          <w:tcPr>
            <w:tcW w:w="20" w:type="dxa"/>
            <w:vAlign w:val="bottom"/>
          </w:tcPr>
          <w:p>
            <w:pPr>
              <w:spacing w:after="0"/>
              <w:rPr>
                <w:sz w:val="19"/>
                <w:szCs w:val="19"/>
                <w:color w:val="auto"/>
              </w:rPr>
            </w:pPr>
          </w:p>
        </w:tc>
        <w:tc>
          <w:tcPr>
            <w:tcW w:w="5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FFO per diluted share (3)</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89"/>
        </w:trPr>
        <w:tc>
          <w:tcPr>
            <w:tcW w:w="20" w:type="dxa"/>
            <w:vAlign w:val="bottom"/>
          </w:tcPr>
          <w:p>
            <w:pPr>
              <w:spacing w:after="0"/>
              <w:rPr>
                <w:sz w:val="16"/>
                <w:szCs w:val="16"/>
                <w:color w:val="auto"/>
              </w:rPr>
            </w:pPr>
          </w:p>
        </w:tc>
        <w:tc>
          <w:tcPr>
            <w:tcW w:w="590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auto"/>
              </w:rPr>
              <w:t>Dividends and Payout Ratios</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9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Regular common dividends declared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91,085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88,031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176,064</w:t>
            </w:r>
          </w:p>
        </w:tc>
      </w:tr>
      <w:tr>
        <w:trPr>
          <w:trHeight w:val="162"/>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30"/>
        </w:trPr>
        <w:tc>
          <w:tcPr>
            <w:tcW w:w="20" w:type="dxa"/>
            <w:vAlign w:val="bottom"/>
            <w:shd w:val="clear" w:color="auto" w:fill="CCEEFF"/>
          </w:tcPr>
          <w:p>
            <w:pPr>
              <w:spacing w:after="0"/>
              <w:rPr>
                <w:sz w:val="19"/>
                <w:szCs w:val="19"/>
                <w:color w:val="auto"/>
              </w:rPr>
            </w:pPr>
          </w:p>
        </w:tc>
        <w:tc>
          <w:tcPr>
            <w:tcW w:w="59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payout ratio as a percentage of FFO</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162"/>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460" w:type="dxa"/>
            <w:vAlign w:val="bottom"/>
            <w:tcBorders>
              <w:bottom w:val="single" w:sz="8" w:color="auto"/>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Summary of Capital Expenditures</w:t>
            </w:r>
          </w:p>
        </w:tc>
        <w:tc>
          <w:tcPr>
            <w:tcW w:w="3440" w:type="dxa"/>
            <w:vAlign w:val="bottom"/>
            <w:tcBorders>
              <w:bottom w:val="single" w:sz="8" w:color="CCEEFF"/>
            </w:tcBorders>
            <w:gridSpan w:val="3"/>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Non-maintenance capital expenditures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900" w:type="dxa"/>
            <w:vAlign w:val="bottom"/>
            <w:gridSpan w:val="6"/>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Development, redevelopment and expansions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30,585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49,560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105,414</w:t>
            </w:r>
          </w:p>
        </w:tc>
      </w:tr>
      <w:tr>
        <w:trPr>
          <w:trHeight w:val="230"/>
        </w:trPr>
        <w:tc>
          <w:tcPr>
            <w:tcW w:w="20" w:type="dxa"/>
            <w:vAlign w:val="bottom"/>
            <w:tcBorders>
              <w:bottom w:val="single" w:sz="8" w:color="CCEEFF"/>
            </w:tcBorders>
          </w:tcPr>
          <w:p>
            <w:pPr>
              <w:spacing w:after="0"/>
              <w:rPr>
                <w:sz w:val="19"/>
                <w:szCs w:val="19"/>
                <w:color w:val="auto"/>
              </w:rPr>
            </w:pPr>
          </w:p>
        </w:tc>
        <w:tc>
          <w:tcPr>
            <w:tcW w:w="5900" w:type="dxa"/>
            <w:vAlign w:val="bottom"/>
            <w:tcBorders>
              <w:bottom w:val="single" w:sz="8" w:color="CCEEFF"/>
            </w:tcBorders>
            <w:gridSpan w:val="6"/>
          </w:tcPr>
          <w:p>
            <w:pPr>
              <w:ind w:left="320"/>
              <w:spacing w:after="0"/>
              <w:rPr>
                <w:sz w:val="20"/>
                <w:szCs w:val="20"/>
                <w:color w:val="auto"/>
              </w:rPr>
            </w:pPr>
            <w:r>
              <w:rPr>
                <w:rFonts w:ascii="Times New Roman" w:cs="Times New Roman" w:eastAsia="Times New Roman" w:hAnsi="Times New Roman"/>
                <w:sz w:val="18"/>
                <w:szCs w:val="18"/>
                <w:color w:val="auto"/>
              </w:rPr>
              <w:t>Tenant improvements and incentives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23,159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18,423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38,418</w:t>
            </w:r>
          </w:p>
        </w:tc>
      </w:tr>
      <w:tr>
        <w:trPr>
          <w:trHeight w:val="223"/>
        </w:trPr>
        <w:tc>
          <w:tcPr>
            <w:tcW w:w="20" w:type="dxa"/>
            <w:vAlign w:val="bottom"/>
            <w:shd w:val="clear" w:color="auto" w:fill="CCEEFF"/>
          </w:tcPr>
          <w:p>
            <w:pPr>
              <w:spacing w:after="0"/>
              <w:rPr>
                <w:sz w:val="19"/>
                <w:szCs w:val="19"/>
                <w:color w:val="auto"/>
              </w:rPr>
            </w:pPr>
          </w:p>
        </w:tc>
        <w:tc>
          <w:tcPr>
            <w:tcW w:w="59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non-maintenance capital expenditures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53,744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67,983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143,832</w:t>
            </w:r>
          </w:p>
        </w:tc>
      </w:tr>
      <w:tr>
        <w:trPr>
          <w:trHeight w:val="230"/>
        </w:trPr>
        <w:tc>
          <w:tcPr>
            <w:tcW w:w="20" w:type="dxa"/>
            <w:vAlign w:val="bottom"/>
            <w:tcBorders>
              <w:bottom w:val="single" w:sz="8" w:color="CCEEFF"/>
            </w:tcBorders>
          </w:tcPr>
          <w:p>
            <w:pPr>
              <w:spacing w:after="0"/>
              <w:rPr>
                <w:sz w:val="19"/>
                <w:szCs w:val="19"/>
                <w:color w:val="auto"/>
              </w:rPr>
            </w:pPr>
          </w:p>
        </w:tc>
        <w:tc>
          <w:tcPr>
            <w:tcW w:w="5900" w:type="dxa"/>
            <w:vAlign w:val="bottom"/>
            <w:tcBorders>
              <w:bottom w:val="single" w:sz="8" w:color="CCEEFF"/>
            </w:tcBorders>
            <w:gridSpan w:val="6"/>
          </w:tcPr>
          <w:p>
            <w:pPr>
              <w:ind w:left="3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4,645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4,404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90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58,389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72,387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152,513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Other Information</w:t>
            </w:r>
          </w:p>
        </w:tc>
        <w:tc>
          <w:tcPr>
            <w:tcW w:w="4580" w:type="dxa"/>
            <w:vAlign w:val="bottom"/>
            <w:tcBorders>
              <w:bottom w:val="single" w:sz="8" w:color="CCEEFF"/>
            </w:tcBorders>
            <w:gridSpan w:val="5"/>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Leasing costs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6,673</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5,186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9,554</w:t>
            </w:r>
          </w:p>
        </w:tc>
      </w:tr>
      <w:tr>
        <w:trPr>
          <w:trHeight w:val="230"/>
        </w:trPr>
        <w:tc>
          <w:tcPr>
            <w:tcW w:w="20" w:type="dxa"/>
            <w:vAlign w:val="bottom"/>
            <w:shd w:val="clear" w:color="auto" w:fill="CCEEFF"/>
          </w:tcPr>
          <w:p>
            <w:pPr>
              <w:spacing w:after="0"/>
              <w:rPr>
                <w:sz w:val="19"/>
                <w:szCs w:val="19"/>
                <w:color w:val="auto"/>
              </w:rPr>
            </w:pPr>
          </w:p>
        </w:tc>
        <w:tc>
          <w:tcPr>
            <w:tcW w:w="59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 (non-cash)</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3,348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7,445</w:t>
            </w:r>
          </w:p>
        </w:tc>
      </w:tr>
      <w:tr>
        <w:trPr>
          <w:trHeight w:val="162"/>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9"/>
        </w:trPr>
        <w:tc>
          <w:tcPr>
            <w:tcW w:w="20" w:type="dxa"/>
            <w:vAlign w:val="bottom"/>
            <w:shd w:val="clear" w:color="auto" w:fill="CCEEFF"/>
          </w:tcPr>
          <w:p>
            <w:pPr>
              <w:spacing w:after="0"/>
              <w:rPr>
                <w:sz w:val="18"/>
                <w:szCs w:val="18"/>
                <w:color w:val="auto"/>
              </w:rPr>
            </w:pPr>
          </w:p>
        </w:tc>
        <w:tc>
          <w:tcPr>
            <w:tcW w:w="590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Noncontrolling Interests Supplemental Information (4)</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39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Property operating income (1)</w:t>
            </w:r>
          </w:p>
        </w:tc>
        <w:tc>
          <w:tcPr>
            <w:tcW w:w="1960" w:type="dxa"/>
            <w:vAlign w:val="bottom"/>
            <w:tcBorders>
              <w:top w:val="single" w:sz="8" w:color="CCEEFF"/>
            </w:tcBorders>
            <w:gridSpan w:val="2"/>
          </w:tcPr>
          <w:p>
            <w:pPr>
              <w:spacing w:after="0"/>
              <w:rPr>
                <w:sz w:val="19"/>
                <w:szCs w:val="19"/>
                <w:color w:val="auto"/>
              </w:rPr>
            </w:pPr>
          </w:p>
        </w:tc>
        <w:tc>
          <w:tcPr>
            <w:tcW w:w="28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rPr>
              <w:t>3,811</w:t>
            </w:r>
          </w:p>
        </w:tc>
        <w:tc>
          <w:tcPr>
            <w:tcW w:w="1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CEEFF"/>
            </w:tcBorders>
          </w:tcPr>
          <w:p>
            <w:pPr>
              <w:jc w:val="right"/>
              <w:ind w:right="151"/>
              <w:spacing w:after="0"/>
              <w:rPr>
                <w:sz w:val="20"/>
                <w:szCs w:val="20"/>
                <w:color w:val="auto"/>
              </w:rPr>
            </w:pPr>
            <w:r>
              <w:rPr>
                <w:rFonts w:ascii="Times New Roman" w:cs="Times New Roman" w:eastAsia="Times New Roman" w:hAnsi="Times New Roman"/>
                <w:sz w:val="18"/>
                <w:szCs w:val="18"/>
                <w:color w:val="auto"/>
              </w:rPr>
              <w:t>3,826</w:t>
            </w: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7,517</w:t>
            </w:r>
          </w:p>
        </w:tc>
      </w:tr>
      <w:tr>
        <w:trPr>
          <w:trHeight w:val="230"/>
        </w:trPr>
        <w:tc>
          <w:tcPr>
            <w:tcW w:w="20" w:type="dxa"/>
            <w:vAlign w:val="bottom"/>
            <w:shd w:val="clear" w:color="auto" w:fill="CCEEFF"/>
          </w:tcPr>
          <w:p>
            <w:pPr>
              <w:spacing w:after="0"/>
              <w:rPr>
                <w:sz w:val="19"/>
                <w:szCs w:val="19"/>
                <w:color w:val="auto"/>
              </w:rPr>
            </w:pPr>
          </w:p>
        </w:tc>
        <w:tc>
          <w:tcPr>
            <w:tcW w:w="59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w:t>
            </w:r>
          </w:p>
        </w:tc>
      </w:tr>
      <w:tr>
        <w:trPr>
          <w:trHeight w:val="230"/>
        </w:trPr>
        <w:tc>
          <w:tcPr>
            <w:tcW w:w="20" w:type="dxa"/>
            <w:vAlign w:val="bottom"/>
            <w:tcBorders>
              <w:bottom w:val="single" w:sz="8" w:color="CCEEFF"/>
            </w:tcBorders>
          </w:tcPr>
          <w:p>
            <w:pPr>
              <w:spacing w:after="0"/>
              <w:rPr>
                <w:sz w:val="19"/>
                <w:szCs w:val="19"/>
                <w:color w:val="auto"/>
              </w:rPr>
            </w:pPr>
          </w:p>
        </w:tc>
        <w:tc>
          <w:tcPr>
            <w:tcW w:w="5900" w:type="dxa"/>
            <w:vAlign w:val="bottom"/>
            <w:tcBorders>
              <w:bottom w:val="single" w:sz="8" w:color="CCEEFF"/>
            </w:tcBorders>
            <w:gridSpan w:val="6"/>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90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73"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Glossary of Terms.</w:t>
      </w:r>
    </w:p>
    <w:p>
      <w:pPr>
        <w:spacing w:after="0" w:line="54" w:lineRule="exact"/>
        <w:rPr>
          <w:rFonts w:ascii="Times New Roman" w:cs="Times New Roman" w:eastAsia="Times New Roman" w:hAnsi="Times New Roman"/>
          <w:sz w:val="16"/>
          <w:szCs w:val="16"/>
          <w:color w:val="auto"/>
        </w:rPr>
      </w:pPr>
    </w:p>
    <w:p>
      <w:pPr>
        <w:ind w:left="660" w:right="200" w:hanging="652"/>
        <w:spacing w:after="0" w:line="296" w:lineRule="auto"/>
        <w:tabs>
          <w:tab w:leader="none" w:pos="657"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 xml:space="preserve">For the three and </w:t>
      </w:r>
      <w:r>
        <w:rPr>
          <w:rFonts w:ascii="Times New Roman" w:cs="Times New Roman" w:eastAsia="Times New Roman" w:hAnsi="Times New Roman"/>
          <w:sz w:val="17"/>
          <w:szCs w:val="17"/>
          <w:color w:val="auto"/>
        </w:rPr>
        <w:t>six</w:t>
      </w:r>
      <w:r>
        <w:rPr>
          <w:rFonts w:ascii="Times New Roman" w:cs="Times New Roman" w:eastAsia="Times New Roman" w:hAnsi="Times New Roman"/>
          <w:sz w:val="16"/>
          <w:szCs w:val="16"/>
          <w:color w:val="auto"/>
        </w:rPr>
        <w:t xml:space="preserve"> months ended June 30, 2024 and 2023, dividends on our Series 1 preferred stock were not deducted in the calculation of FFO available to common shareholders, as the related shares were dilutive and are included in "weighted average number of common shares, diluted."</w:t>
      </w:r>
    </w:p>
    <w:p>
      <w:pPr>
        <w:spacing w:after="0" w:line="8" w:lineRule="exact"/>
        <w:rPr>
          <w:rFonts w:ascii="Times New Roman" w:cs="Times New Roman" w:eastAsia="Times New Roman" w:hAnsi="Times New Roman"/>
          <w:sz w:val="17"/>
          <w:szCs w:val="17"/>
          <w:color w:val="auto"/>
        </w:rPr>
      </w:pPr>
    </w:p>
    <w:p>
      <w:pPr>
        <w:jc w:val="both"/>
        <w:ind w:left="660" w:right="140" w:hanging="652"/>
        <w:spacing w:after="0" w:line="268" w:lineRule="auto"/>
        <w:tabs>
          <w:tab w:leader="none" w:pos="657"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 xml:space="preserve">The weighted average common shares used to compute FFO per diluted common share includes downREIT operating partnership units that were excluded from the computation of diluted EPS. Conversion of these operating partnership units is dilutive in the computation of FFO per diluted share for all period presented, but is anti-dilutive for the computation of dilutive EPS for the </w:t>
      </w:r>
      <w:r>
        <w:rPr>
          <w:rFonts w:ascii="Times New Roman" w:cs="Times New Roman" w:eastAsia="Times New Roman" w:hAnsi="Times New Roman"/>
          <w:sz w:val="17"/>
          <w:szCs w:val="17"/>
          <w:color w:val="auto"/>
        </w:rPr>
        <w:t>six</w:t>
      </w:r>
      <w:r>
        <w:rPr>
          <w:rFonts w:ascii="Times New Roman" w:cs="Times New Roman" w:eastAsia="Times New Roman" w:hAnsi="Times New Roman"/>
          <w:sz w:val="16"/>
          <w:szCs w:val="16"/>
          <w:color w:val="auto"/>
        </w:rPr>
        <w:t xml:space="preserve"> months ended June 30, 2024 and the three and </w:t>
      </w:r>
      <w:r>
        <w:rPr>
          <w:rFonts w:ascii="Times New Roman" w:cs="Times New Roman" w:eastAsia="Times New Roman" w:hAnsi="Times New Roman"/>
          <w:sz w:val="17"/>
          <w:szCs w:val="17"/>
          <w:color w:val="auto"/>
        </w:rPr>
        <w:t>six months ended</w:t>
      </w:r>
      <w:r>
        <w:rPr>
          <w:rFonts w:ascii="Times New Roman" w:cs="Times New Roman" w:eastAsia="Times New Roman" w:hAnsi="Times New Roman"/>
          <w:sz w:val="16"/>
          <w:szCs w:val="16"/>
          <w:color w:val="auto"/>
        </w:rPr>
        <w:t xml:space="preserve"> June 30, 2023.</w:t>
      </w:r>
    </w:p>
    <w:p>
      <w:pPr>
        <w:spacing w:after="0" w:line="19" w:lineRule="exact"/>
        <w:rPr>
          <w:rFonts w:ascii="Times New Roman" w:cs="Times New Roman" w:eastAsia="Times New Roman" w:hAnsi="Times New Roman"/>
          <w:sz w:val="17"/>
          <w:szCs w:val="17"/>
          <w:color w:val="auto"/>
        </w:rPr>
      </w:pPr>
    </w:p>
    <w:p>
      <w:pPr>
        <w:ind w:left="660" w:right="220" w:hanging="652"/>
        <w:spacing w:after="0" w:line="298" w:lineRule="auto"/>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reflect the components of "net income attributable to noncontrolling interests," but excludes "income attributable to downREIT operating partnership units."</w:t>
      </w:r>
    </w:p>
    <w:p>
      <w:pPr>
        <w:sectPr>
          <w:pgSz w:w="11900" w:h="16838" w:orient="portrait"/>
          <w:cols w:equalWidth="0" w:num="1">
            <w:col w:w="11180"/>
          </w:cols>
          <w:pgMar w:left="320" w:top="1143" w:right="399" w:bottom="1440" w:gutter="0" w:footer="0" w:header="0"/>
        </w:sectPr>
      </w:pP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180"/>
          </w:cols>
          <w:pgMar w:left="320" w:top="1143" w:right="399" w:bottom="1440" w:gutter="0" w:footer="0" w:header="0"/>
          <w:type w:val="continuous"/>
        </w:sectPr>
      </w:pPr>
    </w:p>
    <w:bookmarkStart w:id="12" w:name="page13"/>
    <w:bookmarkEnd w:id="12"/>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Components of Rental Income</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226"/>
        </w:trPr>
        <w:tc>
          <w:tcPr>
            <w:tcW w:w="6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Components of Rental Income (1)</w:t>
            </w:r>
          </w:p>
        </w:tc>
        <w:tc>
          <w:tcPr>
            <w:tcW w:w="260" w:type="dxa"/>
            <w:vAlign w:val="bottom"/>
          </w:tcPr>
          <w:p>
            <w:pPr>
              <w:spacing w:after="0"/>
              <w:rPr>
                <w:sz w:val="19"/>
                <w:szCs w:val="19"/>
                <w:color w:val="auto"/>
              </w:rPr>
            </w:pPr>
          </w:p>
        </w:tc>
        <w:tc>
          <w:tcPr>
            <w:tcW w:w="23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9"/>
                <w:szCs w:val="19"/>
                <w:color w:val="auto"/>
              </w:rPr>
            </w:pPr>
          </w:p>
        </w:tc>
        <w:tc>
          <w:tcPr>
            <w:tcW w:w="2100" w:type="dxa"/>
            <w:vAlign w:val="bottom"/>
            <w:gridSpan w:val="4"/>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6"/>
                <w:szCs w:val="16"/>
                <w:color w:val="auto"/>
              </w:rPr>
            </w:pPr>
          </w:p>
        </w:tc>
      </w:tr>
      <w:tr>
        <w:trPr>
          <w:trHeight w:val="23"/>
        </w:trPr>
        <w:tc>
          <w:tcPr>
            <w:tcW w:w="6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6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0"/>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Minimum rents (2)</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37"/>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Commercial</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194,551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184,212</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387,488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365,554</w:t>
            </w:r>
          </w:p>
        </w:tc>
      </w:tr>
      <w:tr>
        <w:trPr>
          <w:trHeight w:val="226"/>
        </w:trPr>
        <w:tc>
          <w:tcPr>
            <w:tcW w:w="60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Residential</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25,243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49,793</w:t>
            </w:r>
          </w:p>
        </w:tc>
      </w:tr>
      <w:tr>
        <w:trPr>
          <w:trHeight w:val="233"/>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reimbursements</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55,647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51,217</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112,206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101,941</w:t>
            </w:r>
          </w:p>
        </w:tc>
      </w:tr>
      <w:tr>
        <w:trPr>
          <w:trHeight w:val="226"/>
        </w:trPr>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Percentage rents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8,907</w:t>
            </w:r>
          </w:p>
        </w:tc>
      </w:tr>
      <w:tr>
        <w:trPr>
          <w:trHeight w:val="233"/>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(3)</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14,238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14,290</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26,466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26,330</w:t>
            </w:r>
          </w:p>
        </w:tc>
      </w:tr>
      <w:tr>
        <w:trPr>
          <w:trHeight w:val="226"/>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Collectibility related impacts (4)</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661</w:t>
            </w:r>
          </w:p>
        </w:tc>
      </w:tr>
      <w:tr>
        <w:trPr>
          <w:trHeight w:val="252"/>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rental income</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295,775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280,388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586,820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553,186</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Notes:</w:t>
      </w:r>
    </w:p>
    <w:p>
      <w:pPr>
        <w:spacing w:after="0" w:line="75" w:lineRule="exact"/>
        <w:rPr>
          <w:sz w:val="20"/>
          <w:szCs w:val="20"/>
          <w:color w:val="auto"/>
        </w:rPr>
      </w:pPr>
    </w:p>
    <w:p>
      <w:pPr>
        <w:ind w:left="660" w:right="240" w:hanging="652"/>
        <w:spacing w:after="0" w:line="265" w:lineRule="auto"/>
        <w:tabs>
          <w:tab w:leader="none" w:pos="657"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income from tenant leases is reported as a single line item called "rental income." We have provided the above supplemental information with a breakout of the contractual components of the rental income line, however, these breakouts are provided for informational purposes only and should be considered a non-GAAP presentation.</w:t>
      </w:r>
    </w:p>
    <w:p>
      <w:pPr>
        <w:spacing w:after="0" w:line="13" w:lineRule="exact"/>
        <w:rPr>
          <w:rFonts w:ascii="Times New Roman" w:cs="Times New Roman" w:eastAsia="Times New Roman" w:hAnsi="Times New Roman"/>
          <w:sz w:val="17"/>
          <w:szCs w:val="17"/>
          <w:color w:val="auto"/>
        </w:rPr>
      </w:pPr>
    </w:p>
    <w:p>
      <w:pPr>
        <w:ind w:left="660" w:hanging="652"/>
        <w:spacing w:after="0"/>
        <w:tabs>
          <w:tab w:leader="none" w:pos="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Minimum rents include the following:</w:t>
      </w:r>
    </w:p>
    <w:p>
      <w:pPr>
        <w:spacing w:after="0" w:line="45" w:lineRule="exact"/>
        <w:rPr>
          <w:sz w:val="20"/>
          <w:szCs w:val="20"/>
          <w:color w:val="auto"/>
        </w:rPr>
      </w:pPr>
    </w:p>
    <w:tbl>
      <w:tblPr>
        <w:tblLayout w:type="fixed"/>
        <w:tblInd w:w="76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2100" w:type="dxa"/>
            <w:vAlign w:val="bottom"/>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20" w:type="dxa"/>
            <w:vAlign w:val="bottom"/>
            <w:gridSpan w:val="3"/>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03"/>
        </w:trPr>
        <w:tc>
          <w:tcPr>
            <w:tcW w:w="5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80" w:type="dxa"/>
            <w:vAlign w:val="bottom"/>
            <w:gridSpan w:val="2"/>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gridSpan w:val="2"/>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7"/>
                <w:szCs w:val="17"/>
                <w:color w:val="auto"/>
              </w:rPr>
            </w:pPr>
          </w:p>
        </w:tc>
      </w:tr>
      <w:tr>
        <w:trPr>
          <w:trHeight w:val="23"/>
        </w:trPr>
        <w:tc>
          <w:tcPr>
            <w:tcW w:w="53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5320" w:type="dxa"/>
            <w:vAlign w:val="bottom"/>
          </w:tcPr>
          <w:p>
            <w:pPr>
              <w:spacing w:after="0"/>
              <w:rPr>
                <w:sz w:val="16"/>
                <w:szCs w:val="16"/>
                <w:color w:val="auto"/>
              </w:rPr>
            </w:pP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0"/>
        </w:trPr>
        <w:tc>
          <w:tcPr>
            <w:tcW w:w="5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88"/>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Straight-line rents</w:t>
            </w:r>
          </w:p>
        </w:tc>
        <w:tc>
          <w:tcPr>
            <w:tcW w:w="820" w:type="dxa"/>
            <w:vAlign w:val="bottom"/>
          </w:tcPr>
          <w:p>
            <w:pPr>
              <w:jc w:val="right"/>
              <w:ind w:right="641"/>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5.5</w:t>
            </w:r>
          </w:p>
        </w:tc>
        <w:tc>
          <w:tcPr>
            <w:tcW w:w="880" w:type="dxa"/>
            <w:vAlign w:val="bottom"/>
          </w:tcPr>
          <w:p>
            <w:pPr>
              <w:jc w:val="right"/>
              <w:ind w:right="619"/>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Pr>
          <w:p>
            <w:pPr>
              <w:spacing w:after="0"/>
              <w:rPr>
                <w:sz w:val="24"/>
                <w:szCs w:val="24"/>
                <w:color w:val="auto"/>
              </w:rPr>
            </w:pP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7"/>
                <w:szCs w:val="17"/>
                <w:color w:val="auto"/>
              </w:rPr>
              <w:t>10.7</w:t>
            </w:r>
          </w:p>
        </w:tc>
        <w:tc>
          <w:tcPr>
            <w:tcW w:w="4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3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in-place leases</w:t>
            </w:r>
          </w:p>
        </w:tc>
        <w:tc>
          <w:tcPr>
            <w:tcW w:w="820" w:type="dxa"/>
            <w:vAlign w:val="bottom"/>
            <w:shd w:val="clear" w:color="auto" w:fill="CCEEFF"/>
          </w:tcPr>
          <w:p>
            <w:pPr>
              <w:jc w:val="right"/>
              <w:ind w:right="641"/>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3.1</w:t>
            </w:r>
          </w:p>
        </w:tc>
        <w:tc>
          <w:tcPr>
            <w:tcW w:w="88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6.8</w:t>
            </w:r>
          </w:p>
        </w:tc>
        <w:tc>
          <w:tcPr>
            <w:tcW w:w="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r>
    </w:tbl>
    <w:p>
      <w:pPr>
        <w:spacing w:after="0" w:line="127" w:lineRule="exact"/>
        <w:rPr>
          <w:sz w:val="20"/>
          <w:szCs w:val="20"/>
          <w:color w:val="auto"/>
        </w:rPr>
      </w:pPr>
    </w:p>
    <w:p>
      <w:pPr>
        <w:ind w:left="660" w:right="280" w:hanging="652"/>
        <w:spacing w:after="0" w:line="290" w:lineRule="auto"/>
        <w:tabs>
          <w:tab w:leader="none" w:pos="657"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lease termination fees of $1.3 million and $1.6 million for the three months ended June 30, 2024 and 2023, respectively, and $2.0 million and $3.2 million for the six months ended June 30, 2024 and 2023, respectively.</w:t>
      </w:r>
    </w:p>
    <w:p>
      <w:pPr>
        <w:ind w:left="660" w:right="180" w:hanging="652"/>
        <w:spacing w:after="0" w:line="281" w:lineRule="auto"/>
        <w:tabs>
          <w:tab w:leader="none" w:pos="657"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three months ended June 30, 2024 and 2023, our collectability related impacts include the collection of approximately $0.8 million and $1.4 million, respectively, and $1.7 million and $3.0 million for the six months ended June 30, 2024 and 2023, respectively, of prior period rents which were contractually deferred or payments renegotiated specifically related to the COVID-19 pandemic.</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320" w:top="1022" w:right="359"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5"/>
          <w:szCs w:val="15"/>
          <w:b w:val="1"/>
          <w:bCs w:val="1"/>
          <w:color w:val="auto"/>
        </w:rPr>
        <w:t>Federal Realty Investment Trust</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Comparable Property Information</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June 30, 2024</w:t>
      </w:r>
    </w:p>
    <w:p>
      <w:pPr>
        <w:spacing w:after="0" w:line="88" w:lineRule="exact"/>
        <w:rPr>
          <w:sz w:val="20"/>
          <w:szCs w:val="20"/>
          <w:color w:val="auto"/>
        </w:rPr>
      </w:pPr>
    </w:p>
    <w:p>
      <w:pPr>
        <w:ind w:left="40" w:right="400"/>
        <w:spacing w:after="0" w:line="227" w:lineRule="auto"/>
        <w:rPr>
          <w:sz w:val="20"/>
          <w:szCs w:val="20"/>
          <w:color w:val="auto"/>
        </w:rPr>
      </w:pPr>
      <w:r>
        <w:rPr>
          <w:rFonts w:ascii="Times New Roman" w:cs="Times New Roman" w:eastAsia="Times New Roman" w:hAnsi="Times New Roman"/>
          <w:sz w:val="15"/>
          <w:szCs w:val="15"/>
          <w:color w:val="auto"/>
        </w:rPr>
        <w:t>The following information is being provided for “Comparable Properties.” Comparable Properties represents our consolidated property portfolio other than those properties that distort comparability between periods in two primary categories: (1) assets that were not owned for the full quarter in both periods presented and (2) assets currently under</w:t>
      </w:r>
    </w:p>
    <w:p>
      <w:pPr>
        <w:ind w:left="40" w:right="320"/>
        <w:spacing w:after="0" w:line="212" w:lineRule="auto"/>
        <w:rPr>
          <w:sz w:val="20"/>
          <w:szCs w:val="20"/>
          <w:color w:val="auto"/>
        </w:rPr>
      </w:pPr>
      <w:r>
        <w:rPr>
          <w:rFonts w:ascii="Times New Roman" w:cs="Times New Roman" w:eastAsia="Times New Roman" w:hAnsi="Times New Roman"/>
          <w:sz w:val="15"/>
          <w:szCs w:val="15"/>
          <w:color w:val="auto"/>
        </w:rPr>
        <w:t>development or being repositioned for significant redevelopment and investment. The assets excluded from Comparable Properties in Q2 include: Darien Commons, Friendship Center, Huntington Shopping Center, Pike &amp; Rose Phase IV, Santana West, Willow Grove Shopping Center, and all properties acquired, disposed of, or not consolidated from Q2 2023 to Q2 2024. Comparable Property property operating income ("Comparable Property POI") is a non-GAAP measure used by management in evaluating the operating</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performance of our properties period over period.</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8040" w:type="dxa"/>
            <w:vAlign w:val="bottom"/>
            <w:gridSpan w:val="6"/>
          </w:tcPr>
          <w:p>
            <w:pPr>
              <w:ind w:left="20"/>
              <w:spacing w:after="0"/>
              <w:rPr>
                <w:sz w:val="20"/>
                <w:szCs w:val="20"/>
                <w:color w:val="auto"/>
              </w:rPr>
            </w:pPr>
            <w:r>
              <w:rPr>
                <w:rFonts w:ascii="Times New Roman" w:cs="Times New Roman" w:eastAsia="Times New Roman" w:hAnsi="Times New Roman"/>
                <w:sz w:val="15"/>
                <w:szCs w:val="15"/>
                <w:i w:val="1"/>
                <w:iCs w:val="1"/>
                <w:color w:val="auto"/>
              </w:rPr>
              <w:t>Reconciliation of GAAP operating income to Comparable Property POI</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29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4"/>
          </w:tcPr>
          <w:p>
            <w:pPr>
              <w:jc w:val="center"/>
              <w:ind w:right="16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800" w:type="dxa"/>
            <w:vAlign w:val="bottom"/>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left="484"/>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4"/>
          </w:tcPr>
          <w:p>
            <w:pPr>
              <w:jc w:val="center"/>
              <w:ind w:right="164"/>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800" w:type="dxa"/>
            <w:vAlign w:val="bottom"/>
          </w:tcPr>
          <w:p>
            <w:pPr>
              <w:spacing w:after="0"/>
              <w:rPr>
                <w:sz w:val="17"/>
                <w:szCs w:val="17"/>
                <w:color w:val="auto"/>
              </w:rPr>
            </w:pPr>
          </w:p>
        </w:tc>
      </w:tr>
      <w:tr>
        <w:trPr>
          <w:trHeight w:val="203"/>
        </w:trPr>
        <w:tc>
          <w:tcPr>
            <w:tcW w:w="80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income</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157,011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101,801</w:t>
            </w:r>
          </w:p>
        </w:tc>
        <w:tc>
          <w:tcPr>
            <w:tcW w:w="800" w:type="dxa"/>
            <w:vAlign w:val="bottom"/>
            <w:shd w:val="clear" w:color="auto" w:fill="CCEEFF"/>
          </w:tcPr>
          <w:p>
            <w:pPr>
              <w:spacing w:after="0"/>
              <w:rPr>
                <w:sz w:val="17"/>
                <w:szCs w:val="17"/>
                <w:color w:val="auto"/>
              </w:rPr>
            </w:pPr>
          </w:p>
        </w:tc>
      </w:tr>
      <w:tr>
        <w:trPr>
          <w:trHeight w:val="200"/>
        </w:trPr>
        <w:tc>
          <w:tcPr>
            <w:tcW w:w="8040" w:type="dxa"/>
            <w:vAlign w:val="bottom"/>
            <w:gridSpan w:val="6"/>
          </w:tcPr>
          <w:p>
            <w:pPr>
              <w:ind w:left="20"/>
              <w:spacing w:after="0"/>
              <w:rPr>
                <w:sz w:val="20"/>
                <w:szCs w:val="20"/>
                <w:color w:val="auto"/>
              </w:rPr>
            </w:pPr>
            <w:r>
              <w:rPr>
                <w:rFonts w:ascii="Times New Roman" w:cs="Times New Roman" w:eastAsia="Times New Roman" w:hAnsi="Times New Roman"/>
                <w:sz w:val="15"/>
                <w:szCs w:val="15"/>
                <w:color w:val="auto"/>
              </w:rPr>
              <w:t>Add: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5"/>
        </w:trPr>
        <w:tc>
          <w:tcPr>
            <w:tcW w:w="80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85,049</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78,974</w:t>
            </w:r>
          </w:p>
        </w:tc>
        <w:tc>
          <w:tcPr>
            <w:tcW w:w="800" w:type="dxa"/>
            <w:vAlign w:val="bottom"/>
            <w:shd w:val="clear" w:color="auto" w:fill="CCEEFF"/>
          </w:tcPr>
          <w:p>
            <w:pPr>
              <w:spacing w:after="0"/>
              <w:rPr>
                <w:sz w:val="17"/>
                <w:szCs w:val="17"/>
                <w:color w:val="auto"/>
              </w:rPr>
            </w:pPr>
          </w:p>
        </w:tc>
      </w:tr>
      <w:tr>
        <w:trPr>
          <w:trHeight w:val="200"/>
        </w:trPr>
        <w:tc>
          <w:tcPr>
            <w:tcW w:w="8040" w:type="dxa"/>
            <w:vAlign w:val="bottom"/>
            <w:gridSpan w:val="6"/>
          </w:tcPr>
          <w:p>
            <w:pPr>
              <w:ind w:left="2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12,092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11,913</w:t>
            </w:r>
          </w:p>
        </w:tc>
        <w:tc>
          <w:tcPr>
            <w:tcW w:w="800" w:type="dxa"/>
            <w:vAlign w:val="bottom"/>
          </w:tcPr>
          <w:p>
            <w:pPr>
              <w:spacing w:after="0"/>
              <w:rPr>
                <w:sz w:val="17"/>
                <w:szCs w:val="17"/>
                <w:color w:val="auto"/>
              </w:rPr>
            </w:pPr>
          </w:p>
        </w:tc>
      </w:tr>
      <w:tr>
        <w:trPr>
          <w:trHeight w:val="205"/>
        </w:trPr>
        <w:tc>
          <w:tcPr>
            <w:tcW w:w="80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Gain on sale of real estate</w:t>
            </w: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(52,280)</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spacing w:after="0"/>
              <w:rPr>
                <w:sz w:val="17"/>
                <w:szCs w:val="17"/>
                <w:color w:val="auto"/>
              </w:rPr>
            </w:pPr>
          </w:p>
        </w:tc>
      </w:tr>
      <w:tr>
        <w:trPr>
          <w:trHeight w:val="194"/>
        </w:trPr>
        <w:tc>
          <w:tcPr>
            <w:tcW w:w="8040" w:type="dxa"/>
            <w:vAlign w:val="bottom"/>
            <w:gridSpan w:val="6"/>
          </w:tcPr>
          <w:p>
            <w:pPr>
              <w:ind w:left="20"/>
              <w:spacing w:after="0"/>
              <w:rPr>
                <w:sz w:val="20"/>
                <w:szCs w:val="20"/>
                <w:color w:val="auto"/>
              </w:rPr>
            </w:pPr>
            <w:r>
              <w:rPr>
                <w:rFonts w:ascii="Times New Roman" w:cs="Times New Roman" w:eastAsia="Times New Roman" w:hAnsi="Times New Roman"/>
                <w:sz w:val="15"/>
                <w:szCs w:val="15"/>
                <w:color w:val="auto"/>
              </w:rPr>
              <w:t>Property operating income (POI)</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201,872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192,688</w:t>
            </w:r>
          </w:p>
        </w:tc>
        <w:tc>
          <w:tcPr>
            <w:tcW w:w="800" w:type="dxa"/>
            <w:vAlign w:val="bottom"/>
          </w:tcPr>
          <w:p>
            <w:pPr>
              <w:spacing w:after="0"/>
              <w:rPr>
                <w:sz w:val="16"/>
                <w:szCs w:val="16"/>
                <w:color w:val="auto"/>
              </w:rPr>
            </w:pPr>
          </w:p>
        </w:tc>
      </w:tr>
      <w:tr>
        <w:trPr>
          <w:trHeight w:val="205"/>
        </w:trPr>
        <w:tc>
          <w:tcPr>
            <w:tcW w:w="80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Less: Non-comparable POI - acquisitions/dispositions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(2,707)</w:t>
            </w:r>
          </w:p>
        </w:tc>
        <w:tc>
          <w:tcPr>
            <w:tcW w:w="800" w:type="dxa"/>
            <w:vAlign w:val="bottom"/>
            <w:shd w:val="clear" w:color="auto" w:fill="CCEEFF"/>
          </w:tcPr>
          <w:p>
            <w:pPr>
              <w:spacing w:after="0"/>
              <w:rPr>
                <w:sz w:val="17"/>
                <w:szCs w:val="17"/>
                <w:color w:val="auto"/>
              </w:rPr>
            </w:pPr>
          </w:p>
        </w:tc>
      </w:tr>
      <w:tr>
        <w:trPr>
          <w:trHeight w:val="200"/>
        </w:trPr>
        <w:tc>
          <w:tcPr>
            <w:tcW w:w="8040" w:type="dxa"/>
            <w:vAlign w:val="bottom"/>
            <w:tcBorders>
              <w:bottom w:val="single" w:sz="8" w:color="CCEEFF"/>
            </w:tcBorders>
            <w:gridSpan w:val="6"/>
          </w:tcPr>
          <w:p>
            <w:pPr>
              <w:ind w:left="20"/>
              <w:spacing w:after="0"/>
              <w:rPr>
                <w:sz w:val="20"/>
                <w:szCs w:val="20"/>
                <w:color w:val="auto"/>
              </w:rPr>
            </w:pPr>
            <w:r>
              <w:rPr>
                <w:rFonts w:ascii="Times New Roman" w:cs="Times New Roman" w:eastAsia="Times New Roman" w:hAnsi="Times New Roman"/>
                <w:sz w:val="15"/>
                <w:szCs w:val="15"/>
                <w:color w:val="auto"/>
              </w:rPr>
              <w:t>Less: Non-comparable POI - redevelopment, development &amp; other</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(9,470)</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(4,267)</w:t>
            </w:r>
          </w:p>
        </w:tc>
        <w:tc>
          <w:tcPr>
            <w:tcW w:w="800" w:type="dxa"/>
            <w:vAlign w:val="bottom"/>
            <w:tcBorders>
              <w:bottom w:val="single" w:sz="8" w:color="CCEEFF"/>
            </w:tcBorders>
          </w:tcPr>
          <w:p>
            <w:pPr>
              <w:spacing w:after="0"/>
              <w:rPr>
                <w:sz w:val="17"/>
                <w:szCs w:val="17"/>
                <w:color w:val="auto"/>
              </w:rPr>
            </w:pPr>
          </w:p>
        </w:tc>
      </w:tr>
      <w:tr>
        <w:trPr>
          <w:trHeight w:val="198"/>
        </w:trPr>
        <w:tc>
          <w:tcPr>
            <w:tcW w:w="80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Comparable property POI</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189,941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185,714</w:t>
            </w:r>
          </w:p>
        </w:tc>
        <w:tc>
          <w:tcPr>
            <w:tcW w:w="800" w:type="dxa"/>
            <w:vAlign w:val="bottom"/>
            <w:shd w:val="clear" w:color="auto" w:fill="CCEEFF"/>
          </w:tcPr>
          <w:p>
            <w:pPr>
              <w:spacing w:after="0"/>
              <w:rPr>
                <w:sz w:val="17"/>
                <w:szCs w:val="17"/>
                <w:color w:val="auto"/>
              </w:rPr>
            </w:pPr>
          </w:p>
        </w:tc>
      </w:tr>
      <w:tr>
        <w:trPr>
          <w:trHeight w:val="257"/>
        </w:trPr>
        <w:tc>
          <w:tcPr>
            <w:tcW w:w="8040" w:type="dxa"/>
            <w:vAlign w:val="bottom"/>
            <w:gridSpan w:val="6"/>
          </w:tcPr>
          <w:p>
            <w:pPr>
              <w:ind w:left="20"/>
              <w:spacing w:after="0"/>
              <w:rPr>
                <w:sz w:val="20"/>
                <w:szCs w:val="20"/>
                <w:color w:val="auto"/>
              </w:rPr>
            </w:pPr>
            <w:r>
              <w:rPr>
                <w:rFonts w:ascii="Times New Roman" w:cs="Times New Roman" w:eastAsia="Times New Roman" w:hAnsi="Times New Roman"/>
                <w:sz w:val="15"/>
                <w:szCs w:val="15"/>
                <w:i w:val="1"/>
                <w:iCs w:val="1"/>
                <w:color w:val="auto"/>
              </w:rPr>
              <w:t>Additional information regarding the components of Comparable Property POI</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15"/>
        </w:trPr>
        <w:tc>
          <w:tcPr>
            <w:tcW w:w="20" w:type="dxa"/>
            <w:vAlign w:val="bottom"/>
          </w:tcPr>
          <w:p>
            <w:pPr>
              <w:spacing w:after="0"/>
              <w:rPr>
                <w:sz w:val="18"/>
                <w:szCs w:val="18"/>
                <w:color w:val="auto"/>
              </w:rPr>
            </w:pPr>
          </w:p>
        </w:tc>
        <w:tc>
          <w:tcPr>
            <w:tcW w:w="29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4"/>
          </w:tcPr>
          <w:p>
            <w:pPr>
              <w:jc w:val="center"/>
              <w:ind w:right="16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80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left="484"/>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w:t>
            </w:r>
          </w:p>
        </w:tc>
      </w:tr>
      <w:tr>
        <w:trPr>
          <w:trHeight w:val="202"/>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5"/>
                <w:szCs w:val="15"/>
                <w:b w:val="1"/>
                <w:bCs w:val="1"/>
                <w:color w:val="auto"/>
              </w:rPr>
              <w:t>Change</w:t>
            </w:r>
          </w:p>
        </w:tc>
      </w:tr>
      <w:tr>
        <w:trPr>
          <w:trHeight w:val="196"/>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4"/>
          </w:tcPr>
          <w:p>
            <w:pPr>
              <w:jc w:val="center"/>
              <w:ind w:right="164"/>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800" w:type="dxa"/>
            <w:vAlign w:val="bottom"/>
          </w:tcPr>
          <w:p>
            <w:pPr>
              <w:spacing w:after="0"/>
              <w:rPr>
                <w:sz w:val="17"/>
                <w:szCs w:val="17"/>
                <w:color w:val="auto"/>
              </w:rPr>
            </w:pPr>
          </w:p>
        </w:tc>
      </w:tr>
      <w:tr>
        <w:trPr>
          <w:trHeight w:val="203"/>
        </w:trPr>
        <w:tc>
          <w:tcPr>
            <w:tcW w:w="80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Minimum rents (1)</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208,549</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203,152</w:t>
            </w:r>
          </w:p>
        </w:tc>
        <w:tc>
          <w:tcPr>
            <w:tcW w:w="800" w:type="dxa"/>
            <w:vAlign w:val="bottom"/>
            <w:shd w:val="clear" w:color="auto" w:fill="CCEEFF"/>
          </w:tcPr>
          <w:p>
            <w:pPr>
              <w:spacing w:after="0"/>
              <w:rPr>
                <w:sz w:val="17"/>
                <w:szCs w:val="17"/>
                <w:color w:val="auto"/>
              </w:rPr>
            </w:pPr>
          </w:p>
        </w:tc>
      </w:tr>
      <w:tr>
        <w:trPr>
          <w:trHeight w:val="200"/>
        </w:trPr>
        <w:tc>
          <w:tcPr>
            <w:tcW w:w="8040" w:type="dxa"/>
            <w:vAlign w:val="bottom"/>
            <w:gridSpan w:val="6"/>
          </w:tcPr>
          <w:p>
            <w:pPr>
              <w:ind w:left="20"/>
              <w:spacing w:after="0"/>
              <w:rPr>
                <w:sz w:val="20"/>
                <w:szCs w:val="20"/>
                <w:color w:val="auto"/>
              </w:rPr>
            </w:pPr>
            <w:r>
              <w:rPr>
                <w:rFonts w:ascii="Times New Roman" w:cs="Times New Roman" w:eastAsia="Times New Roman" w:hAnsi="Times New Roman"/>
                <w:sz w:val="15"/>
                <w:szCs w:val="15"/>
                <w:color w:val="auto"/>
              </w:rPr>
              <w:t>Cost reimbursements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53,786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50,232</w:t>
            </w:r>
          </w:p>
        </w:tc>
        <w:tc>
          <w:tcPr>
            <w:tcW w:w="800" w:type="dxa"/>
            <w:vAlign w:val="bottom"/>
          </w:tcPr>
          <w:p>
            <w:pPr>
              <w:spacing w:after="0"/>
              <w:rPr>
                <w:sz w:val="17"/>
                <w:szCs w:val="17"/>
                <w:color w:val="auto"/>
              </w:rPr>
            </w:pPr>
          </w:p>
        </w:tc>
      </w:tr>
      <w:tr>
        <w:trPr>
          <w:trHeight w:val="205"/>
        </w:trPr>
        <w:tc>
          <w:tcPr>
            <w:tcW w:w="80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13,514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13,896</w:t>
            </w:r>
          </w:p>
        </w:tc>
        <w:tc>
          <w:tcPr>
            <w:tcW w:w="800" w:type="dxa"/>
            <w:vAlign w:val="bottom"/>
            <w:shd w:val="clear" w:color="auto" w:fill="CCEEFF"/>
          </w:tcPr>
          <w:p>
            <w:pPr>
              <w:spacing w:after="0"/>
              <w:rPr>
                <w:sz w:val="17"/>
                <w:szCs w:val="17"/>
                <w:color w:val="auto"/>
              </w:rPr>
            </w:pPr>
          </w:p>
        </w:tc>
      </w:tr>
      <w:tr>
        <w:trPr>
          <w:trHeight w:val="200"/>
        </w:trPr>
        <w:tc>
          <w:tcPr>
            <w:tcW w:w="8040" w:type="dxa"/>
            <w:vAlign w:val="bottom"/>
            <w:tcBorders>
              <w:bottom w:val="single" w:sz="8" w:color="CCEEFF"/>
            </w:tcBorders>
            <w:gridSpan w:val="6"/>
          </w:tcPr>
          <w:p>
            <w:pPr>
              <w:ind w:left="20"/>
              <w:spacing w:after="0"/>
              <w:rPr>
                <w:sz w:val="20"/>
                <w:szCs w:val="20"/>
                <w:color w:val="auto"/>
              </w:rPr>
            </w:pPr>
            <w:r>
              <w:rPr>
                <w:rFonts w:ascii="Times New Roman" w:cs="Times New Roman" w:eastAsia="Times New Roman" w:hAnsi="Times New Roman"/>
                <w:sz w:val="15"/>
                <w:szCs w:val="15"/>
                <w:color w:val="auto"/>
              </w:rPr>
              <w:t>Collectibility related impacts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949</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1,129</w:t>
            </w:r>
          </w:p>
        </w:tc>
        <w:tc>
          <w:tcPr>
            <w:tcW w:w="800" w:type="dxa"/>
            <w:vAlign w:val="bottom"/>
            <w:tcBorders>
              <w:bottom w:val="single" w:sz="8" w:color="CCEEFF"/>
            </w:tcBorders>
          </w:tcPr>
          <w:p>
            <w:pPr>
              <w:spacing w:after="0"/>
              <w:rPr>
                <w:sz w:val="17"/>
                <w:szCs w:val="17"/>
                <w:color w:val="auto"/>
              </w:rPr>
            </w:pPr>
          </w:p>
        </w:tc>
      </w:tr>
      <w:tr>
        <w:trPr>
          <w:trHeight w:val="198"/>
        </w:trPr>
        <w:tc>
          <w:tcPr>
            <w:tcW w:w="80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property revenue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276,798</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268,409</w:t>
            </w:r>
          </w:p>
        </w:tc>
        <w:tc>
          <w:tcPr>
            <w:tcW w:w="800" w:type="dxa"/>
            <w:vAlign w:val="bottom"/>
            <w:shd w:val="clear" w:color="auto" w:fill="CCEEFF"/>
          </w:tcPr>
          <w:p>
            <w:pPr>
              <w:spacing w:after="0"/>
              <w:rPr>
                <w:sz w:val="17"/>
                <w:szCs w:val="17"/>
                <w:color w:val="auto"/>
              </w:rPr>
            </w:pPr>
          </w:p>
        </w:tc>
      </w:tr>
      <w:tr>
        <w:trPr>
          <w:trHeight w:val="95"/>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03"/>
        </w:trPr>
        <w:tc>
          <w:tcPr>
            <w:tcW w:w="80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Rental expenses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(53,341)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(51,112)</w:t>
            </w:r>
          </w:p>
        </w:tc>
        <w:tc>
          <w:tcPr>
            <w:tcW w:w="800" w:type="dxa"/>
            <w:vAlign w:val="bottom"/>
            <w:shd w:val="clear" w:color="auto" w:fill="CCEEFF"/>
          </w:tcPr>
          <w:p>
            <w:pPr>
              <w:spacing w:after="0"/>
              <w:rPr>
                <w:sz w:val="17"/>
                <w:szCs w:val="17"/>
                <w:color w:val="auto"/>
              </w:rPr>
            </w:pPr>
          </w:p>
        </w:tc>
      </w:tr>
      <w:tr>
        <w:trPr>
          <w:trHeight w:val="200"/>
        </w:trPr>
        <w:tc>
          <w:tcPr>
            <w:tcW w:w="8040" w:type="dxa"/>
            <w:vAlign w:val="bottom"/>
            <w:tcBorders>
              <w:bottom w:val="single" w:sz="8" w:color="CCEEFF"/>
            </w:tcBorders>
            <w:gridSpan w:val="6"/>
          </w:tcPr>
          <w:p>
            <w:pPr>
              <w:ind w:left="20"/>
              <w:spacing w:after="0"/>
              <w:rPr>
                <w:sz w:val="20"/>
                <w:szCs w:val="20"/>
                <w:color w:val="auto"/>
              </w:rPr>
            </w:pPr>
            <w:r>
              <w:rPr>
                <w:rFonts w:ascii="Times New Roman" w:cs="Times New Roman" w:eastAsia="Times New Roman" w:hAnsi="Times New Roman"/>
                <w:sz w:val="15"/>
                <w:szCs w:val="15"/>
                <w:color w:val="auto"/>
              </w:rPr>
              <w:t>Real estate taxes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(33,516)</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(31,583)</w:t>
            </w:r>
          </w:p>
        </w:tc>
        <w:tc>
          <w:tcPr>
            <w:tcW w:w="800" w:type="dxa"/>
            <w:vAlign w:val="bottom"/>
            <w:tcBorders>
              <w:bottom w:val="single" w:sz="8" w:color="CCEEFF"/>
            </w:tcBorders>
          </w:tcPr>
          <w:p>
            <w:pPr>
              <w:spacing w:after="0"/>
              <w:rPr>
                <w:sz w:val="17"/>
                <w:szCs w:val="17"/>
                <w:color w:val="auto"/>
              </w:rPr>
            </w:pPr>
          </w:p>
        </w:tc>
      </w:tr>
      <w:tr>
        <w:trPr>
          <w:trHeight w:val="198"/>
        </w:trPr>
        <w:tc>
          <w:tcPr>
            <w:tcW w:w="80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property expenses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(86,857)</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(82,695)</w:t>
            </w:r>
          </w:p>
        </w:tc>
        <w:tc>
          <w:tcPr>
            <w:tcW w:w="800" w:type="dxa"/>
            <w:vAlign w:val="bottom"/>
            <w:shd w:val="clear" w:color="auto" w:fill="CCEEFF"/>
          </w:tcPr>
          <w:p>
            <w:pPr>
              <w:spacing w:after="0"/>
              <w:rPr>
                <w:sz w:val="17"/>
                <w:szCs w:val="17"/>
                <w:color w:val="auto"/>
              </w:rPr>
            </w:pPr>
          </w:p>
        </w:tc>
      </w:tr>
      <w:tr>
        <w:trPr>
          <w:trHeight w:val="95"/>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03"/>
        </w:trPr>
        <w:tc>
          <w:tcPr>
            <w:tcW w:w="80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Comparable property POI</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189,941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185,714</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2.3%</w:t>
            </w:r>
          </w:p>
        </w:tc>
      </w:tr>
      <w:tr>
        <w:trPr>
          <w:trHeight w:val="200"/>
        </w:trPr>
        <w:tc>
          <w:tcPr>
            <w:tcW w:w="8040" w:type="dxa"/>
            <w:vAlign w:val="bottom"/>
            <w:gridSpan w:val="6"/>
          </w:tcPr>
          <w:p>
            <w:pPr>
              <w:ind w:left="20"/>
              <w:spacing w:after="0"/>
              <w:rPr>
                <w:sz w:val="20"/>
                <w:szCs w:val="20"/>
                <w:color w:val="auto"/>
              </w:rPr>
            </w:pPr>
            <w:r>
              <w:rPr>
                <w:rFonts w:ascii="Times New Roman" w:cs="Times New Roman" w:eastAsia="Times New Roman" w:hAnsi="Times New Roman"/>
                <w:sz w:val="15"/>
                <w:szCs w:val="15"/>
                <w:color w:val="auto"/>
              </w:rPr>
              <w:t>Less: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5"/>
        </w:trPr>
        <w:tc>
          <w:tcPr>
            <w:tcW w:w="80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Lease termination fees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(1,306)</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(1,618)</w:t>
            </w:r>
          </w:p>
        </w:tc>
        <w:tc>
          <w:tcPr>
            <w:tcW w:w="800" w:type="dxa"/>
            <w:vAlign w:val="bottom"/>
            <w:shd w:val="clear" w:color="auto" w:fill="CCEEFF"/>
          </w:tcPr>
          <w:p>
            <w:pPr>
              <w:spacing w:after="0"/>
              <w:rPr>
                <w:sz w:val="17"/>
                <w:szCs w:val="17"/>
                <w:color w:val="auto"/>
              </w:rPr>
            </w:pPr>
          </w:p>
        </w:tc>
      </w:tr>
      <w:tr>
        <w:trPr>
          <w:trHeight w:val="200"/>
        </w:trPr>
        <w:tc>
          <w:tcPr>
            <w:tcW w:w="8040" w:type="dxa"/>
            <w:vAlign w:val="bottom"/>
            <w:tcBorders>
              <w:bottom w:val="single" w:sz="8" w:color="CCEEFF"/>
            </w:tcBorders>
            <w:gridSpan w:val="6"/>
          </w:tcPr>
          <w:p>
            <w:pPr>
              <w:ind w:left="20"/>
              <w:spacing w:after="0"/>
              <w:rPr>
                <w:sz w:val="20"/>
                <w:szCs w:val="20"/>
                <w:color w:val="auto"/>
              </w:rPr>
            </w:pPr>
            <w:r>
              <w:rPr>
                <w:rFonts w:ascii="Times New Roman" w:cs="Times New Roman" w:eastAsia="Times New Roman" w:hAnsi="Times New Roman"/>
                <w:sz w:val="15"/>
                <w:szCs w:val="15"/>
                <w:color w:val="auto"/>
              </w:rPr>
              <w:t>Prior period rents collected (2)</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(696)</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(1,373)</w:t>
            </w:r>
          </w:p>
        </w:tc>
        <w:tc>
          <w:tcPr>
            <w:tcW w:w="800" w:type="dxa"/>
            <w:vAlign w:val="bottom"/>
            <w:tcBorders>
              <w:bottom w:val="single" w:sz="8" w:color="CCEEFF"/>
            </w:tcBorders>
          </w:tcPr>
          <w:p>
            <w:pPr>
              <w:spacing w:after="0"/>
              <w:rPr>
                <w:sz w:val="17"/>
                <w:szCs w:val="17"/>
                <w:color w:val="auto"/>
              </w:rPr>
            </w:pPr>
          </w:p>
        </w:tc>
      </w:tr>
      <w:tr>
        <w:trPr>
          <w:trHeight w:val="198"/>
        </w:trPr>
        <w:tc>
          <w:tcPr>
            <w:tcW w:w="80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Comparable property POI excluding lease termination fees and prior period rents collected</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187,939</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182,723</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2.9%</w:t>
            </w:r>
          </w:p>
        </w:tc>
      </w:tr>
      <w:tr>
        <w:trPr>
          <w:trHeight w:val="257"/>
        </w:trPr>
        <w:tc>
          <w:tcPr>
            <w:tcW w:w="8040" w:type="dxa"/>
            <w:vAlign w:val="bottom"/>
            <w:gridSpan w:val="6"/>
          </w:tcPr>
          <w:p>
            <w:pPr>
              <w:ind w:left="20"/>
              <w:spacing w:after="0"/>
              <w:rPr>
                <w:sz w:val="20"/>
                <w:szCs w:val="20"/>
                <w:color w:val="auto"/>
              </w:rPr>
            </w:pPr>
            <w:r>
              <w:rPr>
                <w:rFonts w:ascii="Times New Roman" w:cs="Times New Roman" w:eastAsia="Times New Roman" w:hAnsi="Times New Roman"/>
                <w:sz w:val="15"/>
                <w:szCs w:val="15"/>
                <w:i w:val="1"/>
                <w:iCs w:val="1"/>
                <w:color w:val="auto"/>
              </w:rPr>
              <w:t>Comparable Property - Summary of Capital Expenditures (3)</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15"/>
        </w:trPr>
        <w:tc>
          <w:tcPr>
            <w:tcW w:w="20" w:type="dxa"/>
            <w:vAlign w:val="bottom"/>
          </w:tcPr>
          <w:p>
            <w:pPr>
              <w:spacing w:after="0"/>
              <w:rPr>
                <w:sz w:val="18"/>
                <w:szCs w:val="18"/>
                <w:color w:val="auto"/>
              </w:rPr>
            </w:pPr>
          </w:p>
        </w:tc>
        <w:tc>
          <w:tcPr>
            <w:tcW w:w="29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4"/>
          </w:tcPr>
          <w:p>
            <w:pPr>
              <w:jc w:val="center"/>
              <w:ind w:right="16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800" w:type="dxa"/>
            <w:vAlign w:val="bottom"/>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left="484"/>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4"/>
          </w:tcPr>
          <w:p>
            <w:pPr>
              <w:jc w:val="center"/>
              <w:ind w:right="164"/>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800" w:type="dxa"/>
            <w:vAlign w:val="bottom"/>
          </w:tcPr>
          <w:p>
            <w:pPr>
              <w:spacing w:after="0"/>
              <w:rPr>
                <w:sz w:val="17"/>
                <w:szCs w:val="17"/>
                <w:color w:val="auto"/>
              </w:rPr>
            </w:pPr>
          </w:p>
        </w:tc>
      </w:tr>
      <w:tr>
        <w:trPr>
          <w:trHeight w:val="203"/>
        </w:trPr>
        <w:tc>
          <w:tcPr>
            <w:tcW w:w="80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Redevelopment and tenant improvements and incentives</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36,423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34,374</w:t>
            </w:r>
          </w:p>
        </w:tc>
        <w:tc>
          <w:tcPr>
            <w:tcW w:w="800" w:type="dxa"/>
            <w:vAlign w:val="bottom"/>
            <w:shd w:val="clear" w:color="auto" w:fill="CCEEFF"/>
          </w:tcPr>
          <w:p>
            <w:pPr>
              <w:spacing w:after="0"/>
              <w:rPr>
                <w:sz w:val="17"/>
                <w:szCs w:val="17"/>
                <w:color w:val="auto"/>
              </w:rPr>
            </w:pPr>
          </w:p>
        </w:tc>
      </w:tr>
      <w:tr>
        <w:trPr>
          <w:trHeight w:val="200"/>
        </w:trPr>
        <w:tc>
          <w:tcPr>
            <w:tcW w:w="8040" w:type="dxa"/>
            <w:vAlign w:val="bottom"/>
            <w:tcBorders>
              <w:bottom w:val="single" w:sz="8" w:color="CCEEFF"/>
            </w:tcBorders>
            <w:gridSpan w:val="6"/>
          </w:tcPr>
          <w:p>
            <w:pPr>
              <w:ind w:left="20"/>
              <w:spacing w:after="0"/>
              <w:rPr>
                <w:sz w:val="20"/>
                <w:szCs w:val="20"/>
                <w:color w:val="auto"/>
              </w:rPr>
            </w:pPr>
            <w:r>
              <w:rPr>
                <w:rFonts w:ascii="Times New Roman" w:cs="Times New Roman" w:eastAsia="Times New Roman" w:hAnsi="Times New Roman"/>
                <w:sz w:val="15"/>
                <w:szCs w:val="15"/>
                <w:color w:val="auto"/>
              </w:rPr>
              <w:t>Maintenance capital expenditures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4,519</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4,162</w:t>
            </w:r>
          </w:p>
        </w:tc>
        <w:tc>
          <w:tcPr>
            <w:tcW w:w="800" w:type="dxa"/>
            <w:vAlign w:val="bottom"/>
            <w:tcBorders>
              <w:bottom w:val="single" w:sz="8" w:color="CCEEFF"/>
            </w:tcBorders>
          </w:tcPr>
          <w:p>
            <w:pPr>
              <w:spacing w:after="0"/>
              <w:rPr>
                <w:sz w:val="17"/>
                <w:szCs w:val="17"/>
                <w:color w:val="auto"/>
              </w:rPr>
            </w:pPr>
          </w:p>
        </w:tc>
      </w:tr>
      <w:tr>
        <w:trPr>
          <w:trHeight w:val="198"/>
        </w:trPr>
        <w:tc>
          <w:tcPr>
            <w:tcW w:w="2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40,942</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38,536</w:t>
            </w:r>
          </w:p>
        </w:tc>
        <w:tc>
          <w:tcPr>
            <w:tcW w:w="800" w:type="dxa"/>
            <w:vAlign w:val="bottom"/>
            <w:shd w:val="clear" w:color="auto" w:fill="CCEEFF"/>
          </w:tcPr>
          <w:p>
            <w:pPr>
              <w:spacing w:after="0"/>
              <w:rPr>
                <w:sz w:val="17"/>
                <w:szCs w:val="17"/>
                <w:color w:val="auto"/>
              </w:rPr>
            </w:pPr>
          </w:p>
        </w:tc>
      </w:tr>
      <w:tr>
        <w:trPr>
          <w:trHeight w:val="256"/>
        </w:trPr>
        <w:tc>
          <w:tcPr>
            <w:tcW w:w="8040" w:type="dxa"/>
            <w:vAlign w:val="bottom"/>
            <w:gridSpan w:val="6"/>
          </w:tcPr>
          <w:p>
            <w:pPr>
              <w:ind w:left="20"/>
              <w:spacing w:after="0"/>
              <w:rPr>
                <w:sz w:val="20"/>
                <w:szCs w:val="20"/>
                <w:color w:val="auto"/>
              </w:rPr>
            </w:pPr>
            <w:r>
              <w:rPr>
                <w:rFonts w:ascii="Times New Roman" w:cs="Times New Roman" w:eastAsia="Times New Roman" w:hAnsi="Times New Roman"/>
                <w:sz w:val="15"/>
                <w:szCs w:val="15"/>
                <w:i w:val="1"/>
                <w:iCs w:val="1"/>
                <w:color w:val="auto"/>
              </w:rPr>
              <w:t>Comparable Property - Occupancy Statistics (3)</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19"/>
        </w:trPr>
        <w:tc>
          <w:tcPr>
            <w:tcW w:w="20" w:type="dxa"/>
            <w:vAlign w:val="bottom"/>
          </w:tcPr>
          <w:p>
            <w:pPr>
              <w:spacing w:after="0"/>
              <w:rPr>
                <w:sz w:val="19"/>
                <w:szCs w:val="19"/>
                <w:color w:val="auto"/>
              </w:rPr>
            </w:pPr>
          </w:p>
        </w:tc>
        <w:tc>
          <w:tcPr>
            <w:tcW w:w="296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left="484"/>
              <w:spacing w:after="0"/>
              <w:rPr>
                <w:sz w:val="20"/>
                <w:szCs w:val="20"/>
                <w:color w:val="auto"/>
              </w:rPr>
            </w:pPr>
            <w:r>
              <w:rPr>
                <w:rFonts w:ascii="Times New Roman" w:cs="Times New Roman" w:eastAsia="Times New Roman" w:hAnsi="Times New Roman"/>
                <w:sz w:val="15"/>
                <w:szCs w:val="15"/>
                <w:b w:val="1"/>
                <w:bCs w:val="1"/>
                <w:color w:val="auto"/>
              </w:rPr>
              <w:t>At June 30,</w:t>
            </w:r>
          </w:p>
        </w:tc>
        <w:tc>
          <w:tcPr>
            <w:tcW w:w="78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r>
      <w:tr>
        <w:trPr>
          <w:trHeight w:val="200"/>
        </w:trPr>
        <w:tc>
          <w:tcPr>
            <w:tcW w:w="20" w:type="dxa"/>
            <w:vAlign w:val="bottom"/>
            <w:tcBorders>
              <w:bottom w:val="single" w:sz="8" w:color="CCEEFF"/>
            </w:tcBorders>
          </w:tcPr>
          <w:p>
            <w:pPr>
              <w:spacing w:after="0"/>
              <w:rPr>
                <w:sz w:val="17"/>
                <w:szCs w:val="17"/>
                <w:color w:val="auto"/>
              </w:rPr>
            </w:pPr>
          </w:p>
        </w:tc>
        <w:tc>
          <w:tcPr>
            <w:tcW w:w="296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3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0" w:type="dxa"/>
            <w:vAlign w:val="bottom"/>
            <w:tcBorders>
              <w:bottom w:val="single" w:sz="8" w:color="CCEEFF"/>
            </w:tcBorders>
          </w:tcPr>
          <w:p>
            <w:pPr>
              <w:spacing w:after="0"/>
              <w:rPr>
                <w:sz w:val="17"/>
                <w:szCs w:val="17"/>
                <w:color w:val="auto"/>
              </w:rPr>
            </w:pPr>
          </w:p>
        </w:tc>
      </w:tr>
      <w:tr>
        <w:trPr>
          <w:trHeight w:val="196"/>
        </w:trPr>
        <w:tc>
          <w:tcPr>
            <w:tcW w:w="80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GLA - comparable commercial properties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25,074,000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25,090,000</w:t>
            </w:r>
          </w:p>
        </w:tc>
        <w:tc>
          <w:tcPr>
            <w:tcW w:w="800" w:type="dxa"/>
            <w:vAlign w:val="bottom"/>
            <w:shd w:val="clear" w:color="auto" w:fill="CCEEFF"/>
          </w:tcPr>
          <w:p>
            <w:pPr>
              <w:spacing w:after="0"/>
              <w:rPr>
                <w:sz w:val="17"/>
                <w:szCs w:val="17"/>
                <w:color w:val="auto"/>
              </w:rPr>
            </w:pPr>
          </w:p>
        </w:tc>
      </w:tr>
      <w:tr>
        <w:trPr>
          <w:trHeight w:val="200"/>
        </w:trPr>
        <w:tc>
          <w:tcPr>
            <w:tcW w:w="8040" w:type="dxa"/>
            <w:vAlign w:val="bottom"/>
            <w:gridSpan w:val="6"/>
          </w:tcPr>
          <w:p>
            <w:pPr>
              <w:ind w:left="20"/>
              <w:spacing w:after="0"/>
              <w:rPr>
                <w:sz w:val="20"/>
                <w:szCs w:val="20"/>
                <w:color w:val="auto"/>
              </w:rPr>
            </w:pPr>
            <w:r>
              <w:rPr>
                <w:rFonts w:ascii="Times New Roman" w:cs="Times New Roman" w:eastAsia="Times New Roman" w:hAnsi="Times New Roman"/>
                <w:sz w:val="15"/>
                <w:szCs w:val="15"/>
                <w:color w:val="auto"/>
              </w:rPr>
              <w:t>Leased % - comparable commercial properties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94.4%</w:t>
            </w:r>
          </w:p>
        </w:tc>
        <w:tc>
          <w:tcPr>
            <w:tcW w:w="800" w:type="dxa"/>
            <w:vAlign w:val="bottom"/>
          </w:tcPr>
          <w:p>
            <w:pPr>
              <w:spacing w:after="0"/>
              <w:rPr>
                <w:sz w:val="17"/>
                <w:szCs w:val="17"/>
                <w:color w:val="auto"/>
              </w:rPr>
            </w:pPr>
          </w:p>
        </w:tc>
      </w:tr>
      <w:tr>
        <w:trPr>
          <w:trHeight w:val="205"/>
        </w:trPr>
        <w:tc>
          <w:tcPr>
            <w:tcW w:w="80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Occupancy % - comparable commercial properties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92.8%</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92.9%</w:t>
            </w:r>
          </w:p>
        </w:tc>
        <w:tc>
          <w:tcPr>
            <w:tcW w:w="800" w:type="dxa"/>
            <w:vAlign w:val="bottom"/>
            <w:shd w:val="clear" w:color="auto" w:fill="CCEEFF"/>
          </w:tcPr>
          <w:p>
            <w:pPr>
              <w:spacing w:after="0"/>
              <w:rPr>
                <w:sz w:val="17"/>
                <w:szCs w:val="17"/>
                <w:color w:val="auto"/>
              </w:rPr>
            </w:pP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Notes:</w:t>
      </w:r>
    </w:p>
    <w:p>
      <w:pPr>
        <w:spacing w:after="0" w:line="6" w:lineRule="exact"/>
        <w:rPr>
          <w:sz w:val="20"/>
          <w:szCs w:val="20"/>
          <w:color w:val="auto"/>
        </w:rPr>
      </w:pPr>
    </w:p>
    <w:p>
      <w:pPr>
        <w:ind w:left="660" w:right="40" w:hanging="652"/>
        <w:spacing w:after="0" w:line="253" w:lineRule="auto"/>
        <w:tabs>
          <w:tab w:leader="none" w:pos="649"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three months ended June 30, 2024 and 2023, amount includes straight-line rents of $2.6 million and $2.7 million, respectively, and amortization of in-place leases of $3.0 million and $3.1 million, respectively.</w:t>
      </w:r>
    </w:p>
    <w:p>
      <w:pPr>
        <w:ind w:left="640" w:hanging="632"/>
        <w:spacing w:after="0"/>
        <w:tabs>
          <w:tab w:leader="none" w:pos="6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 represents collection of prior period rents which were contractually deferred or payment renegotiated specifically related to the COVID-19 pandemic.</w:t>
      </w:r>
    </w:p>
    <w:p>
      <w:pPr>
        <w:spacing w:after="0" w:line="9" w:lineRule="exact"/>
        <w:rPr>
          <w:rFonts w:ascii="Times New Roman" w:cs="Times New Roman" w:eastAsia="Times New Roman" w:hAnsi="Times New Roman"/>
          <w:sz w:val="15"/>
          <w:szCs w:val="15"/>
          <w:color w:val="auto"/>
        </w:rPr>
      </w:pPr>
    </w:p>
    <w:p>
      <w:pPr>
        <w:ind w:left="640" w:hanging="632"/>
        <w:spacing w:after="0"/>
        <w:tabs>
          <w:tab w:leader="none" w:pos="6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 page 9 for "Summary of Capital Expenditures" and page 25 for portfolio occupancy statistics for our entire portfolio.</w:t>
      </w:r>
    </w:p>
    <w:p>
      <w:pPr>
        <w:sectPr>
          <w:pgSz w:w="11900" w:h="16838" w:orient="portrait"/>
          <w:cols w:equalWidth="0" w:num="1">
            <w:col w:w="11220"/>
          </w:cols>
          <w:pgMar w:left="320" w:top="604" w:right="359" w:bottom="1440" w:gutter="0" w:footer="0" w:header="0"/>
        </w:sectPr>
      </w:pPr>
    </w:p>
    <w:p>
      <w:pPr>
        <w:spacing w:after="0" w:line="1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604" w:right="359" w:bottom="1440" w:gutter="0" w:footer="0" w:header="0"/>
          <w:type w:val="continuous"/>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Market Data, Debt Metrics, and Senior Notes and Debentures Covenants</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0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80" w:type="dxa"/>
            <w:vAlign w:val="bottom"/>
            <w:tcBorders>
              <w:bottom w:val="single" w:sz="8" w:color="auto"/>
            </w:tcBorders>
          </w:tcPr>
          <w:p>
            <w:pPr>
              <w:spacing w:after="0"/>
              <w:rPr>
                <w:sz w:val="17"/>
                <w:szCs w:val="17"/>
                <w:color w:val="auto"/>
              </w:rPr>
            </w:pPr>
          </w:p>
        </w:tc>
      </w:tr>
      <w:tr>
        <w:trPr>
          <w:trHeight w:val="196"/>
        </w:trPr>
        <w:tc>
          <w:tcPr>
            <w:tcW w:w="80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6"/>
        </w:trPr>
        <w:tc>
          <w:tcPr>
            <w:tcW w:w="8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00" w:type="dxa"/>
            <w:vAlign w:val="bottom"/>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r>
      <w:tr>
        <w:trPr>
          <w:trHeight w:val="23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Common shares outstanding and downREIT operating partnership units (1)</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82,153</w:t>
            </w:r>
          </w:p>
        </w:tc>
      </w:tr>
      <w:tr>
        <w:trPr>
          <w:trHeight w:val="229"/>
        </w:trPr>
        <w:tc>
          <w:tcPr>
            <w:tcW w:w="8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Market price per common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96.77</w:t>
            </w:r>
          </w:p>
        </w:tc>
      </w:tr>
      <w:tr>
        <w:trPr>
          <w:trHeight w:val="223"/>
        </w:trPr>
        <w:tc>
          <w:tcPr>
            <w:tcW w:w="80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Common equity market capitalization including downREIT operating partnership units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8,503,592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7,949,946</w:t>
            </w:r>
          </w:p>
        </w:tc>
      </w:tr>
      <w:tr>
        <w:trPr>
          <w:trHeight w:val="196"/>
        </w:trPr>
        <w:tc>
          <w:tcPr>
            <w:tcW w:w="8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9"/>
        </w:trPr>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Series C preferred shares outstanding</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Liquidation price per Series C preferred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23"/>
        </w:trPr>
        <w:tc>
          <w:tcPr>
            <w:tcW w:w="80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Series C preferred equity market capitalization</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196"/>
        </w:trPr>
        <w:tc>
          <w:tcPr>
            <w:tcW w:w="8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0"/>
        </w:trPr>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Series 1 preferred shares outstanding (2)</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9"/>
        </w:trPr>
        <w:tc>
          <w:tcPr>
            <w:tcW w:w="8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Liquidation price per Series 1 preferred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23"/>
        </w:trPr>
        <w:tc>
          <w:tcPr>
            <w:tcW w:w="80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Series 1 preferred equity market capitalization</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9,825</w:t>
            </w:r>
          </w:p>
        </w:tc>
      </w:tr>
      <w:tr>
        <w:trPr>
          <w:trHeight w:val="196"/>
        </w:trPr>
        <w:tc>
          <w:tcPr>
            <w:tcW w:w="8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9"/>
        </w:trPr>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Equity market capitalization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8,663,417</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8,109,771</w:t>
            </w:r>
          </w:p>
        </w:tc>
      </w:tr>
      <w:tr>
        <w:trPr>
          <w:trHeight w:val="216"/>
        </w:trPr>
        <w:tc>
          <w:tcPr>
            <w:tcW w:w="8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4,553,672</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4,431,636</w:t>
            </w:r>
          </w:p>
        </w:tc>
      </w:tr>
      <w:tr>
        <w:trPr>
          <w:trHeight w:val="229"/>
        </w:trPr>
        <w:tc>
          <w:tcPr>
            <w:tcW w:w="8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(103,234)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(98,064)</w:t>
            </w:r>
          </w:p>
        </w:tc>
      </w:tr>
      <w:tr>
        <w:trPr>
          <w:trHeight w:val="223"/>
        </w:trPr>
        <w:tc>
          <w:tcPr>
            <w:tcW w:w="80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Total net debt (3)</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4,450,438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4,333,572</w:t>
            </w:r>
          </w:p>
        </w:tc>
      </w:tr>
      <w:tr>
        <w:trPr>
          <w:trHeight w:val="196"/>
        </w:trPr>
        <w:tc>
          <w:tcPr>
            <w:tcW w:w="8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0"/>
        </w:trPr>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market capitalization</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13,113,855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12,443,343</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8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Leverage and Liquidity Ratios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8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net debt to market capitalization at market price per common share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175"/>
        </w:trPr>
        <w:tc>
          <w:tcPr>
            <w:tcW w:w="808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Ratio of EBITDAre to combined fixed charges and preferred share dividends, three months ended (4)</w:t>
            </w: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3"/>
        </w:trPr>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1"/>
                <w:szCs w:val="21"/>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3.6x</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3.5x</w:t>
            </w:r>
          </w:p>
        </w:tc>
      </w:tr>
      <w:tr>
        <w:trPr>
          <w:trHeight w:val="230"/>
        </w:trPr>
        <w:tc>
          <w:tcPr>
            <w:tcW w:w="8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Ratio of EBITDAre to combined fixed charges and preferred share dividends, six months ended (4)(5)</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3.6x</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3.6x</w:t>
            </w:r>
          </w:p>
        </w:tc>
      </w:tr>
      <w:tr>
        <w:trPr>
          <w:trHeight w:val="203"/>
        </w:trPr>
        <w:tc>
          <w:tcPr>
            <w:tcW w:w="8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and Debentures Covenants (6)</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162"/>
        </w:trPr>
        <w:tc>
          <w:tcPr>
            <w:tcW w:w="8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132"/>
              <w:spacing w:after="0" w:line="162" w:lineRule="exact"/>
              <w:rPr>
                <w:sz w:val="20"/>
                <w:szCs w:val="20"/>
                <w:color w:val="auto"/>
              </w:rPr>
            </w:pPr>
            <w:r>
              <w:rPr>
                <w:rFonts w:ascii="Times New Roman" w:cs="Times New Roman" w:eastAsia="Times New Roman" w:hAnsi="Times New Roman"/>
                <w:sz w:val="16"/>
                <w:szCs w:val="16"/>
                <w:b w:val="1"/>
                <w:bCs w:val="1"/>
                <w:color w:val="auto"/>
              </w:rPr>
              <w:t>Debt Covenant</w:t>
            </w:r>
          </w:p>
        </w:tc>
      </w:tr>
      <w:tr>
        <w:trPr>
          <w:trHeight w:val="214"/>
        </w:trPr>
        <w:tc>
          <w:tcPr>
            <w:tcW w:w="8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8"/>
                <w:szCs w:val="18"/>
                <w:color w:val="auto"/>
              </w:rPr>
            </w:pPr>
          </w:p>
        </w:tc>
        <w:tc>
          <w:tcPr>
            <w:tcW w:w="128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Threshold (7)</w:t>
            </w:r>
          </w:p>
        </w:tc>
      </w:tr>
      <w:tr>
        <w:trPr>
          <w:trHeight w:val="225"/>
        </w:trPr>
        <w:tc>
          <w:tcPr>
            <w:tcW w:w="808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Debt to Total Assets</w:t>
            </w:r>
          </w:p>
        </w:tc>
        <w:tc>
          <w:tcPr>
            <w:tcW w:w="2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center"/>
              <w:ind w:right="153"/>
              <w:spacing w:after="0"/>
              <w:rPr>
                <w:sz w:val="20"/>
                <w:szCs w:val="20"/>
                <w:color w:val="auto"/>
              </w:rPr>
            </w:pPr>
            <w:r>
              <w:rPr>
                <w:rFonts w:ascii="Times New Roman" w:cs="Times New Roman" w:eastAsia="Times New Roman" w:hAnsi="Times New Roman"/>
                <w:sz w:val="18"/>
                <w:szCs w:val="18"/>
                <w:color w:val="auto"/>
                <w:w w:val="96"/>
              </w:rPr>
              <w:t>40%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rPr>
              <w:t>&lt; 60%</w:t>
            </w:r>
          </w:p>
        </w:tc>
      </w:tr>
      <w:tr>
        <w:trPr>
          <w:trHeight w:val="229"/>
        </w:trPr>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Secured Debt to Total Assets</w:t>
            </w:r>
          </w:p>
        </w:tc>
        <w:tc>
          <w:tcPr>
            <w:tcW w:w="220" w:type="dxa"/>
            <w:vAlign w:val="bottom"/>
          </w:tcPr>
          <w:p>
            <w:pPr>
              <w:spacing w:after="0"/>
              <w:rPr>
                <w:sz w:val="19"/>
                <w:szCs w:val="19"/>
                <w:color w:val="auto"/>
              </w:rPr>
            </w:pPr>
          </w:p>
        </w:tc>
        <w:tc>
          <w:tcPr>
            <w:tcW w:w="128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w w:val="99"/>
              </w:rPr>
              <w:t>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rPr>
              <w:t>&lt; 40%</w:t>
            </w:r>
          </w:p>
        </w:tc>
      </w:tr>
      <w:tr>
        <w:trPr>
          <w:trHeight w:val="230"/>
        </w:trPr>
        <w:tc>
          <w:tcPr>
            <w:tcW w:w="8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Consolidated Income to Annual Debt Service Charge</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rPr>
              <w:t>3.6x</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w w:val="99"/>
              </w:rPr>
              <w:t>&gt; 1.5x</w:t>
            </w:r>
          </w:p>
        </w:tc>
      </w:tr>
      <w:tr>
        <w:trPr>
          <w:trHeight w:val="234"/>
        </w:trPr>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Unencumbered Assets to Unsecured Debt</w:t>
            </w:r>
          </w:p>
        </w:tc>
        <w:tc>
          <w:tcPr>
            <w:tcW w:w="220" w:type="dxa"/>
            <w:vAlign w:val="bottom"/>
          </w:tcPr>
          <w:p>
            <w:pPr>
              <w:spacing w:after="0"/>
              <w:rPr>
                <w:sz w:val="20"/>
                <w:szCs w:val="20"/>
                <w:color w:val="auto"/>
              </w:rPr>
            </w:pPr>
          </w:p>
        </w:tc>
        <w:tc>
          <w:tcPr>
            <w:tcW w:w="128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9"/>
              </w:rPr>
              <w:t>247%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8"/>
              </w:rPr>
              <w:t>&gt; 150%</w:t>
            </w: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73"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include 628,419 and 637,031 downREIT operating partnership units outstanding at June 30, 2024 and 2023, respectively.</w:t>
      </w:r>
    </w:p>
    <w:p>
      <w:pPr>
        <w:spacing w:after="0" w:line="59"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shares, issued March 8, 2007, are unregistered.</w:t>
      </w:r>
    </w:p>
    <w:p>
      <w:pPr>
        <w:spacing w:after="0" w:line="59" w:lineRule="exact"/>
        <w:rPr>
          <w:rFonts w:ascii="Times New Roman" w:cs="Times New Roman" w:eastAsia="Times New Roman" w:hAnsi="Times New Roman"/>
          <w:sz w:val="16"/>
          <w:szCs w:val="16"/>
          <w:color w:val="auto"/>
        </w:rPr>
      </w:pPr>
    </w:p>
    <w:p>
      <w:pPr>
        <w:ind w:left="660" w:right="20" w:hanging="652"/>
        <w:spacing w:after="0" w:line="290"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net debt includes mortgages payable, notes payable, senior notes and debentures, net of premiums/discounts and debt issuance costs and net of cash and cash equivalents from our consolidated balance sheet.</w:t>
      </w:r>
    </w:p>
    <w:p>
      <w:pPr>
        <w:ind w:left="660" w:hanging="652"/>
        <w:spacing w:after="0"/>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EBITDAre is reconciled to net income in the Glossary of Terms.</w:t>
      </w:r>
    </w:p>
    <w:p>
      <w:pPr>
        <w:spacing w:after="0" w:line="72" w:lineRule="exact"/>
        <w:rPr>
          <w:rFonts w:ascii="Times New Roman" w:cs="Times New Roman" w:eastAsia="Times New Roman" w:hAnsi="Times New Roman"/>
          <w:sz w:val="16"/>
          <w:szCs w:val="16"/>
          <w:color w:val="auto"/>
        </w:rPr>
      </w:pPr>
    </w:p>
    <w:p>
      <w:pPr>
        <w:ind w:left="660" w:right="80" w:hanging="652"/>
        <w:spacing w:after="0" w:line="280"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Fixed charges consist of interest on borrowed funds and finance leases (including capitalized interest), amortization of debt discount/premium and debt costs, and the portion of rent expense representing an interest factor.</w:t>
      </w:r>
    </w:p>
    <w:p>
      <w:pPr>
        <w:spacing w:after="0" w:line="2"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reference period for calculating these covenants is the most recent twelve months ended June 30, 2024.</w:t>
      </w:r>
    </w:p>
    <w:p>
      <w:pPr>
        <w:spacing w:after="0" w:line="72" w:lineRule="exact"/>
        <w:rPr>
          <w:rFonts w:ascii="Times New Roman" w:cs="Times New Roman" w:eastAsia="Times New Roman" w:hAnsi="Times New Roman"/>
          <w:sz w:val="16"/>
          <w:szCs w:val="16"/>
          <w:color w:val="auto"/>
        </w:rPr>
      </w:pPr>
    </w:p>
    <w:p>
      <w:pPr>
        <w:ind w:left="660" w:right="560" w:hanging="652"/>
        <w:spacing w:after="0" w:line="280"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 detailed description of the senior unsecured notes covenants and definitions of the terms, please refer to our filings with the Securities and Exchange Commission.</w:t>
      </w:r>
    </w:p>
    <w:p>
      <w:pPr>
        <w:sectPr>
          <w:pgSz w:w="11900" w:h="16838" w:orient="portrait"/>
          <w:cols w:equalWidth="0" w:num="1">
            <w:col w:w="11220"/>
          </w:cols>
          <w:pgMar w:left="320" w:top="1022" w:right="35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320" w:top="1022" w:right="359" w:bottom="1440" w:gutter="0" w:footer="0" w:header="0"/>
          <w:type w:val="continuous"/>
        </w:sectPr>
      </w:pPr>
    </w:p>
    <w:bookmarkStart w:id="15" w:name="page16"/>
    <w:bookmarkEnd w:id="15"/>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Summary of Outstanding Debt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June 30, 2024</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5"/>
          </w:tcPr>
          <w:p>
            <w:pPr>
              <w:ind w:left="104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8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Stated maturity date</w:t>
            </w:r>
          </w:p>
        </w:tc>
        <w:tc>
          <w:tcPr>
            <w:tcW w:w="1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Stated interest rate</w:t>
            </w:r>
          </w:p>
        </w:tc>
        <w:tc>
          <w:tcPr>
            <w:tcW w:w="140" w:type="dxa"/>
            <w:vAlign w:val="bottom"/>
          </w:tcPr>
          <w:p>
            <w:pPr>
              <w:spacing w:after="0"/>
              <w:rPr>
                <w:sz w:val="11"/>
                <w:szCs w:val="11"/>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tcPr>
          <w:p>
            <w:pPr>
              <w:jc w:val="right"/>
              <w:ind w:right="99"/>
              <w:spacing w:after="0" w:line="135"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880" w:type="dxa"/>
            <w:vAlign w:val="bottom"/>
            <w:gridSpan w:val="2"/>
            <w:vMerge w:val="continue"/>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effective rate (6)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auto"/>
            </w:tcBorders>
            <w:gridSpan w:val="2"/>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Mortgages payable (1)</w:t>
            </w:r>
          </w:p>
        </w:tc>
        <w:tc>
          <w:tcPr>
            <w:tcW w:w="2700" w:type="dxa"/>
            <w:vAlign w:val="bottom"/>
            <w:tcBorders>
              <w:bottom w:val="single" w:sz="8" w:color="CCEEFF"/>
            </w:tcBorders>
            <w:gridSpan w:val="2"/>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80" w:type="dxa"/>
            <w:vAlign w:val="bottom"/>
            <w:gridSpan w:val="4"/>
          </w:tcPr>
          <w:p>
            <w:pPr>
              <w:ind w:left="380"/>
              <w:spacing w:after="0"/>
              <w:rPr>
                <w:sz w:val="20"/>
                <w:szCs w:val="20"/>
                <w:color w:val="auto"/>
              </w:rPr>
            </w:pPr>
            <w:r>
              <w:rPr>
                <w:rFonts w:ascii="Times New Roman" w:cs="Times New Roman" w:eastAsia="Times New Roman" w:hAnsi="Times New Roman"/>
                <w:sz w:val="16"/>
                <w:szCs w:val="16"/>
                <w:i w:val="1"/>
                <w:iCs w:val="1"/>
                <w:color w:val="auto"/>
              </w:rPr>
              <w:t>Secured fixed rate</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41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Azalea</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11/1/2025</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Bethesda Row</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12/28/2025 (2)</w:t>
            </w:r>
          </w:p>
        </w:tc>
        <w:tc>
          <w:tcPr>
            <w:tcW w:w="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5.03% (3)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Bell Gardens</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8/1/2026</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4.06%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Plaza El Segundo</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6/5/2027</w:t>
            </w:r>
          </w:p>
        </w:tc>
        <w:tc>
          <w:tcPr>
            <w:tcW w:w="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The Grove at Shrewsbury (East)</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9/1/2027</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3.77%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43,600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Brook 35</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7/1/2029</w:t>
            </w:r>
          </w:p>
        </w:tc>
        <w:tc>
          <w:tcPr>
            <w:tcW w:w="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Hoboken (24 Buildings)</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12/15/2029</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3.67% (3)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52,870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Various Hoboken (14 Buildings)</w:t>
            </w:r>
          </w:p>
        </w:tc>
        <w:tc>
          <w:tcPr>
            <w:tcW w:w="18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Various through 2029</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3.91% to 5.00%</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29,364</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Chelsea</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1/15/2031</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5.36%</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180" w:type="dxa"/>
            <w:vAlign w:val="bottom"/>
            <w:gridSpan w:val="4"/>
          </w:tcPr>
          <w:p>
            <w:pPr>
              <w:ind w:left="700"/>
              <w:spacing w:after="0"/>
              <w:rPr>
                <w:sz w:val="20"/>
                <w:szCs w:val="20"/>
                <w:color w:val="auto"/>
              </w:rPr>
            </w:pPr>
            <w:r>
              <w:rPr>
                <w:rFonts w:ascii="Times New Roman" w:cs="Times New Roman" w:eastAsia="Times New Roman" w:hAnsi="Times New Roman"/>
                <w:sz w:val="16"/>
                <w:szCs w:val="16"/>
                <w:color w:val="auto"/>
              </w:rPr>
              <w:t>Subtotal</w:t>
            </w: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517,504</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Net unamortized debt issuance costs and discount</w:t>
            </w:r>
          </w:p>
        </w:tc>
        <w:tc>
          <w:tcPr>
            <w:tcW w:w="1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4180" w:type="dxa"/>
            <w:vAlign w:val="bottom"/>
            <w:tcBorders>
              <w:bottom w:val="single" w:sz="8" w:color="CCEEFF"/>
            </w:tcBorders>
            <w:gridSpan w:val="4"/>
          </w:tcPr>
          <w:p>
            <w:pPr>
              <w:ind w:left="700"/>
              <w:spacing w:after="0"/>
              <w:rPr>
                <w:sz w:val="20"/>
                <w:szCs w:val="20"/>
                <w:color w:val="auto"/>
              </w:rPr>
            </w:pPr>
            <w:r>
              <w:rPr>
                <w:rFonts w:ascii="Times New Roman" w:cs="Times New Roman" w:eastAsia="Times New Roman" w:hAnsi="Times New Roman"/>
                <w:sz w:val="16"/>
                <w:szCs w:val="16"/>
                <w:color w:val="auto"/>
              </w:rPr>
              <w:t>Total mortgages payable, net</w:t>
            </w:r>
          </w:p>
        </w:tc>
        <w:tc>
          <w:tcPr>
            <w:tcW w:w="17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515,637</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ind w:right="241"/>
              <w:spacing w:after="0"/>
              <w:rPr>
                <w:sz w:val="20"/>
                <w:szCs w:val="20"/>
                <w:color w:val="auto"/>
              </w:rPr>
            </w:pPr>
            <w:r>
              <w:rPr>
                <w:rFonts w:ascii="Times New Roman" w:cs="Times New Roman" w:eastAsia="Times New Roman" w:hAnsi="Times New Roman"/>
                <w:sz w:val="16"/>
                <w:szCs w:val="16"/>
                <w:color w:val="auto"/>
              </w:rPr>
              <w:t>4.50%</w:t>
            </w:r>
          </w:p>
        </w:tc>
        <w:tc>
          <w:tcPr>
            <w:tcW w:w="4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8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auto"/>
              </w:rPr>
              <w:t>Notes payable</w:t>
            </w:r>
          </w:p>
        </w:tc>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1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Term loan (4)</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4/16/2025</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SOFR + 0.85%</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Revolving credit facility (4)(5)</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4/5/2027</w:t>
            </w:r>
          </w:p>
        </w:tc>
        <w:tc>
          <w:tcPr>
            <w:tcW w:w="14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SOFR + 0.775%</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81,800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Various</w:t>
            </w:r>
          </w:p>
        </w:tc>
        <w:tc>
          <w:tcPr>
            <w:tcW w:w="18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Various through 2059</w:t>
            </w:r>
          </w:p>
        </w:tc>
        <w:tc>
          <w:tcPr>
            <w:tcW w:w="1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8"/>
              </w:rPr>
              <w:t>Various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180" w:type="dxa"/>
            <w:vAlign w:val="bottom"/>
            <w:gridSpan w:val="4"/>
          </w:tcPr>
          <w:p>
            <w:pPr>
              <w:ind w:left="700"/>
              <w:spacing w:after="0"/>
              <w:rPr>
                <w:sz w:val="20"/>
                <w:szCs w:val="20"/>
                <w:color w:val="auto"/>
              </w:rPr>
            </w:pPr>
            <w:r>
              <w:rPr>
                <w:rFonts w:ascii="Times New Roman" w:cs="Times New Roman" w:eastAsia="Times New Roman" w:hAnsi="Times New Roman"/>
                <w:sz w:val="16"/>
                <w:szCs w:val="16"/>
                <w:color w:val="auto"/>
              </w:rPr>
              <w:t>Subtotal</w:t>
            </w: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683,980</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Net unamortized debt issuance costs</w:t>
            </w:r>
          </w:p>
        </w:tc>
        <w:tc>
          <w:tcPr>
            <w:tcW w:w="1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4180" w:type="dxa"/>
            <w:vAlign w:val="bottom"/>
            <w:tcBorders>
              <w:bottom w:val="single" w:sz="8" w:color="CCEEFF"/>
            </w:tcBorders>
            <w:gridSpan w:val="4"/>
          </w:tcPr>
          <w:p>
            <w:pPr>
              <w:ind w:left="700"/>
              <w:spacing w:after="0"/>
              <w:rPr>
                <w:sz w:val="20"/>
                <w:szCs w:val="20"/>
                <w:color w:val="auto"/>
              </w:rPr>
            </w:pPr>
            <w:r>
              <w:rPr>
                <w:rFonts w:ascii="Times New Roman" w:cs="Times New Roman" w:eastAsia="Times New Roman" w:hAnsi="Times New Roman"/>
                <w:sz w:val="16"/>
                <w:szCs w:val="16"/>
                <w:color w:val="auto"/>
              </w:rPr>
              <w:t>Total notes payable, net</w:t>
            </w:r>
          </w:p>
        </w:tc>
        <w:tc>
          <w:tcPr>
            <w:tcW w:w="17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683,280</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ind w:right="241"/>
              <w:spacing w:after="0"/>
              <w:rPr>
                <w:sz w:val="20"/>
                <w:szCs w:val="20"/>
                <w:color w:val="auto"/>
              </w:rPr>
            </w:pPr>
            <w:r>
              <w:rPr>
                <w:rFonts w:ascii="Times New Roman" w:cs="Times New Roman" w:eastAsia="Times New Roman" w:hAnsi="Times New Roman"/>
                <w:sz w:val="16"/>
                <w:szCs w:val="16"/>
                <w:color w:val="auto"/>
              </w:rPr>
              <w:t>6.41%</w:t>
            </w:r>
          </w:p>
        </w:tc>
        <w:tc>
          <w:tcPr>
            <w:tcW w:w="400" w:type="dxa"/>
            <w:vAlign w:val="bottom"/>
            <w:tcBorders>
              <w:bottom w:val="single" w:sz="8" w:color="CCEEFF"/>
            </w:tcBorders>
          </w:tcPr>
          <w:p>
            <w:pPr>
              <w:jc w:val="right"/>
              <w:ind w:right="9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8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auto"/>
              </w:rPr>
              <w:t>Senior notes and debentures</w:t>
            </w:r>
          </w:p>
        </w:tc>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1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i w:val="1"/>
                <w:iCs w:val="1"/>
                <w:color w:val="auto"/>
              </w:rPr>
              <w:t>Unsecured fixed rate</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1.25% notes</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2/15/2026</w:t>
            </w:r>
          </w:p>
        </w:tc>
        <w:tc>
          <w:tcPr>
            <w:tcW w:w="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7.48% debentures</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8/15/2026</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7.48%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29,200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3.25% notes</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7/15/2027</w:t>
            </w:r>
          </w:p>
        </w:tc>
        <w:tc>
          <w:tcPr>
            <w:tcW w:w="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475,000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6.82% medium term notes</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8/1/2027</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6.82%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5.375% notes</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5/1/2028</w:t>
            </w:r>
          </w:p>
        </w:tc>
        <w:tc>
          <w:tcPr>
            <w:tcW w:w="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5.375%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3.25% exchangeable notes</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1/15/2029</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485,000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3.20% notes</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6/15/2029</w:t>
            </w:r>
          </w:p>
        </w:tc>
        <w:tc>
          <w:tcPr>
            <w:tcW w:w="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3.50% notes</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6/1/2030</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3.50%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4.50% notes</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12/1/2044</w:t>
            </w:r>
          </w:p>
        </w:tc>
        <w:tc>
          <w:tcPr>
            <w:tcW w:w="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3.625% notes</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8/1/2046</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3.625%</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180" w:type="dxa"/>
            <w:vAlign w:val="bottom"/>
            <w:gridSpan w:val="4"/>
          </w:tcPr>
          <w:p>
            <w:pPr>
              <w:ind w:left="700"/>
              <w:spacing w:after="0"/>
              <w:rPr>
                <w:sz w:val="20"/>
                <w:szCs w:val="20"/>
                <w:color w:val="auto"/>
              </w:rPr>
            </w:pPr>
            <w:r>
              <w:rPr>
                <w:rFonts w:ascii="Times New Roman" w:cs="Times New Roman" w:eastAsia="Times New Roman" w:hAnsi="Times New Roman"/>
                <w:sz w:val="16"/>
                <w:szCs w:val="16"/>
                <w:color w:val="auto"/>
              </w:rPr>
              <w:t>Subtotal</w:t>
            </w: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3,379,200</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Net unamortized debt issuance costs and premium</w:t>
            </w:r>
          </w:p>
        </w:tc>
        <w:tc>
          <w:tcPr>
            <w:tcW w:w="1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(24,445)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4180" w:type="dxa"/>
            <w:vAlign w:val="bottom"/>
            <w:tcBorders>
              <w:bottom w:val="single" w:sz="8" w:color="CCEEFF"/>
            </w:tcBorders>
            <w:gridSpan w:val="4"/>
          </w:tcPr>
          <w:p>
            <w:pPr>
              <w:ind w:left="700"/>
              <w:spacing w:after="0"/>
              <w:rPr>
                <w:sz w:val="20"/>
                <w:szCs w:val="20"/>
                <w:color w:val="auto"/>
              </w:rPr>
            </w:pPr>
            <w:r>
              <w:rPr>
                <w:rFonts w:ascii="Times New Roman" w:cs="Times New Roman" w:eastAsia="Times New Roman" w:hAnsi="Times New Roman"/>
                <w:sz w:val="16"/>
                <w:szCs w:val="16"/>
                <w:color w:val="auto"/>
              </w:rPr>
              <w:t>Total senior notes and debentures, net</w:t>
            </w:r>
          </w:p>
        </w:tc>
        <w:tc>
          <w:tcPr>
            <w:tcW w:w="17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3,354,755</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ind w:right="241"/>
              <w:spacing w:after="0"/>
              <w:rPr>
                <w:sz w:val="20"/>
                <w:szCs w:val="20"/>
                <w:color w:val="auto"/>
              </w:rPr>
            </w:pPr>
            <w:r>
              <w:rPr>
                <w:rFonts w:ascii="Times New Roman" w:cs="Times New Roman" w:eastAsia="Times New Roman" w:hAnsi="Times New Roman"/>
                <w:sz w:val="16"/>
                <w:szCs w:val="16"/>
                <w:color w:val="auto"/>
              </w:rPr>
              <w:t>3.78%</w:t>
            </w:r>
          </w:p>
        </w:tc>
        <w:tc>
          <w:tcPr>
            <w:tcW w:w="4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Total debt, net</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4,553,672</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36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Total fixed rate debt, net</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3,872,552</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c>
          <w:tcPr>
            <w:tcW w:w="10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3.88%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variable rate debt, net</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681,120</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6.41%</w:t>
            </w:r>
          </w:p>
        </w:tc>
        <w:tc>
          <w:tcPr>
            <w:tcW w:w="4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Total debt, net</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4,553,672</w:t>
            </w:r>
          </w:p>
        </w:tc>
        <w:tc>
          <w:tcPr>
            <w:tcW w:w="1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4.25%</w:t>
            </w:r>
          </w:p>
        </w:tc>
        <w:tc>
          <w:tcPr>
            <w:tcW w:w="4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Notes:</w:t>
      </w:r>
    </w:p>
    <w:p>
      <w:pPr>
        <w:spacing w:after="0" w:line="71" w:lineRule="exact"/>
        <w:rPr>
          <w:sz w:val="20"/>
          <w:szCs w:val="20"/>
          <w:color w:val="auto"/>
        </w:rPr>
      </w:pPr>
    </w:p>
    <w:p>
      <w:pPr>
        <w:ind w:left="660" w:right="80" w:hanging="652"/>
        <w:spacing w:after="0" w:line="291" w:lineRule="auto"/>
        <w:tabs>
          <w:tab w:leader="none" w:pos="649"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Mortgages payable does not include our share of debt on our unconsolidated real estate partnerships. At June 30, 2024, our share of unconsolidated debt was approximately $62.3 million. At June 30, 2024, our noncontrolling interests' share of mortgages payable was $15.3 million.</w:t>
      </w:r>
    </w:p>
    <w:p>
      <w:pPr>
        <w:ind w:left="640" w:hanging="632"/>
        <w:spacing w:after="0"/>
        <w:tabs>
          <w:tab w:leader="none" w:pos="6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two one-year extensions, at our option to extend the maturity date to December 28, 2027.</w:t>
      </w:r>
    </w:p>
    <w:p>
      <w:pPr>
        <w:spacing w:after="0" w:line="70" w:lineRule="exact"/>
        <w:rPr>
          <w:rFonts w:ascii="Times New Roman" w:cs="Times New Roman" w:eastAsia="Times New Roman" w:hAnsi="Times New Roman"/>
          <w:sz w:val="15"/>
          <w:szCs w:val="15"/>
          <w:color w:val="auto"/>
        </w:rPr>
      </w:pPr>
    </w:p>
    <w:p>
      <w:pPr>
        <w:ind w:left="640" w:hanging="632"/>
        <w:spacing w:after="0"/>
        <w:tabs>
          <w:tab w:leader="none" w:pos="6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mortgage loans have interest rate swap agreements that effectively fix the interest rate through the initial maturity date.</w:t>
      </w:r>
    </w:p>
    <w:p>
      <w:pPr>
        <w:spacing w:after="0" w:line="57" w:lineRule="exact"/>
        <w:rPr>
          <w:rFonts w:ascii="Times New Roman" w:cs="Times New Roman" w:eastAsia="Times New Roman" w:hAnsi="Times New Roman"/>
          <w:sz w:val="15"/>
          <w:szCs w:val="15"/>
          <w:color w:val="auto"/>
        </w:rPr>
      </w:pPr>
    </w:p>
    <w:p>
      <w:pPr>
        <w:ind w:left="660" w:right="300" w:hanging="652"/>
        <w:spacing w:after="0" w:line="291" w:lineRule="auto"/>
        <w:tabs>
          <w:tab w:leader="none" w:pos="649"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revolving credit facility SOFR loans bear interest at Daily Simple SOFR or Term SOFR, and our term loan bears interest at Term SOFR as defined in the respective credit agreements, plus 0.10%, plus a spread, based on our current credit rating.</w:t>
      </w:r>
    </w:p>
    <w:p>
      <w:pPr>
        <w:ind w:left="660" w:right="140" w:hanging="652"/>
        <w:spacing w:after="0" w:line="298" w:lineRule="auto"/>
        <w:tabs>
          <w:tab w:leader="none" w:pos="649"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maximum amount drawn under our $1.25 billion revolving credit facility during both the three and six months ended June 30, 2024 was $202.7 million. The weighted average interest rate on borrowings under our credit facility, before amortization of debt fees, for both the three and six months ended June 30, 2024 was 6.2%.</w:t>
      </w:r>
    </w:p>
    <w:p>
      <w:pPr>
        <w:spacing w:after="0" w:line="3" w:lineRule="exact"/>
        <w:rPr>
          <w:rFonts w:ascii="Times New Roman" w:cs="Times New Roman" w:eastAsia="Times New Roman" w:hAnsi="Times New Roman"/>
          <w:sz w:val="15"/>
          <w:szCs w:val="15"/>
          <w:color w:val="auto"/>
        </w:rPr>
      </w:pPr>
    </w:p>
    <w:p>
      <w:pPr>
        <w:ind w:left="640" w:hanging="632"/>
        <w:spacing w:after="0"/>
        <w:tabs>
          <w:tab w:leader="none" w:pos="6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weighted average effective interest rate includes the amortization of any debt issuance costs and discounts and premiums, if applicable, except as described in Note 7.</w:t>
      </w:r>
    </w:p>
    <w:p>
      <w:pPr>
        <w:spacing w:after="0" w:line="57" w:lineRule="exact"/>
        <w:rPr>
          <w:rFonts w:ascii="Times New Roman" w:cs="Times New Roman" w:eastAsia="Times New Roman" w:hAnsi="Times New Roman"/>
          <w:sz w:val="15"/>
          <w:szCs w:val="15"/>
          <w:color w:val="auto"/>
        </w:rPr>
      </w:pPr>
    </w:p>
    <w:p>
      <w:pPr>
        <w:ind w:left="640" w:hanging="632"/>
        <w:spacing w:after="0"/>
        <w:tabs>
          <w:tab w:leader="none" w:pos="6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weighted average effective interest rate excludes $0.9 million in quarterly financing fees and quarterly debt fee amortization on our revolving credit facility.</w:t>
      </w:r>
    </w:p>
    <w:p>
      <w:pPr>
        <w:sectPr>
          <w:pgSz w:w="11900" w:h="16838" w:orient="portrait"/>
          <w:cols w:equalWidth="0" w:num="1">
            <w:col w:w="11240"/>
          </w:cols>
          <w:pgMar w:left="320" w:top="704"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704" w:right="339" w:bottom="1440" w:gutter="0" w:footer="0" w:header="0"/>
          <w:type w:val="continuous"/>
        </w:sectPr>
      </w:pPr>
    </w:p>
    <w:bookmarkStart w:id="16" w:name="page17"/>
    <w:bookmarkEnd w:id="16"/>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Summary of Debt Maturities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200" w:type="dxa"/>
            <w:vAlign w:val="bottom"/>
          </w:tcPr>
          <w:p>
            <w:pPr>
              <w:spacing w:after="0"/>
              <w:rPr>
                <w:sz w:val="16"/>
                <w:szCs w:val="16"/>
                <w:color w:val="auto"/>
              </w:rPr>
            </w:pPr>
          </w:p>
        </w:tc>
        <w:tc>
          <w:tcPr>
            <w:tcW w:w="164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Scheduled</w:t>
            </w:r>
          </w:p>
        </w:tc>
        <w:tc>
          <w:tcPr>
            <w:tcW w:w="220" w:type="dxa"/>
            <w:vAlign w:val="bottom"/>
          </w:tcPr>
          <w:p>
            <w:pPr>
              <w:spacing w:after="0"/>
              <w:rPr>
                <w:sz w:val="16"/>
                <w:szCs w:val="16"/>
                <w:color w:val="auto"/>
              </w:rPr>
            </w:pPr>
          </w:p>
        </w:tc>
        <w:tc>
          <w:tcPr>
            <w:tcW w:w="128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Maturities</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vMerge w:val="restart"/>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80" w:type="dxa"/>
            <w:vAlign w:val="bottom"/>
          </w:tcPr>
          <w:p>
            <w:pPr>
              <w:spacing w:after="0"/>
              <w:rPr>
                <w:sz w:val="16"/>
                <w:szCs w:val="16"/>
                <w:color w:val="auto"/>
              </w:rPr>
            </w:pP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Percent of Debt</w:t>
            </w:r>
          </w:p>
        </w:tc>
        <w:tc>
          <w:tcPr>
            <w:tcW w:w="222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Weighted Average Rate</w:t>
            </w:r>
          </w:p>
        </w:tc>
        <w:tc>
          <w:tcPr>
            <w:tcW w:w="0" w:type="dxa"/>
            <w:vAlign w:val="bottom"/>
          </w:tcPr>
          <w:p>
            <w:pPr>
              <w:spacing w:after="0"/>
              <w:rPr>
                <w:sz w:val="1"/>
                <w:szCs w:val="1"/>
                <w:color w:val="auto"/>
              </w:rPr>
            </w:pPr>
          </w:p>
        </w:tc>
      </w:tr>
      <w:tr>
        <w:trPr>
          <w:trHeight w:val="214"/>
        </w:trPr>
        <w:tc>
          <w:tcPr>
            <w:tcW w:w="19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Maturing</w:t>
            </w:r>
          </w:p>
        </w:tc>
        <w:tc>
          <w:tcPr>
            <w:tcW w:w="2220" w:type="dxa"/>
            <w:vAlign w:val="bottom"/>
            <w:tcBorders>
              <w:bottom w:val="single" w:sz="8" w:color="auto"/>
            </w:tcBorders>
          </w:tcPr>
          <w:p>
            <w:pPr>
              <w:jc w:val="right"/>
              <w:ind w:right="1051"/>
              <w:spacing w:after="0"/>
              <w:rPr>
                <w:sz w:val="20"/>
                <w:szCs w:val="20"/>
                <w:color w:val="auto"/>
              </w:rPr>
            </w:pPr>
            <w:r>
              <w:rPr>
                <w:rFonts w:ascii="Times New Roman" w:cs="Times New Roman" w:eastAsia="Times New Roman" w:hAnsi="Times New Roman"/>
                <w:sz w:val="16"/>
                <w:szCs w:val="16"/>
                <w:b w:val="1"/>
                <w:bCs w:val="1"/>
                <w:color w:val="auto"/>
              </w:rPr>
              <w:t>(5)</w:t>
            </w:r>
          </w:p>
        </w:tc>
        <w:tc>
          <w:tcPr>
            <w:tcW w:w="0" w:type="dxa"/>
            <w:vAlign w:val="bottom"/>
          </w:tcPr>
          <w:p>
            <w:pPr>
              <w:spacing w:after="0"/>
              <w:rPr>
                <w:sz w:val="1"/>
                <w:szCs w:val="1"/>
                <w:color w:val="auto"/>
              </w:rPr>
            </w:pPr>
          </w:p>
        </w:tc>
      </w:tr>
      <w:tr>
        <w:trPr>
          <w:trHeight w:val="192"/>
        </w:trPr>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3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44,298</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48,120</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2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1,052,450</w:t>
            </w:r>
          </w:p>
        </w:tc>
        <w:tc>
          <w:tcPr>
            <w:tcW w:w="3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6"/>
                <w:szCs w:val="16"/>
                <w:color w:val="auto"/>
                <w:w w:val="96"/>
              </w:rPr>
              <w:t>(1)</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1,055,626</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22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29"/>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890,682</w:t>
            </w:r>
          </w:p>
        </w:tc>
        <w:tc>
          <w:tcPr>
            <w:tcW w:w="380" w:type="dxa"/>
            <w:vAlign w:val="bottom"/>
          </w:tcPr>
          <w:p>
            <w:pPr>
              <w:jc w:val="right"/>
              <w:ind w:right="97"/>
              <w:spacing w:after="0"/>
              <w:rPr>
                <w:sz w:val="20"/>
                <w:szCs w:val="20"/>
                <w:color w:val="auto"/>
              </w:rPr>
            </w:pPr>
            <w:r>
              <w:rPr>
                <w:rFonts w:ascii="Times New Roman" w:cs="Times New Roman" w:eastAsia="Times New Roman" w:hAnsi="Times New Roman"/>
                <w:sz w:val="16"/>
                <w:szCs w:val="16"/>
                <w:color w:val="auto"/>
                <w:w w:val="96"/>
              </w:rPr>
              <w:t>(2)</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893,361</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22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29"/>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431,800</w:t>
            </w:r>
          </w:p>
        </w:tc>
        <w:tc>
          <w:tcPr>
            <w:tcW w:w="3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6"/>
                <w:szCs w:val="16"/>
                <w:color w:val="auto"/>
                <w:w w:val="96"/>
              </w:rPr>
              <w:t>(3)</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434,311</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22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 xml:space="preserve">5.8 % </w:t>
            </w: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30"/>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943,105</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945,434</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22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29"/>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400,684</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22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30"/>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29"/>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2032</w:t>
            </w:r>
          </w:p>
        </w:tc>
        <w:tc>
          <w:tcPr>
            <w:tcW w:w="2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2033</w:t>
            </w:r>
          </w:p>
        </w:tc>
        <w:tc>
          <w:tcPr>
            <w:tcW w:w="200" w:type="dxa"/>
            <w:vAlign w:val="bottom"/>
          </w:tcPr>
          <w:p>
            <w:pPr>
              <w:spacing w:after="0"/>
              <w:rPr>
                <w:sz w:val="19"/>
                <w:szCs w:val="19"/>
                <w:color w:val="auto"/>
              </w:rPr>
            </w:pPr>
          </w:p>
        </w:tc>
        <w:tc>
          <w:tcPr>
            <w:tcW w:w="16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801,000</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801,000</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22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23"/>
        </w:trPr>
        <w:tc>
          <w:tcPr>
            <w:tcW w:w="1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17,349</w:t>
            </w: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4,563,335</w:t>
            </w:r>
          </w:p>
        </w:tc>
        <w:tc>
          <w:tcPr>
            <w:tcW w:w="3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4,580,684</w:t>
            </w:r>
          </w:p>
        </w:tc>
        <w:tc>
          <w:tcPr>
            <w:tcW w:w="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6"/>
              </w:rPr>
              <w:t>(4)</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above table assumes all extension options are exercised.</w:t>
      </w:r>
    </w:p>
    <w:p>
      <w:pPr>
        <w:spacing w:after="0" w:line="100"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$600.0 million term loan matures on April 16, 2025, plus one one-year extension at our option to April 16, 2026.</w:t>
      </w:r>
    </w:p>
    <w:p>
      <w:pPr>
        <w:spacing w:after="0" w:line="59"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$200.0 million mortgage loan secured by Bethesda Row matures on December 28, 2025 plus two one-year extensions, at our option to December 28, 2027.</w:t>
      </w:r>
    </w:p>
    <w:p>
      <w:pPr>
        <w:spacing w:after="0" w:line="72" w:lineRule="exact"/>
        <w:rPr>
          <w:rFonts w:ascii="Times New Roman" w:cs="Times New Roman" w:eastAsia="Times New Roman" w:hAnsi="Times New Roman"/>
          <w:sz w:val="16"/>
          <w:szCs w:val="16"/>
          <w:color w:val="auto"/>
        </w:rPr>
      </w:pPr>
    </w:p>
    <w:p>
      <w:pPr>
        <w:ind w:left="660" w:right="140" w:hanging="652"/>
        <w:spacing w:after="0" w:line="288" w:lineRule="auto"/>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$1.25 billion revolving credit facility matures on April 5, 2027, plus two six-month extensions at our option to April 5, 2028. As of June 30, 2024, there was </w:t>
      </w:r>
      <w:r>
        <w:rPr>
          <w:rFonts w:ascii="Times New Roman" w:cs="Times New Roman" w:eastAsia="Times New Roman" w:hAnsi="Times New Roman"/>
          <w:sz w:val="17"/>
          <w:szCs w:val="17"/>
          <w:color w:val="auto"/>
        </w:rPr>
        <w:t xml:space="preserve">$81.8 million </w:t>
      </w:r>
      <w:r>
        <w:rPr>
          <w:rFonts w:ascii="Times New Roman" w:cs="Times New Roman" w:eastAsia="Times New Roman" w:hAnsi="Times New Roman"/>
          <w:sz w:val="16"/>
          <w:szCs w:val="16"/>
          <w:color w:val="auto"/>
        </w:rPr>
        <w:t>outstanding under this credit facility.</w:t>
      </w:r>
    </w:p>
    <w:p>
      <w:pPr>
        <w:spacing w:after="0" w:line="3" w:lineRule="exact"/>
        <w:rPr>
          <w:rFonts w:ascii="Times New Roman" w:cs="Times New Roman" w:eastAsia="Times New Roman" w:hAnsi="Times New Roman"/>
          <w:sz w:val="16"/>
          <w:szCs w:val="16"/>
          <w:color w:val="auto"/>
        </w:rPr>
      </w:pPr>
    </w:p>
    <w:p>
      <w:pPr>
        <w:jc w:val="both"/>
        <w:ind w:left="660" w:right="140" w:hanging="652"/>
        <w:spacing w:after="0" w:line="272" w:lineRule="auto"/>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debt maturities differ from the total reported on the consolidated balance sheet due to the debt issuance costs and unamortized net premium/discount on certain mortgage loans, notes payable, and senior notes as of June 30, 2024. The weighted average remaining term on our mortgages payable, notes payable, and senior notes and debentures is approximately 7 years.</w:t>
      </w:r>
    </w:p>
    <w:p>
      <w:pPr>
        <w:spacing w:after="0" w:line="8"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rate reflects the weighted average interest rate on debt maturing in the respective year.</w:t>
      </w:r>
    </w:p>
    <w:p>
      <w:pPr>
        <w:spacing w:after="0" w:line="59"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rate excludes $0.9 million in quarterly financing fees and quarterly debt fee amortization on our $1.25 billion revolving credit facility.</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022" w:right="339"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Summary of Redevelopment and Expansion Opportunities</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June 30, 2024</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The following redevelopment opportunities are actively being worked on by the Trust. (1)</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7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74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72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Cost to</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Projected 2024</w:t>
            </w:r>
          </w:p>
        </w:tc>
        <w:tc>
          <w:tcPr>
            <w:tcW w:w="0" w:type="dxa"/>
            <w:vAlign w:val="bottom"/>
          </w:tcPr>
          <w:p>
            <w:pPr>
              <w:spacing w:after="0"/>
              <w:rPr>
                <w:sz w:val="1"/>
                <w:szCs w:val="1"/>
                <w:color w:val="auto"/>
              </w:rPr>
            </w:pPr>
          </w:p>
        </w:tc>
      </w:tr>
      <w:tr>
        <w:trPr>
          <w:trHeight w:val="149"/>
        </w:trPr>
        <w:tc>
          <w:tcPr>
            <w:tcW w:w="1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5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6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Opportunity</w:t>
            </w:r>
          </w:p>
        </w:tc>
        <w:tc>
          <w:tcPr>
            <w:tcW w:w="7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POI Delivered</w:t>
            </w:r>
          </w:p>
        </w:tc>
        <w:tc>
          <w:tcPr>
            <w:tcW w:w="0" w:type="dxa"/>
            <w:vAlign w:val="bottom"/>
          </w:tcPr>
          <w:p>
            <w:pPr>
              <w:spacing w:after="0"/>
              <w:rPr>
                <w:sz w:val="1"/>
                <w:szCs w:val="1"/>
                <w:color w:val="auto"/>
              </w:rPr>
            </w:pPr>
          </w:p>
        </w:tc>
      </w:tr>
      <w:tr>
        <w:trPr>
          <w:trHeight w:val="196"/>
        </w:trPr>
        <w:tc>
          <w:tcPr>
            <w:tcW w:w="1740" w:type="dxa"/>
            <w:vAlign w:val="bottom"/>
            <w:tcBorders>
              <w:bottom w:val="single" w:sz="8" w:color="auto"/>
            </w:tcBorders>
            <w:vMerge w:val="continue"/>
          </w:tcPr>
          <w:p>
            <w:pPr>
              <w:spacing w:after="0"/>
              <w:rPr>
                <w:sz w:val="17"/>
                <w:szCs w:val="17"/>
                <w:color w:val="auto"/>
              </w:rPr>
            </w:pPr>
          </w:p>
        </w:tc>
        <w:tc>
          <w:tcPr>
            <w:tcW w:w="1520" w:type="dxa"/>
            <w:vAlign w:val="bottom"/>
            <w:tcBorders>
              <w:bottom w:val="single" w:sz="8" w:color="auto"/>
            </w:tcBorders>
            <w:vMerge w:val="continue"/>
          </w:tcPr>
          <w:p>
            <w:pPr>
              <w:spacing w:after="0"/>
              <w:rPr>
                <w:sz w:val="17"/>
                <w:szCs w:val="17"/>
                <w:color w:val="auto"/>
              </w:rPr>
            </w:pPr>
          </w:p>
        </w:tc>
        <w:tc>
          <w:tcPr>
            <w:tcW w:w="466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ROI (2)</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Cost (1)</w:t>
            </w:r>
          </w:p>
        </w:tc>
        <w:tc>
          <w:tcPr>
            <w:tcW w:w="7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(in</w:t>
            </w:r>
          </w:p>
        </w:tc>
        <w:tc>
          <w:tcPr>
            <w:tcW w:w="720" w:type="dxa"/>
            <w:vAlign w:val="bottom"/>
          </w:tcPr>
          <w:p>
            <w:pPr>
              <w:jc w:val="center"/>
              <w:ind w:right="8"/>
              <w:spacing w:after="0" w:line="135" w:lineRule="exact"/>
              <w:rPr>
                <w:sz w:val="20"/>
                <w:szCs w:val="20"/>
                <w:color w:val="auto"/>
              </w:rPr>
            </w:pPr>
            <w:r>
              <w:rPr>
                <w:rFonts w:ascii="Times New Roman" w:cs="Times New Roman" w:eastAsia="Times New Roman" w:hAnsi="Times New Roman"/>
                <w:sz w:val="14"/>
                <w:szCs w:val="14"/>
                <w:color w:val="auto"/>
              </w:rPr>
              <w:t>(in</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(as a % of Total)</w:t>
            </w:r>
          </w:p>
        </w:tc>
        <w:tc>
          <w:tcPr>
            <w:tcW w:w="0" w:type="dxa"/>
            <w:vAlign w:val="bottom"/>
          </w:tcPr>
          <w:p>
            <w:pPr>
              <w:spacing w:after="0"/>
              <w:rPr>
                <w:sz w:val="1"/>
                <w:szCs w:val="1"/>
                <w:color w:val="auto"/>
              </w:rPr>
            </w:pPr>
          </w:p>
        </w:tc>
      </w:tr>
      <w:tr>
        <w:trPr>
          <w:trHeight w:val="195"/>
        </w:trPr>
        <w:tc>
          <w:tcPr>
            <w:tcW w:w="17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millions)</w:t>
            </w:r>
          </w:p>
        </w:tc>
        <w:tc>
          <w:tcPr>
            <w:tcW w:w="72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millions)</w:t>
            </w: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7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Santana West (3)</w:t>
            </w:r>
          </w:p>
        </w:tc>
        <w:tc>
          <w:tcPr>
            <w:tcW w:w="1520" w:type="dxa"/>
            <w:vAlign w:val="bottom"/>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San Jose, CA</w:t>
            </w:r>
          </w:p>
        </w:tc>
        <w:tc>
          <w:tcPr>
            <w:tcW w:w="4660" w:type="dxa"/>
            <w:vAlign w:val="bottom"/>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Development of a 369,000 square foot office building. 170,000 square feet of</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6 %</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$315 -</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$249</w:t>
            </w:r>
          </w:p>
        </w:tc>
        <w:tc>
          <w:tcPr>
            <w:tcW w:w="108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4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office space leased.</w:t>
            </w:r>
          </w:p>
        </w:tc>
        <w:tc>
          <w:tcPr>
            <w:tcW w:w="7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7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Pike &amp; Rose - 915 Meeting</w:t>
            </w:r>
          </w:p>
        </w:tc>
        <w:tc>
          <w:tcPr>
            <w:tcW w:w="152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rPr>
              <w:t>North Bethesda, MD</w:t>
            </w:r>
          </w:p>
        </w:tc>
        <w:tc>
          <w:tcPr>
            <w:tcW w:w="466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rPr>
              <w:t>Development of a 266,000 square foot office building with 10,000 square</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6 %</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$185 -</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$160</w:t>
            </w: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45 - 55%</w:t>
            </w:r>
          </w:p>
        </w:tc>
        <w:tc>
          <w:tcPr>
            <w:tcW w:w="0" w:type="dxa"/>
            <w:vAlign w:val="bottom"/>
          </w:tcPr>
          <w:p>
            <w:pPr>
              <w:spacing w:after="0"/>
              <w:rPr>
                <w:sz w:val="1"/>
                <w:szCs w:val="1"/>
                <w:color w:val="auto"/>
              </w:rPr>
            </w:pPr>
          </w:p>
        </w:tc>
      </w:tr>
      <w:tr>
        <w:trPr>
          <w:trHeight w:val="139"/>
        </w:trPr>
        <w:tc>
          <w:tcPr>
            <w:tcW w:w="17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Street (3)</w:t>
            </w:r>
          </w:p>
        </w:tc>
        <w:tc>
          <w:tcPr>
            <w:tcW w:w="1520" w:type="dxa"/>
            <w:vAlign w:val="bottom"/>
          </w:tcPr>
          <w:p>
            <w:pPr>
              <w:spacing w:after="0"/>
              <w:rPr>
                <w:sz w:val="12"/>
                <w:szCs w:val="12"/>
                <w:color w:val="auto"/>
              </w:rPr>
            </w:pPr>
          </w:p>
        </w:tc>
        <w:tc>
          <w:tcPr>
            <w:tcW w:w="4660" w:type="dxa"/>
            <w:vAlign w:val="bottom"/>
          </w:tcPr>
          <w:p>
            <w:pPr>
              <w:ind w:left="160"/>
              <w:spacing w:after="0" w:line="139" w:lineRule="exact"/>
              <w:rPr>
                <w:sz w:val="20"/>
                <w:szCs w:val="20"/>
                <w:color w:val="auto"/>
              </w:rPr>
            </w:pPr>
            <w:r>
              <w:rPr>
                <w:rFonts w:ascii="Times New Roman" w:cs="Times New Roman" w:eastAsia="Times New Roman" w:hAnsi="Times New Roman"/>
                <w:sz w:val="14"/>
                <w:szCs w:val="14"/>
                <w:color w:val="auto"/>
              </w:rPr>
              <w:t>feet of retail space. 201,000 square feet of office and 10,000 square feet of</w:t>
            </w:r>
          </w:p>
        </w:tc>
        <w:tc>
          <w:tcPr>
            <w:tcW w:w="760" w:type="dxa"/>
            <w:vAlign w:val="bottom"/>
          </w:tcPr>
          <w:p>
            <w:pPr>
              <w:spacing w:after="0"/>
              <w:rPr>
                <w:sz w:val="12"/>
                <w:szCs w:val="12"/>
                <w:color w:val="auto"/>
              </w:rPr>
            </w:pPr>
          </w:p>
        </w:tc>
        <w:tc>
          <w:tcPr>
            <w:tcW w:w="7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$200</w:t>
            </w:r>
          </w:p>
        </w:tc>
        <w:tc>
          <w:tcPr>
            <w:tcW w:w="7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retail space leased.</w:t>
            </w: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7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Darien Commons</w:t>
            </w:r>
          </w:p>
        </w:tc>
        <w:tc>
          <w:tcPr>
            <w:tcW w:w="152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4"/>
                <w:szCs w:val="14"/>
                <w:color w:val="auto"/>
              </w:rPr>
              <w:t>Darien, CT</w:t>
            </w:r>
          </w:p>
        </w:tc>
        <w:tc>
          <w:tcPr>
            <w:tcW w:w="466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4"/>
                <w:szCs w:val="14"/>
                <w:color w:val="auto"/>
              </w:rPr>
              <w:t>Demolition of a 45,000 square foot anchor space to construct 75,000 square</w:t>
            </w:r>
          </w:p>
        </w:tc>
        <w:tc>
          <w:tcPr>
            <w:tcW w:w="15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6 % $110 - $120</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$112</w:t>
            </w:r>
          </w:p>
        </w:tc>
        <w:tc>
          <w:tcPr>
            <w:tcW w:w="10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85 - 95%</w:t>
            </w: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4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feet of new retail space, 122 rental apartments, and 720 parking spaces</w:t>
            </w:r>
          </w:p>
        </w:tc>
        <w:tc>
          <w:tcPr>
            <w:tcW w:w="7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Bala Cynwyd</w:t>
            </w:r>
          </w:p>
        </w:tc>
        <w:tc>
          <w:tcPr>
            <w:tcW w:w="152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rPr>
              <w:t>Bala Cynwyd, PA</w:t>
            </w:r>
          </w:p>
        </w:tc>
        <w:tc>
          <w:tcPr>
            <w:tcW w:w="466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rPr>
              <w:t>Demolition of two level department store building to construct a new six</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7 %</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$90 - $95</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$7</w:t>
            </w: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17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660" w:type="dxa"/>
            <w:vAlign w:val="bottom"/>
          </w:tcPr>
          <w:p>
            <w:pPr>
              <w:ind w:left="160"/>
              <w:spacing w:after="0" w:line="139" w:lineRule="exact"/>
              <w:rPr>
                <w:sz w:val="20"/>
                <w:szCs w:val="20"/>
                <w:color w:val="auto"/>
              </w:rPr>
            </w:pPr>
            <w:r>
              <w:rPr>
                <w:rFonts w:ascii="Times New Roman" w:cs="Times New Roman" w:eastAsia="Times New Roman" w:hAnsi="Times New Roman"/>
                <w:sz w:val="14"/>
                <w:szCs w:val="14"/>
                <w:color w:val="auto"/>
              </w:rPr>
              <w:t>story building with 217 residential units, 16,000 square feet of retail and a</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two-story parking structure with 234 parking stalls</w:t>
            </w: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7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Huntington</w:t>
            </w:r>
          </w:p>
        </w:tc>
        <w:tc>
          <w:tcPr>
            <w:tcW w:w="152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4"/>
                <w:szCs w:val="14"/>
                <w:color w:val="auto"/>
              </w:rPr>
              <w:t>Huntington, NY</w:t>
            </w:r>
          </w:p>
        </w:tc>
        <w:tc>
          <w:tcPr>
            <w:tcW w:w="466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4"/>
                <w:szCs w:val="14"/>
                <w:color w:val="auto"/>
              </w:rPr>
              <w:t>Demolition of the main two level building consisting of 161,000 square feet</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7 - 8 %</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$80 - $85</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$75</w:t>
            </w:r>
          </w:p>
        </w:tc>
        <w:tc>
          <w:tcPr>
            <w:tcW w:w="10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60 - 70%</w:t>
            </w:r>
          </w:p>
        </w:tc>
        <w:tc>
          <w:tcPr>
            <w:tcW w:w="0" w:type="dxa"/>
            <w:vAlign w:val="bottom"/>
          </w:tcPr>
          <w:p>
            <w:pPr>
              <w:spacing w:after="0"/>
              <w:rPr>
                <w:sz w:val="1"/>
                <w:szCs w:val="1"/>
                <w:color w:val="auto"/>
              </w:rPr>
            </w:pPr>
          </w:p>
        </w:tc>
      </w:tr>
      <w:tr>
        <w:trPr>
          <w:trHeight w:val="139"/>
        </w:trPr>
        <w:tc>
          <w:tcPr>
            <w:tcW w:w="17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4660" w:type="dxa"/>
            <w:vAlign w:val="bottom"/>
            <w:shd w:val="clear" w:color="auto" w:fill="CCEEFF"/>
          </w:tcPr>
          <w:p>
            <w:pPr>
              <w:ind w:left="160"/>
              <w:spacing w:after="0" w:line="139" w:lineRule="exact"/>
              <w:rPr>
                <w:sz w:val="20"/>
                <w:szCs w:val="20"/>
                <w:color w:val="auto"/>
              </w:rPr>
            </w:pPr>
            <w:r>
              <w:rPr>
                <w:rFonts w:ascii="Times New Roman" w:cs="Times New Roman" w:eastAsia="Times New Roman" w:hAnsi="Times New Roman"/>
                <w:sz w:val="14"/>
                <w:szCs w:val="14"/>
                <w:color w:val="auto"/>
              </w:rPr>
              <w:t>of anchor and small shop space to construct 102,000 square feet of new</w:t>
            </w:r>
          </w:p>
        </w:tc>
        <w:tc>
          <w:tcPr>
            <w:tcW w:w="7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4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ground-level anchor and small shop retail space</w:t>
            </w:r>
          </w:p>
        </w:tc>
        <w:tc>
          <w:tcPr>
            <w:tcW w:w="7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46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7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7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Opportunity</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7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Cost to</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Anticipated</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auto"/>
            </w:tcBorders>
            <w:vMerge w:val="continue"/>
          </w:tcPr>
          <w:p>
            <w:pPr>
              <w:spacing w:after="0"/>
              <w:rPr>
                <w:sz w:val="17"/>
                <w:szCs w:val="17"/>
                <w:color w:val="auto"/>
              </w:rPr>
            </w:pPr>
          </w:p>
        </w:tc>
        <w:tc>
          <w:tcPr>
            <w:tcW w:w="1700" w:type="dxa"/>
            <w:vAlign w:val="bottom"/>
            <w:tcBorders>
              <w:bottom w:val="single" w:sz="8" w:color="auto"/>
            </w:tcBorders>
            <w:vMerge w:val="continue"/>
          </w:tcPr>
          <w:p>
            <w:pPr>
              <w:spacing w:after="0"/>
              <w:rPr>
                <w:sz w:val="17"/>
                <w:szCs w:val="17"/>
                <w:color w:val="auto"/>
              </w:rPr>
            </w:pPr>
          </w:p>
        </w:tc>
        <w:tc>
          <w:tcPr>
            <w:tcW w:w="470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ROI (4)</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Cost (1)</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Stabilization (5)</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(in</w:t>
            </w: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(in</w:t>
            </w: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5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millions)</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millions)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5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Lawrence Park</w:t>
            </w:r>
          </w:p>
        </w:tc>
        <w:tc>
          <w:tcPr>
            <w:tcW w:w="1700" w:type="dxa"/>
            <w:vAlign w:val="bottom"/>
            <w:shd w:val="clear" w:color="auto" w:fill="CCEEFF"/>
          </w:tcPr>
          <w:p>
            <w:pPr>
              <w:ind w:left="400"/>
              <w:spacing w:after="0" w:line="142" w:lineRule="exact"/>
              <w:rPr>
                <w:sz w:val="20"/>
                <w:szCs w:val="20"/>
                <w:color w:val="auto"/>
              </w:rPr>
            </w:pPr>
            <w:r>
              <w:rPr>
                <w:rFonts w:ascii="Times New Roman" w:cs="Times New Roman" w:eastAsia="Times New Roman" w:hAnsi="Times New Roman"/>
                <w:sz w:val="14"/>
                <w:szCs w:val="14"/>
                <w:color w:val="auto"/>
              </w:rPr>
              <w:t>Broomall, PA</w:t>
            </w:r>
          </w:p>
        </w:tc>
        <w:tc>
          <w:tcPr>
            <w:tcW w:w="4700" w:type="dxa"/>
            <w:vAlign w:val="bottom"/>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Full shopping center redevelopment to include expansion of Main Line</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8 %</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w:t>
            </w: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w:t>
            </w:r>
          </w:p>
        </w:tc>
        <w:tc>
          <w:tcPr>
            <w:tcW w:w="11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Stabilized</w:t>
            </w:r>
          </w:p>
        </w:tc>
        <w:tc>
          <w:tcPr>
            <w:tcW w:w="0" w:type="dxa"/>
            <w:vAlign w:val="bottom"/>
          </w:tcPr>
          <w:p>
            <w:pPr>
              <w:spacing w:after="0"/>
              <w:rPr>
                <w:sz w:val="1"/>
                <w:szCs w:val="1"/>
                <w:color w:val="auto"/>
              </w:rPr>
            </w:pPr>
          </w:p>
        </w:tc>
      </w:tr>
      <w:tr>
        <w:trPr>
          <w:trHeight w:val="139"/>
        </w:trPr>
        <w:tc>
          <w:tcPr>
            <w:tcW w:w="15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4700" w:type="dxa"/>
            <w:vAlign w:val="bottom"/>
            <w:shd w:val="clear" w:color="auto" w:fill="CCEEFF"/>
          </w:tcPr>
          <w:p>
            <w:pPr>
              <w:ind w:left="220"/>
              <w:spacing w:after="0" w:line="139" w:lineRule="exact"/>
              <w:rPr>
                <w:sz w:val="20"/>
                <w:szCs w:val="20"/>
                <w:color w:val="auto"/>
              </w:rPr>
            </w:pPr>
            <w:r>
              <w:rPr>
                <w:rFonts w:ascii="Times New Roman" w:cs="Times New Roman" w:eastAsia="Times New Roman" w:hAnsi="Times New Roman"/>
                <w:sz w:val="14"/>
                <w:szCs w:val="14"/>
                <w:color w:val="auto"/>
              </w:rPr>
              <w:t>Health into vacant lower level space, creation of 17,800 square feet of small</w:t>
            </w:r>
          </w:p>
        </w:tc>
        <w:tc>
          <w:tcPr>
            <w:tcW w:w="7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47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shop space converted from vacated anchor space, a new 2,000 square foot</w:t>
            </w:r>
          </w:p>
        </w:tc>
        <w:tc>
          <w:tcPr>
            <w:tcW w:w="7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50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spacing w:after="0"/>
              <w:rPr>
                <w:sz w:val="16"/>
                <w:szCs w:val="16"/>
                <w:color w:val="auto"/>
              </w:rPr>
            </w:pPr>
          </w:p>
        </w:tc>
        <w:tc>
          <w:tcPr>
            <w:tcW w:w="4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bank pad building, and a façade renovation for the entire center</w:t>
            </w:r>
          </w:p>
        </w:tc>
        <w:tc>
          <w:tcPr>
            <w:tcW w:w="7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Willow Grove</w:t>
            </w:r>
          </w:p>
        </w:tc>
        <w:tc>
          <w:tcPr>
            <w:tcW w:w="17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Willow Grove, PA</w:t>
            </w:r>
          </w:p>
        </w:tc>
        <w:tc>
          <w:tcPr>
            <w:tcW w:w="4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Development of a new 17,000 square foot multi-tenant pad building</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0" w:type="dxa"/>
            <w:vAlign w:val="bottom"/>
          </w:tcPr>
          <w:p>
            <w:pPr>
              <w:spacing w:after="0"/>
              <w:rPr>
                <w:sz w:val="1"/>
                <w:szCs w:val="1"/>
                <w:color w:val="auto"/>
              </w:rPr>
            </w:pPr>
          </w:p>
        </w:tc>
      </w:tr>
      <w:tr>
        <w:trPr>
          <w:trHeight w:val="210"/>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Santana Row</w:t>
            </w:r>
          </w:p>
        </w:tc>
        <w:tc>
          <w:tcPr>
            <w:tcW w:w="1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San Jose, CA</w:t>
            </w:r>
          </w:p>
        </w:tc>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Installation and implementation of paid parking system</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0" w:type="dxa"/>
            <w:vAlign w:val="bottom"/>
          </w:tcPr>
          <w:p>
            <w:pPr>
              <w:spacing w:after="0"/>
              <w:rPr>
                <w:sz w:val="1"/>
                <w:szCs w:val="1"/>
                <w:color w:val="auto"/>
              </w:rPr>
            </w:pPr>
          </w:p>
        </w:tc>
      </w:tr>
      <w:tr>
        <w:trPr>
          <w:trHeight w:val="135"/>
        </w:trPr>
        <w:tc>
          <w:tcPr>
            <w:tcW w:w="15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Pike 7 Plaza</w:t>
            </w:r>
          </w:p>
        </w:tc>
        <w:tc>
          <w:tcPr>
            <w:tcW w:w="1700" w:type="dxa"/>
            <w:vAlign w:val="bottom"/>
          </w:tcPr>
          <w:p>
            <w:pPr>
              <w:ind w:left="400"/>
              <w:spacing w:after="0" w:line="135" w:lineRule="exact"/>
              <w:rPr>
                <w:sz w:val="20"/>
                <w:szCs w:val="20"/>
                <w:color w:val="auto"/>
              </w:rPr>
            </w:pPr>
            <w:r>
              <w:rPr>
                <w:rFonts w:ascii="Times New Roman" w:cs="Times New Roman" w:eastAsia="Times New Roman" w:hAnsi="Times New Roman"/>
                <w:sz w:val="14"/>
                <w:szCs w:val="14"/>
                <w:color w:val="auto"/>
              </w:rPr>
              <w:t>Vienna, VA</w:t>
            </w:r>
          </w:p>
        </w:tc>
        <w:tc>
          <w:tcPr>
            <w:tcW w:w="470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Development of a new 3,200 square foot pad building pre-leased to a</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8 %</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$3</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$3</w:t>
            </w: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Stabilized</w:t>
            </w:r>
          </w:p>
        </w:tc>
        <w:tc>
          <w:tcPr>
            <w:tcW w:w="0" w:type="dxa"/>
            <w:vAlign w:val="bottom"/>
          </w:tcPr>
          <w:p>
            <w:pPr>
              <w:spacing w:after="0"/>
              <w:rPr>
                <w:sz w:val="1"/>
                <w:szCs w:val="1"/>
                <w:color w:val="auto"/>
              </w:rPr>
            </w:pPr>
          </w:p>
        </w:tc>
      </w:tr>
      <w:tr>
        <w:trPr>
          <w:trHeight w:val="195"/>
        </w:trPr>
        <w:tc>
          <w:tcPr>
            <w:tcW w:w="15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restaurant tenant</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5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Chelsea Commons</w:t>
            </w:r>
          </w:p>
        </w:tc>
        <w:tc>
          <w:tcPr>
            <w:tcW w:w="1700" w:type="dxa"/>
            <w:vAlign w:val="bottom"/>
            <w:shd w:val="clear" w:color="auto" w:fill="CCEEFF"/>
          </w:tcPr>
          <w:p>
            <w:pPr>
              <w:ind w:left="400"/>
              <w:spacing w:after="0" w:line="142" w:lineRule="exact"/>
              <w:rPr>
                <w:sz w:val="20"/>
                <w:szCs w:val="20"/>
                <w:color w:val="auto"/>
              </w:rPr>
            </w:pPr>
            <w:r>
              <w:rPr>
                <w:rFonts w:ascii="Times New Roman" w:cs="Times New Roman" w:eastAsia="Times New Roman" w:hAnsi="Times New Roman"/>
                <w:sz w:val="14"/>
                <w:szCs w:val="14"/>
                <w:color w:val="auto"/>
              </w:rPr>
              <w:t>Chelsea, MA</w:t>
            </w:r>
          </w:p>
        </w:tc>
        <w:tc>
          <w:tcPr>
            <w:tcW w:w="4700" w:type="dxa"/>
            <w:vAlign w:val="bottom"/>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Development of a new 2,500 square foot pre-leased pad building with drive-</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7 %</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1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2025</w:t>
            </w:r>
          </w:p>
        </w:tc>
        <w:tc>
          <w:tcPr>
            <w:tcW w:w="0" w:type="dxa"/>
            <w:vAlign w:val="bottom"/>
          </w:tcPr>
          <w:p>
            <w:pPr>
              <w:spacing w:after="0"/>
              <w:rPr>
                <w:sz w:val="1"/>
                <w:szCs w:val="1"/>
                <w:color w:val="auto"/>
              </w:rPr>
            </w:pPr>
          </w:p>
        </w:tc>
      </w:tr>
      <w:tr>
        <w:trPr>
          <w:trHeight w:val="203"/>
        </w:trPr>
        <w:tc>
          <w:tcPr>
            <w:tcW w:w="15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thru</w:t>
            </w:r>
          </w:p>
        </w:tc>
        <w:tc>
          <w:tcPr>
            <w:tcW w:w="7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rPr>
                <w:sz w:val="12"/>
                <w:szCs w:val="12"/>
                <w:color w:val="auto"/>
              </w:rPr>
            </w:pPr>
          </w:p>
        </w:tc>
        <w:tc>
          <w:tcPr>
            <w:tcW w:w="4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200" w:type="dxa"/>
            <w:vAlign w:val="bottom"/>
            <w:gridSpan w:val="2"/>
            <w:shd w:val="clear" w:color="auto" w:fill="CCEEFF"/>
          </w:tcPr>
          <w:p>
            <w:pPr>
              <w:spacing w:after="0"/>
              <w:rPr>
                <w:sz w:val="17"/>
                <w:szCs w:val="17"/>
                <w:color w:val="auto"/>
              </w:rPr>
            </w:pPr>
          </w:p>
        </w:tc>
        <w:tc>
          <w:tcPr>
            <w:tcW w:w="47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2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Active Property Improvement Projects (6)</w:t>
            </w:r>
          </w:p>
        </w:tc>
        <w:tc>
          <w:tcPr>
            <w:tcW w:w="470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Ongoing improvements at 9 properties to better position those properties to</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8% - 13%</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$53</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$36</w:t>
            </w: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5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capture a disproportionate amount of retail demand</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27" w:lineRule="exact"/>
        <w:rPr>
          <w:sz w:val="20"/>
          <w:szCs w:val="20"/>
          <w:color w:val="auto"/>
        </w:rPr>
      </w:pPr>
    </w:p>
    <w:p>
      <w:pPr>
        <w:ind w:left="260" w:right="20" w:hanging="252"/>
        <w:spacing w:after="0" w:line="263" w:lineRule="auto"/>
        <w:tabs>
          <w:tab w:leader="none" w:pos="253"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guarantee that the Trust will ultimately complete any or all of these opportunities, that the ROI or Projected Costs will be the amounts shown or that stabilization will occur as anticipated. The projected returns on investment (ROI) and Projected Cost are management's best estimate based on current information and may change over time. Anticipated total cost, and projected ROI, and projected POI delivered are subject to adjustment as a result of factors inherent in the development process, some of which may not be under the direct control of the Company. Refer to the Company's filings with the Securities and Exchange Commission on Form 10-K and Form 10-Q for other risk factors.</w:t>
      </w:r>
    </w:p>
    <w:p>
      <w:pPr>
        <w:spacing w:after="0" w:line="2" w:lineRule="exact"/>
        <w:rPr>
          <w:rFonts w:ascii="Times New Roman" w:cs="Times New Roman" w:eastAsia="Times New Roman" w:hAnsi="Times New Roman"/>
          <w:sz w:val="13"/>
          <w:szCs w:val="13"/>
          <w:color w:val="auto"/>
        </w:rPr>
      </w:pPr>
    </w:p>
    <w:p>
      <w:pPr>
        <w:ind w:left="260" w:hanging="252"/>
        <w:spacing w:after="0" w:line="260" w:lineRule="auto"/>
        <w:tabs>
          <w:tab w:leader="none" w:pos="253"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Projected ROI for mixed-use redevelopment/expansion projects reflects the unleveraged Property Operating Income (POI) generated by the project and is calculated as POI divided by cost. Projected POI delivered includes straight line rent.</w:t>
      </w:r>
    </w:p>
    <w:p>
      <w:pPr>
        <w:ind w:left="260" w:hanging="252"/>
        <w:spacing w:after="0"/>
        <w:tabs>
          <w:tab w:leader="none" w:pos="2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Projected costs for Pike &amp; Rose include an allocation of infrastructure costs for the entire project. Santana West includes an allocation of infrastructure for the Santana West site.</w:t>
      </w:r>
    </w:p>
    <w:p>
      <w:pPr>
        <w:spacing w:after="0" w:line="12" w:lineRule="exact"/>
        <w:rPr>
          <w:rFonts w:ascii="Times New Roman" w:cs="Times New Roman" w:eastAsia="Times New Roman" w:hAnsi="Times New Roman"/>
          <w:sz w:val="13"/>
          <w:szCs w:val="13"/>
          <w:color w:val="auto"/>
        </w:rPr>
      </w:pPr>
    </w:p>
    <w:p>
      <w:pPr>
        <w:ind w:left="260" w:right="40" w:hanging="252"/>
        <w:spacing w:after="0" w:line="260" w:lineRule="auto"/>
        <w:tabs>
          <w:tab w:leader="none" w:pos="253"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Projected ROI for redevelopment projects generally reflects only the deal specific cash, unleveraged incremental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generally does not include peripheral impacts, such as the impact on future lease rollovers at the property or the impact on the long-term value of the property but may for certain property improvement projects.</w:t>
      </w:r>
    </w:p>
    <w:p>
      <w:pPr>
        <w:ind w:left="260" w:hanging="252"/>
        <w:spacing w:after="0"/>
        <w:tabs>
          <w:tab w:leader="none" w:pos="2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Stabilization is generally the year in which 90% physical occupancy of the redeveloped space is achieved. Economic stabilization may occur at a later point in time.</w:t>
      </w:r>
    </w:p>
    <w:p>
      <w:pPr>
        <w:spacing w:after="0" w:line="12" w:lineRule="exact"/>
        <w:rPr>
          <w:rFonts w:ascii="Times New Roman" w:cs="Times New Roman" w:eastAsia="Times New Roman" w:hAnsi="Times New Roman"/>
          <w:sz w:val="13"/>
          <w:szCs w:val="13"/>
          <w:color w:val="auto"/>
        </w:rPr>
      </w:pPr>
    </w:p>
    <w:p>
      <w:pPr>
        <w:ind w:left="260" w:right="40" w:hanging="252"/>
        <w:spacing w:after="0" w:line="266" w:lineRule="auto"/>
        <w:tabs>
          <w:tab w:leader="none" w:pos="253"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Property improvement projects generally consist of façade renovations, site improvements, landscaping, improved outdoor amenity spaces, and other upgrades to improve the overall look and environment of the property. These projects improve overall tenant and customer experiences, improve market rents, drive leasing demand, and/or provide outdoor spaces critical to meeting the needs of the current environment. Returns on these projects are typically seen over one to five years, however, some projects could extend beyond that. Projected ROI range reflects management's best estimate of the long term expected return on cost of these investments.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028" w:right="33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7"/>
          <w:szCs w:val="17"/>
          <w:b w:val="1"/>
          <w:bCs w:val="1"/>
          <w:color w:val="auto"/>
        </w:rPr>
        <w:t>Federal Realty Investment Trust</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Future Redevelopment and Expansion Opportunities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June 30, 2024</w:t>
      </w:r>
    </w:p>
    <w:p>
      <w:pPr>
        <w:spacing w:after="0" w:line="289" w:lineRule="exact"/>
        <w:rPr>
          <w:sz w:val="20"/>
          <w:szCs w:val="20"/>
          <w:color w:val="auto"/>
        </w:rPr>
      </w:pPr>
    </w:p>
    <w:p>
      <w:pPr>
        <w:ind w:left="20" w:right="260"/>
        <w:spacing w:after="0" w:line="221" w:lineRule="auto"/>
        <w:rPr>
          <w:sz w:val="20"/>
          <w:szCs w:val="20"/>
          <w:color w:val="auto"/>
        </w:rPr>
      </w:pPr>
      <w:r>
        <w:rPr>
          <w:rFonts w:ascii="Times New Roman" w:cs="Times New Roman" w:eastAsia="Times New Roman" w:hAnsi="Times New Roman"/>
          <w:sz w:val="17"/>
          <w:szCs w:val="17"/>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opportunities is in its preliminary stages and may not ultimately come to fruition.</w:t>
      </w:r>
    </w:p>
    <w:p>
      <w:pPr>
        <w:spacing w:after="0" w:line="1" w:lineRule="exact"/>
        <w:rPr>
          <w:sz w:val="20"/>
          <w:szCs w:val="20"/>
          <w:color w:val="auto"/>
        </w:rPr>
      </w:pPr>
    </w:p>
    <w:p>
      <w:pPr>
        <w:ind w:left="20" w:right="60"/>
        <w:spacing w:after="0" w:line="233" w:lineRule="auto"/>
        <w:rPr>
          <w:sz w:val="20"/>
          <w:szCs w:val="20"/>
          <w:color w:val="auto"/>
        </w:rPr>
      </w:pPr>
      <w:r>
        <w:rPr>
          <w:rFonts w:ascii="Times New Roman" w:cs="Times New Roman" w:eastAsia="Times New Roman" w:hAnsi="Times New Roman"/>
          <w:sz w:val="17"/>
          <w:szCs w:val="17"/>
          <w:b w:val="1"/>
          <w:bCs w:val="1"/>
          <w:i w:val="1"/>
          <w:iCs w:val="1"/>
          <w:color w:val="auto"/>
        </w:rPr>
        <w:t>This list will change from time to time as we identify hurdles that cannot be overcome in the near term, and focus on those opportunities that are most likely to lead to the creation of shareholder value over time.</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shd w:val="clear" w:color="auto" w:fill="DBDBDB"/>
          </w:tcPr>
          <w:p>
            <w:pPr>
              <w:spacing w:after="0"/>
              <w:rPr>
                <w:sz w:val="19"/>
                <w:szCs w:val="19"/>
                <w:color w:val="auto"/>
              </w:rPr>
            </w:pPr>
          </w:p>
        </w:tc>
        <w:tc>
          <w:tcPr>
            <w:tcW w:w="230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7"/>
                <w:szCs w:val="17"/>
                <w:b w:val="1"/>
                <w:bCs w:val="1"/>
                <w:color w:val="auto"/>
              </w:rPr>
              <w:t>Redevelopment Opportunities</w:t>
            </w:r>
          </w:p>
        </w:tc>
        <w:tc>
          <w:tcPr>
            <w:tcW w:w="2140" w:type="dxa"/>
            <w:vAlign w:val="bottom"/>
            <w:tcBorders>
              <w:bottom w:val="single" w:sz="8" w:color="auto"/>
            </w:tcBorders>
            <w:shd w:val="clear" w:color="auto" w:fill="DBDBDB"/>
          </w:tcPr>
          <w:p>
            <w:pPr>
              <w:spacing w:after="0"/>
              <w:rPr>
                <w:sz w:val="19"/>
                <w:szCs w:val="19"/>
                <w:color w:val="auto"/>
              </w:rPr>
            </w:pPr>
          </w:p>
        </w:tc>
      </w:tr>
      <w:tr>
        <w:trPr>
          <w:trHeight w:val="221"/>
        </w:trPr>
        <w:tc>
          <w:tcPr>
            <w:tcW w:w="23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Property</w:t>
            </w:r>
          </w:p>
        </w:tc>
        <w:tc>
          <w:tcPr>
            <w:tcW w:w="22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2160" w:type="dxa"/>
            <w:vAlign w:val="bottom"/>
            <w:tcBorders>
              <w:bottom w:val="single" w:sz="8" w:color="auto"/>
            </w:tcBorders>
          </w:tcPr>
          <w:p>
            <w:pPr>
              <w:jc w:val="center"/>
              <w:ind w:left="135"/>
              <w:spacing w:after="0"/>
              <w:rPr>
                <w:sz w:val="20"/>
                <w:szCs w:val="20"/>
                <w:color w:val="auto"/>
              </w:rPr>
            </w:pPr>
            <w:r>
              <w:rPr>
                <w:rFonts w:ascii="Times New Roman" w:cs="Times New Roman" w:eastAsia="Times New Roman" w:hAnsi="Times New Roman"/>
                <w:sz w:val="17"/>
                <w:szCs w:val="17"/>
                <w:b w:val="1"/>
                <w:bCs w:val="1"/>
                <w:color w:val="auto"/>
              </w:rPr>
              <w:t>Expansion/Conversion (4)</w:t>
            </w: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Residential (5)</w:t>
            </w:r>
          </w:p>
        </w:tc>
        <w:tc>
          <w:tcPr>
            <w:tcW w:w="214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7"/>
                <w:szCs w:val="17"/>
                <w:b w:val="1"/>
                <w:bCs w:val="1"/>
                <w:color w:val="auto"/>
              </w:rPr>
              <w:t>Mixed Use - Long Term</w:t>
            </w:r>
          </w:p>
        </w:tc>
      </w:tr>
      <w:tr>
        <w:trPr>
          <w:trHeight w:val="217"/>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Assembly Row (1)</w:t>
            </w:r>
          </w:p>
        </w:tc>
        <w:tc>
          <w:tcPr>
            <w:tcW w:w="22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Somerville, MA</w:t>
            </w:r>
          </w:p>
        </w:tc>
        <w:tc>
          <w:tcPr>
            <w:tcW w:w="2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140" w:type="dxa"/>
            <w:vAlign w:val="bottom"/>
          </w:tcPr>
          <w:p>
            <w:pPr>
              <w:jc w:val="center"/>
              <w:ind w:right="195"/>
              <w:spacing w:after="0"/>
              <w:rPr>
                <w:sz w:val="20"/>
                <w:szCs w:val="20"/>
                <w:color w:val="auto"/>
              </w:rPr>
            </w:pPr>
            <w:r>
              <w:rPr>
                <w:rFonts w:ascii="Wingdings" w:cs="Wingdings" w:eastAsia="Wingdings" w:hAnsi="Wingdings"/>
                <w:sz w:val="17"/>
                <w:szCs w:val="17"/>
                <w:b w:val="1"/>
                <w:bCs w:val="1"/>
                <w:color w:val="auto"/>
                <w:highlight w:val="black"/>
              </w:rPr>
              <w:t>ü</w:t>
            </w:r>
          </w:p>
        </w:tc>
      </w:tr>
      <w:tr>
        <w:trPr>
          <w:trHeight w:val="21"/>
        </w:trPr>
        <w:tc>
          <w:tcPr>
            <w:tcW w:w="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23"/>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Andorra</w:t>
            </w:r>
          </w:p>
        </w:tc>
        <w:tc>
          <w:tcPr>
            <w:tcW w:w="2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Philadelphia, PA</w:t>
            </w:r>
          </w:p>
        </w:tc>
        <w:tc>
          <w:tcPr>
            <w:tcW w:w="2160" w:type="dxa"/>
            <w:vAlign w:val="bottom"/>
            <w:tcBorders>
              <w:bottom w:val="single" w:sz="8" w:color="CCEEFF"/>
            </w:tcBorders>
            <w:shd w:val="clear" w:color="auto" w:fill="CCEEFF"/>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tcBorders>
              <w:bottom w:val="single" w:sz="8" w:color="CCEEFF"/>
            </w:tcBorders>
            <w:shd w:val="clear" w:color="auto" w:fill="CCEEFF"/>
          </w:tcPr>
          <w:p>
            <w:pPr>
              <w:spacing w:after="0"/>
              <w:rPr>
                <w:sz w:val="19"/>
                <w:szCs w:val="19"/>
                <w:color w:val="auto"/>
              </w:rPr>
            </w:pPr>
          </w:p>
        </w:tc>
        <w:tc>
          <w:tcPr>
            <w:tcW w:w="2140" w:type="dxa"/>
            <w:vAlign w:val="bottom"/>
            <w:tcBorders>
              <w:bottom w:val="single" w:sz="8" w:color="CCEEFF"/>
            </w:tcBorders>
            <w:shd w:val="clear" w:color="auto" w:fill="CCEEFF"/>
          </w:tcPr>
          <w:p>
            <w:pPr>
              <w:spacing w:after="0"/>
              <w:rPr>
                <w:sz w:val="19"/>
                <w:szCs w:val="19"/>
                <w:color w:val="auto"/>
              </w:rPr>
            </w:pPr>
          </w:p>
        </w:tc>
      </w:tr>
      <w:tr>
        <w:trPr>
          <w:trHeight w:val="222"/>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Bala Cynwyd</w:t>
            </w:r>
          </w:p>
        </w:tc>
        <w:tc>
          <w:tcPr>
            <w:tcW w:w="22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Bala Cynwyd, PA</w:t>
            </w:r>
          </w:p>
        </w:tc>
        <w:tc>
          <w:tcPr>
            <w:tcW w:w="2160" w:type="dxa"/>
            <w:vAlign w:val="bottom"/>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140" w:type="dxa"/>
            <w:vAlign w:val="bottom"/>
          </w:tcPr>
          <w:p>
            <w:pPr>
              <w:spacing w:after="0"/>
              <w:rPr>
                <w:sz w:val="19"/>
                <w:szCs w:val="19"/>
                <w:color w:val="auto"/>
              </w:rPr>
            </w:pPr>
          </w:p>
        </w:tc>
      </w:tr>
      <w:tr>
        <w:trPr>
          <w:trHeight w:val="21"/>
        </w:trPr>
        <w:tc>
          <w:tcPr>
            <w:tcW w:w="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23"/>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Barracks Road</w:t>
            </w:r>
          </w:p>
        </w:tc>
        <w:tc>
          <w:tcPr>
            <w:tcW w:w="2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Charlottesville, VA</w:t>
            </w:r>
          </w:p>
        </w:tc>
        <w:tc>
          <w:tcPr>
            <w:tcW w:w="2160" w:type="dxa"/>
            <w:vAlign w:val="bottom"/>
            <w:tcBorders>
              <w:bottom w:val="single" w:sz="8" w:color="CCEEFF"/>
            </w:tcBorders>
            <w:shd w:val="clear" w:color="auto" w:fill="CCEEFF"/>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tcBorders>
              <w:bottom w:val="single" w:sz="8" w:color="CCEEFF"/>
            </w:tcBorders>
            <w:shd w:val="clear" w:color="auto" w:fill="CCEEFF"/>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140" w:type="dxa"/>
            <w:vAlign w:val="bottom"/>
            <w:tcBorders>
              <w:bottom w:val="single" w:sz="8" w:color="CCEEFF"/>
            </w:tcBorders>
            <w:shd w:val="clear" w:color="auto" w:fill="CCEEFF"/>
          </w:tcPr>
          <w:p>
            <w:pPr>
              <w:spacing w:after="0"/>
              <w:rPr>
                <w:sz w:val="19"/>
                <w:szCs w:val="19"/>
                <w:color w:val="auto"/>
              </w:rPr>
            </w:pPr>
          </w:p>
        </w:tc>
      </w:tr>
      <w:tr>
        <w:trPr>
          <w:trHeight w:val="226"/>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Bethesda Row</w:t>
            </w:r>
          </w:p>
        </w:tc>
        <w:tc>
          <w:tcPr>
            <w:tcW w:w="22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Bethesda, MD</w:t>
            </w:r>
          </w:p>
        </w:tc>
        <w:tc>
          <w:tcPr>
            <w:tcW w:w="2160" w:type="dxa"/>
            <w:vAlign w:val="bottom"/>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140" w:type="dxa"/>
            <w:vAlign w:val="bottom"/>
          </w:tcPr>
          <w:p>
            <w:pPr>
              <w:spacing w:after="0"/>
              <w:rPr>
                <w:sz w:val="19"/>
                <w:szCs w:val="19"/>
                <w:color w:val="auto"/>
              </w:rPr>
            </w:pPr>
          </w:p>
        </w:tc>
      </w:tr>
      <w:tr>
        <w:trPr>
          <w:trHeight w:val="233"/>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Camelback Colonnade</w:t>
            </w:r>
          </w:p>
        </w:tc>
        <w:tc>
          <w:tcPr>
            <w:tcW w:w="2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Phoenix, AZ</w:t>
            </w:r>
          </w:p>
        </w:tc>
        <w:tc>
          <w:tcPr>
            <w:tcW w:w="2160" w:type="dxa"/>
            <w:vAlign w:val="bottom"/>
            <w:shd w:val="clear" w:color="auto" w:fill="CCEEFF"/>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shd w:val="clear" w:color="auto" w:fill="CCEEFF"/>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140" w:type="dxa"/>
            <w:vAlign w:val="bottom"/>
            <w:shd w:val="clear" w:color="auto" w:fill="CCEEFF"/>
          </w:tcPr>
          <w:p>
            <w:pPr>
              <w:spacing w:after="0"/>
              <w:rPr>
                <w:sz w:val="20"/>
                <w:szCs w:val="20"/>
                <w:color w:val="auto"/>
              </w:rPr>
            </w:pPr>
          </w:p>
        </w:tc>
      </w:tr>
      <w:tr>
        <w:trPr>
          <w:trHeight w:val="226"/>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Chelsea Commons</w:t>
            </w:r>
          </w:p>
        </w:tc>
        <w:tc>
          <w:tcPr>
            <w:tcW w:w="22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Chelsea, MA</w:t>
            </w:r>
          </w:p>
        </w:tc>
        <w:tc>
          <w:tcPr>
            <w:tcW w:w="2160" w:type="dxa"/>
            <w:vAlign w:val="bottom"/>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33"/>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Dedham Plaza</w:t>
            </w:r>
          </w:p>
        </w:tc>
        <w:tc>
          <w:tcPr>
            <w:tcW w:w="2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Dedham, MA</w:t>
            </w:r>
          </w:p>
        </w:tc>
        <w:tc>
          <w:tcPr>
            <w:tcW w:w="2160" w:type="dxa"/>
            <w:vAlign w:val="bottom"/>
            <w:shd w:val="clear" w:color="auto" w:fill="CCEEFF"/>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r>
      <w:tr>
        <w:trPr>
          <w:trHeight w:val="226"/>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Escondido Promenade</w:t>
            </w:r>
          </w:p>
        </w:tc>
        <w:tc>
          <w:tcPr>
            <w:tcW w:w="22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Escondido, CA</w:t>
            </w:r>
          </w:p>
        </w:tc>
        <w:tc>
          <w:tcPr>
            <w:tcW w:w="2160" w:type="dxa"/>
            <w:vAlign w:val="bottom"/>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33"/>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Fairfax Junction</w:t>
            </w:r>
          </w:p>
        </w:tc>
        <w:tc>
          <w:tcPr>
            <w:tcW w:w="2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Fairfax, VA</w:t>
            </w:r>
          </w:p>
        </w:tc>
        <w:tc>
          <w:tcPr>
            <w:tcW w:w="2160" w:type="dxa"/>
            <w:vAlign w:val="bottom"/>
            <w:shd w:val="clear" w:color="auto" w:fill="CCEEFF"/>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shd w:val="clear" w:color="auto" w:fill="CCEEFF"/>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140" w:type="dxa"/>
            <w:vAlign w:val="bottom"/>
            <w:shd w:val="clear" w:color="auto" w:fill="CCEEFF"/>
          </w:tcPr>
          <w:p>
            <w:pPr>
              <w:spacing w:after="0"/>
              <w:rPr>
                <w:sz w:val="20"/>
                <w:szCs w:val="20"/>
                <w:color w:val="auto"/>
              </w:rPr>
            </w:pPr>
          </w:p>
        </w:tc>
      </w:tr>
      <w:tr>
        <w:trPr>
          <w:trHeight w:val="226"/>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Federal Plaza</w:t>
            </w:r>
          </w:p>
        </w:tc>
        <w:tc>
          <w:tcPr>
            <w:tcW w:w="22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Rockville, MD</w:t>
            </w:r>
          </w:p>
        </w:tc>
        <w:tc>
          <w:tcPr>
            <w:tcW w:w="216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140" w:type="dxa"/>
            <w:vAlign w:val="bottom"/>
          </w:tcPr>
          <w:p>
            <w:pPr>
              <w:spacing w:after="0"/>
              <w:rPr>
                <w:sz w:val="19"/>
                <w:szCs w:val="19"/>
                <w:color w:val="auto"/>
              </w:rPr>
            </w:pPr>
          </w:p>
        </w:tc>
      </w:tr>
      <w:tr>
        <w:trPr>
          <w:trHeight w:val="233"/>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Fresh Meadows</w:t>
            </w:r>
          </w:p>
        </w:tc>
        <w:tc>
          <w:tcPr>
            <w:tcW w:w="2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Queens, NY</w:t>
            </w:r>
          </w:p>
        </w:tc>
        <w:tc>
          <w:tcPr>
            <w:tcW w:w="2160" w:type="dxa"/>
            <w:vAlign w:val="bottom"/>
            <w:shd w:val="clear" w:color="auto" w:fill="CCEEFF"/>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r>
      <w:tr>
        <w:trPr>
          <w:trHeight w:val="226"/>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Friendship Center</w:t>
            </w:r>
          </w:p>
        </w:tc>
        <w:tc>
          <w:tcPr>
            <w:tcW w:w="22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Washington, DC</w:t>
            </w:r>
          </w:p>
        </w:tc>
        <w:tc>
          <w:tcPr>
            <w:tcW w:w="2160" w:type="dxa"/>
            <w:vAlign w:val="bottom"/>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140" w:type="dxa"/>
            <w:vAlign w:val="bottom"/>
          </w:tcPr>
          <w:p>
            <w:pPr>
              <w:spacing w:after="0"/>
              <w:rPr>
                <w:sz w:val="19"/>
                <w:szCs w:val="19"/>
                <w:color w:val="auto"/>
              </w:rPr>
            </w:pPr>
          </w:p>
        </w:tc>
      </w:tr>
      <w:tr>
        <w:trPr>
          <w:trHeight w:val="233"/>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Grossmont Center</w:t>
            </w:r>
          </w:p>
        </w:tc>
        <w:tc>
          <w:tcPr>
            <w:tcW w:w="2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La Mesa, CA</w:t>
            </w:r>
          </w:p>
        </w:tc>
        <w:tc>
          <w:tcPr>
            <w:tcW w:w="2160" w:type="dxa"/>
            <w:vAlign w:val="bottom"/>
            <w:shd w:val="clear" w:color="auto" w:fill="CCEEFF"/>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r>
      <w:tr>
        <w:trPr>
          <w:trHeight w:val="226"/>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Hoboken</w:t>
            </w:r>
          </w:p>
        </w:tc>
        <w:tc>
          <w:tcPr>
            <w:tcW w:w="22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Hoboken, NJ</w:t>
            </w:r>
          </w:p>
        </w:tc>
        <w:tc>
          <w:tcPr>
            <w:tcW w:w="216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140" w:type="dxa"/>
            <w:vAlign w:val="bottom"/>
          </w:tcPr>
          <w:p>
            <w:pPr>
              <w:spacing w:after="0"/>
              <w:rPr>
                <w:sz w:val="19"/>
                <w:szCs w:val="19"/>
                <w:color w:val="auto"/>
              </w:rPr>
            </w:pPr>
          </w:p>
        </w:tc>
      </w:tr>
      <w:tr>
        <w:trPr>
          <w:trHeight w:val="233"/>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Huntington</w:t>
            </w:r>
          </w:p>
        </w:tc>
        <w:tc>
          <w:tcPr>
            <w:tcW w:w="2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Huntington, NY</w:t>
            </w:r>
          </w:p>
        </w:tc>
        <w:tc>
          <w:tcPr>
            <w:tcW w:w="2160" w:type="dxa"/>
            <w:vAlign w:val="bottom"/>
            <w:shd w:val="clear" w:color="auto" w:fill="CCEEFF"/>
          </w:tcPr>
          <w:p>
            <w:pPr>
              <w:spacing w:after="0"/>
              <w:rPr>
                <w:sz w:val="20"/>
                <w:szCs w:val="20"/>
                <w:color w:val="auto"/>
              </w:rPr>
            </w:pPr>
          </w:p>
        </w:tc>
        <w:tc>
          <w:tcPr>
            <w:tcW w:w="2300" w:type="dxa"/>
            <w:vAlign w:val="bottom"/>
            <w:shd w:val="clear" w:color="auto" w:fill="CCEEFF"/>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140" w:type="dxa"/>
            <w:vAlign w:val="bottom"/>
            <w:shd w:val="clear" w:color="auto" w:fill="CCEEFF"/>
          </w:tcPr>
          <w:p>
            <w:pPr>
              <w:spacing w:after="0"/>
              <w:rPr>
                <w:sz w:val="20"/>
                <w:szCs w:val="20"/>
                <w:color w:val="auto"/>
              </w:rPr>
            </w:pPr>
          </w:p>
        </w:tc>
      </w:tr>
      <w:tr>
        <w:trPr>
          <w:trHeight w:val="226"/>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Huntington Square</w:t>
            </w:r>
          </w:p>
        </w:tc>
        <w:tc>
          <w:tcPr>
            <w:tcW w:w="22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East Northport, NY</w:t>
            </w:r>
          </w:p>
        </w:tc>
        <w:tc>
          <w:tcPr>
            <w:tcW w:w="2160" w:type="dxa"/>
            <w:vAlign w:val="bottom"/>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33"/>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Mercer on One</w:t>
            </w:r>
          </w:p>
        </w:tc>
        <w:tc>
          <w:tcPr>
            <w:tcW w:w="2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Lawrenceville, NJ</w:t>
            </w:r>
          </w:p>
        </w:tc>
        <w:tc>
          <w:tcPr>
            <w:tcW w:w="2160" w:type="dxa"/>
            <w:vAlign w:val="bottom"/>
            <w:shd w:val="clear" w:color="auto" w:fill="CCEEFF"/>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r>
      <w:tr>
        <w:trPr>
          <w:trHeight w:val="226"/>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Pan Am</w:t>
            </w:r>
          </w:p>
        </w:tc>
        <w:tc>
          <w:tcPr>
            <w:tcW w:w="22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Fairfax, VA</w:t>
            </w:r>
          </w:p>
        </w:tc>
        <w:tc>
          <w:tcPr>
            <w:tcW w:w="2160" w:type="dxa"/>
            <w:vAlign w:val="bottom"/>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140" w:type="dxa"/>
            <w:vAlign w:val="bottom"/>
          </w:tcPr>
          <w:p>
            <w:pPr>
              <w:spacing w:after="0"/>
              <w:rPr>
                <w:sz w:val="19"/>
                <w:szCs w:val="19"/>
                <w:color w:val="auto"/>
              </w:rPr>
            </w:pPr>
          </w:p>
        </w:tc>
      </w:tr>
      <w:tr>
        <w:trPr>
          <w:trHeight w:val="233"/>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Pike &amp; Rose (2)</w:t>
            </w:r>
          </w:p>
        </w:tc>
        <w:tc>
          <w:tcPr>
            <w:tcW w:w="2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North Bethesda, MD</w:t>
            </w:r>
          </w:p>
        </w:tc>
        <w:tc>
          <w:tcPr>
            <w:tcW w:w="216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2140" w:type="dxa"/>
            <w:vAlign w:val="bottom"/>
            <w:shd w:val="clear" w:color="auto" w:fill="CCEEFF"/>
          </w:tcPr>
          <w:p>
            <w:pPr>
              <w:jc w:val="center"/>
              <w:ind w:right="195"/>
              <w:spacing w:after="0"/>
              <w:rPr>
                <w:sz w:val="20"/>
                <w:szCs w:val="20"/>
                <w:color w:val="auto"/>
              </w:rPr>
            </w:pPr>
            <w:r>
              <w:rPr>
                <w:rFonts w:ascii="Wingdings" w:cs="Wingdings" w:eastAsia="Wingdings" w:hAnsi="Wingdings"/>
                <w:sz w:val="17"/>
                <w:szCs w:val="17"/>
                <w:b w:val="1"/>
                <w:bCs w:val="1"/>
                <w:color w:val="auto"/>
                <w:highlight w:val="black"/>
              </w:rPr>
              <w:t>ü</w:t>
            </w:r>
          </w:p>
        </w:tc>
      </w:tr>
      <w:tr>
        <w:trPr>
          <w:trHeight w:val="226"/>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Pike 7 Plaza</w:t>
            </w:r>
          </w:p>
        </w:tc>
        <w:tc>
          <w:tcPr>
            <w:tcW w:w="22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Vienna, VA</w:t>
            </w:r>
          </w:p>
        </w:tc>
        <w:tc>
          <w:tcPr>
            <w:tcW w:w="21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140" w:type="dxa"/>
            <w:vAlign w:val="bottom"/>
          </w:tcPr>
          <w:p>
            <w:pPr>
              <w:jc w:val="center"/>
              <w:ind w:right="195"/>
              <w:spacing w:after="0"/>
              <w:rPr>
                <w:sz w:val="20"/>
                <w:szCs w:val="20"/>
                <w:color w:val="auto"/>
              </w:rPr>
            </w:pPr>
            <w:r>
              <w:rPr>
                <w:rFonts w:ascii="Wingdings" w:cs="Wingdings" w:eastAsia="Wingdings" w:hAnsi="Wingdings"/>
                <w:sz w:val="17"/>
                <w:szCs w:val="17"/>
                <w:b w:val="1"/>
                <w:bCs w:val="1"/>
                <w:color w:val="auto"/>
                <w:highlight w:val="black"/>
              </w:rPr>
              <w:t>ü</w:t>
            </w:r>
          </w:p>
        </w:tc>
      </w:tr>
      <w:tr>
        <w:trPr>
          <w:trHeight w:val="233"/>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Riverpoint Center</w:t>
            </w:r>
          </w:p>
        </w:tc>
        <w:tc>
          <w:tcPr>
            <w:tcW w:w="2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Chicago, IL</w:t>
            </w:r>
          </w:p>
        </w:tc>
        <w:tc>
          <w:tcPr>
            <w:tcW w:w="2160" w:type="dxa"/>
            <w:vAlign w:val="bottom"/>
            <w:shd w:val="clear" w:color="auto" w:fill="CCEEFF"/>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r>
      <w:tr>
        <w:trPr>
          <w:trHeight w:val="226"/>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Santana Row (3)</w:t>
            </w:r>
          </w:p>
        </w:tc>
        <w:tc>
          <w:tcPr>
            <w:tcW w:w="22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San Jose, CA</w:t>
            </w:r>
          </w:p>
        </w:tc>
        <w:tc>
          <w:tcPr>
            <w:tcW w:w="21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140" w:type="dxa"/>
            <w:vAlign w:val="bottom"/>
          </w:tcPr>
          <w:p>
            <w:pPr>
              <w:jc w:val="center"/>
              <w:ind w:right="195"/>
              <w:spacing w:after="0"/>
              <w:rPr>
                <w:sz w:val="20"/>
                <w:szCs w:val="20"/>
                <w:color w:val="auto"/>
              </w:rPr>
            </w:pPr>
            <w:r>
              <w:rPr>
                <w:rFonts w:ascii="Wingdings" w:cs="Wingdings" w:eastAsia="Wingdings" w:hAnsi="Wingdings"/>
                <w:sz w:val="17"/>
                <w:szCs w:val="17"/>
                <w:b w:val="1"/>
                <w:bCs w:val="1"/>
                <w:color w:val="auto"/>
                <w:highlight w:val="black"/>
              </w:rPr>
              <w:t>ü</w:t>
            </w:r>
          </w:p>
        </w:tc>
      </w:tr>
      <w:tr>
        <w:trPr>
          <w:trHeight w:val="233"/>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Shops at Pembroke Gardens</w:t>
            </w:r>
          </w:p>
        </w:tc>
        <w:tc>
          <w:tcPr>
            <w:tcW w:w="2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Pembroke Pines, FL</w:t>
            </w:r>
          </w:p>
        </w:tc>
        <w:tc>
          <w:tcPr>
            <w:tcW w:w="2160" w:type="dxa"/>
            <w:vAlign w:val="bottom"/>
            <w:shd w:val="clear" w:color="auto" w:fill="CCEEFF"/>
          </w:tcPr>
          <w:p>
            <w:pPr>
              <w:spacing w:after="0"/>
              <w:rPr>
                <w:sz w:val="20"/>
                <w:szCs w:val="20"/>
                <w:color w:val="auto"/>
              </w:rPr>
            </w:pPr>
          </w:p>
        </w:tc>
        <w:tc>
          <w:tcPr>
            <w:tcW w:w="2300" w:type="dxa"/>
            <w:vAlign w:val="bottom"/>
            <w:shd w:val="clear" w:color="auto" w:fill="CCEEFF"/>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140" w:type="dxa"/>
            <w:vAlign w:val="bottom"/>
            <w:shd w:val="clear" w:color="auto" w:fill="CCEEFF"/>
          </w:tcPr>
          <w:p>
            <w:pPr>
              <w:spacing w:after="0"/>
              <w:rPr>
                <w:sz w:val="20"/>
                <w:szCs w:val="20"/>
                <w:color w:val="auto"/>
              </w:rPr>
            </w:pPr>
          </w:p>
        </w:tc>
      </w:tr>
      <w:tr>
        <w:trPr>
          <w:trHeight w:val="226"/>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The AVENUE at White Marsh</w:t>
            </w:r>
          </w:p>
        </w:tc>
        <w:tc>
          <w:tcPr>
            <w:tcW w:w="22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White Marsh, MD</w:t>
            </w:r>
          </w:p>
        </w:tc>
        <w:tc>
          <w:tcPr>
            <w:tcW w:w="216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140" w:type="dxa"/>
            <w:vAlign w:val="bottom"/>
          </w:tcPr>
          <w:p>
            <w:pPr>
              <w:spacing w:after="0"/>
              <w:rPr>
                <w:sz w:val="19"/>
                <w:szCs w:val="19"/>
                <w:color w:val="auto"/>
              </w:rPr>
            </w:pPr>
          </w:p>
        </w:tc>
      </w:tr>
      <w:tr>
        <w:trPr>
          <w:trHeight w:val="233"/>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Village at Shirlington</w:t>
            </w:r>
          </w:p>
        </w:tc>
        <w:tc>
          <w:tcPr>
            <w:tcW w:w="2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Arlington, VA</w:t>
            </w:r>
          </w:p>
        </w:tc>
        <w:tc>
          <w:tcPr>
            <w:tcW w:w="2160" w:type="dxa"/>
            <w:vAlign w:val="bottom"/>
            <w:shd w:val="clear" w:color="auto" w:fill="CCEEFF"/>
          </w:tcPr>
          <w:p>
            <w:pPr>
              <w:spacing w:after="0"/>
              <w:rPr>
                <w:sz w:val="20"/>
                <w:szCs w:val="20"/>
                <w:color w:val="auto"/>
              </w:rPr>
            </w:pPr>
          </w:p>
        </w:tc>
        <w:tc>
          <w:tcPr>
            <w:tcW w:w="2300" w:type="dxa"/>
            <w:vAlign w:val="bottom"/>
            <w:shd w:val="clear" w:color="auto" w:fill="CCEEFF"/>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140" w:type="dxa"/>
            <w:vAlign w:val="bottom"/>
            <w:shd w:val="clear" w:color="auto" w:fill="CCEEFF"/>
          </w:tcPr>
          <w:p>
            <w:pPr>
              <w:spacing w:after="0"/>
              <w:rPr>
                <w:sz w:val="20"/>
                <w:szCs w:val="20"/>
                <w:color w:val="auto"/>
              </w:rPr>
            </w:pPr>
          </w:p>
        </w:tc>
      </w:tr>
      <w:tr>
        <w:trPr>
          <w:trHeight w:val="226"/>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Virginia Gateway</w:t>
            </w:r>
          </w:p>
        </w:tc>
        <w:tc>
          <w:tcPr>
            <w:tcW w:w="22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Gainesville, VA</w:t>
            </w:r>
          </w:p>
        </w:tc>
        <w:tc>
          <w:tcPr>
            <w:tcW w:w="2160" w:type="dxa"/>
            <w:vAlign w:val="bottom"/>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33"/>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Willow Grove</w:t>
            </w:r>
          </w:p>
        </w:tc>
        <w:tc>
          <w:tcPr>
            <w:tcW w:w="2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Willow Grove, PA</w:t>
            </w:r>
          </w:p>
        </w:tc>
        <w:tc>
          <w:tcPr>
            <w:tcW w:w="2160" w:type="dxa"/>
            <w:vAlign w:val="bottom"/>
            <w:shd w:val="clear" w:color="auto" w:fill="CCEEFF"/>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shd w:val="clear" w:color="auto" w:fill="CCEEFF"/>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140" w:type="dxa"/>
            <w:vAlign w:val="bottom"/>
            <w:shd w:val="clear" w:color="auto" w:fill="CCEEFF"/>
          </w:tcPr>
          <w:p>
            <w:pPr>
              <w:spacing w:after="0"/>
              <w:rPr>
                <w:sz w:val="20"/>
                <w:szCs w:val="20"/>
                <w:color w:val="auto"/>
              </w:rPr>
            </w:pPr>
          </w:p>
        </w:tc>
      </w:tr>
      <w:tr>
        <w:trPr>
          <w:trHeight w:val="222"/>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Willow Lawn</w:t>
            </w:r>
          </w:p>
        </w:tc>
        <w:tc>
          <w:tcPr>
            <w:tcW w:w="22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Richmond, VA</w:t>
            </w:r>
          </w:p>
        </w:tc>
        <w:tc>
          <w:tcPr>
            <w:tcW w:w="216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140" w:type="dxa"/>
            <w:vAlign w:val="bottom"/>
          </w:tcPr>
          <w:p>
            <w:pPr>
              <w:spacing w:after="0"/>
              <w:rPr>
                <w:sz w:val="19"/>
                <w:szCs w:val="19"/>
                <w:color w:val="auto"/>
              </w:rPr>
            </w:pPr>
          </w:p>
        </w:tc>
      </w:tr>
      <w:tr>
        <w:trPr>
          <w:trHeight w:val="250"/>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9"/>
              </w:rPr>
              <w:t>Notes:</w:t>
            </w:r>
          </w:p>
        </w:tc>
        <w:tc>
          <w:tcPr>
            <w:tcW w:w="19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140" w:type="dxa"/>
            <w:vAlign w:val="bottom"/>
          </w:tcPr>
          <w:p>
            <w:pPr>
              <w:spacing w:after="0"/>
              <w:rPr>
                <w:sz w:val="21"/>
                <w:szCs w:val="21"/>
                <w:color w:val="auto"/>
              </w:rPr>
            </w:pPr>
          </w:p>
        </w:tc>
      </w:tr>
    </w:tbl>
    <w:p>
      <w:pPr>
        <w:spacing w:after="0" w:line="130" w:lineRule="exact"/>
        <w:rPr>
          <w:sz w:val="20"/>
          <w:szCs w:val="20"/>
          <w:color w:val="auto"/>
        </w:rPr>
      </w:pPr>
    </w:p>
    <w:p>
      <w:pPr>
        <w:ind w:left="640" w:hanging="63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entitlements at Assembly Row include approximately 1.5 million square feet of commercial-use buildings and 326 residential units.</w:t>
      </w:r>
    </w:p>
    <w:p>
      <w:pPr>
        <w:spacing w:after="0" w:line="2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entitlements at Pike &amp; Rose include approximately 530,000 square feet of commercial-use buildings and 741 residential units.</w:t>
      </w:r>
    </w:p>
    <w:p>
      <w:pPr>
        <w:spacing w:after="0" w:line="9" w:lineRule="exact"/>
        <w:rPr>
          <w:rFonts w:ascii="Times New Roman" w:cs="Times New Roman" w:eastAsia="Times New Roman" w:hAnsi="Times New Roman"/>
          <w:sz w:val="18"/>
          <w:szCs w:val="18"/>
          <w:color w:val="auto"/>
        </w:rPr>
      </w:pPr>
    </w:p>
    <w:p>
      <w:pPr>
        <w:ind w:left="660" w:right="440" w:hanging="652"/>
        <w:spacing w:after="0" w:line="250" w:lineRule="auto"/>
        <w:tabs>
          <w:tab w:leader="none" w:pos="6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entitlements at Santana Row include approximately 321,000 square feet of commercial space and 395 residential units, as well as approximately 604,000 square feet of commercial space across from Santana Row.</w:t>
      </w:r>
    </w:p>
    <w:p>
      <w:pPr>
        <w:ind w:left="660" w:right="60" w:hanging="652"/>
        <w:spacing w:after="0" w:line="265" w:lineRule="auto"/>
        <w:tabs>
          <w:tab w:leader="none" w:pos="654"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Property expansion/conversion includes opportunities at successful retail properties to convert previously underutilized land into new GLA, to convert other existing uses into more productive uses for the property, and/or to add both single tenant and multi-tenant stand alone pad buildings.</w:t>
      </w:r>
    </w:p>
    <w:p>
      <w:pPr>
        <w:ind w:left="640" w:hanging="63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includes opportunities to add residential units to existing retail and mixed-use properties.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20"/>
          </w:cols>
          <w:pgMar w:left="320" w:top="1018" w:right="35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2024 Transactions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Property Acquisitions</w:t>
            </w:r>
          </w:p>
        </w:tc>
        <w:tc>
          <w:tcPr>
            <w:tcW w:w="1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342"/>
        </w:trPr>
        <w:tc>
          <w:tcPr>
            <w:tcW w:w="1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Date</w:t>
            </w:r>
          </w:p>
        </w:tc>
        <w:tc>
          <w:tcPr>
            <w:tcW w:w="240" w:type="dxa"/>
            <w:vAlign w:val="bottom"/>
            <w:gridSpan w:val="2"/>
          </w:tcPr>
          <w:p>
            <w:pPr>
              <w:spacing w:after="0"/>
              <w:rPr>
                <w:sz w:val="24"/>
                <w:szCs w:val="24"/>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City/State</w:t>
            </w:r>
          </w:p>
        </w:tc>
        <w:tc>
          <w:tcPr>
            <w:tcW w:w="146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GLA</w:t>
            </w:r>
          </w:p>
        </w:tc>
        <w:tc>
          <w:tcPr>
            <w:tcW w:w="140" w:type="dxa"/>
            <w:vAlign w:val="bottom"/>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Purchase Price</w:t>
            </w:r>
          </w:p>
        </w:tc>
        <w:tc>
          <w:tcPr>
            <w:tcW w:w="232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auto"/>
              </w:rPr>
              <w:t>Principal Tenants</w:t>
            </w:r>
          </w:p>
        </w:tc>
      </w:tr>
      <w:tr>
        <w:trPr>
          <w:trHeight w:val="211"/>
        </w:trPr>
        <w:tc>
          <w:tcPr>
            <w:tcW w:w="15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(in square feet)</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r>
      <w:tr>
        <w:trPr>
          <w:trHeight w:val="164"/>
        </w:trPr>
        <w:tc>
          <w:tcPr>
            <w:tcW w:w="1760" w:type="dxa"/>
            <w:vAlign w:val="bottom"/>
            <w:gridSpan w:val="3"/>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May 31, 2024</w:t>
            </w:r>
          </w:p>
        </w:tc>
        <w:tc>
          <w:tcPr>
            <w:tcW w:w="206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Virginia Gateway</w:t>
            </w:r>
          </w:p>
        </w:tc>
        <w:tc>
          <w:tcPr>
            <w:tcW w:w="216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Gainesville, Virginia</w:t>
            </w:r>
          </w:p>
        </w:tc>
        <w:tc>
          <w:tcPr>
            <w:tcW w:w="138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rPr>
              <w:t>664,000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rPr>
              <w:t>215.0</w:t>
            </w:r>
          </w:p>
        </w:tc>
        <w:tc>
          <w:tcPr>
            <w:tcW w:w="80" w:type="dxa"/>
            <w:vAlign w:val="bottom"/>
            <w:shd w:val="clear" w:color="auto" w:fill="CCEEFF"/>
          </w:tcPr>
          <w:p>
            <w:pPr>
              <w:spacing w:after="0"/>
              <w:rPr>
                <w:sz w:val="14"/>
                <w:szCs w:val="14"/>
                <w:color w:val="auto"/>
              </w:rPr>
            </w:pPr>
          </w:p>
        </w:tc>
        <w:tc>
          <w:tcPr>
            <w:tcW w:w="232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Giant Food / HomeGoods / Total</w:t>
            </w:r>
          </w:p>
        </w:tc>
      </w:tr>
      <w:tr>
        <w:trPr>
          <w:trHeight w:val="216"/>
        </w:trPr>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Wine &amp; More / Best Buy / Ulta</w:t>
            </w:r>
          </w:p>
        </w:tc>
      </w:tr>
      <w:tr>
        <w:trPr>
          <w:trHeight w:val="162"/>
        </w:trPr>
        <w:tc>
          <w:tcPr>
            <w:tcW w:w="176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color w:val="auto"/>
              </w:rPr>
              <w:t>July 31, 2024</w:t>
            </w:r>
          </w:p>
        </w:tc>
        <w:tc>
          <w:tcPr>
            <w:tcW w:w="20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Pinole Vista Crossing</w:t>
            </w:r>
          </w:p>
        </w:tc>
        <w:tc>
          <w:tcPr>
            <w:tcW w:w="21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Pinole, California</w:t>
            </w:r>
          </w:p>
        </w:tc>
        <w:tc>
          <w:tcPr>
            <w:tcW w:w="13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216,000</w:t>
            </w:r>
          </w:p>
        </w:tc>
        <w:tc>
          <w:tcPr>
            <w:tcW w:w="80" w:type="dxa"/>
            <w:vAlign w:val="bottom"/>
          </w:tcPr>
          <w:p>
            <w:pPr>
              <w:spacing w:after="0"/>
              <w:rPr>
                <w:sz w:val="14"/>
                <w:szCs w:val="14"/>
                <w:color w:val="auto"/>
              </w:rPr>
            </w:pPr>
          </w:p>
        </w:tc>
        <w:tc>
          <w:tcPr>
            <w:tcW w:w="1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60.0</w:t>
            </w:r>
          </w:p>
        </w:tc>
        <w:tc>
          <w:tcPr>
            <w:tcW w:w="80" w:type="dxa"/>
            <w:vAlign w:val="bottom"/>
          </w:tcPr>
          <w:p>
            <w:pPr>
              <w:spacing w:after="0"/>
              <w:rPr>
                <w:sz w:val="14"/>
                <w:szCs w:val="14"/>
                <w:color w:val="auto"/>
              </w:rPr>
            </w:pPr>
          </w:p>
        </w:tc>
        <w:tc>
          <w:tcPr>
            <w:tcW w:w="23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FoodMaxx / TJ Maxx / Nordstrom</w:t>
            </w:r>
          </w:p>
        </w:tc>
      </w:tr>
      <w:tr>
        <w:trPr>
          <w:trHeight w:val="210"/>
        </w:trPr>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Rack / HomeGoods / Ulta</w:t>
            </w: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Other Investment Transaction</w:t>
      </w:r>
    </w:p>
    <w:p>
      <w:pPr>
        <w:spacing w:after="0" w:line="183" w:lineRule="exact"/>
        <w:rPr>
          <w:sz w:val="20"/>
          <w:szCs w:val="20"/>
          <w:color w:val="auto"/>
        </w:rPr>
      </w:pPr>
    </w:p>
    <w:p>
      <w:pPr>
        <w:jc w:val="both"/>
        <w:ind w:right="40"/>
        <w:spacing w:after="0" w:line="280" w:lineRule="auto"/>
        <w:rPr>
          <w:sz w:val="20"/>
          <w:szCs w:val="20"/>
          <w:color w:val="auto"/>
        </w:rPr>
      </w:pPr>
      <w:r>
        <w:rPr>
          <w:rFonts w:ascii="Times New Roman" w:cs="Times New Roman" w:eastAsia="Times New Roman" w:hAnsi="Times New Roman"/>
          <w:sz w:val="16"/>
          <w:szCs w:val="16"/>
          <w:color w:val="auto"/>
        </w:rPr>
        <w:t>On April 1, 2024, we acquired the approximately 10% noncontrolling interest in the partnership that owns our CocoWalk property for $12.4 million, bringing our ownership to 100%.</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Property Disposition</w:t>
            </w: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342"/>
        </w:trPr>
        <w:tc>
          <w:tcPr>
            <w:tcW w:w="1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Date</w:t>
            </w:r>
          </w:p>
        </w:tc>
        <w:tc>
          <w:tcPr>
            <w:tcW w:w="340" w:type="dxa"/>
            <w:vAlign w:val="bottom"/>
            <w:gridSpan w:val="2"/>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City/State</w:t>
            </w:r>
          </w:p>
        </w:tc>
        <w:tc>
          <w:tcPr>
            <w:tcW w:w="180" w:type="dxa"/>
            <w:vAlign w:val="bottom"/>
          </w:tcPr>
          <w:p>
            <w:pPr>
              <w:spacing w:after="0"/>
              <w:rPr>
                <w:sz w:val="24"/>
                <w:szCs w:val="24"/>
                <w:color w:val="auto"/>
              </w:rPr>
            </w:pPr>
          </w:p>
        </w:tc>
        <w:tc>
          <w:tcPr>
            <w:tcW w:w="3620" w:type="dxa"/>
            <w:vAlign w:val="bottom"/>
            <w:gridSpan w:val="2"/>
          </w:tcPr>
          <w:p>
            <w:pPr>
              <w:jc w:val="center"/>
              <w:ind w:right="2580"/>
              <w:spacing w:after="0"/>
              <w:rPr>
                <w:sz w:val="20"/>
                <w:szCs w:val="20"/>
                <w:color w:val="auto"/>
              </w:rPr>
            </w:pPr>
            <w:r>
              <w:rPr>
                <w:rFonts w:ascii="Times New Roman" w:cs="Times New Roman" w:eastAsia="Times New Roman" w:hAnsi="Times New Roman"/>
                <w:sz w:val="16"/>
                <w:szCs w:val="16"/>
                <w:b w:val="1"/>
                <w:bCs w:val="1"/>
                <w:color w:val="auto"/>
              </w:rPr>
              <w:t>Sales Price</w:t>
            </w:r>
          </w:p>
        </w:tc>
      </w:tr>
      <w:tr>
        <w:trPr>
          <w:trHeight w:val="211"/>
        </w:trPr>
        <w:tc>
          <w:tcPr>
            <w:tcW w:w="14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0" w:type="dxa"/>
            <w:vAlign w:val="bottom"/>
          </w:tcPr>
          <w:p>
            <w:pPr>
              <w:spacing w:after="0"/>
              <w:rPr>
                <w:sz w:val="18"/>
                <w:szCs w:val="18"/>
                <w:color w:val="auto"/>
              </w:rPr>
            </w:pPr>
          </w:p>
        </w:tc>
      </w:tr>
      <w:tr>
        <w:trPr>
          <w:trHeight w:val="218"/>
        </w:trPr>
        <w:tc>
          <w:tcPr>
            <w:tcW w:w="1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5, 2024</w:t>
            </w: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Third Street Promenade</w:t>
            </w:r>
          </w:p>
        </w:tc>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Santa Monica, California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24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Financing Transactions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Issuance of Common Shares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six months ended June 30, 2024, we sold 713,821 common shares (of which, 76,000 settled on July 1, 2024), for gross proceeds of $73.0 million.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Issuance of Debt</w:t>
            </w:r>
          </w:p>
        </w:tc>
        <w:tc>
          <w:tcPr>
            <w:tcW w:w="2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27"/>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Issuance Date</w:t>
            </w: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Debt</w:t>
            </w:r>
          </w:p>
        </w:tc>
        <w:tc>
          <w:tcPr>
            <w:tcW w:w="140" w:type="dxa"/>
            <w:vAlign w:val="bottom"/>
          </w:tcPr>
          <w:p>
            <w:pPr>
              <w:spacing w:after="0"/>
              <w:rPr>
                <w:sz w:val="24"/>
                <w:szCs w:val="24"/>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Principal Amount</w:t>
            </w: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Stated Interest Rate</w:t>
            </w:r>
          </w:p>
        </w:tc>
        <w:tc>
          <w:tcPr>
            <w:tcW w:w="302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Maturity Date</w:t>
            </w:r>
          </w:p>
        </w:tc>
      </w:tr>
      <w:tr>
        <w:trPr>
          <w:trHeight w:val="211"/>
        </w:trPr>
        <w:tc>
          <w:tcPr>
            <w:tcW w:w="1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360" w:type="dxa"/>
            <w:vAlign w:val="bottom"/>
          </w:tcPr>
          <w:p>
            <w:pPr>
              <w:spacing w:after="0"/>
              <w:rPr>
                <w:sz w:val="18"/>
                <w:szCs w:val="18"/>
                <w:color w:val="auto"/>
              </w:rPr>
            </w:pPr>
          </w:p>
        </w:tc>
      </w:tr>
      <w:tr>
        <w:trPr>
          <w:trHeight w:val="218"/>
        </w:trPr>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11, 2024</w:t>
            </w: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3.25% Exchangeable Senior Notes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485.0</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3.25 %</w:t>
            </w:r>
          </w:p>
        </w:tc>
        <w:tc>
          <w:tcPr>
            <w:tcW w:w="8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January 15, 2029</w:t>
            </w:r>
          </w:p>
        </w:tc>
      </w:tr>
    </w:tbl>
    <w:p>
      <w:pPr>
        <w:spacing w:after="0" w:line="81"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our Form 8-K filing on January 11, 2024 and Note 4 of our June 30, 2024 Form 10-Q for additional information on this transaction.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Repayment of Debt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senior unsecured note was repaid at maturity: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Repayment Date</w:t>
            </w: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Debt</w:t>
            </w:r>
          </w:p>
        </w:tc>
        <w:tc>
          <w:tcPr>
            <w:tcW w:w="260" w:type="dxa"/>
            <w:vAlign w:val="bottom"/>
          </w:tcPr>
          <w:p>
            <w:pPr>
              <w:spacing w:after="0"/>
              <w:rPr>
                <w:sz w:val="18"/>
                <w:szCs w:val="18"/>
                <w:color w:val="auto"/>
              </w:rPr>
            </w:pPr>
          </w:p>
        </w:tc>
        <w:tc>
          <w:tcPr>
            <w:tcW w:w="6200" w:type="dxa"/>
            <w:vAlign w:val="bottom"/>
            <w:gridSpan w:val="2"/>
          </w:tcPr>
          <w:p>
            <w:pPr>
              <w:jc w:val="center"/>
              <w:ind w:right="4820"/>
              <w:spacing w:after="0"/>
              <w:rPr>
                <w:sz w:val="20"/>
                <w:szCs w:val="20"/>
                <w:color w:val="auto"/>
              </w:rPr>
            </w:pPr>
            <w:r>
              <w:rPr>
                <w:rFonts w:ascii="Times New Roman" w:cs="Times New Roman" w:eastAsia="Times New Roman" w:hAnsi="Times New Roman"/>
                <w:sz w:val="16"/>
                <w:szCs w:val="16"/>
                <w:b w:val="1"/>
                <w:bCs w:val="1"/>
                <w:color w:val="auto"/>
              </w:rPr>
              <w:t>Payoff Amount</w:t>
            </w:r>
          </w:p>
        </w:tc>
      </w:tr>
      <w:tr>
        <w:trPr>
          <w:trHeight w:val="211"/>
        </w:trPr>
        <w:tc>
          <w:tcPr>
            <w:tcW w:w="1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4540" w:type="dxa"/>
            <w:vAlign w:val="bottom"/>
          </w:tcPr>
          <w:p>
            <w:pPr>
              <w:spacing w:after="0"/>
              <w:rPr>
                <w:sz w:val="18"/>
                <w:szCs w:val="18"/>
                <w:color w:val="auto"/>
              </w:rPr>
            </w:pPr>
          </w:p>
        </w:tc>
      </w:tr>
      <w:tr>
        <w:trPr>
          <w:trHeight w:val="218"/>
        </w:trPr>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16, 2024</w:t>
            </w:r>
          </w:p>
        </w:tc>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3.95% Senior Notes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45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860" w:right="33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June 30, 2024</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Real Estate</w:t>
            </w: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Residential</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Grocery</w:t>
            </w:r>
          </w:p>
        </w:tc>
        <w:tc>
          <w:tcPr>
            <w:tcW w:w="12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3"/>
                <w:szCs w:val="13"/>
                <w:b w:val="1"/>
                <w:bCs w:val="1"/>
                <w:color w:val="auto"/>
              </w:rPr>
              <w:t>Leased</w:t>
            </w:r>
          </w:p>
        </w:tc>
        <w:tc>
          <w:tcPr>
            <w:tcW w:w="700" w:type="dxa"/>
            <w:vAlign w:val="bottom"/>
            <w:vMerge w:val="continue"/>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Anchor</w:t>
            </w:r>
          </w:p>
        </w:tc>
        <w:tc>
          <w:tcPr>
            <w:tcW w:w="120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3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at Cost</w:t>
            </w:r>
          </w:p>
        </w:tc>
        <w:tc>
          <w:tcPr>
            <w:tcW w:w="5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6"/>
              </w:rPr>
              <w:t>Acreage</w:t>
            </w:r>
          </w:p>
        </w:tc>
        <w:tc>
          <w:tcPr>
            <w:tcW w:w="6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GLA (1)</w:t>
            </w:r>
          </w:p>
        </w:tc>
        <w:tc>
          <w:tcPr>
            <w:tcW w:w="6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(1)</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GLA</w:t>
            </w:r>
          </w:p>
        </w:tc>
        <w:tc>
          <w:tcPr>
            <w:tcW w:w="1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Grocery Anchor (2)</w:t>
            </w:r>
          </w:p>
        </w:tc>
        <w:tc>
          <w:tcPr>
            <w:tcW w:w="2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 thousands)</w:t>
            </w: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Borders>
              <w:bottom w:val="single" w:sz="8" w:color="CCEEFF"/>
            </w:tcBorders>
            <w:shd w:val="clear" w:color="auto" w:fill="CCEEFF"/>
          </w:tcPr>
          <w:p>
            <w:pPr>
              <w:spacing w:after="0"/>
              <w:rPr>
                <w:sz w:val="13"/>
                <w:szCs w:val="13"/>
                <w:color w:val="auto"/>
              </w:rPr>
            </w:pPr>
          </w:p>
        </w:tc>
        <w:tc>
          <w:tcPr>
            <w:tcW w:w="1740" w:type="dxa"/>
            <w:vAlign w:val="bottom"/>
            <w:tcBorders>
              <w:bottom w:val="single" w:sz="8" w:color="auto"/>
            </w:tcBorders>
            <w:gridSpan w:val="3"/>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Washington Metropolitan Area</w:t>
            </w:r>
          </w:p>
        </w:tc>
        <w:tc>
          <w:tcPr>
            <w:tcW w:w="17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27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Barcroft Plaza</w:t>
            </w:r>
          </w:p>
        </w:tc>
        <w:tc>
          <w:tcPr>
            <w:tcW w:w="300" w:type="dxa"/>
            <w:vAlign w:val="bottom"/>
          </w:tcPr>
          <w:p>
            <w:pPr>
              <w:spacing w:after="0"/>
              <w:rPr>
                <w:sz w:val="10"/>
                <w:szCs w:val="10"/>
                <w:color w:val="auto"/>
              </w:rPr>
            </w:pPr>
          </w:p>
        </w:tc>
        <w:tc>
          <w:tcPr>
            <w:tcW w:w="210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w w:val="96"/>
              </w:rPr>
              <w:t>Washington-Arlington-Alexandria, DC-</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   51,687</w:t>
            </w:r>
          </w:p>
        </w:tc>
        <w:tc>
          <w:tcPr>
            <w:tcW w:w="54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6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113,000</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700" w:type="dxa"/>
            <w:vAlign w:val="bottom"/>
          </w:tcPr>
          <w:p>
            <w:pPr>
              <w:spacing w:after="0"/>
              <w:rPr>
                <w:sz w:val="10"/>
                <w:szCs w:val="10"/>
                <w:color w:val="auto"/>
              </w:rPr>
            </w:pPr>
          </w:p>
        </w:tc>
        <w:tc>
          <w:tcPr>
            <w:tcW w:w="54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46,000</w:t>
            </w:r>
          </w:p>
        </w:tc>
        <w:tc>
          <w:tcPr>
            <w:tcW w:w="12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Harris Teeter</w:t>
            </w:r>
          </w:p>
        </w:tc>
        <w:tc>
          <w:tcPr>
            <w:tcW w:w="2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VA-MD-WV</w:t>
            </w: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1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Bethesda Row</w:t>
            </w:r>
          </w:p>
        </w:tc>
        <w:tc>
          <w:tcPr>
            <w:tcW w:w="30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(4)</w:t>
            </w:r>
          </w:p>
        </w:tc>
        <w:tc>
          <w:tcPr>
            <w:tcW w:w="210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w w:val="96"/>
              </w:rPr>
              <w:t>Washington-Arlington-Alexandria, DC-</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268,485</w:t>
            </w:r>
          </w:p>
        </w:tc>
        <w:tc>
          <w:tcPr>
            <w:tcW w:w="540" w:type="dxa"/>
            <w:vAlign w:val="bottom"/>
            <w:shd w:val="clear" w:color="auto" w:fill="CCEEFF"/>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17</w:t>
            </w:r>
          </w:p>
        </w:tc>
        <w:tc>
          <w:tcPr>
            <w:tcW w:w="66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530,000</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70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180</w:t>
            </w:r>
          </w:p>
        </w:tc>
        <w:tc>
          <w:tcPr>
            <w:tcW w:w="54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40,000</w:t>
            </w:r>
          </w:p>
        </w:tc>
        <w:tc>
          <w:tcPr>
            <w:tcW w:w="12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7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Apple / Equinox / Anthropologie / Nike Live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1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VA-MD-WV</w:t>
            </w:r>
          </w:p>
        </w:tc>
        <w:tc>
          <w:tcPr>
            <w:tcW w:w="6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Multiple Restaurants</w:t>
            </w:r>
          </w:p>
        </w:tc>
        <w:tc>
          <w:tcPr>
            <w:tcW w:w="0" w:type="dxa"/>
            <w:vAlign w:val="bottom"/>
          </w:tcPr>
          <w:p>
            <w:pPr>
              <w:spacing w:after="0"/>
              <w:rPr>
                <w:sz w:val="1"/>
                <w:szCs w:val="1"/>
                <w:color w:val="auto"/>
              </w:rPr>
            </w:pPr>
          </w:p>
        </w:tc>
      </w:tr>
      <w:tr>
        <w:trPr>
          <w:trHeight w:val="122"/>
        </w:trPr>
        <w:tc>
          <w:tcPr>
            <w:tcW w:w="11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Birch &amp; Broad</w:t>
            </w:r>
          </w:p>
        </w:tc>
        <w:tc>
          <w:tcPr>
            <w:tcW w:w="300" w:type="dxa"/>
            <w:vAlign w:val="bottom"/>
          </w:tcPr>
          <w:p>
            <w:pPr>
              <w:spacing w:after="0"/>
              <w:rPr>
                <w:sz w:val="10"/>
                <w:szCs w:val="10"/>
                <w:color w:val="auto"/>
              </w:rPr>
            </w:pPr>
          </w:p>
        </w:tc>
        <w:tc>
          <w:tcPr>
            <w:tcW w:w="210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w w:val="96"/>
              </w:rPr>
              <w:t>Washington-Arlington-Alexandria, DC-</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26,100</w:t>
            </w:r>
          </w:p>
        </w:tc>
        <w:tc>
          <w:tcPr>
            <w:tcW w:w="54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6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144,000</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00" w:type="dxa"/>
            <w:vAlign w:val="bottom"/>
          </w:tcPr>
          <w:p>
            <w:pPr>
              <w:spacing w:after="0"/>
              <w:rPr>
                <w:sz w:val="10"/>
                <w:szCs w:val="10"/>
                <w:color w:val="auto"/>
              </w:rPr>
            </w:pPr>
          </w:p>
        </w:tc>
        <w:tc>
          <w:tcPr>
            <w:tcW w:w="54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51,000</w:t>
            </w:r>
          </w:p>
        </w:tc>
        <w:tc>
          <w:tcPr>
            <w:tcW w:w="12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7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CVS / Staples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VA-MD-WV</w:t>
            </w: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1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Chesterbrook</w:t>
            </w:r>
          </w:p>
        </w:tc>
        <w:tc>
          <w:tcPr>
            <w:tcW w:w="30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(3)</w:t>
            </w:r>
          </w:p>
        </w:tc>
        <w:tc>
          <w:tcPr>
            <w:tcW w:w="210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w w:val="96"/>
              </w:rPr>
              <w:t>Washington-Arlington-Alexandria, DC-</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47,361</w:t>
            </w:r>
          </w:p>
        </w:tc>
        <w:tc>
          <w:tcPr>
            <w:tcW w:w="540" w:type="dxa"/>
            <w:vAlign w:val="bottom"/>
            <w:shd w:val="clear" w:color="auto" w:fill="CCEEFF"/>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9</w:t>
            </w:r>
          </w:p>
        </w:tc>
        <w:tc>
          <w:tcPr>
            <w:tcW w:w="66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89,000</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80 %</w:t>
            </w:r>
          </w:p>
        </w:tc>
        <w:tc>
          <w:tcPr>
            <w:tcW w:w="70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35,000</w:t>
            </w:r>
          </w:p>
        </w:tc>
        <w:tc>
          <w:tcPr>
            <w:tcW w:w="12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Safeway</w:t>
            </w:r>
          </w:p>
        </w:tc>
        <w:tc>
          <w:tcPr>
            <w:tcW w:w="27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Starbucks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1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VA-MD-WV</w:t>
            </w:r>
          </w:p>
        </w:tc>
        <w:tc>
          <w:tcPr>
            <w:tcW w:w="6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Congressional Plaza</w:t>
            </w:r>
          </w:p>
        </w:tc>
        <w:tc>
          <w:tcPr>
            <w:tcW w:w="30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(3)</w:t>
            </w:r>
          </w:p>
        </w:tc>
        <w:tc>
          <w:tcPr>
            <w:tcW w:w="210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w w:val="96"/>
              </w:rPr>
              <w:t>Washington-Arlington-Alexandria, DC-</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110,175</w:t>
            </w:r>
          </w:p>
        </w:tc>
        <w:tc>
          <w:tcPr>
            <w:tcW w:w="54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6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325,000</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194</w:t>
            </w:r>
          </w:p>
        </w:tc>
        <w:tc>
          <w:tcPr>
            <w:tcW w:w="54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25,000</w:t>
            </w:r>
          </w:p>
        </w:tc>
        <w:tc>
          <w:tcPr>
            <w:tcW w:w="12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The Fresh Market</w:t>
            </w:r>
          </w:p>
        </w:tc>
        <w:tc>
          <w:tcPr>
            <w:tcW w:w="27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Ulta / Barnes &amp; Noble / Container Store / Buy Buy</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VA-MD-WV</w:t>
            </w: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Baby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1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Courthouse Center</w:t>
            </w:r>
          </w:p>
        </w:tc>
        <w:tc>
          <w:tcPr>
            <w:tcW w:w="30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w w:val="96"/>
              </w:rPr>
              <w:t>Washington-Arlington-Alexandria, DC-</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7,497</w:t>
            </w:r>
          </w:p>
        </w:tc>
        <w:tc>
          <w:tcPr>
            <w:tcW w:w="540" w:type="dxa"/>
            <w:vAlign w:val="bottom"/>
            <w:shd w:val="clear" w:color="auto" w:fill="CCEEFF"/>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2</w:t>
            </w:r>
          </w:p>
        </w:tc>
        <w:tc>
          <w:tcPr>
            <w:tcW w:w="66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33,000</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74 %</w:t>
            </w:r>
          </w:p>
        </w:tc>
        <w:tc>
          <w:tcPr>
            <w:tcW w:w="7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2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1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VA-MD-WV</w:t>
            </w:r>
          </w:p>
        </w:tc>
        <w:tc>
          <w:tcPr>
            <w:tcW w:w="6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Fairfax Junction</w:t>
            </w:r>
          </w:p>
        </w:tc>
        <w:tc>
          <w:tcPr>
            <w:tcW w:w="30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(5)</w:t>
            </w:r>
          </w:p>
        </w:tc>
        <w:tc>
          <w:tcPr>
            <w:tcW w:w="210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w w:val="96"/>
              </w:rPr>
              <w:t>Washington-Arlington-Alexandria, DC-</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46,379</w:t>
            </w:r>
          </w:p>
        </w:tc>
        <w:tc>
          <w:tcPr>
            <w:tcW w:w="54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11</w:t>
            </w:r>
          </w:p>
        </w:tc>
        <w:tc>
          <w:tcPr>
            <w:tcW w:w="6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124,000</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700" w:type="dxa"/>
            <w:vAlign w:val="bottom"/>
          </w:tcPr>
          <w:p>
            <w:pPr>
              <w:spacing w:after="0"/>
              <w:rPr>
                <w:sz w:val="10"/>
                <w:szCs w:val="10"/>
                <w:color w:val="auto"/>
              </w:rPr>
            </w:pPr>
          </w:p>
        </w:tc>
        <w:tc>
          <w:tcPr>
            <w:tcW w:w="54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23,000</w:t>
            </w:r>
          </w:p>
        </w:tc>
        <w:tc>
          <w:tcPr>
            <w:tcW w:w="12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Aldi</w:t>
            </w:r>
          </w:p>
        </w:tc>
        <w:tc>
          <w:tcPr>
            <w:tcW w:w="27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CVS / Planet Fitness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VA-MD-WV</w:t>
            </w: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1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Federal Plaza</w:t>
            </w:r>
          </w:p>
        </w:tc>
        <w:tc>
          <w:tcPr>
            <w:tcW w:w="30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w w:val="96"/>
              </w:rPr>
              <w:t>Washington-Arlington-Alexandria, DC-</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73,886</w:t>
            </w:r>
          </w:p>
        </w:tc>
        <w:tc>
          <w:tcPr>
            <w:tcW w:w="540" w:type="dxa"/>
            <w:vAlign w:val="bottom"/>
            <w:shd w:val="clear" w:color="auto" w:fill="CCEEFF"/>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18</w:t>
            </w:r>
          </w:p>
        </w:tc>
        <w:tc>
          <w:tcPr>
            <w:tcW w:w="66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249,000</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93 %</w:t>
            </w:r>
          </w:p>
        </w:tc>
        <w:tc>
          <w:tcPr>
            <w:tcW w:w="70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14,000</w:t>
            </w:r>
          </w:p>
        </w:tc>
        <w:tc>
          <w:tcPr>
            <w:tcW w:w="12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Trader Joe's</w:t>
            </w:r>
          </w:p>
        </w:tc>
        <w:tc>
          <w:tcPr>
            <w:tcW w:w="27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TJ Maxx / Micro Center / Ross Dress for Less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1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VA-MD-WV</w:t>
            </w:r>
          </w:p>
        </w:tc>
        <w:tc>
          <w:tcPr>
            <w:tcW w:w="6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Friendship Center</w:t>
            </w:r>
          </w:p>
        </w:tc>
        <w:tc>
          <w:tcPr>
            <w:tcW w:w="300" w:type="dxa"/>
            <w:vAlign w:val="bottom"/>
          </w:tcPr>
          <w:p>
            <w:pPr>
              <w:spacing w:after="0"/>
              <w:rPr>
                <w:sz w:val="10"/>
                <w:szCs w:val="10"/>
                <w:color w:val="auto"/>
              </w:rPr>
            </w:pPr>
          </w:p>
        </w:tc>
        <w:tc>
          <w:tcPr>
            <w:tcW w:w="210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w w:val="96"/>
              </w:rPr>
              <w:t>Washington-Arlington-Alexandria, DC-</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37,685</w:t>
            </w:r>
          </w:p>
        </w:tc>
        <w:tc>
          <w:tcPr>
            <w:tcW w:w="54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1</w:t>
            </w:r>
          </w:p>
        </w:tc>
        <w:tc>
          <w:tcPr>
            <w:tcW w:w="6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54,000</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7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Marshalls / Maggiano's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VA-MD-WV</w:t>
            </w: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1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Gaithersburg Square</w:t>
            </w:r>
          </w:p>
        </w:tc>
        <w:tc>
          <w:tcPr>
            <w:tcW w:w="30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w w:val="96"/>
              </w:rPr>
              <w:t>Washington-Arlington-Alexandria, DC-</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39,707</w:t>
            </w:r>
          </w:p>
        </w:tc>
        <w:tc>
          <w:tcPr>
            <w:tcW w:w="540" w:type="dxa"/>
            <w:vAlign w:val="bottom"/>
            <w:shd w:val="clear" w:color="auto" w:fill="CCEEFF"/>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16</w:t>
            </w:r>
          </w:p>
        </w:tc>
        <w:tc>
          <w:tcPr>
            <w:tcW w:w="66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204,000</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7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27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Marshalls / Ross Dress for Less / Ashley Furniture</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1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VA-MD-WV</w:t>
            </w:r>
          </w:p>
        </w:tc>
        <w:tc>
          <w:tcPr>
            <w:tcW w:w="6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HomeStore / CVS</w:t>
            </w:r>
          </w:p>
        </w:tc>
        <w:tc>
          <w:tcPr>
            <w:tcW w:w="0" w:type="dxa"/>
            <w:vAlign w:val="bottom"/>
          </w:tcPr>
          <w:p>
            <w:pPr>
              <w:spacing w:after="0"/>
              <w:rPr>
                <w:sz w:val="1"/>
                <w:szCs w:val="1"/>
                <w:color w:val="auto"/>
              </w:rPr>
            </w:pPr>
          </w:p>
        </w:tc>
      </w:tr>
      <w:tr>
        <w:trPr>
          <w:trHeight w:val="121"/>
        </w:trPr>
        <w:tc>
          <w:tcPr>
            <w:tcW w:w="11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Graham Park Plaza</w:t>
            </w:r>
          </w:p>
        </w:tc>
        <w:tc>
          <w:tcPr>
            <w:tcW w:w="300" w:type="dxa"/>
            <w:vAlign w:val="bottom"/>
          </w:tcPr>
          <w:p>
            <w:pPr>
              <w:spacing w:after="0"/>
              <w:rPr>
                <w:sz w:val="10"/>
                <w:szCs w:val="10"/>
                <w:color w:val="auto"/>
              </w:rPr>
            </w:pPr>
          </w:p>
        </w:tc>
        <w:tc>
          <w:tcPr>
            <w:tcW w:w="210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w w:val="96"/>
              </w:rPr>
              <w:t>Washington-Arlington-Alexandria, DC-</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28,092</w:t>
            </w:r>
          </w:p>
        </w:tc>
        <w:tc>
          <w:tcPr>
            <w:tcW w:w="54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6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133,000</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92 %</w:t>
            </w:r>
          </w:p>
        </w:tc>
        <w:tc>
          <w:tcPr>
            <w:tcW w:w="700" w:type="dxa"/>
            <w:vAlign w:val="bottom"/>
          </w:tcPr>
          <w:p>
            <w:pPr>
              <w:spacing w:after="0"/>
              <w:rPr>
                <w:sz w:val="10"/>
                <w:szCs w:val="10"/>
                <w:color w:val="auto"/>
              </w:rPr>
            </w:pPr>
          </w:p>
        </w:tc>
        <w:tc>
          <w:tcPr>
            <w:tcW w:w="54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58,000</w:t>
            </w:r>
          </w:p>
        </w:tc>
        <w:tc>
          <w:tcPr>
            <w:tcW w:w="12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VA-MD-WV</w:t>
            </w: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1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Idylwood Plaza</w:t>
            </w:r>
          </w:p>
        </w:tc>
        <w:tc>
          <w:tcPr>
            <w:tcW w:w="30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w w:val="96"/>
              </w:rPr>
              <w:t>Washington-Arlington-Alexandria, DC-</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18,104</w:t>
            </w:r>
          </w:p>
        </w:tc>
        <w:tc>
          <w:tcPr>
            <w:tcW w:w="540" w:type="dxa"/>
            <w:vAlign w:val="bottom"/>
            <w:shd w:val="clear" w:color="auto" w:fill="CCEEFF"/>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7</w:t>
            </w:r>
          </w:p>
        </w:tc>
        <w:tc>
          <w:tcPr>
            <w:tcW w:w="66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73,000</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70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30,000</w:t>
            </w:r>
          </w:p>
        </w:tc>
        <w:tc>
          <w:tcPr>
            <w:tcW w:w="12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Whole Foods</w:t>
            </w:r>
          </w:p>
        </w:tc>
        <w:tc>
          <w:tcPr>
            <w:tcW w:w="2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1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VA-MD-WV</w:t>
            </w:r>
          </w:p>
        </w:tc>
        <w:tc>
          <w:tcPr>
            <w:tcW w:w="6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Kingstowne Towne</w:t>
            </w:r>
          </w:p>
        </w:tc>
        <w:tc>
          <w:tcPr>
            <w:tcW w:w="300" w:type="dxa"/>
            <w:vAlign w:val="bottom"/>
          </w:tcPr>
          <w:p>
            <w:pPr>
              <w:spacing w:after="0"/>
              <w:rPr>
                <w:sz w:val="10"/>
                <w:szCs w:val="10"/>
                <w:color w:val="auto"/>
              </w:rPr>
            </w:pPr>
          </w:p>
        </w:tc>
        <w:tc>
          <w:tcPr>
            <w:tcW w:w="210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w w:val="96"/>
              </w:rPr>
              <w:t>Washington-Arlington-Alexandria, DC-</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211,425</w:t>
            </w:r>
          </w:p>
        </w:tc>
        <w:tc>
          <w:tcPr>
            <w:tcW w:w="54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45</w:t>
            </w:r>
          </w:p>
        </w:tc>
        <w:tc>
          <w:tcPr>
            <w:tcW w:w="6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411,000</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00" w:type="dxa"/>
            <w:vAlign w:val="bottom"/>
          </w:tcPr>
          <w:p>
            <w:pPr>
              <w:spacing w:after="0"/>
              <w:rPr>
                <w:sz w:val="10"/>
                <w:szCs w:val="10"/>
                <w:color w:val="auto"/>
              </w:rPr>
            </w:pPr>
          </w:p>
        </w:tc>
        <w:tc>
          <w:tcPr>
            <w:tcW w:w="54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w w:val="99"/>
              </w:rPr>
              <w:t>135,000</w:t>
            </w:r>
          </w:p>
        </w:tc>
        <w:tc>
          <w:tcPr>
            <w:tcW w:w="12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w w:val="98"/>
              </w:rPr>
              <w:t>Giant Food / Safeway</w:t>
            </w:r>
          </w:p>
        </w:tc>
        <w:tc>
          <w:tcPr>
            <w:tcW w:w="27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TJ Maxx / HomeGoods / Five Below / Ross Dress</w:t>
            </w:r>
          </w:p>
        </w:tc>
        <w:tc>
          <w:tcPr>
            <w:tcW w:w="0" w:type="dxa"/>
            <w:vAlign w:val="bottom"/>
          </w:tcPr>
          <w:p>
            <w:pPr>
              <w:spacing w:after="0"/>
              <w:rPr>
                <w:sz w:val="1"/>
                <w:szCs w:val="1"/>
                <w:color w:val="auto"/>
              </w:rPr>
            </w:pPr>
          </w:p>
        </w:tc>
      </w:tr>
      <w:tr>
        <w:trPr>
          <w:trHeight w:val="164"/>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w:t>
            </w:r>
          </w:p>
        </w:tc>
        <w:tc>
          <w:tcPr>
            <w:tcW w:w="300" w:type="dxa"/>
            <w:vAlign w:val="bottom"/>
          </w:tcPr>
          <w:p>
            <w:pPr>
              <w:spacing w:after="0"/>
              <w:rPr>
                <w:sz w:val="14"/>
                <w:szCs w:val="14"/>
                <w:color w:val="auto"/>
              </w:rPr>
            </w:pP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VA-MD-WV</w:t>
            </w: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for Less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1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Laurel</w:t>
            </w:r>
          </w:p>
        </w:tc>
        <w:tc>
          <w:tcPr>
            <w:tcW w:w="30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w w:val="96"/>
              </w:rPr>
              <w:t>Washington-Arlington-Alexandria, DC-</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62,198</w:t>
            </w:r>
          </w:p>
        </w:tc>
        <w:tc>
          <w:tcPr>
            <w:tcW w:w="540" w:type="dxa"/>
            <w:vAlign w:val="bottom"/>
            <w:shd w:val="clear" w:color="auto" w:fill="CCEEFF"/>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26</w:t>
            </w:r>
          </w:p>
        </w:tc>
        <w:tc>
          <w:tcPr>
            <w:tcW w:w="66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367,000</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70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61,000</w:t>
            </w:r>
          </w:p>
        </w:tc>
        <w:tc>
          <w:tcPr>
            <w:tcW w:w="12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7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Marshalls / L.A. Fitness / HomeGoods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1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VA-MD-WV</w:t>
            </w:r>
          </w:p>
        </w:tc>
        <w:tc>
          <w:tcPr>
            <w:tcW w:w="6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Montrose Crossing</w:t>
            </w:r>
          </w:p>
        </w:tc>
        <w:tc>
          <w:tcPr>
            <w:tcW w:w="300" w:type="dxa"/>
            <w:vAlign w:val="bottom"/>
          </w:tcPr>
          <w:p>
            <w:pPr>
              <w:spacing w:after="0"/>
              <w:rPr>
                <w:sz w:val="10"/>
                <w:szCs w:val="10"/>
                <w:color w:val="auto"/>
              </w:rPr>
            </w:pPr>
          </w:p>
        </w:tc>
        <w:tc>
          <w:tcPr>
            <w:tcW w:w="210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w w:val="96"/>
              </w:rPr>
              <w:t>Washington-Arlington-Alexandria, DC-</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172,511</w:t>
            </w:r>
          </w:p>
        </w:tc>
        <w:tc>
          <w:tcPr>
            <w:tcW w:w="54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36</w:t>
            </w:r>
          </w:p>
        </w:tc>
        <w:tc>
          <w:tcPr>
            <w:tcW w:w="6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369,000</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00" w:type="dxa"/>
            <w:vAlign w:val="bottom"/>
          </w:tcPr>
          <w:p>
            <w:pPr>
              <w:spacing w:after="0"/>
              <w:rPr>
                <w:sz w:val="10"/>
                <w:szCs w:val="10"/>
                <w:color w:val="auto"/>
              </w:rPr>
            </w:pPr>
          </w:p>
        </w:tc>
        <w:tc>
          <w:tcPr>
            <w:tcW w:w="54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73,000</w:t>
            </w:r>
          </w:p>
        </w:tc>
        <w:tc>
          <w:tcPr>
            <w:tcW w:w="12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 / Target</w:t>
            </w:r>
          </w:p>
        </w:tc>
        <w:tc>
          <w:tcPr>
            <w:tcW w:w="27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w w:val="97"/>
              </w:rPr>
              <w:t>Marshalls / Home Depot Design Center / Old Navy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VA-MD-WV</w:t>
            </w: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w:t>
            </w:r>
          </w:p>
        </w:tc>
        <w:tc>
          <w:tcPr>
            <w:tcW w:w="2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Burlington</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1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Mount</w:t>
            </w:r>
          </w:p>
        </w:tc>
        <w:tc>
          <w:tcPr>
            <w:tcW w:w="30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(5)</w:t>
            </w:r>
          </w:p>
        </w:tc>
        <w:tc>
          <w:tcPr>
            <w:tcW w:w="210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w w:val="96"/>
              </w:rPr>
              <w:t>Washington-Arlington-Alexandria, DC-</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97,362</w:t>
            </w:r>
          </w:p>
        </w:tc>
        <w:tc>
          <w:tcPr>
            <w:tcW w:w="540" w:type="dxa"/>
            <w:vAlign w:val="bottom"/>
            <w:shd w:val="clear" w:color="auto" w:fill="CCEEFF"/>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40</w:t>
            </w:r>
          </w:p>
        </w:tc>
        <w:tc>
          <w:tcPr>
            <w:tcW w:w="66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565,000</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70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62,000</w:t>
            </w:r>
          </w:p>
        </w:tc>
        <w:tc>
          <w:tcPr>
            <w:tcW w:w="12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Shoppers Food</w:t>
            </w:r>
          </w:p>
        </w:tc>
        <w:tc>
          <w:tcPr>
            <w:tcW w:w="27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TJ Maxx / Home Depot / Old Navy / Burlington</w:t>
            </w:r>
          </w:p>
        </w:tc>
        <w:tc>
          <w:tcPr>
            <w:tcW w:w="0" w:type="dxa"/>
            <w:vAlign w:val="bottom"/>
          </w:tcPr>
          <w:p>
            <w:pPr>
              <w:spacing w:after="0"/>
              <w:rPr>
                <w:sz w:val="1"/>
                <w:szCs w:val="1"/>
                <w:color w:val="auto"/>
              </w:rPr>
            </w:pPr>
          </w:p>
        </w:tc>
      </w:tr>
      <w:tr>
        <w:trPr>
          <w:trHeight w:val="122"/>
        </w:trPr>
        <w:tc>
          <w:tcPr>
            <w:tcW w:w="11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Vernon/South</w:t>
            </w:r>
          </w:p>
        </w:tc>
        <w:tc>
          <w:tcPr>
            <w:tcW w:w="30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VA-MD-WV</w:t>
            </w:r>
          </w:p>
        </w:tc>
        <w:tc>
          <w:tcPr>
            <w:tcW w:w="6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Warehouse</w:t>
            </w:r>
          </w:p>
        </w:tc>
        <w:tc>
          <w:tcPr>
            <w:tcW w:w="2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12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Valley/7770</w:t>
            </w:r>
          </w:p>
        </w:tc>
        <w:tc>
          <w:tcPr>
            <w:tcW w:w="3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Richmond Hwy</w:t>
            </w:r>
          </w:p>
        </w:tc>
        <w:tc>
          <w:tcPr>
            <w:tcW w:w="3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1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Old Keene Mill</w:t>
            </w:r>
          </w:p>
        </w:tc>
        <w:tc>
          <w:tcPr>
            <w:tcW w:w="300" w:type="dxa"/>
            <w:vAlign w:val="bottom"/>
          </w:tcPr>
          <w:p>
            <w:pPr>
              <w:spacing w:after="0"/>
              <w:rPr>
                <w:sz w:val="10"/>
                <w:szCs w:val="10"/>
                <w:color w:val="auto"/>
              </w:rPr>
            </w:pPr>
          </w:p>
        </w:tc>
        <w:tc>
          <w:tcPr>
            <w:tcW w:w="210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w w:val="96"/>
              </w:rPr>
              <w:t>Washington-Arlington-Alexandria, DC-</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18,129</w:t>
            </w:r>
          </w:p>
        </w:tc>
        <w:tc>
          <w:tcPr>
            <w:tcW w:w="54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6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90,000</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700" w:type="dxa"/>
            <w:vAlign w:val="bottom"/>
          </w:tcPr>
          <w:p>
            <w:pPr>
              <w:spacing w:after="0"/>
              <w:rPr>
                <w:sz w:val="10"/>
                <w:szCs w:val="10"/>
                <w:color w:val="auto"/>
              </w:rPr>
            </w:pPr>
          </w:p>
        </w:tc>
        <w:tc>
          <w:tcPr>
            <w:tcW w:w="54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14,000</w:t>
            </w:r>
          </w:p>
        </w:tc>
        <w:tc>
          <w:tcPr>
            <w:tcW w:w="12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TBA</w:t>
            </w:r>
          </w:p>
        </w:tc>
        <w:tc>
          <w:tcPr>
            <w:tcW w:w="27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Walgreens / Planet Fitness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VA-MD-WV</w:t>
            </w: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1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Pan Am</w:t>
            </w:r>
          </w:p>
        </w:tc>
        <w:tc>
          <w:tcPr>
            <w:tcW w:w="30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w w:val="96"/>
              </w:rPr>
              <w:t>Washington-Arlington-Alexandria, DC-</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32,741</w:t>
            </w:r>
          </w:p>
        </w:tc>
        <w:tc>
          <w:tcPr>
            <w:tcW w:w="540" w:type="dxa"/>
            <w:vAlign w:val="bottom"/>
            <w:shd w:val="clear" w:color="auto" w:fill="CCEEFF"/>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25</w:t>
            </w:r>
          </w:p>
        </w:tc>
        <w:tc>
          <w:tcPr>
            <w:tcW w:w="66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228,000</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70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65,000</w:t>
            </w:r>
          </w:p>
        </w:tc>
        <w:tc>
          <w:tcPr>
            <w:tcW w:w="12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Safeway</w:t>
            </w:r>
          </w:p>
        </w:tc>
        <w:tc>
          <w:tcPr>
            <w:tcW w:w="27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Micro Center / CVS / Michaels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1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VA-MD-WV</w:t>
            </w:r>
          </w:p>
        </w:tc>
        <w:tc>
          <w:tcPr>
            <w:tcW w:w="6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Pike &amp; Rose</w:t>
            </w:r>
          </w:p>
        </w:tc>
        <w:tc>
          <w:tcPr>
            <w:tcW w:w="300" w:type="dxa"/>
            <w:vAlign w:val="bottom"/>
          </w:tcPr>
          <w:p>
            <w:pPr>
              <w:spacing w:after="0"/>
              <w:rPr>
                <w:sz w:val="10"/>
                <w:szCs w:val="10"/>
                <w:color w:val="auto"/>
              </w:rPr>
            </w:pPr>
          </w:p>
        </w:tc>
        <w:tc>
          <w:tcPr>
            <w:tcW w:w="210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w w:val="96"/>
              </w:rPr>
              <w:t>Washington-Arlington-Alexandria, DC-</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875,273</w:t>
            </w:r>
          </w:p>
        </w:tc>
        <w:tc>
          <w:tcPr>
            <w:tcW w:w="54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24</w:t>
            </w:r>
          </w:p>
        </w:tc>
        <w:tc>
          <w:tcPr>
            <w:tcW w:w="6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854,000</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765</w:t>
            </w:r>
          </w:p>
        </w:tc>
        <w:tc>
          <w:tcPr>
            <w:tcW w:w="5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7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w w:val="97"/>
              </w:rPr>
              <w:t>Porsche / Uniqlo / REI / H&amp;M / L.L Bean / Multiple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VA-MD-WV</w:t>
            </w: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Restaurants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1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Pike 7 Plaza</w:t>
            </w:r>
          </w:p>
        </w:tc>
        <w:tc>
          <w:tcPr>
            <w:tcW w:w="30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w w:val="96"/>
              </w:rPr>
              <w:t>Washington-Arlington-Alexandria, DC-</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56,559</w:t>
            </w:r>
          </w:p>
        </w:tc>
        <w:tc>
          <w:tcPr>
            <w:tcW w:w="540" w:type="dxa"/>
            <w:vAlign w:val="bottom"/>
            <w:shd w:val="clear" w:color="auto" w:fill="CCEEFF"/>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13</w:t>
            </w:r>
          </w:p>
        </w:tc>
        <w:tc>
          <w:tcPr>
            <w:tcW w:w="66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175,000</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70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24,000</w:t>
            </w:r>
          </w:p>
        </w:tc>
        <w:tc>
          <w:tcPr>
            <w:tcW w:w="12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Lidl</w:t>
            </w:r>
          </w:p>
        </w:tc>
        <w:tc>
          <w:tcPr>
            <w:tcW w:w="27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TJ Maxx / DSW / Ulta</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1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VA-MD-WV</w:t>
            </w:r>
          </w:p>
        </w:tc>
        <w:tc>
          <w:tcPr>
            <w:tcW w:w="6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Plaza del Mercado</w:t>
            </w:r>
          </w:p>
        </w:tc>
        <w:tc>
          <w:tcPr>
            <w:tcW w:w="300" w:type="dxa"/>
            <w:vAlign w:val="bottom"/>
          </w:tcPr>
          <w:p>
            <w:pPr>
              <w:spacing w:after="0"/>
              <w:rPr>
                <w:sz w:val="10"/>
                <w:szCs w:val="10"/>
                <w:color w:val="auto"/>
              </w:rPr>
            </w:pPr>
          </w:p>
        </w:tc>
        <w:tc>
          <w:tcPr>
            <w:tcW w:w="210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w w:val="96"/>
              </w:rPr>
              <w:t>Washington-Arlington-Alexandria, DC-</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46,843</w:t>
            </w:r>
          </w:p>
        </w:tc>
        <w:tc>
          <w:tcPr>
            <w:tcW w:w="54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6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116,000</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700" w:type="dxa"/>
            <w:vAlign w:val="bottom"/>
          </w:tcPr>
          <w:p>
            <w:pPr>
              <w:spacing w:after="0"/>
              <w:rPr>
                <w:sz w:val="10"/>
                <w:szCs w:val="10"/>
                <w:color w:val="auto"/>
              </w:rPr>
            </w:pPr>
          </w:p>
        </w:tc>
        <w:tc>
          <w:tcPr>
            <w:tcW w:w="54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18,000</w:t>
            </w:r>
          </w:p>
        </w:tc>
        <w:tc>
          <w:tcPr>
            <w:tcW w:w="12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Aldi</w:t>
            </w:r>
          </w:p>
        </w:tc>
        <w:tc>
          <w:tcPr>
            <w:tcW w:w="27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CVS / L.A. Fitness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VA-MD-WV</w:t>
            </w: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1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Quince Orchard</w:t>
            </w:r>
          </w:p>
        </w:tc>
        <w:tc>
          <w:tcPr>
            <w:tcW w:w="30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(4)</w:t>
            </w:r>
          </w:p>
        </w:tc>
        <w:tc>
          <w:tcPr>
            <w:tcW w:w="210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w w:val="96"/>
              </w:rPr>
              <w:t>Washington-Arlington-Alexandria, DC-</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41,402</w:t>
            </w:r>
          </w:p>
        </w:tc>
        <w:tc>
          <w:tcPr>
            <w:tcW w:w="540" w:type="dxa"/>
            <w:vAlign w:val="bottom"/>
            <w:shd w:val="clear" w:color="auto" w:fill="CCEEFF"/>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16</w:t>
            </w:r>
          </w:p>
        </w:tc>
        <w:tc>
          <w:tcPr>
            <w:tcW w:w="66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271,000</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87 %</w:t>
            </w:r>
          </w:p>
        </w:tc>
        <w:tc>
          <w:tcPr>
            <w:tcW w:w="70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19,000</w:t>
            </w:r>
          </w:p>
        </w:tc>
        <w:tc>
          <w:tcPr>
            <w:tcW w:w="12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Aldi</w:t>
            </w:r>
          </w:p>
        </w:tc>
        <w:tc>
          <w:tcPr>
            <w:tcW w:w="27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HomeGoods / L.A. Fitness / Staples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1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VA-MD-WV</w:t>
            </w:r>
          </w:p>
        </w:tc>
        <w:tc>
          <w:tcPr>
            <w:tcW w:w="6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Tower Shopping</w:t>
            </w:r>
          </w:p>
        </w:tc>
        <w:tc>
          <w:tcPr>
            <w:tcW w:w="300" w:type="dxa"/>
            <w:vAlign w:val="bottom"/>
          </w:tcPr>
          <w:p>
            <w:pPr>
              <w:spacing w:after="0"/>
              <w:rPr>
                <w:sz w:val="10"/>
                <w:szCs w:val="10"/>
                <w:color w:val="auto"/>
              </w:rPr>
            </w:pPr>
          </w:p>
        </w:tc>
        <w:tc>
          <w:tcPr>
            <w:tcW w:w="210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w w:val="96"/>
              </w:rPr>
              <w:t>Washington-Arlington-Alexandria, DC-</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26,952</w:t>
            </w:r>
          </w:p>
        </w:tc>
        <w:tc>
          <w:tcPr>
            <w:tcW w:w="54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12</w:t>
            </w:r>
          </w:p>
        </w:tc>
        <w:tc>
          <w:tcPr>
            <w:tcW w:w="6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111,000</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00" w:type="dxa"/>
            <w:vAlign w:val="bottom"/>
          </w:tcPr>
          <w:p>
            <w:pPr>
              <w:spacing w:after="0"/>
              <w:rPr>
                <w:sz w:val="10"/>
                <w:szCs w:val="10"/>
                <w:color w:val="auto"/>
              </w:rPr>
            </w:pPr>
          </w:p>
        </w:tc>
        <w:tc>
          <w:tcPr>
            <w:tcW w:w="54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26,000</w:t>
            </w:r>
          </w:p>
        </w:tc>
        <w:tc>
          <w:tcPr>
            <w:tcW w:w="12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L.A. Mart</w:t>
            </w:r>
          </w:p>
        </w:tc>
        <w:tc>
          <w:tcPr>
            <w:tcW w:w="27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Total Wine &amp; More / Talbots</w:t>
            </w:r>
          </w:p>
        </w:tc>
        <w:tc>
          <w:tcPr>
            <w:tcW w:w="0" w:type="dxa"/>
            <w:vAlign w:val="bottom"/>
          </w:tcPr>
          <w:p>
            <w:pPr>
              <w:spacing w:after="0"/>
              <w:rPr>
                <w:sz w:val="1"/>
                <w:szCs w:val="1"/>
                <w:color w:val="auto"/>
              </w:rPr>
            </w:pPr>
          </w:p>
        </w:tc>
      </w:tr>
      <w:tr>
        <w:trPr>
          <w:trHeight w:val="164"/>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w:t>
            </w:r>
          </w:p>
        </w:tc>
        <w:tc>
          <w:tcPr>
            <w:tcW w:w="300" w:type="dxa"/>
            <w:vAlign w:val="bottom"/>
          </w:tcPr>
          <w:p>
            <w:pPr>
              <w:spacing w:after="0"/>
              <w:rPr>
                <w:sz w:val="14"/>
                <w:szCs w:val="14"/>
                <w:color w:val="auto"/>
              </w:rPr>
            </w:pP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VA-MD-WV</w:t>
            </w: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1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Twinbrooke</w:t>
            </w:r>
          </w:p>
        </w:tc>
        <w:tc>
          <w:tcPr>
            <w:tcW w:w="30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w w:val="96"/>
              </w:rPr>
              <w:t>Washington-Arlington-Alexandria, DC-</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36,807</w:t>
            </w:r>
          </w:p>
        </w:tc>
        <w:tc>
          <w:tcPr>
            <w:tcW w:w="540" w:type="dxa"/>
            <w:vAlign w:val="bottom"/>
            <w:shd w:val="clear" w:color="auto" w:fill="CCEEFF"/>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66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101,000</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91 %</w:t>
            </w:r>
          </w:p>
        </w:tc>
        <w:tc>
          <w:tcPr>
            <w:tcW w:w="70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35,000</w:t>
            </w:r>
          </w:p>
        </w:tc>
        <w:tc>
          <w:tcPr>
            <w:tcW w:w="12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Safeway</w:t>
            </w:r>
          </w:p>
        </w:tc>
        <w:tc>
          <w:tcPr>
            <w:tcW w:w="27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Walgreens</w:t>
            </w:r>
          </w:p>
        </w:tc>
        <w:tc>
          <w:tcPr>
            <w:tcW w:w="0" w:type="dxa"/>
            <w:vAlign w:val="bottom"/>
          </w:tcPr>
          <w:p>
            <w:pPr>
              <w:spacing w:after="0"/>
              <w:rPr>
                <w:sz w:val="1"/>
                <w:szCs w:val="1"/>
                <w:color w:val="auto"/>
              </w:rPr>
            </w:pPr>
          </w:p>
        </w:tc>
      </w:tr>
      <w:tr>
        <w:trPr>
          <w:trHeight w:val="164"/>
        </w:trPr>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Shopping Centre</w:t>
            </w:r>
          </w:p>
        </w:tc>
        <w:tc>
          <w:tcPr>
            <w:tcW w:w="30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VA-MD-WV</w:t>
            </w:r>
          </w:p>
        </w:tc>
        <w:tc>
          <w:tcPr>
            <w:tcW w:w="6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340" w:top="1028" w:right="339"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June 30, 2024</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Real Estate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Residential</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Grocery</w:t>
            </w:r>
          </w:p>
        </w:tc>
        <w:tc>
          <w:tcPr>
            <w:tcW w:w="12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b w:val="1"/>
                <w:bCs w:val="1"/>
                <w:color w:val="auto"/>
              </w:rPr>
              <w:t>Leased</w:t>
            </w:r>
          </w:p>
        </w:tc>
        <w:tc>
          <w:tcPr>
            <w:tcW w:w="740" w:type="dxa"/>
            <w:vAlign w:val="bottom"/>
            <w:vMerge w:val="continue"/>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Anchor</w:t>
            </w:r>
          </w:p>
        </w:tc>
        <w:tc>
          <w:tcPr>
            <w:tcW w:w="12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at Cost</w:t>
            </w:r>
          </w:p>
        </w:tc>
        <w:tc>
          <w:tcPr>
            <w:tcW w:w="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7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GLA (1)</w:t>
            </w:r>
          </w:p>
        </w:tc>
        <w:tc>
          <w:tcPr>
            <w:tcW w:w="5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(1)</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GLA</w:t>
            </w:r>
          </w:p>
        </w:tc>
        <w:tc>
          <w:tcPr>
            <w:tcW w:w="1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Grocery Anchor (2)</w:t>
            </w:r>
          </w:p>
        </w:tc>
        <w:tc>
          <w:tcPr>
            <w:tcW w:w="2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 thousands)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60" w:type="dxa"/>
            <w:vAlign w:val="bottom"/>
            <w:gridSpan w:val="3"/>
          </w:tcPr>
          <w:p>
            <w:pPr>
              <w:ind w:left="20"/>
              <w:spacing w:after="0" w:line="144" w:lineRule="exact"/>
              <w:rPr>
                <w:sz w:val="20"/>
                <w:szCs w:val="20"/>
                <w:color w:val="auto"/>
              </w:rPr>
            </w:pPr>
            <w:r>
              <w:rPr>
                <w:rFonts w:ascii="Times New Roman" w:cs="Times New Roman" w:eastAsia="Times New Roman" w:hAnsi="Times New Roman"/>
                <w:sz w:val="13"/>
                <w:szCs w:val="13"/>
                <w:color w:val="auto"/>
              </w:rPr>
              <w:t>Tyson's Station</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w w:val="98"/>
              </w:rPr>
              <w:t>Washington-Arlington-Alexandria, DC-</w:t>
            </w:r>
          </w:p>
        </w:tc>
        <w:tc>
          <w:tcPr>
            <w:tcW w:w="6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6,890</w:t>
            </w: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48,000</w:t>
            </w:r>
          </w:p>
        </w:tc>
        <w:tc>
          <w:tcPr>
            <w:tcW w:w="80" w:type="dxa"/>
            <w:vAlign w:val="bottom"/>
          </w:tcPr>
          <w:p>
            <w:pPr>
              <w:spacing w:after="0"/>
              <w:rPr>
                <w:sz w:val="12"/>
                <w:szCs w:val="12"/>
                <w:color w:val="auto"/>
              </w:rPr>
            </w:pPr>
          </w:p>
        </w:tc>
        <w:tc>
          <w:tcPr>
            <w:tcW w:w="5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92 %</w:t>
            </w:r>
          </w:p>
        </w:tc>
        <w:tc>
          <w:tcPr>
            <w:tcW w:w="740" w:type="dxa"/>
            <w:vAlign w:val="bottom"/>
          </w:tcPr>
          <w:p>
            <w:pPr>
              <w:spacing w:after="0"/>
              <w:rPr>
                <w:sz w:val="12"/>
                <w:szCs w:val="12"/>
                <w:color w:val="auto"/>
              </w:rPr>
            </w:pPr>
          </w:p>
        </w:tc>
        <w:tc>
          <w:tcPr>
            <w:tcW w:w="54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15,000</w:t>
            </w:r>
          </w:p>
        </w:tc>
        <w:tc>
          <w:tcPr>
            <w:tcW w:w="12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Trader Joe's</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VA-MD-WV</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6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Village at</w:t>
            </w:r>
          </w:p>
        </w:tc>
        <w:tc>
          <w:tcPr>
            <w:tcW w:w="400" w:type="dxa"/>
            <w:vAlign w:val="bottom"/>
            <w:gridSpan w:val="2"/>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(4)</w:t>
            </w:r>
          </w:p>
        </w:tc>
        <w:tc>
          <w:tcPr>
            <w:tcW w:w="21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8"/>
              </w:rPr>
              <w:t>Washington-Arlington-Alexandria, DC-</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74,530</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276,000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88 %</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28,000</w:t>
            </w:r>
          </w:p>
        </w:tc>
        <w:tc>
          <w:tcPr>
            <w:tcW w:w="12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Harris Teeter</w:t>
            </w:r>
          </w:p>
        </w:tc>
        <w:tc>
          <w:tcPr>
            <w:tcW w:w="27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AMC / Multiple Restaurants</w:t>
            </w:r>
          </w:p>
        </w:tc>
        <w:tc>
          <w:tcPr>
            <w:tcW w:w="0" w:type="dxa"/>
            <w:vAlign w:val="bottom"/>
          </w:tcPr>
          <w:p>
            <w:pPr>
              <w:spacing w:after="0"/>
              <w:rPr>
                <w:sz w:val="1"/>
                <w:szCs w:val="1"/>
                <w:color w:val="auto"/>
              </w:rPr>
            </w:pPr>
          </w:p>
        </w:tc>
      </w:tr>
      <w:tr>
        <w:trPr>
          <w:trHeight w:val="169"/>
        </w:trPr>
        <w:tc>
          <w:tcPr>
            <w:tcW w:w="10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Shirlington</w:t>
            </w: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VA-MD-WV</w:t>
            </w: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7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6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Virginia Gateway</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1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8"/>
              </w:rPr>
              <w:t>Washington-Arlington-Alexandria, DC-</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208,327</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110</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664,000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74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70,000</w:t>
            </w:r>
          </w:p>
        </w:tc>
        <w:tc>
          <w:tcPr>
            <w:tcW w:w="12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 / Target</w:t>
            </w:r>
          </w:p>
        </w:tc>
        <w:tc>
          <w:tcPr>
            <w:tcW w:w="272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8"/>
              </w:rPr>
              <w:t>HomeGoods / Total Wine &amp; More / Best Buy / Ulta</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1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VA-MD-WV</w:t>
            </w: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 / BJ's Wholesale</w:t>
            </w:r>
          </w:p>
        </w:tc>
        <w:tc>
          <w:tcPr>
            <w:tcW w:w="272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 Lowes (S)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Club (S)</w:t>
            </w: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6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Westpost</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1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8"/>
              </w:rPr>
              <w:t>Washington-Arlington-Alexandria, DC-</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117,903</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298,000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79,000</w:t>
            </w:r>
          </w:p>
        </w:tc>
        <w:tc>
          <w:tcPr>
            <w:tcW w:w="12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Harris Teeter / Target</w:t>
            </w:r>
          </w:p>
        </w:tc>
        <w:tc>
          <w:tcPr>
            <w:tcW w:w="27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TJ Maxx / Ulta / Walgreens / DSW</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VA-MD-WV</w:t>
            </w: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7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6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Wildwood</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1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8"/>
              </w:rPr>
              <w:t>Washington-Arlington-Alexandria, DC-</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28,919</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4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20,000</w:t>
            </w:r>
          </w:p>
        </w:tc>
        <w:tc>
          <w:tcPr>
            <w:tcW w:w="12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Balducci's</w:t>
            </w:r>
          </w:p>
        </w:tc>
        <w:tc>
          <w:tcPr>
            <w:tcW w:w="272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Multiple Restaurants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VA-MD-WV</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10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w w:val="98"/>
              </w:rPr>
              <w:t>Total Washington Metropolitan Area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2,869,929</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556</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7,103,000</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96 %</w:t>
            </w:r>
          </w:p>
        </w:tc>
        <w:tc>
          <w:tcPr>
            <w:tcW w:w="7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California</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Azalea</w:t>
            </w: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2"/>
              </w:rPr>
              <w:t>(3)</w:t>
            </w:r>
          </w:p>
        </w:tc>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8"/>
              </w:rPr>
              <w:t>Los Angeles-Long Beach-Anaheim, CA</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109,540</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Walmart (S)</w:t>
            </w:r>
          </w:p>
        </w:tc>
        <w:tc>
          <w:tcPr>
            <w:tcW w:w="2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Marshalls / Ross Dress for Less / Ulta / Michaels</w:t>
            </w:r>
          </w:p>
        </w:tc>
        <w:tc>
          <w:tcPr>
            <w:tcW w:w="0" w:type="dxa"/>
            <w:vAlign w:val="bottom"/>
          </w:tcPr>
          <w:p>
            <w:pPr>
              <w:spacing w:after="0"/>
              <w:rPr>
                <w:sz w:val="1"/>
                <w:szCs w:val="1"/>
                <w:color w:val="auto"/>
              </w:rPr>
            </w:pPr>
          </w:p>
        </w:tc>
      </w:tr>
      <w:tr>
        <w:trPr>
          <w:trHeight w:val="127"/>
        </w:trPr>
        <w:tc>
          <w:tcPr>
            <w:tcW w:w="1060" w:type="dxa"/>
            <w:vAlign w:val="bottom"/>
            <w:gridSpan w:val="3"/>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Bell Gardens</w:t>
            </w:r>
          </w:p>
        </w:tc>
        <w:tc>
          <w:tcPr>
            <w:tcW w:w="400" w:type="dxa"/>
            <w:vAlign w:val="bottom"/>
            <w:gridSpan w:val="2"/>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w w:val="98"/>
              </w:rPr>
              <w:t>(3)(4)</w:t>
            </w:r>
          </w:p>
        </w:tc>
        <w:tc>
          <w:tcPr>
            <w:tcW w:w="21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w w:val="98"/>
              </w:rPr>
              <w:t>Los Angeles-Long Beach-Anaheim, CA</w:t>
            </w: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119,273</w:t>
            </w:r>
          </w:p>
        </w:tc>
        <w:tc>
          <w:tcPr>
            <w:tcW w:w="4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32</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371,000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98 %</w:t>
            </w: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w w:val="94"/>
              </w:rPr>
              <w:t>108,000</w:t>
            </w:r>
          </w:p>
        </w:tc>
        <w:tc>
          <w:tcPr>
            <w:tcW w:w="3940" w:type="dxa"/>
            <w:vAlign w:val="bottom"/>
            <w:gridSpan w:val="2"/>
            <w:shd w:val="clear" w:color="auto" w:fill="CCEEFF"/>
          </w:tcPr>
          <w:p>
            <w:pPr>
              <w:ind w:left="60"/>
              <w:spacing w:after="0" w:line="128" w:lineRule="exact"/>
              <w:rPr>
                <w:sz w:val="20"/>
                <w:szCs w:val="20"/>
                <w:color w:val="auto"/>
              </w:rPr>
            </w:pPr>
            <w:r>
              <w:rPr>
                <w:rFonts w:ascii="Times New Roman" w:cs="Times New Roman" w:eastAsia="Times New Roman" w:hAnsi="Times New Roman"/>
                <w:sz w:val="13"/>
                <w:szCs w:val="13"/>
                <w:color w:val="auto"/>
              </w:rPr>
              <w:t>Food 4 Less / El Super Marshalls / Ross Dress for Less / Bob's Discount</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Furniture</w:t>
            </w:r>
          </w:p>
        </w:tc>
        <w:tc>
          <w:tcPr>
            <w:tcW w:w="0" w:type="dxa"/>
            <w:vAlign w:val="bottom"/>
          </w:tcPr>
          <w:p>
            <w:pPr>
              <w:spacing w:after="0"/>
              <w:rPr>
                <w:sz w:val="1"/>
                <w:szCs w:val="1"/>
                <w:color w:val="auto"/>
              </w:rPr>
            </w:pPr>
          </w:p>
        </w:tc>
      </w:tr>
      <w:tr>
        <w:trPr>
          <w:trHeight w:val="170"/>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Colorado Blvd</w:t>
            </w: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2"/>
              </w:rPr>
              <w:t>(4)</w:t>
            </w:r>
          </w:p>
        </w:tc>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8"/>
              </w:rPr>
              <w:t>Los Angeles-Long Beach-Anaheim, CA</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13,994</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73 %</w:t>
            </w: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Banana Republic / True Food Kitchen</w:t>
            </w:r>
          </w:p>
        </w:tc>
        <w:tc>
          <w:tcPr>
            <w:tcW w:w="0" w:type="dxa"/>
            <w:vAlign w:val="bottom"/>
          </w:tcPr>
          <w:p>
            <w:pPr>
              <w:spacing w:after="0"/>
              <w:rPr>
                <w:sz w:val="1"/>
                <w:szCs w:val="1"/>
                <w:color w:val="auto"/>
              </w:rPr>
            </w:pPr>
          </w:p>
        </w:tc>
      </w:tr>
      <w:tr>
        <w:trPr>
          <w:trHeight w:val="127"/>
        </w:trPr>
        <w:tc>
          <w:tcPr>
            <w:tcW w:w="1060" w:type="dxa"/>
            <w:vAlign w:val="bottom"/>
            <w:gridSpan w:val="3"/>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Crow Canyon</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1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San Francisco-Oakland-Hayward, CA</w:t>
            </w: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92,914</w:t>
            </w:r>
          </w:p>
        </w:tc>
        <w:tc>
          <w:tcPr>
            <w:tcW w:w="4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239,000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85 %</w:t>
            </w: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rPr>
              <w:t>32,000</w:t>
            </w:r>
          </w:p>
        </w:tc>
        <w:tc>
          <w:tcPr>
            <w:tcW w:w="1220" w:type="dxa"/>
            <w:vAlign w:val="bottom"/>
            <w:shd w:val="clear" w:color="auto" w:fill="CCEEFF"/>
          </w:tcPr>
          <w:p>
            <w:pPr>
              <w:ind w:left="60"/>
              <w:spacing w:after="0" w:line="128" w:lineRule="exact"/>
              <w:rPr>
                <w:sz w:val="20"/>
                <w:szCs w:val="20"/>
                <w:color w:val="auto"/>
              </w:rPr>
            </w:pPr>
            <w:r>
              <w:rPr>
                <w:rFonts w:ascii="Times New Roman" w:cs="Times New Roman" w:eastAsia="Times New Roman" w:hAnsi="Times New Roman"/>
                <w:sz w:val="13"/>
                <w:szCs w:val="13"/>
                <w:color w:val="auto"/>
              </w:rPr>
              <w:t>Sprouts</w:t>
            </w:r>
          </w:p>
        </w:tc>
        <w:tc>
          <w:tcPr>
            <w:tcW w:w="272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Total Wine &amp; More / Alamo Ace Hardware</w:t>
            </w:r>
          </w:p>
        </w:tc>
        <w:tc>
          <w:tcPr>
            <w:tcW w:w="0" w:type="dxa"/>
            <w:vAlign w:val="bottom"/>
          </w:tcPr>
          <w:p>
            <w:pPr>
              <w:spacing w:after="0"/>
              <w:rPr>
                <w:sz w:val="1"/>
                <w:szCs w:val="1"/>
                <w:color w:val="auto"/>
              </w:rPr>
            </w:pPr>
          </w:p>
        </w:tc>
      </w:tr>
      <w:tr>
        <w:trPr>
          <w:trHeight w:val="169"/>
        </w:trPr>
        <w:tc>
          <w:tcPr>
            <w:tcW w:w="10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Commons</w:t>
            </w: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7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East Bay Bridge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San Francisco-Oakland-Hayward, CA</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178,856</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98 %</w:t>
            </w:r>
          </w:p>
        </w:tc>
        <w:tc>
          <w:tcPr>
            <w:tcW w:w="7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199,000</w:t>
            </w:r>
          </w:p>
        </w:tc>
        <w:tc>
          <w:tcPr>
            <w:tcW w:w="1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Pak-N-Save / Target</w:t>
            </w:r>
          </w:p>
        </w:tc>
        <w:tc>
          <w:tcPr>
            <w:tcW w:w="2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Home Depot / Nordstrom Rack / Michaels</w:t>
            </w:r>
          </w:p>
        </w:tc>
        <w:tc>
          <w:tcPr>
            <w:tcW w:w="0" w:type="dxa"/>
            <w:vAlign w:val="bottom"/>
          </w:tcPr>
          <w:p>
            <w:pPr>
              <w:spacing w:after="0"/>
              <w:rPr>
                <w:sz w:val="1"/>
                <w:szCs w:val="1"/>
                <w:color w:val="auto"/>
              </w:rPr>
            </w:pPr>
          </w:p>
        </w:tc>
      </w:tr>
      <w:tr>
        <w:trPr>
          <w:trHeight w:val="127"/>
        </w:trPr>
        <w:tc>
          <w:tcPr>
            <w:tcW w:w="1060" w:type="dxa"/>
            <w:vAlign w:val="bottom"/>
            <w:gridSpan w:val="3"/>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Escondido</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1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San Diego-Carlsbad, CA</w:t>
            </w: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135,239</w:t>
            </w:r>
          </w:p>
        </w:tc>
        <w:tc>
          <w:tcPr>
            <w:tcW w:w="4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298,000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98 %</w:t>
            </w: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20" w:type="dxa"/>
            <w:vAlign w:val="bottom"/>
            <w:shd w:val="clear" w:color="auto" w:fill="CCEEFF"/>
          </w:tcPr>
          <w:p>
            <w:pPr>
              <w:ind w:left="60"/>
              <w:spacing w:after="0" w:line="128" w:lineRule="exact"/>
              <w:rPr>
                <w:sz w:val="20"/>
                <w:szCs w:val="20"/>
                <w:color w:val="auto"/>
              </w:rPr>
            </w:pPr>
            <w:r>
              <w:rPr>
                <w:rFonts w:ascii="Times New Roman" w:cs="Times New Roman" w:eastAsia="Times New Roman" w:hAnsi="Times New Roman"/>
                <w:sz w:val="13"/>
                <w:szCs w:val="13"/>
                <w:color w:val="auto"/>
              </w:rPr>
              <w:t>Target (S)</w:t>
            </w:r>
          </w:p>
        </w:tc>
        <w:tc>
          <w:tcPr>
            <w:tcW w:w="272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TJ Maxx / Dick’s Sporting Goods / Ross Dress for</w:t>
            </w:r>
          </w:p>
        </w:tc>
        <w:tc>
          <w:tcPr>
            <w:tcW w:w="0" w:type="dxa"/>
            <w:vAlign w:val="bottom"/>
          </w:tcPr>
          <w:p>
            <w:pPr>
              <w:spacing w:after="0"/>
              <w:rPr>
                <w:sz w:val="1"/>
                <w:szCs w:val="1"/>
                <w:color w:val="auto"/>
              </w:rPr>
            </w:pPr>
          </w:p>
        </w:tc>
      </w:tr>
      <w:tr>
        <w:trPr>
          <w:trHeight w:val="169"/>
        </w:trPr>
        <w:tc>
          <w:tcPr>
            <w:tcW w:w="10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Promenade</w:t>
            </w: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Less / Bob's Discount Furniture</w:t>
            </w:r>
          </w:p>
        </w:tc>
        <w:tc>
          <w:tcPr>
            <w:tcW w:w="0" w:type="dxa"/>
            <w:vAlign w:val="bottom"/>
          </w:tcPr>
          <w:p>
            <w:pPr>
              <w:spacing w:after="0"/>
              <w:rPr>
                <w:sz w:val="1"/>
                <w:szCs w:val="1"/>
                <w:color w:val="auto"/>
              </w:rPr>
            </w:pPr>
          </w:p>
        </w:tc>
      </w:tr>
      <w:tr>
        <w:trPr>
          <w:trHeight w:val="170"/>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Fourth Street</w:t>
            </w: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2"/>
              </w:rPr>
              <w:t>(3)</w:t>
            </w:r>
          </w:p>
        </w:tc>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San Francisco-Oakland-Hayward, CA</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27,781</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47 %</w:t>
            </w: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CB2</w:t>
            </w:r>
          </w:p>
        </w:tc>
        <w:tc>
          <w:tcPr>
            <w:tcW w:w="0" w:type="dxa"/>
            <w:vAlign w:val="bottom"/>
          </w:tcPr>
          <w:p>
            <w:pPr>
              <w:spacing w:after="0"/>
              <w:rPr>
                <w:sz w:val="1"/>
                <w:szCs w:val="1"/>
                <w:color w:val="auto"/>
              </w:rPr>
            </w:pPr>
          </w:p>
        </w:tc>
      </w:tr>
      <w:tr>
        <w:trPr>
          <w:trHeight w:val="181"/>
        </w:trPr>
        <w:tc>
          <w:tcPr>
            <w:tcW w:w="1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Freedom Plaza</w:t>
            </w:r>
          </w:p>
        </w:tc>
        <w:tc>
          <w:tcPr>
            <w:tcW w:w="4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(3)(4)</w:t>
            </w:r>
          </w:p>
        </w:tc>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8"/>
              </w:rPr>
              <w:t>Los Angeles-Long Beach-Anaheim, CA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44,224</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96 %</w:t>
            </w:r>
          </w:p>
        </w:tc>
        <w:tc>
          <w:tcPr>
            <w:tcW w:w="74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31,000</w:t>
            </w:r>
          </w:p>
        </w:tc>
        <w:tc>
          <w:tcPr>
            <w:tcW w:w="1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Smart &amp; Final</w:t>
            </w:r>
          </w:p>
        </w:tc>
        <w:tc>
          <w:tcPr>
            <w:tcW w:w="2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Nike / Blink Fitness / Ross Dress for Less</w:t>
            </w:r>
          </w:p>
        </w:tc>
        <w:tc>
          <w:tcPr>
            <w:tcW w:w="0" w:type="dxa"/>
            <w:vAlign w:val="bottom"/>
          </w:tcPr>
          <w:p>
            <w:pPr>
              <w:spacing w:after="0"/>
              <w:rPr>
                <w:sz w:val="1"/>
                <w:szCs w:val="1"/>
                <w:color w:val="auto"/>
              </w:rPr>
            </w:pPr>
          </w:p>
        </w:tc>
      </w:tr>
      <w:tr>
        <w:trPr>
          <w:trHeight w:val="164"/>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Grossmont Center</w:t>
            </w: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2"/>
              </w:rPr>
              <w:t>(3)</w:t>
            </w:r>
          </w:p>
        </w:tc>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San Diego-Carlsbad, CA</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177,010</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877,000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97 %</w:t>
            </w:r>
          </w:p>
        </w:tc>
        <w:tc>
          <w:tcPr>
            <w:tcW w:w="7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294,000</w:t>
            </w:r>
          </w:p>
        </w:tc>
        <w:tc>
          <w:tcPr>
            <w:tcW w:w="1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Target / Walmart</w:t>
            </w:r>
          </w:p>
        </w:tc>
        <w:tc>
          <w:tcPr>
            <w:tcW w:w="2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Barnes &amp; Noble / Macy's / CVS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6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Hastings Ranch</w:t>
            </w:r>
          </w:p>
        </w:tc>
        <w:tc>
          <w:tcPr>
            <w:tcW w:w="400" w:type="dxa"/>
            <w:vAlign w:val="bottom"/>
            <w:gridSpan w:val="2"/>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(4)</w:t>
            </w:r>
          </w:p>
        </w:tc>
        <w:tc>
          <w:tcPr>
            <w:tcW w:w="21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8"/>
              </w:rPr>
              <w:t>Los Angeles-Long Beach-Anaheim, CA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25,790</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273,000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27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HomeGoods / CVS</w:t>
            </w:r>
          </w:p>
        </w:tc>
        <w:tc>
          <w:tcPr>
            <w:tcW w:w="0" w:type="dxa"/>
            <w:vAlign w:val="bottom"/>
          </w:tcPr>
          <w:p>
            <w:pPr>
              <w:spacing w:after="0"/>
              <w:rPr>
                <w:sz w:val="1"/>
                <w:szCs w:val="1"/>
                <w:color w:val="auto"/>
              </w:rPr>
            </w:pPr>
          </w:p>
        </w:tc>
      </w:tr>
      <w:tr>
        <w:trPr>
          <w:trHeight w:val="169"/>
        </w:trPr>
        <w:tc>
          <w:tcPr>
            <w:tcW w:w="10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Plaza</w:t>
            </w: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7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Hollywood Blvd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8"/>
              </w:rPr>
              <w:t>Los Angeles-Long Beach-Anaheim, CA</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62,082</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86 %</w:t>
            </w:r>
          </w:p>
        </w:tc>
        <w:tc>
          <w:tcPr>
            <w:tcW w:w="7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39,000</w:t>
            </w:r>
          </w:p>
        </w:tc>
        <w:tc>
          <w:tcPr>
            <w:tcW w:w="1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Target</w:t>
            </w:r>
          </w:p>
        </w:tc>
        <w:tc>
          <w:tcPr>
            <w:tcW w:w="2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Marshalls / L.A. Fitness / CVS</w:t>
            </w:r>
          </w:p>
        </w:tc>
        <w:tc>
          <w:tcPr>
            <w:tcW w:w="0" w:type="dxa"/>
            <w:vAlign w:val="bottom"/>
          </w:tcPr>
          <w:p>
            <w:pPr>
              <w:spacing w:after="0"/>
              <w:rPr>
                <w:sz w:val="1"/>
                <w:szCs w:val="1"/>
                <w:color w:val="auto"/>
              </w:rPr>
            </w:pPr>
          </w:p>
        </w:tc>
      </w:tr>
      <w:tr>
        <w:trPr>
          <w:trHeight w:val="181"/>
        </w:trPr>
        <w:tc>
          <w:tcPr>
            <w:tcW w:w="1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Kings Court</w:t>
            </w:r>
          </w:p>
        </w:tc>
        <w:tc>
          <w:tcPr>
            <w:tcW w:w="4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(4)(5)</w:t>
            </w:r>
          </w:p>
        </w:tc>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San Jose-Sunnyvale-Santa Clara, CA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11,615</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93 %</w:t>
            </w:r>
          </w:p>
        </w:tc>
        <w:tc>
          <w:tcPr>
            <w:tcW w:w="74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31,000</w:t>
            </w:r>
          </w:p>
        </w:tc>
        <w:tc>
          <w:tcPr>
            <w:tcW w:w="1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Lunardi's</w:t>
            </w:r>
          </w:p>
        </w:tc>
        <w:tc>
          <w:tcPr>
            <w:tcW w:w="2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CVS</w:t>
            </w:r>
          </w:p>
        </w:tc>
        <w:tc>
          <w:tcPr>
            <w:tcW w:w="0" w:type="dxa"/>
            <w:vAlign w:val="bottom"/>
          </w:tcPr>
          <w:p>
            <w:pPr>
              <w:spacing w:after="0"/>
              <w:rPr>
                <w:sz w:val="1"/>
                <w:szCs w:val="1"/>
                <w:color w:val="auto"/>
              </w:rPr>
            </w:pPr>
          </w:p>
        </w:tc>
      </w:tr>
      <w:tr>
        <w:trPr>
          <w:trHeight w:val="122"/>
        </w:trPr>
        <w:tc>
          <w:tcPr>
            <w:tcW w:w="106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Old Town Center</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1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San Jose-Sunnyvale-Santa Clara, CA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44,517</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84 %</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72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Anthropologie / Sephora / Arhaus Furniture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Teleferic Barcelona</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6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Olivo at Mission</w:t>
            </w:r>
          </w:p>
        </w:tc>
        <w:tc>
          <w:tcPr>
            <w:tcW w:w="400" w:type="dxa"/>
            <w:vAlign w:val="bottom"/>
            <w:gridSpan w:val="2"/>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(3)</w:t>
            </w:r>
          </w:p>
        </w:tc>
        <w:tc>
          <w:tcPr>
            <w:tcW w:w="21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8"/>
              </w:rPr>
              <w:t>Los Angeles-Long Beach-Anaheim, CA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82,910</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155,000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32,000</w:t>
            </w:r>
          </w:p>
        </w:tc>
        <w:tc>
          <w:tcPr>
            <w:tcW w:w="12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Target</w:t>
            </w:r>
          </w:p>
        </w:tc>
        <w:tc>
          <w:tcPr>
            <w:tcW w:w="27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24 Hour Fitness / Ross Dress for Less / Ulta</w:t>
            </w:r>
          </w:p>
        </w:tc>
        <w:tc>
          <w:tcPr>
            <w:tcW w:w="0" w:type="dxa"/>
            <w:vAlign w:val="bottom"/>
          </w:tcPr>
          <w:p>
            <w:pPr>
              <w:spacing w:after="0"/>
              <w:rPr>
                <w:sz w:val="1"/>
                <w:szCs w:val="1"/>
                <w:color w:val="auto"/>
              </w:rPr>
            </w:pPr>
          </w:p>
        </w:tc>
      </w:tr>
      <w:tr>
        <w:trPr>
          <w:trHeight w:val="169"/>
        </w:trPr>
        <w:tc>
          <w:tcPr>
            <w:tcW w:w="10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Hills</w:t>
            </w: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7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Plaza Del Sol</w:t>
            </w: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2"/>
              </w:rPr>
              <w:t>(3)</w:t>
            </w:r>
          </w:p>
        </w:tc>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8"/>
              </w:rPr>
              <w:t>Los Angeles-Long Beach-Anaheim, CA</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17,954</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93 %</w:t>
            </w: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Superior Grocers (S)</w:t>
            </w:r>
          </w:p>
        </w:tc>
        <w:tc>
          <w:tcPr>
            <w:tcW w:w="2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Marshalls</w:t>
            </w:r>
          </w:p>
        </w:tc>
        <w:tc>
          <w:tcPr>
            <w:tcW w:w="0" w:type="dxa"/>
            <w:vAlign w:val="bottom"/>
          </w:tcPr>
          <w:p>
            <w:pPr>
              <w:spacing w:after="0"/>
              <w:rPr>
                <w:sz w:val="1"/>
                <w:szCs w:val="1"/>
                <w:color w:val="auto"/>
              </w:rPr>
            </w:pPr>
          </w:p>
        </w:tc>
      </w:tr>
      <w:tr>
        <w:trPr>
          <w:trHeight w:val="127"/>
        </w:trPr>
        <w:tc>
          <w:tcPr>
            <w:tcW w:w="1060" w:type="dxa"/>
            <w:vAlign w:val="bottom"/>
            <w:gridSpan w:val="3"/>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Plaza El Segundo /</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1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w w:val="98"/>
              </w:rPr>
              <w:t>Los Angeles-Long Beach-Anaheim, CA</w:t>
            </w: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311,800</w:t>
            </w:r>
          </w:p>
        </w:tc>
        <w:tc>
          <w:tcPr>
            <w:tcW w:w="4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50</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502,000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98 %</w:t>
            </w: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rPr>
              <w:t>66,000</w:t>
            </w:r>
          </w:p>
        </w:tc>
        <w:tc>
          <w:tcPr>
            <w:tcW w:w="1220" w:type="dxa"/>
            <w:vAlign w:val="bottom"/>
            <w:shd w:val="clear" w:color="auto" w:fill="CCEEFF"/>
          </w:tcPr>
          <w:p>
            <w:pPr>
              <w:ind w:left="60"/>
              <w:spacing w:after="0" w:line="128" w:lineRule="exact"/>
              <w:rPr>
                <w:sz w:val="20"/>
                <w:szCs w:val="20"/>
                <w:color w:val="auto"/>
              </w:rPr>
            </w:pPr>
            <w:r>
              <w:rPr>
                <w:rFonts w:ascii="Times New Roman" w:cs="Times New Roman" w:eastAsia="Times New Roman" w:hAnsi="Times New Roman"/>
                <w:sz w:val="13"/>
                <w:szCs w:val="13"/>
                <w:color w:val="auto"/>
              </w:rPr>
              <w:t>Whole Foods</w:t>
            </w:r>
          </w:p>
        </w:tc>
        <w:tc>
          <w:tcPr>
            <w:tcW w:w="272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Nordstrom Rack / HomeGoods / Dick's Sporting</w:t>
            </w:r>
          </w:p>
        </w:tc>
        <w:tc>
          <w:tcPr>
            <w:tcW w:w="0" w:type="dxa"/>
            <w:vAlign w:val="bottom"/>
          </w:tcPr>
          <w:p>
            <w:pPr>
              <w:spacing w:after="0"/>
              <w:rPr>
                <w:sz w:val="1"/>
                <w:szCs w:val="1"/>
                <w:color w:val="auto"/>
              </w:rPr>
            </w:pPr>
          </w:p>
        </w:tc>
      </w:tr>
      <w:tr>
        <w:trPr>
          <w:trHeight w:val="169"/>
        </w:trPr>
        <w:tc>
          <w:tcPr>
            <w:tcW w:w="10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The Point</w:t>
            </w: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Goods / Multiple Restaurants</w:t>
            </w:r>
          </w:p>
        </w:tc>
        <w:tc>
          <w:tcPr>
            <w:tcW w:w="0" w:type="dxa"/>
            <w:vAlign w:val="bottom"/>
          </w:tcPr>
          <w:p>
            <w:pPr>
              <w:spacing w:after="0"/>
              <w:rPr>
                <w:sz w:val="1"/>
                <w:szCs w:val="1"/>
                <w:color w:val="auto"/>
              </w:rPr>
            </w:pPr>
          </w:p>
        </w:tc>
      </w:tr>
      <w:tr>
        <w:trPr>
          <w:trHeight w:val="170"/>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w w:val="98"/>
              </w:rPr>
              <w:t>San Antonio Center</w:t>
            </w: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8"/>
              </w:rPr>
              <w:t>(4)(5)</w:t>
            </w:r>
          </w:p>
        </w:tc>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San Jose-Sunnyvale-Santa Clara, CA</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52,247</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7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141,000</w:t>
            </w:r>
          </w:p>
        </w:tc>
        <w:tc>
          <w:tcPr>
            <w:tcW w:w="122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6"/>
              </w:rPr>
              <w:t>Trader Joe's / Walmart</w:t>
            </w:r>
          </w:p>
        </w:tc>
        <w:tc>
          <w:tcPr>
            <w:tcW w:w="2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24 Hour Fitness</w:t>
            </w:r>
          </w:p>
        </w:tc>
        <w:tc>
          <w:tcPr>
            <w:tcW w:w="0" w:type="dxa"/>
            <w:vAlign w:val="bottom"/>
          </w:tcPr>
          <w:p>
            <w:pPr>
              <w:spacing w:after="0"/>
              <w:rPr>
                <w:sz w:val="1"/>
                <w:szCs w:val="1"/>
                <w:color w:val="auto"/>
              </w:rPr>
            </w:pPr>
          </w:p>
        </w:tc>
      </w:tr>
      <w:tr>
        <w:trPr>
          <w:trHeight w:val="127"/>
        </w:trPr>
        <w:tc>
          <w:tcPr>
            <w:tcW w:w="1060" w:type="dxa"/>
            <w:vAlign w:val="bottom"/>
            <w:gridSpan w:val="3"/>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Santana Row</w:t>
            </w:r>
          </w:p>
        </w:tc>
        <w:tc>
          <w:tcPr>
            <w:tcW w:w="400" w:type="dxa"/>
            <w:vAlign w:val="bottom"/>
            <w:gridSpan w:val="2"/>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w w:val="92"/>
              </w:rPr>
              <w:t>(4)</w:t>
            </w:r>
          </w:p>
        </w:tc>
        <w:tc>
          <w:tcPr>
            <w:tcW w:w="21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San Jose-Sunnyvale-Santa Clara, CA</w:t>
            </w: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1,334,971</w:t>
            </w:r>
          </w:p>
        </w:tc>
        <w:tc>
          <w:tcPr>
            <w:tcW w:w="4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45</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1,231,000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98 %</w:t>
            </w:r>
          </w:p>
        </w:tc>
        <w:tc>
          <w:tcPr>
            <w:tcW w:w="74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w w:val="92"/>
              </w:rPr>
              <w:t>662</w:t>
            </w:r>
          </w:p>
        </w:tc>
        <w:tc>
          <w:tcPr>
            <w:tcW w:w="5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72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Crate &amp; Barrel / Container Store / Best Buy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Sephora /Multiple Restaurants</w:t>
            </w:r>
          </w:p>
        </w:tc>
        <w:tc>
          <w:tcPr>
            <w:tcW w:w="0" w:type="dxa"/>
            <w:vAlign w:val="bottom"/>
          </w:tcPr>
          <w:p>
            <w:pPr>
              <w:spacing w:after="0"/>
              <w:rPr>
                <w:sz w:val="1"/>
                <w:szCs w:val="1"/>
                <w:color w:val="auto"/>
              </w:rPr>
            </w:pPr>
          </w:p>
        </w:tc>
      </w:tr>
      <w:tr>
        <w:trPr>
          <w:trHeight w:val="121"/>
        </w:trPr>
        <w:tc>
          <w:tcPr>
            <w:tcW w:w="106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Sylmar Towne</w:t>
            </w:r>
          </w:p>
        </w:tc>
        <w:tc>
          <w:tcPr>
            <w:tcW w:w="40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(3)</w:t>
            </w:r>
          </w:p>
        </w:tc>
        <w:tc>
          <w:tcPr>
            <w:tcW w:w="21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8"/>
              </w:rPr>
              <w:t>Los Angeles-Long Beach-Anaheim, CA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47,239</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148,000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92 %</w:t>
            </w:r>
          </w:p>
        </w:tc>
        <w:tc>
          <w:tcPr>
            <w:tcW w:w="74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43,000</w:t>
            </w:r>
          </w:p>
        </w:tc>
        <w:tc>
          <w:tcPr>
            <w:tcW w:w="12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Food 4 Less</w:t>
            </w:r>
          </w:p>
        </w:tc>
        <w:tc>
          <w:tcPr>
            <w:tcW w:w="272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CVS</w:t>
            </w:r>
          </w:p>
        </w:tc>
        <w:tc>
          <w:tcPr>
            <w:tcW w:w="0" w:type="dxa"/>
            <w:vAlign w:val="bottom"/>
          </w:tcPr>
          <w:p>
            <w:pPr>
              <w:spacing w:after="0"/>
              <w:rPr>
                <w:sz w:val="1"/>
                <w:szCs w:val="1"/>
                <w:color w:val="auto"/>
              </w:rPr>
            </w:pPr>
          </w:p>
        </w:tc>
      </w:tr>
      <w:tr>
        <w:trPr>
          <w:trHeight w:val="164"/>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Center</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6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Westgate Center</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1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San Jose-Sunnyvale-Santa Clara, CA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158,670</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44</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649,000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92 %</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210,000</w:t>
            </w:r>
          </w:p>
        </w:tc>
        <w:tc>
          <w:tcPr>
            <w:tcW w:w="12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Target / TBA</w:t>
            </w:r>
          </w:p>
        </w:tc>
        <w:tc>
          <w:tcPr>
            <w:tcW w:w="27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Nordstrom Rack / Nike Factory / TJ Maxx / Ross</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2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Dress for Less</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Total California</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3,048,626</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426</w:t>
            </w:r>
          </w:p>
        </w:tc>
        <w:tc>
          <w:tcPr>
            <w:tcW w:w="8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6,257,000</w:t>
            </w:r>
          </w:p>
        </w:tc>
        <w:tc>
          <w:tcPr>
            <w:tcW w:w="80" w:type="dxa"/>
            <w:vAlign w:val="bottom"/>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95 %</w:t>
            </w: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640" w:type="dxa"/>
            <w:vAlign w:val="bottom"/>
            <w:gridSpan w:val="2"/>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40" w:type="dxa"/>
            <w:vAlign w:val="bottom"/>
            <w:gridSpan w:val="4"/>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NY Metro/New Jersey</w:t>
            </w:r>
          </w:p>
        </w:tc>
        <w:tc>
          <w:tcPr>
            <w:tcW w:w="2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06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Brick Plaza</w:t>
            </w:r>
          </w:p>
        </w:tc>
        <w:tc>
          <w:tcPr>
            <w:tcW w:w="400" w:type="dxa"/>
            <w:vAlign w:val="bottom"/>
            <w:gridSpan w:val="2"/>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(4)</w:t>
            </w:r>
          </w:p>
        </w:tc>
        <w:tc>
          <w:tcPr>
            <w:tcW w:w="21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7"/>
              </w:rPr>
              <w:t>New York-Newark-Jersey City, NY-NJ-</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107,592</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46</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403,000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14,000</w:t>
            </w:r>
          </w:p>
        </w:tc>
        <w:tc>
          <w:tcPr>
            <w:tcW w:w="12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Trader Joe's</w:t>
            </w:r>
          </w:p>
        </w:tc>
        <w:tc>
          <w:tcPr>
            <w:tcW w:w="27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AMC / HomeGoods / Ulta / Burlington</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7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6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Brook 35</w:t>
            </w:r>
          </w:p>
        </w:tc>
        <w:tc>
          <w:tcPr>
            <w:tcW w:w="40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color w:val="auto"/>
              </w:rPr>
              <w:t>(3) (5)</w:t>
            </w:r>
          </w:p>
        </w:tc>
        <w:tc>
          <w:tcPr>
            <w:tcW w:w="21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7"/>
              </w:rPr>
              <w:t>New York-Newark-Jersey City, NY-NJ-</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52,489</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72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Banana Republic / Gap</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Darien Commons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Bridgeport-Stamford-Norwalk, CT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151,464</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93 %</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124</w:t>
            </w:r>
          </w:p>
        </w:tc>
        <w:tc>
          <w:tcPr>
            <w:tcW w:w="5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Equinox / Walgreens / Multiple Restaurants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40" w:top="1028" w:right="339" w:bottom="1440" w:gutter="0" w:footer="0" w:header="0"/>
        </w:sectPr>
      </w:pPr>
    </w:p>
    <w:bookmarkStart w:id="22" w:name="page23"/>
    <w:bookmarkEnd w:id="22"/>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June 30, 2024</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Real Estate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Residential</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Grocery</w:t>
            </w:r>
          </w:p>
        </w:tc>
        <w:tc>
          <w:tcPr>
            <w:tcW w:w="11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b w:val="1"/>
                <w:bCs w:val="1"/>
                <w:color w:val="auto"/>
              </w:rPr>
              <w:t>Leased</w:t>
            </w:r>
          </w:p>
        </w:tc>
        <w:tc>
          <w:tcPr>
            <w:tcW w:w="740" w:type="dxa"/>
            <w:vAlign w:val="bottom"/>
            <w:vMerge w:val="continue"/>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Anchor</w:t>
            </w:r>
          </w:p>
        </w:tc>
        <w:tc>
          <w:tcPr>
            <w:tcW w:w="118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4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at Cost</w:t>
            </w:r>
          </w:p>
        </w:tc>
        <w:tc>
          <w:tcPr>
            <w:tcW w:w="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7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GLA (1)</w:t>
            </w:r>
          </w:p>
        </w:tc>
        <w:tc>
          <w:tcPr>
            <w:tcW w:w="5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(1)</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GLA</w:t>
            </w:r>
          </w:p>
        </w:tc>
        <w:tc>
          <w:tcPr>
            <w:tcW w:w="1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Grocery Anchor (2)</w:t>
            </w:r>
          </w:p>
        </w:tc>
        <w:tc>
          <w:tcPr>
            <w:tcW w:w="2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 thousands)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gridSpan w:val="3"/>
          </w:tcPr>
          <w:p>
            <w:pPr>
              <w:ind w:left="20"/>
              <w:spacing w:after="0" w:line="144" w:lineRule="exact"/>
              <w:rPr>
                <w:sz w:val="20"/>
                <w:szCs w:val="20"/>
                <w:color w:val="auto"/>
              </w:rPr>
            </w:pPr>
            <w:r>
              <w:rPr>
                <w:rFonts w:ascii="Times New Roman" w:cs="Times New Roman" w:eastAsia="Times New Roman" w:hAnsi="Times New Roman"/>
                <w:sz w:val="13"/>
                <w:szCs w:val="13"/>
                <w:color w:val="auto"/>
              </w:rPr>
              <w:t>Fresh Meadows</w:t>
            </w:r>
          </w:p>
        </w:tc>
        <w:tc>
          <w:tcPr>
            <w:tcW w:w="420" w:type="dxa"/>
            <w:vAlign w:val="bottom"/>
          </w:tcPr>
          <w:p>
            <w:pPr>
              <w:spacing w:after="0"/>
              <w:rPr>
                <w:sz w:val="12"/>
                <w:szCs w:val="12"/>
                <w:color w:val="auto"/>
              </w:rPr>
            </w:pPr>
          </w:p>
        </w:tc>
        <w:tc>
          <w:tcPr>
            <w:tcW w:w="210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3"/>
                <w:szCs w:val="13"/>
                <w:color w:val="auto"/>
                <w:w w:val="97"/>
              </w:rPr>
              <w:t>New York-Newark-Jersey City, NY-NJ-</w:t>
            </w:r>
          </w:p>
        </w:tc>
        <w:tc>
          <w:tcPr>
            <w:tcW w:w="6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96,777</w:t>
            </w: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408,000</w:t>
            </w:r>
          </w:p>
        </w:tc>
        <w:tc>
          <w:tcPr>
            <w:tcW w:w="80" w:type="dxa"/>
            <w:vAlign w:val="bottom"/>
          </w:tcPr>
          <w:p>
            <w:pPr>
              <w:spacing w:after="0"/>
              <w:rPr>
                <w:sz w:val="12"/>
                <w:szCs w:val="12"/>
                <w:color w:val="auto"/>
              </w:rPr>
            </w:pPr>
          </w:p>
        </w:tc>
        <w:tc>
          <w:tcPr>
            <w:tcW w:w="5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98 %</w:t>
            </w:r>
          </w:p>
        </w:tc>
        <w:tc>
          <w:tcPr>
            <w:tcW w:w="740" w:type="dxa"/>
            <w:vAlign w:val="bottom"/>
          </w:tcPr>
          <w:p>
            <w:pPr>
              <w:spacing w:after="0"/>
              <w:rPr>
                <w:sz w:val="12"/>
                <w:szCs w:val="12"/>
                <w:color w:val="auto"/>
              </w:rPr>
            </w:pPr>
          </w:p>
        </w:tc>
        <w:tc>
          <w:tcPr>
            <w:tcW w:w="54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43,000</w:t>
            </w:r>
          </w:p>
        </w:tc>
        <w:tc>
          <w:tcPr>
            <w:tcW w:w="11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Island of Gold / Lidl</w:t>
            </w:r>
          </w:p>
        </w:tc>
        <w:tc>
          <w:tcPr>
            <w:tcW w:w="276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AMC / Kohl's / Planet Fitness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4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Georgetowne</w:t>
            </w:r>
          </w:p>
        </w:tc>
        <w:tc>
          <w:tcPr>
            <w:tcW w:w="42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7"/>
              </w:rPr>
              <w:t>New York-Newark-Jersey City, NY-NJ-</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86,600</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147,000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92 %</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43,000</w:t>
            </w:r>
          </w:p>
        </w:tc>
        <w:tc>
          <w:tcPr>
            <w:tcW w:w="11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Foodway</w:t>
            </w:r>
          </w:p>
        </w:tc>
        <w:tc>
          <w:tcPr>
            <w:tcW w:w="276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Five Below / IHOP</w:t>
            </w:r>
          </w:p>
        </w:tc>
        <w:tc>
          <w:tcPr>
            <w:tcW w:w="0" w:type="dxa"/>
            <w:vAlign w:val="bottom"/>
          </w:tcPr>
          <w:p>
            <w:pPr>
              <w:spacing w:after="0"/>
              <w:rPr>
                <w:sz w:val="1"/>
                <w:szCs w:val="1"/>
                <w:color w:val="auto"/>
              </w:rPr>
            </w:pPr>
          </w:p>
        </w:tc>
      </w:tr>
      <w:tr>
        <w:trPr>
          <w:trHeight w:val="169"/>
        </w:trPr>
        <w:tc>
          <w:tcPr>
            <w:tcW w:w="10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Shopping Center</w:t>
            </w:r>
          </w:p>
        </w:tc>
        <w:tc>
          <w:tcPr>
            <w:tcW w:w="420" w:type="dxa"/>
            <w:vAlign w:val="bottom"/>
            <w:tcBorders>
              <w:bottom w:val="single" w:sz="8" w:color="CCEEFF"/>
            </w:tcBorders>
            <w:shd w:val="clear" w:color="auto" w:fill="CCEEFF"/>
          </w:tcPr>
          <w:p>
            <w:pPr>
              <w:spacing w:after="0"/>
              <w:rPr>
                <w:sz w:val="14"/>
                <w:szCs w:val="14"/>
                <w:color w:val="auto"/>
              </w:rPr>
            </w:pPr>
          </w:p>
        </w:tc>
        <w:tc>
          <w:tcPr>
            <w:tcW w:w="2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27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Greenlawn Plaza</w:t>
            </w:r>
          </w:p>
        </w:tc>
        <w:tc>
          <w:tcPr>
            <w:tcW w:w="4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w w:val="97"/>
              </w:rPr>
              <w:t>New York-Newark-Jersey City, NY-NJ-</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34,032</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103,000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83 %</w:t>
            </w:r>
          </w:p>
        </w:tc>
        <w:tc>
          <w:tcPr>
            <w:tcW w:w="74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46,000</w:t>
            </w:r>
          </w:p>
        </w:tc>
        <w:tc>
          <w:tcPr>
            <w:tcW w:w="11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Greenlawn Farms</w:t>
            </w:r>
          </w:p>
        </w:tc>
        <w:tc>
          <w:tcPr>
            <w:tcW w:w="276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Planet Fitness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Greenwich Avenue</w:t>
            </w:r>
          </w:p>
        </w:tc>
        <w:tc>
          <w:tcPr>
            <w:tcW w:w="42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Bridgeport-Stamford-Norwalk, CT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23,748</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7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Saks Fifth Avenue</w:t>
            </w:r>
          </w:p>
        </w:tc>
        <w:tc>
          <w:tcPr>
            <w:tcW w:w="0" w:type="dxa"/>
            <w:vAlign w:val="bottom"/>
          </w:tcPr>
          <w:p>
            <w:pPr>
              <w:spacing w:after="0"/>
              <w:rPr>
                <w:sz w:val="1"/>
                <w:szCs w:val="1"/>
                <w:color w:val="auto"/>
              </w:rPr>
            </w:pPr>
          </w:p>
        </w:tc>
      </w:tr>
      <w:tr>
        <w:trPr>
          <w:trHeight w:val="121"/>
        </w:trPr>
        <w:tc>
          <w:tcPr>
            <w:tcW w:w="10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Hauppauge</w:t>
            </w:r>
          </w:p>
        </w:tc>
        <w:tc>
          <w:tcPr>
            <w:tcW w:w="4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w w:val="97"/>
              </w:rPr>
              <w:t>New York-Newark-Jersey City, NY-NJ-</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39,794</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134,000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74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61,000</w:t>
            </w:r>
          </w:p>
        </w:tc>
        <w:tc>
          <w:tcPr>
            <w:tcW w:w="11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Shop Rite</w:t>
            </w:r>
          </w:p>
        </w:tc>
        <w:tc>
          <w:tcPr>
            <w:tcW w:w="276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TJ Maxx / Five Below</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4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Hoboken</w:t>
            </w:r>
          </w:p>
        </w:tc>
        <w:tc>
          <w:tcPr>
            <w:tcW w:w="42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(3)</w:t>
            </w:r>
          </w:p>
        </w:tc>
        <w:tc>
          <w:tcPr>
            <w:tcW w:w="21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7"/>
              </w:rPr>
              <w:t>New York-Newark-Jersey City, NY-NJ-</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228,726</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171,000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7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129</w:t>
            </w:r>
          </w:p>
        </w:tc>
        <w:tc>
          <w:tcPr>
            <w:tcW w:w="5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276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w w:val="98"/>
              </w:rPr>
              <w:t>Nike Live / CVS / New York Sports Club / Sephora</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(6)</w:t>
            </w:r>
          </w:p>
        </w:tc>
        <w:tc>
          <w:tcPr>
            <w:tcW w:w="2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27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 Multiple Restaurants</w:t>
            </w:r>
          </w:p>
        </w:tc>
        <w:tc>
          <w:tcPr>
            <w:tcW w:w="0" w:type="dxa"/>
            <w:vAlign w:val="bottom"/>
          </w:tcPr>
          <w:p>
            <w:pPr>
              <w:spacing w:after="0"/>
              <w:rPr>
                <w:sz w:val="1"/>
                <w:szCs w:val="1"/>
                <w:color w:val="auto"/>
              </w:rPr>
            </w:pPr>
          </w:p>
        </w:tc>
      </w:tr>
      <w:tr>
        <w:trPr>
          <w:trHeight w:val="122"/>
        </w:trPr>
        <w:tc>
          <w:tcPr>
            <w:tcW w:w="10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Huntington</w:t>
            </w:r>
          </w:p>
        </w:tc>
        <w:tc>
          <w:tcPr>
            <w:tcW w:w="4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w w:val="97"/>
              </w:rPr>
              <w:t>New York-Newark-Jersey City, NY-NJ-</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109,773</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207,000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74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43,000</w:t>
            </w:r>
          </w:p>
        </w:tc>
        <w:tc>
          <w:tcPr>
            <w:tcW w:w="11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Whole Foods</w:t>
            </w:r>
          </w:p>
        </w:tc>
        <w:tc>
          <w:tcPr>
            <w:tcW w:w="276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Petsmart / Michaels / REI / Ulta / Container Store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4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Huntington Square</w:t>
            </w:r>
          </w:p>
        </w:tc>
        <w:tc>
          <w:tcPr>
            <w:tcW w:w="42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7"/>
              </w:rPr>
              <w:t>New York-Newark-Jersey City, NY-NJ-</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51,835</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244,000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20,000</w:t>
            </w:r>
          </w:p>
        </w:tc>
        <w:tc>
          <w:tcPr>
            <w:tcW w:w="11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TBA / Stop &amp; Shop</w:t>
            </w:r>
          </w:p>
        </w:tc>
        <w:tc>
          <w:tcPr>
            <w:tcW w:w="276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At Home / AMC</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2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w:t>
            </w:r>
          </w:p>
        </w:tc>
        <w:tc>
          <w:tcPr>
            <w:tcW w:w="27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Melville Mall</w:t>
            </w:r>
          </w:p>
        </w:tc>
        <w:tc>
          <w:tcPr>
            <w:tcW w:w="4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(4)</w:t>
            </w: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w w:val="97"/>
              </w:rPr>
              <w:t>New York-Newark-Jersey City, NY-NJ-</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105,161</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253,000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4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53,000</w:t>
            </w:r>
          </w:p>
        </w:tc>
        <w:tc>
          <w:tcPr>
            <w:tcW w:w="11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Uncle Giuseppe's</w:t>
            </w:r>
          </w:p>
        </w:tc>
        <w:tc>
          <w:tcPr>
            <w:tcW w:w="276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Marshalls / Dick's Sporting Goods / Macy's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Marketplace</w:t>
            </w:r>
          </w:p>
        </w:tc>
        <w:tc>
          <w:tcPr>
            <w:tcW w:w="27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Backstage / Public Lands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4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Mercer on One</w:t>
            </w:r>
          </w:p>
        </w:tc>
        <w:tc>
          <w:tcPr>
            <w:tcW w:w="42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(4)</w:t>
            </w:r>
          </w:p>
        </w:tc>
        <w:tc>
          <w:tcPr>
            <w:tcW w:w="21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Trenton, NJ</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120,414</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50</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549,000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75,000</w:t>
            </w:r>
          </w:p>
        </w:tc>
        <w:tc>
          <w:tcPr>
            <w:tcW w:w="11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Shop Rite</w:t>
            </w:r>
          </w:p>
        </w:tc>
        <w:tc>
          <w:tcPr>
            <w:tcW w:w="276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w w:val="97"/>
              </w:rPr>
              <w:t>Nike / Ross Dress for Less / Nordstrom Rack / REI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7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27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Tesla</w:t>
            </w:r>
          </w:p>
        </w:tc>
        <w:tc>
          <w:tcPr>
            <w:tcW w:w="0" w:type="dxa"/>
            <w:vAlign w:val="bottom"/>
          </w:tcPr>
          <w:p>
            <w:pPr>
              <w:spacing w:after="0"/>
              <w:rPr>
                <w:sz w:val="1"/>
                <w:szCs w:val="1"/>
                <w:color w:val="auto"/>
              </w:rPr>
            </w:pPr>
          </w:p>
        </w:tc>
      </w:tr>
      <w:tr>
        <w:trPr>
          <w:trHeight w:val="122"/>
        </w:trPr>
        <w:tc>
          <w:tcPr>
            <w:tcW w:w="10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The Grove at</w:t>
            </w:r>
          </w:p>
        </w:tc>
        <w:tc>
          <w:tcPr>
            <w:tcW w:w="4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(3) (5)</w:t>
            </w: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w w:val="97"/>
              </w:rPr>
              <w:t>New York-Newark-Jersey City, NY-NJ-</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134,680</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192,000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76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Lululemon / Anthropologie / Pottery Barn /</w:t>
            </w:r>
          </w:p>
        </w:tc>
        <w:tc>
          <w:tcPr>
            <w:tcW w:w="0" w:type="dxa"/>
            <w:vAlign w:val="bottom"/>
          </w:tcPr>
          <w:p>
            <w:pPr>
              <w:spacing w:after="0"/>
              <w:rPr>
                <w:sz w:val="1"/>
                <w:szCs w:val="1"/>
                <w:color w:val="auto"/>
              </w:rPr>
            </w:pPr>
          </w:p>
        </w:tc>
      </w:tr>
      <w:tr>
        <w:trPr>
          <w:trHeight w:val="164"/>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Shrewsbury</w:t>
            </w:r>
          </w:p>
        </w:tc>
        <w:tc>
          <w:tcPr>
            <w:tcW w:w="420" w:type="dxa"/>
            <w:vAlign w:val="bottom"/>
          </w:tcPr>
          <w:p>
            <w:pPr>
              <w:spacing w:after="0"/>
              <w:rPr>
                <w:sz w:val="14"/>
                <w:szCs w:val="14"/>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Williams-Sonoma</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4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Troy Hills</w:t>
            </w:r>
          </w:p>
        </w:tc>
        <w:tc>
          <w:tcPr>
            <w:tcW w:w="42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7"/>
              </w:rPr>
              <w:t>New York-Newark-Jersey City, NY-NJ-</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39,717</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211,000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65,000</w:t>
            </w:r>
          </w:p>
        </w:tc>
        <w:tc>
          <w:tcPr>
            <w:tcW w:w="11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Target</w:t>
            </w:r>
          </w:p>
        </w:tc>
        <w:tc>
          <w:tcPr>
            <w:tcW w:w="276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Michaels</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6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27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Total NY Metro/New Jersey</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1,382,802</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8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3,256,000</w:t>
            </w:r>
          </w:p>
        </w:tc>
        <w:tc>
          <w:tcPr>
            <w:tcW w:w="80" w:type="dxa"/>
            <w:vAlign w:val="bottom"/>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97 %</w:t>
            </w: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0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New England</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04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Assembly Row /</w:t>
            </w:r>
          </w:p>
        </w:tc>
        <w:tc>
          <w:tcPr>
            <w:tcW w:w="42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Boston-Cambridge-Newton, MA-NH</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1,132,677</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65</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1,212,000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7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947</w:t>
            </w: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18,000</w:t>
            </w:r>
          </w:p>
        </w:tc>
        <w:tc>
          <w:tcPr>
            <w:tcW w:w="11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Trader Joe's</w:t>
            </w:r>
          </w:p>
        </w:tc>
        <w:tc>
          <w:tcPr>
            <w:tcW w:w="276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TJ Maxx / AMC / Nike / Multiple Restaurants</w:t>
            </w:r>
          </w:p>
        </w:tc>
        <w:tc>
          <w:tcPr>
            <w:tcW w:w="0" w:type="dxa"/>
            <w:vAlign w:val="bottom"/>
          </w:tcPr>
          <w:p>
            <w:pPr>
              <w:spacing w:after="0"/>
              <w:rPr>
                <w:sz w:val="1"/>
                <w:szCs w:val="1"/>
                <w:color w:val="auto"/>
              </w:rPr>
            </w:pPr>
          </w:p>
        </w:tc>
      </w:tr>
      <w:tr>
        <w:trPr>
          <w:trHeight w:val="121"/>
        </w:trPr>
        <w:tc>
          <w:tcPr>
            <w:tcW w:w="104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Assembly Square</w:t>
            </w:r>
          </w:p>
        </w:tc>
        <w:tc>
          <w:tcPr>
            <w:tcW w:w="4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0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Marketplace</w:t>
            </w:r>
          </w:p>
        </w:tc>
        <w:tc>
          <w:tcPr>
            <w:tcW w:w="4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7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27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Campus Plaza</w:t>
            </w:r>
          </w:p>
        </w:tc>
        <w:tc>
          <w:tcPr>
            <w:tcW w:w="420" w:type="dxa"/>
            <w:vAlign w:val="bottom"/>
          </w:tcPr>
          <w:p>
            <w:pPr>
              <w:spacing w:after="0"/>
              <w:rPr>
                <w:sz w:val="14"/>
                <w:szCs w:val="14"/>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Boston-Cambridge-Newton, MA-NH</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31,979</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95 %</w:t>
            </w:r>
          </w:p>
        </w:tc>
        <w:tc>
          <w:tcPr>
            <w:tcW w:w="7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46,000</w:t>
            </w:r>
          </w:p>
        </w:tc>
        <w:tc>
          <w:tcPr>
            <w:tcW w:w="11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Roche Bros.</w:t>
            </w:r>
          </w:p>
        </w:tc>
        <w:tc>
          <w:tcPr>
            <w:tcW w:w="27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Burlington / Five Below</w:t>
            </w:r>
          </w:p>
        </w:tc>
        <w:tc>
          <w:tcPr>
            <w:tcW w:w="0" w:type="dxa"/>
            <w:vAlign w:val="bottom"/>
          </w:tcPr>
          <w:p>
            <w:pPr>
              <w:spacing w:after="0"/>
              <w:rPr>
                <w:sz w:val="1"/>
                <w:szCs w:val="1"/>
                <w:color w:val="auto"/>
              </w:rPr>
            </w:pPr>
          </w:p>
        </w:tc>
      </w:tr>
      <w:tr>
        <w:trPr>
          <w:trHeight w:val="181"/>
        </w:trPr>
        <w:tc>
          <w:tcPr>
            <w:tcW w:w="1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Chelsea Commons</w:t>
            </w:r>
          </w:p>
        </w:tc>
        <w:tc>
          <w:tcPr>
            <w:tcW w:w="42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Boston-Cambridge-Newton, MA-NH</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39,072</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7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Home Depot / Planet Fitness / CVS / Burlington</w:t>
            </w:r>
          </w:p>
        </w:tc>
        <w:tc>
          <w:tcPr>
            <w:tcW w:w="0" w:type="dxa"/>
            <w:vAlign w:val="bottom"/>
          </w:tcPr>
          <w:p>
            <w:pPr>
              <w:spacing w:after="0"/>
              <w:rPr>
                <w:sz w:val="1"/>
                <w:szCs w:val="1"/>
                <w:color w:val="auto"/>
              </w:rPr>
            </w:pPr>
          </w:p>
        </w:tc>
      </w:tr>
      <w:tr>
        <w:trPr>
          <w:trHeight w:val="170"/>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Dedham Plaza</w:t>
            </w:r>
          </w:p>
        </w:tc>
        <w:tc>
          <w:tcPr>
            <w:tcW w:w="420" w:type="dxa"/>
            <w:vAlign w:val="bottom"/>
          </w:tcPr>
          <w:p>
            <w:pPr>
              <w:spacing w:after="0"/>
              <w:rPr>
                <w:sz w:val="14"/>
                <w:szCs w:val="14"/>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Boston-Cambridge-Newton, MA-NH</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52,387</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92 %</w:t>
            </w:r>
          </w:p>
        </w:tc>
        <w:tc>
          <w:tcPr>
            <w:tcW w:w="7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80,000</w:t>
            </w:r>
          </w:p>
        </w:tc>
        <w:tc>
          <w:tcPr>
            <w:tcW w:w="11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Star Market</w:t>
            </w:r>
          </w:p>
        </w:tc>
        <w:tc>
          <w:tcPr>
            <w:tcW w:w="27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Planet Fitness</w:t>
            </w:r>
          </w:p>
        </w:tc>
        <w:tc>
          <w:tcPr>
            <w:tcW w:w="0" w:type="dxa"/>
            <w:vAlign w:val="bottom"/>
          </w:tcPr>
          <w:p>
            <w:pPr>
              <w:spacing w:after="0"/>
              <w:rPr>
                <w:sz w:val="1"/>
                <w:szCs w:val="1"/>
                <w:color w:val="auto"/>
              </w:rPr>
            </w:pPr>
          </w:p>
        </w:tc>
      </w:tr>
      <w:tr>
        <w:trPr>
          <w:trHeight w:val="181"/>
        </w:trPr>
        <w:tc>
          <w:tcPr>
            <w:tcW w:w="1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Linden Square</w:t>
            </w:r>
          </w:p>
        </w:tc>
        <w:tc>
          <w:tcPr>
            <w:tcW w:w="42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Boston-Cambridge-Newton, MA-NH</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158,267</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97 %</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7</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50,000</w:t>
            </w:r>
          </w:p>
        </w:tc>
        <w:tc>
          <w:tcPr>
            <w:tcW w:w="1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Roche Bros.</w:t>
            </w:r>
          </w:p>
        </w:tc>
        <w:tc>
          <w:tcPr>
            <w:tcW w:w="2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CVS / Multiple Restaurants</w:t>
            </w:r>
          </w:p>
        </w:tc>
        <w:tc>
          <w:tcPr>
            <w:tcW w:w="0" w:type="dxa"/>
            <w:vAlign w:val="bottom"/>
          </w:tcPr>
          <w:p>
            <w:pPr>
              <w:spacing w:after="0"/>
              <w:rPr>
                <w:sz w:val="1"/>
                <w:szCs w:val="1"/>
                <w:color w:val="auto"/>
              </w:rPr>
            </w:pPr>
          </w:p>
        </w:tc>
      </w:tr>
      <w:tr>
        <w:trPr>
          <w:trHeight w:val="170"/>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North Dartmouth</w:t>
            </w:r>
          </w:p>
        </w:tc>
        <w:tc>
          <w:tcPr>
            <w:tcW w:w="420" w:type="dxa"/>
            <w:vAlign w:val="bottom"/>
          </w:tcPr>
          <w:p>
            <w:pPr>
              <w:spacing w:after="0"/>
              <w:rPr>
                <w:sz w:val="14"/>
                <w:szCs w:val="14"/>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Providence-Warwick, RI-MA</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9,369</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7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48,000</w:t>
            </w:r>
          </w:p>
        </w:tc>
        <w:tc>
          <w:tcPr>
            <w:tcW w:w="11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Stop &amp; Shop</w:t>
            </w:r>
          </w:p>
        </w:tc>
        <w:tc>
          <w:tcPr>
            <w:tcW w:w="2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Queen Anne Plaza</w:t>
            </w:r>
          </w:p>
        </w:tc>
        <w:tc>
          <w:tcPr>
            <w:tcW w:w="42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Boston-Cambridge-Newton, MA-NH</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19,691</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149,000</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99 %</w:t>
            </w:r>
          </w:p>
        </w:tc>
        <w:tc>
          <w:tcPr>
            <w:tcW w:w="74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50,000</w:t>
            </w:r>
          </w:p>
        </w:tc>
        <w:tc>
          <w:tcPr>
            <w:tcW w:w="1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Big Y Foods</w:t>
            </w:r>
          </w:p>
        </w:tc>
        <w:tc>
          <w:tcPr>
            <w:tcW w:w="2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TJ Maxx / HomeGoods</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Total New England</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1,443,442</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2,231,000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97 %</w:t>
            </w: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gridSpan w:val="5"/>
          </w:tcPr>
          <w:p>
            <w:pPr>
              <w:jc w:val="right"/>
              <w:ind w:right="1697"/>
              <w:spacing w:after="0" w:line="135" w:lineRule="exact"/>
              <w:rPr>
                <w:sz w:val="20"/>
                <w:szCs w:val="20"/>
                <w:color w:val="auto"/>
              </w:rPr>
            </w:pPr>
            <w:r>
              <w:rPr>
                <w:rFonts w:ascii="Times New Roman" w:cs="Times New Roman" w:eastAsia="Times New Roman" w:hAnsi="Times New Roman"/>
                <w:sz w:val="13"/>
                <w:szCs w:val="13"/>
                <w:b w:val="1"/>
                <w:bCs w:val="1"/>
                <w:color w:val="auto"/>
                <w:w w:val="99"/>
              </w:rPr>
              <w:t>Philadelphia Metropolitan Area</w:t>
            </w: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04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Andorra</w:t>
            </w:r>
          </w:p>
        </w:tc>
        <w:tc>
          <w:tcPr>
            <w:tcW w:w="42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9"/>
              </w:rPr>
              <w:t>Philadelphia-Camden-Wilmington, PA-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34,447</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252,000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31,000</w:t>
            </w:r>
          </w:p>
        </w:tc>
        <w:tc>
          <w:tcPr>
            <w:tcW w:w="11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TBA</w:t>
            </w:r>
          </w:p>
        </w:tc>
        <w:tc>
          <w:tcPr>
            <w:tcW w:w="276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TJ Maxx / Kohl's / L.A. Fitness / Five Below</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2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NJ-DE-MD</w:t>
            </w: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27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Bala Cynwyd</w:t>
            </w:r>
          </w:p>
        </w:tc>
        <w:tc>
          <w:tcPr>
            <w:tcW w:w="4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w w:val="99"/>
              </w:rPr>
              <w:t>Philadelphia-Camden-Wilmington, PA-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73,392</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174,000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1"/>
              </w:rPr>
              <w:t>87</w:t>
            </w: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45,000</w:t>
            </w:r>
          </w:p>
        </w:tc>
        <w:tc>
          <w:tcPr>
            <w:tcW w:w="11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Acme Markets</w:t>
            </w:r>
          </w:p>
        </w:tc>
        <w:tc>
          <w:tcPr>
            <w:tcW w:w="276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Michaels / L.A. Fitness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NJ-DE-MD</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4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Ellisburg</w:t>
            </w:r>
          </w:p>
        </w:tc>
        <w:tc>
          <w:tcPr>
            <w:tcW w:w="42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9"/>
              </w:rPr>
              <w:t>Philadelphia-Camden-Wilmington, PA-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39,635</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28</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260,000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47,000</w:t>
            </w:r>
          </w:p>
        </w:tc>
        <w:tc>
          <w:tcPr>
            <w:tcW w:w="11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Whole Foods</w:t>
            </w:r>
          </w:p>
        </w:tc>
        <w:tc>
          <w:tcPr>
            <w:tcW w:w="276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Five Below / RH Outlet / Buy Buy Baby</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2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NJ-DE-MD</w:t>
            </w: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27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Flourtown</w:t>
            </w:r>
          </w:p>
        </w:tc>
        <w:tc>
          <w:tcPr>
            <w:tcW w:w="4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w w:val="99"/>
              </w:rPr>
              <w:t>Philadelphia-Camden-Wilmington, PA-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19,918</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158,000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74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75,000</w:t>
            </w:r>
          </w:p>
        </w:tc>
        <w:tc>
          <w:tcPr>
            <w:tcW w:w="11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76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Movie Tavern</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NJ-DE-MD</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4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Langhorne Square</w:t>
            </w:r>
          </w:p>
        </w:tc>
        <w:tc>
          <w:tcPr>
            <w:tcW w:w="42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9"/>
              </w:rPr>
              <w:t>Philadelphia-Camden-Wilmington, PA-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24,650</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224,000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55,000</w:t>
            </w:r>
          </w:p>
        </w:tc>
        <w:tc>
          <w:tcPr>
            <w:tcW w:w="11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Redner's Warehouse</w:t>
            </w:r>
          </w:p>
        </w:tc>
        <w:tc>
          <w:tcPr>
            <w:tcW w:w="276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Marshalls / Planet Fitness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2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NJ-DE-MD</w:t>
            </w: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Markets</w:t>
            </w:r>
          </w:p>
        </w:tc>
        <w:tc>
          <w:tcPr>
            <w:tcW w:w="27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Lawrence Park</w:t>
            </w:r>
          </w:p>
        </w:tc>
        <w:tc>
          <w:tcPr>
            <w:tcW w:w="420" w:type="dxa"/>
            <w:vAlign w:val="bottom"/>
          </w:tcPr>
          <w:p>
            <w:pPr>
              <w:spacing w:after="0"/>
              <w:rPr>
                <w:sz w:val="10"/>
                <w:szCs w:val="10"/>
                <w:color w:val="auto"/>
              </w:rPr>
            </w:pPr>
          </w:p>
        </w:tc>
        <w:tc>
          <w:tcPr>
            <w:tcW w:w="2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w w:val="99"/>
              </w:rPr>
              <w:t>Philadelphia-Camden-Wilmington, PA-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66,970</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357,000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74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53,000</w:t>
            </w:r>
          </w:p>
        </w:tc>
        <w:tc>
          <w:tcPr>
            <w:tcW w:w="11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Acme Markets</w:t>
            </w:r>
          </w:p>
        </w:tc>
        <w:tc>
          <w:tcPr>
            <w:tcW w:w="276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TJ Maxx / HomeGoods / Barnes &amp; Noble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NJ-DE-MD</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4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Northeast</w:t>
            </w:r>
          </w:p>
        </w:tc>
        <w:tc>
          <w:tcPr>
            <w:tcW w:w="42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9"/>
              </w:rPr>
              <w:t>Philadelphia-Camden-Wilmington, PA-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35,923</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209,000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86 %</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1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Lidl (S)</w:t>
            </w:r>
          </w:p>
        </w:tc>
        <w:tc>
          <w:tcPr>
            <w:tcW w:w="276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Marshalls / Ulta / Skechers / Crunch Fitness</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NJ-DE-MD</w:t>
            </w: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340" w:top="1028" w:right="339"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June 30, 2024</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Real Estate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Residential</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Grocery</w:t>
            </w:r>
          </w:p>
        </w:tc>
        <w:tc>
          <w:tcPr>
            <w:tcW w:w="12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b w:val="1"/>
                <w:bCs w:val="1"/>
                <w:color w:val="auto"/>
              </w:rPr>
              <w:t>Leased</w:t>
            </w:r>
          </w:p>
        </w:tc>
        <w:tc>
          <w:tcPr>
            <w:tcW w:w="740" w:type="dxa"/>
            <w:vAlign w:val="bottom"/>
            <w:vMerge w:val="continue"/>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Anchor</w:t>
            </w:r>
          </w:p>
        </w:tc>
        <w:tc>
          <w:tcPr>
            <w:tcW w:w="12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3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at Cost</w:t>
            </w:r>
          </w:p>
        </w:tc>
        <w:tc>
          <w:tcPr>
            <w:tcW w:w="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7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GLA (1)</w:t>
            </w:r>
          </w:p>
        </w:tc>
        <w:tc>
          <w:tcPr>
            <w:tcW w:w="5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(1)</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GLA</w:t>
            </w:r>
          </w:p>
        </w:tc>
        <w:tc>
          <w:tcPr>
            <w:tcW w:w="1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Grocery Anchor (2)</w:t>
            </w:r>
          </w:p>
        </w:tc>
        <w:tc>
          <w:tcPr>
            <w:tcW w:w="2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 thousands)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100" w:type="dxa"/>
            <w:vAlign w:val="bottom"/>
            <w:gridSpan w:val="6"/>
          </w:tcPr>
          <w:p>
            <w:pPr>
              <w:ind w:left="20"/>
              <w:spacing w:after="0" w:line="144" w:lineRule="exact"/>
              <w:rPr>
                <w:sz w:val="20"/>
                <w:szCs w:val="20"/>
                <w:color w:val="auto"/>
              </w:rPr>
            </w:pPr>
            <w:r>
              <w:rPr>
                <w:rFonts w:ascii="Times New Roman" w:cs="Times New Roman" w:eastAsia="Times New Roman" w:hAnsi="Times New Roman"/>
                <w:sz w:val="13"/>
                <w:szCs w:val="13"/>
                <w:color w:val="auto"/>
              </w:rPr>
              <w:t>Willow Grove</w:t>
            </w:r>
          </w:p>
        </w:tc>
        <w:tc>
          <w:tcPr>
            <w:tcW w:w="320" w:type="dxa"/>
            <w:vAlign w:val="bottom"/>
          </w:tcPr>
          <w:p>
            <w:pPr>
              <w:spacing w:after="0"/>
              <w:rPr>
                <w:sz w:val="12"/>
                <w:szCs w:val="12"/>
                <w:color w:val="auto"/>
              </w:rPr>
            </w:pPr>
          </w:p>
        </w:tc>
        <w:tc>
          <w:tcPr>
            <w:tcW w:w="214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w w:val="99"/>
              </w:rPr>
              <w:t>Philadelphia-Camden-Wilmington, PA-</w:t>
            </w:r>
          </w:p>
        </w:tc>
        <w:tc>
          <w:tcPr>
            <w:tcW w:w="6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52,568</w:t>
            </w: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83,000</w:t>
            </w:r>
          </w:p>
        </w:tc>
        <w:tc>
          <w:tcPr>
            <w:tcW w:w="80" w:type="dxa"/>
            <w:vAlign w:val="bottom"/>
          </w:tcPr>
          <w:p>
            <w:pPr>
              <w:spacing w:after="0"/>
              <w:rPr>
                <w:sz w:val="12"/>
                <w:szCs w:val="12"/>
                <w:color w:val="auto"/>
              </w:rPr>
            </w:pPr>
          </w:p>
        </w:tc>
        <w:tc>
          <w:tcPr>
            <w:tcW w:w="5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98 %</w:t>
            </w:r>
          </w:p>
        </w:tc>
        <w:tc>
          <w:tcPr>
            <w:tcW w:w="740" w:type="dxa"/>
            <w:vAlign w:val="bottom"/>
          </w:tcPr>
          <w:p>
            <w:pPr>
              <w:spacing w:after="0"/>
              <w:rPr>
                <w:sz w:val="12"/>
                <w:szCs w:val="12"/>
                <w:color w:val="auto"/>
              </w:rPr>
            </w:pPr>
          </w:p>
        </w:tc>
        <w:tc>
          <w:tcPr>
            <w:tcW w:w="54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31,000</w:t>
            </w:r>
          </w:p>
        </w:tc>
        <w:tc>
          <w:tcPr>
            <w:tcW w:w="12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TBA</w:t>
            </w:r>
          </w:p>
        </w:tc>
        <w:tc>
          <w:tcPr>
            <w:tcW w:w="272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Marshalls / Five Below</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NJ-DE-MD</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100" w:type="dxa"/>
            <w:vAlign w:val="bottom"/>
            <w:gridSpan w:val="6"/>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Wynnewood</w:t>
            </w:r>
          </w:p>
        </w:tc>
        <w:tc>
          <w:tcPr>
            <w:tcW w:w="320" w:type="dxa"/>
            <w:vAlign w:val="bottom"/>
            <w:shd w:val="clear" w:color="auto" w:fill="CCEEFF"/>
          </w:tcPr>
          <w:p>
            <w:pPr>
              <w:spacing w:after="0"/>
              <w:rPr>
                <w:sz w:val="10"/>
                <w:szCs w:val="10"/>
                <w:color w:val="auto"/>
              </w:rPr>
            </w:pPr>
          </w:p>
        </w:tc>
        <w:tc>
          <w:tcPr>
            <w:tcW w:w="21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w w:val="99"/>
              </w:rPr>
              <w:t>Philadelphia-Camden-Wilmington, PA-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44,863</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240,000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77 %</w:t>
            </w:r>
          </w:p>
        </w:tc>
        <w:tc>
          <w:tcPr>
            <w:tcW w:w="7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1"/>
              </w:rPr>
              <w:t>9</w:t>
            </w: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98,000</w:t>
            </w:r>
          </w:p>
        </w:tc>
        <w:tc>
          <w:tcPr>
            <w:tcW w:w="12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7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Old Navy / DSW</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NJ-DE-MD</w:t>
            </w:r>
          </w:p>
        </w:tc>
        <w:tc>
          <w:tcPr>
            <w:tcW w:w="6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27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w w:val="98"/>
              </w:rPr>
              <w:t>Total Philadelphia Metropolitan Area</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392,366</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8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1,957,000</w:t>
            </w:r>
          </w:p>
        </w:tc>
        <w:tc>
          <w:tcPr>
            <w:tcW w:w="80" w:type="dxa"/>
            <w:vAlign w:val="bottom"/>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94 %</w:t>
            </w: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gridSpan w:val="5"/>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South Florida</w:t>
            </w:r>
          </w:p>
        </w:tc>
        <w:tc>
          <w:tcPr>
            <w:tcW w:w="3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100" w:type="dxa"/>
            <w:vAlign w:val="bottom"/>
            <w:gridSpan w:val="6"/>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CocoWalk</w:t>
            </w:r>
          </w:p>
        </w:tc>
        <w:tc>
          <w:tcPr>
            <w:tcW w:w="3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(7)</w:t>
            </w:r>
          </w:p>
        </w:tc>
        <w:tc>
          <w:tcPr>
            <w:tcW w:w="21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Miami-Fort Lauderdale-West Palm</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205,523</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277,000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27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Cinepolis Theaters / Youfit Health Club / Multiple</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Beach, FL</w:t>
            </w: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Restaurants</w:t>
            </w:r>
          </w:p>
        </w:tc>
        <w:tc>
          <w:tcPr>
            <w:tcW w:w="0" w:type="dxa"/>
            <w:vAlign w:val="bottom"/>
          </w:tcPr>
          <w:p>
            <w:pPr>
              <w:spacing w:after="0"/>
              <w:rPr>
                <w:sz w:val="1"/>
                <w:szCs w:val="1"/>
                <w:color w:val="auto"/>
              </w:rPr>
            </w:pPr>
          </w:p>
        </w:tc>
      </w:tr>
      <w:tr>
        <w:trPr>
          <w:trHeight w:val="122"/>
        </w:trPr>
        <w:tc>
          <w:tcPr>
            <w:tcW w:w="1100" w:type="dxa"/>
            <w:vAlign w:val="bottom"/>
            <w:gridSpan w:val="6"/>
          </w:tcPr>
          <w:p>
            <w:pPr>
              <w:ind w:left="20"/>
              <w:spacing w:after="0" w:line="122" w:lineRule="exact"/>
              <w:rPr>
                <w:sz w:val="20"/>
                <w:szCs w:val="20"/>
                <w:color w:val="auto"/>
              </w:rPr>
            </w:pPr>
            <w:r>
              <w:rPr>
                <w:rFonts w:ascii="Times New Roman" w:cs="Times New Roman" w:eastAsia="Times New Roman" w:hAnsi="Times New Roman"/>
                <w:sz w:val="13"/>
                <w:szCs w:val="13"/>
                <w:color w:val="auto"/>
              </w:rPr>
              <w:t>Del Mar Village</w:t>
            </w:r>
          </w:p>
        </w:tc>
        <w:tc>
          <w:tcPr>
            <w:tcW w:w="320" w:type="dxa"/>
            <w:vAlign w:val="bottom"/>
          </w:tcPr>
          <w:p>
            <w:pPr>
              <w:spacing w:after="0"/>
              <w:rPr>
                <w:sz w:val="10"/>
                <w:szCs w:val="10"/>
                <w:color w:val="auto"/>
              </w:rPr>
            </w:pPr>
          </w:p>
        </w:tc>
        <w:tc>
          <w:tcPr>
            <w:tcW w:w="21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Miami-Fort Lauderdale-West Palm</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76,070</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187,000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74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44,000</w:t>
            </w:r>
          </w:p>
        </w:tc>
        <w:tc>
          <w:tcPr>
            <w:tcW w:w="12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Winn Dixie</w:t>
            </w:r>
          </w:p>
        </w:tc>
        <w:tc>
          <w:tcPr>
            <w:tcW w:w="272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L.A. Fitness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Beach, FL</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100" w:type="dxa"/>
            <w:vAlign w:val="bottom"/>
            <w:gridSpan w:val="6"/>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Shops at Pembroke</w:t>
            </w:r>
          </w:p>
        </w:tc>
        <w:tc>
          <w:tcPr>
            <w:tcW w:w="320" w:type="dxa"/>
            <w:vAlign w:val="bottom"/>
            <w:shd w:val="clear" w:color="auto" w:fill="CCEEFF"/>
          </w:tcPr>
          <w:p>
            <w:pPr>
              <w:spacing w:after="0"/>
              <w:rPr>
                <w:sz w:val="10"/>
                <w:szCs w:val="10"/>
                <w:color w:val="auto"/>
              </w:rPr>
            </w:pPr>
          </w:p>
        </w:tc>
        <w:tc>
          <w:tcPr>
            <w:tcW w:w="21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Miami-Fort Lauderdale-West Palm</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183,857</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41</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391,000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27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Nike Factory / Old Navy / DSW / Barnes &amp; Noble</w:t>
            </w:r>
          </w:p>
        </w:tc>
        <w:tc>
          <w:tcPr>
            <w:tcW w:w="0" w:type="dxa"/>
            <w:vAlign w:val="bottom"/>
          </w:tcPr>
          <w:p>
            <w:pPr>
              <w:spacing w:after="0"/>
              <w:rPr>
                <w:sz w:val="1"/>
                <w:szCs w:val="1"/>
                <w:color w:val="auto"/>
              </w:rPr>
            </w:pPr>
          </w:p>
        </w:tc>
      </w:tr>
      <w:tr>
        <w:trPr>
          <w:trHeight w:val="169"/>
        </w:trPr>
        <w:tc>
          <w:tcPr>
            <w:tcW w:w="110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Gardens</w:t>
            </w:r>
          </w:p>
        </w:tc>
        <w:tc>
          <w:tcPr>
            <w:tcW w:w="32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Beach, FL</w:t>
            </w: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7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00" w:type="dxa"/>
            <w:vAlign w:val="bottom"/>
            <w:gridSpan w:val="6"/>
          </w:tcPr>
          <w:p>
            <w:pPr>
              <w:ind w:left="20"/>
              <w:spacing w:after="0" w:line="122" w:lineRule="exact"/>
              <w:rPr>
                <w:sz w:val="20"/>
                <w:szCs w:val="20"/>
                <w:color w:val="auto"/>
              </w:rPr>
            </w:pPr>
            <w:r>
              <w:rPr>
                <w:rFonts w:ascii="Times New Roman" w:cs="Times New Roman" w:eastAsia="Times New Roman" w:hAnsi="Times New Roman"/>
                <w:sz w:val="13"/>
                <w:szCs w:val="13"/>
                <w:color w:val="auto"/>
              </w:rPr>
              <w:t>Tower Shops</w:t>
            </w:r>
          </w:p>
        </w:tc>
        <w:tc>
          <w:tcPr>
            <w:tcW w:w="320" w:type="dxa"/>
            <w:vAlign w:val="bottom"/>
          </w:tcPr>
          <w:p>
            <w:pPr>
              <w:spacing w:after="0"/>
              <w:rPr>
                <w:sz w:val="10"/>
                <w:szCs w:val="10"/>
                <w:color w:val="auto"/>
              </w:rPr>
            </w:pPr>
          </w:p>
        </w:tc>
        <w:tc>
          <w:tcPr>
            <w:tcW w:w="21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Miami-Fort Lauderdale-West Palm</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106,081</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67</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431,000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74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12,000</w:t>
            </w:r>
          </w:p>
        </w:tc>
        <w:tc>
          <w:tcPr>
            <w:tcW w:w="12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Trader Joe's</w:t>
            </w:r>
          </w:p>
        </w:tc>
        <w:tc>
          <w:tcPr>
            <w:tcW w:w="272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TJ Maxx / Ross Dress For Less / Best Buy / Ulta</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Beach, FL</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14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Total South Florida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571,531</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1,286,000</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98 %</w:t>
            </w:r>
          </w:p>
        </w:tc>
        <w:tc>
          <w:tcPr>
            <w:tcW w:w="7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gridSpan w:val="3"/>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Baltimore</w:t>
            </w:r>
          </w:p>
        </w:tc>
        <w:tc>
          <w:tcPr>
            <w:tcW w:w="480" w:type="dxa"/>
            <w:vAlign w:val="bottom"/>
            <w:tcBorders>
              <w:bottom w:val="single" w:sz="8" w:color="CCEEFF"/>
            </w:tcBorders>
            <w:gridSpan w:val="2"/>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2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27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00" w:type="dxa"/>
            <w:vAlign w:val="bottom"/>
            <w:gridSpan w:val="6"/>
          </w:tcPr>
          <w:p>
            <w:pPr>
              <w:ind w:left="20"/>
              <w:spacing w:after="0" w:line="122" w:lineRule="exact"/>
              <w:rPr>
                <w:sz w:val="20"/>
                <w:szCs w:val="20"/>
                <w:color w:val="auto"/>
              </w:rPr>
            </w:pPr>
            <w:r>
              <w:rPr>
                <w:rFonts w:ascii="Times New Roman" w:cs="Times New Roman" w:eastAsia="Times New Roman" w:hAnsi="Times New Roman"/>
                <w:sz w:val="13"/>
                <w:szCs w:val="13"/>
                <w:color w:val="auto"/>
              </w:rPr>
              <w:t>Governor Plaza</w:t>
            </w:r>
          </w:p>
        </w:tc>
        <w:tc>
          <w:tcPr>
            <w:tcW w:w="320" w:type="dxa"/>
            <w:vAlign w:val="bottom"/>
          </w:tcPr>
          <w:p>
            <w:pPr>
              <w:spacing w:after="0"/>
              <w:rPr>
                <w:sz w:val="10"/>
                <w:szCs w:val="10"/>
                <w:color w:val="auto"/>
              </w:rPr>
            </w:pPr>
          </w:p>
        </w:tc>
        <w:tc>
          <w:tcPr>
            <w:tcW w:w="21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Baltimore-Columbia-Towson, MD</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35,643</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243,000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4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16,500</w:t>
            </w:r>
          </w:p>
        </w:tc>
        <w:tc>
          <w:tcPr>
            <w:tcW w:w="12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Aldi</w:t>
            </w:r>
          </w:p>
        </w:tc>
        <w:tc>
          <w:tcPr>
            <w:tcW w:w="272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8"/>
              </w:rPr>
              <w:t>Dick's Sporting Goods / Ross Dress for Less / Petco</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Bob's Discount Furniture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1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Perring Plaza</w:t>
            </w:r>
          </w:p>
        </w:tc>
        <w:tc>
          <w:tcPr>
            <w:tcW w:w="320" w:type="dxa"/>
            <w:vAlign w:val="bottom"/>
            <w:shd w:val="clear" w:color="auto" w:fill="CCEEFF"/>
          </w:tcPr>
          <w:p>
            <w:pPr>
              <w:spacing w:after="0"/>
              <w:rPr>
                <w:sz w:val="15"/>
                <w:szCs w:val="15"/>
                <w:color w:val="auto"/>
              </w:rPr>
            </w:pPr>
          </w:p>
        </w:tc>
        <w:tc>
          <w:tcPr>
            <w:tcW w:w="2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Baltimore-Columbia-Towson, MD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43,467</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94 %</w:t>
            </w:r>
          </w:p>
        </w:tc>
        <w:tc>
          <w:tcPr>
            <w:tcW w:w="74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57,000</w:t>
            </w:r>
          </w:p>
        </w:tc>
        <w:tc>
          <w:tcPr>
            <w:tcW w:w="1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Giant Food</w:t>
            </w:r>
          </w:p>
        </w:tc>
        <w:tc>
          <w:tcPr>
            <w:tcW w:w="2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6"/>
              </w:rPr>
              <w:t>Home Depot / Dick's Sporting Goods / Micro Center</w:t>
            </w:r>
          </w:p>
        </w:tc>
        <w:tc>
          <w:tcPr>
            <w:tcW w:w="0" w:type="dxa"/>
            <w:vAlign w:val="bottom"/>
          </w:tcPr>
          <w:p>
            <w:pPr>
              <w:spacing w:after="0"/>
              <w:rPr>
                <w:sz w:val="1"/>
                <w:szCs w:val="1"/>
                <w:color w:val="auto"/>
              </w:rPr>
            </w:pPr>
          </w:p>
        </w:tc>
      </w:tr>
      <w:tr>
        <w:trPr>
          <w:trHeight w:val="121"/>
        </w:trPr>
        <w:tc>
          <w:tcPr>
            <w:tcW w:w="1100" w:type="dxa"/>
            <w:vAlign w:val="bottom"/>
            <w:gridSpan w:val="6"/>
          </w:tcPr>
          <w:p>
            <w:pPr>
              <w:ind w:left="20"/>
              <w:spacing w:after="0" w:line="122" w:lineRule="exact"/>
              <w:rPr>
                <w:sz w:val="20"/>
                <w:szCs w:val="20"/>
                <w:color w:val="auto"/>
              </w:rPr>
            </w:pPr>
            <w:r>
              <w:rPr>
                <w:rFonts w:ascii="Times New Roman" w:cs="Times New Roman" w:eastAsia="Times New Roman" w:hAnsi="Times New Roman"/>
                <w:sz w:val="13"/>
                <w:szCs w:val="13"/>
                <w:color w:val="auto"/>
              </w:rPr>
              <w:t>THE AVENUE at</w:t>
            </w:r>
          </w:p>
        </w:tc>
        <w:tc>
          <w:tcPr>
            <w:tcW w:w="3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(5)</w:t>
            </w:r>
          </w:p>
        </w:tc>
        <w:tc>
          <w:tcPr>
            <w:tcW w:w="21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Baltimore-Columbia-Towson, MD</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136,008</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35</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315,000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72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AMC / Ulta / Old Navy / Nike</w:t>
            </w:r>
          </w:p>
        </w:tc>
        <w:tc>
          <w:tcPr>
            <w:tcW w:w="0" w:type="dxa"/>
            <w:vAlign w:val="bottom"/>
          </w:tcPr>
          <w:p>
            <w:pPr>
              <w:spacing w:after="0"/>
              <w:rPr>
                <w:sz w:val="1"/>
                <w:szCs w:val="1"/>
                <w:color w:val="auto"/>
              </w:rPr>
            </w:pPr>
          </w:p>
        </w:tc>
      </w:tr>
      <w:tr>
        <w:trPr>
          <w:trHeight w:val="164"/>
        </w:trPr>
        <w:tc>
          <w:tcPr>
            <w:tcW w:w="110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auto"/>
              </w:rPr>
              <w:t>White Marsh</w:t>
            </w:r>
          </w:p>
        </w:tc>
        <w:tc>
          <w:tcPr>
            <w:tcW w:w="3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100" w:type="dxa"/>
            <w:vAlign w:val="bottom"/>
            <w:gridSpan w:val="6"/>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The Shoppes at</w:t>
            </w:r>
          </w:p>
        </w:tc>
        <w:tc>
          <w:tcPr>
            <w:tcW w:w="320" w:type="dxa"/>
            <w:vAlign w:val="bottom"/>
            <w:shd w:val="clear" w:color="auto" w:fill="CCEEFF"/>
          </w:tcPr>
          <w:p>
            <w:pPr>
              <w:spacing w:after="0"/>
              <w:rPr>
                <w:sz w:val="10"/>
                <w:szCs w:val="10"/>
                <w:color w:val="auto"/>
              </w:rPr>
            </w:pPr>
          </w:p>
        </w:tc>
        <w:tc>
          <w:tcPr>
            <w:tcW w:w="21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Baltimore-Columbia-Towson, MD</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19,606</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33,000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2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10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Nottingham Square</w:t>
            </w:r>
          </w:p>
        </w:tc>
        <w:tc>
          <w:tcPr>
            <w:tcW w:w="32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7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0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auto"/>
              </w:rPr>
              <w:t>White Marsh Plaza</w:t>
            </w:r>
          </w:p>
        </w:tc>
        <w:tc>
          <w:tcPr>
            <w:tcW w:w="320" w:type="dxa"/>
            <w:vAlign w:val="bottom"/>
          </w:tcPr>
          <w:p>
            <w:pPr>
              <w:spacing w:after="0"/>
              <w:rPr>
                <w:sz w:val="14"/>
                <w:szCs w:val="14"/>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Baltimore-Columbia-Towson, MD</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27,000</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96 %</w:t>
            </w:r>
          </w:p>
        </w:tc>
        <w:tc>
          <w:tcPr>
            <w:tcW w:w="7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54,000</w:t>
            </w:r>
          </w:p>
        </w:tc>
        <w:tc>
          <w:tcPr>
            <w:tcW w:w="1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Giant Food</w:t>
            </w: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1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White Marsh Other</w:t>
            </w:r>
          </w:p>
        </w:tc>
        <w:tc>
          <w:tcPr>
            <w:tcW w:w="320" w:type="dxa"/>
            <w:vAlign w:val="bottom"/>
            <w:shd w:val="clear" w:color="auto" w:fill="CCEEFF"/>
          </w:tcPr>
          <w:p>
            <w:pPr>
              <w:spacing w:after="0"/>
              <w:rPr>
                <w:sz w:val="15"/>
                <w:szCs w:val="15"/>
                <w:color w:val="auto"/>
              </w:rPr>
            </w:pPr>
          </w:p>
        </w:tc>
        <w:tc>
          <w:tcPr>
            <w:tcW w:w="2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Baltimore-Columbia-Towson, MD</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27,935</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56,000</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7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Total Baltimore</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289,659</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1,124,000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97 %</w:t>
            </w: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gridSpan w:val="5"/>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Chicago</w:t>
            </w:r>
          </w:p>
        </w:tc>
        <w:tc>
          <w:tcPr>
            <w:tcW w:w="3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100" w:type="dxa"/>
            <w:vAlign w:val="bottom"/>
            <w:gridSpan w:val="6"/>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Crossroads</w:t>
            </w:r>
          </w:p>
        </w:tc>
        <w:tc>
          <w:tcPr>
            <w:tcW w:w="320" w:type="dxa"/>
            <w:vAlign w:val="bottom"/>
            <w:shd w:val="clear" w:color="auto" w:fill="CCEEFF"/>
          </w:tcPr>
          <w:p>
            <w:pPr>
              <w:spacing w:after="0"/>
              <w:rPr>
                <w:sz w:val="10"/>
                <w:szCs w:val="10"/>
                <w:color w:val="auto"/>
              </w:rPr>
            </w:pPr>
          </w:p>
        </w:tc>
        <w:tc>
          <w:tcPr>
            <w:tcW w:w="21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Chicago-Naperville-Elgin, IL-IN-WI</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36,776</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168,000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27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L.A. Fitness / Ulta / Binny's / Ferguson's Bath,</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Kitchen &amp; Lighting Gallery</w:t>
            </w:r>
          </w:p>
        </w:tc>
        <w:tc>
          <w:tcPr>
            <w:tcW w:w="0" w:type="dxa"/>
            <w:vAlign w:val="bottom"/>
          </w:tcPr>
          <w:p>
            <w:pPr>
              <w:spacing w:after="0"/>
              <w:rPr>
                <w:sz w:val="1"/>
                <w:szCs w:val="1"/>
                <w:color w:val="auto"/>
              </w:rPr>
            </w:pPr>
          </w:p>
        </w:tc>
      </w:tr>
      <w:tr>
        <w:trPr>
          <w:trHeight w:val="170"/>
        </w:trPr>
        <w:tc>
          <w:tcPr>
            <w:tcW w:w="110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auto"/>
              </w:rPr>
              <w:t>Finley Square</w:t>
            </w:r>
          </w:p>
        </w:tc>
        <w:tc>
          <w:tcPr>
            <w:tcW w:w="320" w:type="dxa"/>
            <w:vAlign w:val="bottom"/>
          </w:tcPr>
          <w:p>
            <w:pPr>
              <w:spacing w:after="0"/>
              <w:rPr>
                <w:sz w:val="14"/>
                <w:szCs w:val="14"/>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Chicago-Naperville-Elgin, IL-IN-WI</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39,850</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53 %</w:t>
            </w: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Michaels / Five Below / Portillo's</w:t>
            </w:r>
          </w:p>
        </w:tc>
        <w:tc>
          <w:tcPr>
            <w:tcW w:w="0" w:type="dxa"/>
            <w:vAlign w:val="bottom"/>
          </w:tcPr>
          <w:p>
            <w:pPr>
              <w:spacing w:after="0"/>
              <w:rPr>
                <w:sz w:val="1"/>
                <w:szCs w:val="1"/>
                <w:color w:val="auto"/>
              </w:rPr>
            </w:pPr>
          </w:p>
        </w:tc>
      </w:tr>
      <w:tr>
        <w:trPr>
          <w:trHeight w:val="127"/>
        </w:trPr>
        <w:tc>
          <w:tcPr>
            <w:tcW w:w="1100" w:type="dxa"/>
            <w:vAlign w:val="bottom"/>
            <w:gridSpan w:val="6"/>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Garden Market</w:t>
            </w:r>
          </w:p>
        </w:tc>
        <w:tc>
          <w:tcPr>
            <w:tcW w:w="320" w:type="dxa"/>
            <w:vAlign w:val="bottom"/>
            <w:shd w:val="clear" w:color="auto" w:fill="CCEEFF"/>
          </w:tcPr>
          <w:p>
            <w:pPr>
              <w:spacing w:after="0"/>
              <w:rPr>
                <w:sz w:val="11"/>
                <w:szCs w:val="11"/>
                <w:color w:val="auto"/>
              </w:rPr>
            </w:pPr>
          </w:p>
        </w:tc>
        <w:tc>
          <w:tcPr>
            <w:tcW w:w="2140" w:type="dxa"/>
            <w:vAlign w:val="bottom"/>
            <w:shd w:val="clear" w:color="auto" w:fill="CCEEFF"/>
          </w:tcPr>
          <w:p>
            <w:pPr>
              <w:ind w:left="60"/>
              <w:spacing w:after="0" w:line="128" w:lineRule="exact"/>
              <w:rPr>
                <w:sz w:val="20"/>
                <w:szCs w:val="20"/>
                <w:color w:val="auto"/>
              </w:rPr>
            </w:pPr>
            <w:r>
              <w:rPr>
                <w:rFonts w:ascii="Times New Roman" w:cs="Times New Roman" w:eastAsia="Times New Roman" w:hAnsi="Times New Roman"/>
                <w:sz w:val="13"/>
                <w:szCs w:val="13"/>
                <w:color w:val="auto"/>
              </w:rPr>
              <w:t>Chicago-Naperville-Elgin, IL-IN-WI</w:t>
            </w: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16,821</w:t>
            </w:r>
          </w:p>
        </w:tc>
        <w:tc>
          <w:tcPr>
            <w:tcW w:w="4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139,000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97 %</w:t>
            </w: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rPr>
              <w:t>63,000</w:t>
            </w:r>
          </w:p>
        </w:tc>
        <w:tc>
          <w:tcPr>
            <w:tcW w:w="1220" w:type="dxa"/>
            <w:vAlign w:val="bottom"/>
            <w:shd w:val="clear" w:color="auto" w:fill="CCEEFF"/>
          </w:tcPr>
          <w:p>
            <w:pPr>
              <w:ind w:left="60"/>
              <w:spacing w:after="0" w:line="128" w:lineRule="exact"/>
              <w:rPr>
                <w:sz w:val="20"/>
                <w:szCs w:val="20"/>
                <w:color w:val="auto"/>
              </w:rPr>
            </w:pPr>
            <w:r>
              <w:rPr>
                <w:rFonts w:ascii="Times New Roman" w:cs="Times New Roman" w:eastAsia="Times New Roman" w:hAnsi="Times New Roman"/>
                <w:sz w:val="13"/>
                <w:szCs w:val="13"/>
                <w:color w:val="auto"/>
              </w:rPr>
              <w:t>Mariano's Fresh</w:t>
            </w:r>
          </w:p>
        </w:tc>
        <w:tc>
          <w:tcPr>
            <w:tcW w:w="272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Walgreens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Market</w:t>
            </w:r>
          </w:p>
        </w:tc>
        <w:tc>
          <w:tcPr>
            <w:tcW w:w="27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00" w:type="dxa"/>
            <w:vAlign w:val="bottom"/>
            <w:tcBorders>
              <w:bottom w:val="single" w:sz="8" w:color="CCEEFF"/>
            </w:tcBorders>
            <w:gridSpan w:val="6"/>
          </w:tcPr>
          <w:p>
            <w:pPr>
              <w:ind w:left="20"/>
              <w:spacing w:after="0"/>
              <w:rPr>
                <w:sz w:val="20"/>
                <w:szCs w:val="20"/>
                <w:color w:val="auto"/>
              </w:rPr>
            </w:pPr>
            <w:r>
              <w:rPr>
                <w:rFonts w:ascii="Times New Roman" w:cs="Times New Roman" w:eastAsia="Times New Roman" w:hAnsi="Times New Roman"/>
                <w:sz w:val="13"/>
                <w:szCs w:val="13"/>
                <w:color w:val="auto"/>
              </w:rPr>
              <w:t>Riverpoint Center</w:t>
            </w:r>
          </w:p>
        </w:tc>
        <w:tc>
          <w:tcPr>
            <w:tcW w:w="320" w:type="dxa"/>
            <w:vAlign w:val="bottom"/>
            <w:tcBorders>
              <w:bottom w:val="single" w:sz="8" w:color="CCEEFF"/>
            </w:tcBorders>
          </w:tcPr>
          <w:p>
            <w:pPr>
              <w:spacing w:after="0"/>
              <w:rPr>
                <w:sz w:val="14"/>
                <w:szCs w:val="14"/>
                <w:color w:val="auto"/>
              </w:rPr>
            </w:pPr>
          </w:p>
        </w:tc>
        <w:tc>
          <w:tcPr>
            <w:tcW w:w="21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Chicago-Naperville-Elgin, IL-IN-WI</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122,686</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211,000</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95 %</w:t>
            </w:r>
          </w:p>
        </w:tc>
        <w:tc>
          <w:tcPr>
            <w:tcW w:w="7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rPr>
              <w:t>86,000</w:t>
            </w:r>
          </w:p>
        </w:tc>
        <w:tc>
          <w:tcPr>
            <w:tcW w:w="1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Jewel Osco</w:t>
            </w:r>
          </w:p>
        </w:tc>
        <w:tc>
          <w:tcPr>
            <w:tcW w:w="27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Marshalls / Old Navy</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Total Chicago</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216,133</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799,000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81 %</w:t>
            </w:r>
          </w:p>
        </w:tc>
        <w:tc>
          <w:tcPr>
            <w:tcW w:w="7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w w:val="90"/>
              </w:rPr>
              <w:t>Other</w:t>
            </w:r>
          </w:p>
        </w:tc>
        <w:tc>
          <w:tcPr>
            <w:tcW w:w="700" w:type="dxa"/>
            <w:vAlign w:val="bottom"/>
            <w:tcBorders>
              <w:bottom w:val="single" w:sz="8" w:color="CCEEFF"/>
            </w:tcBorders>
            <w:gridSpan w:val="4"/>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2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27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10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auto"/>
              </w:rPr>
              <w:t>Barracks Road</w:t>
            </w:r>
          </w:p>
        </w:tc>
        <w:tc>
          <w:tcPr>
            <w:tcW w:w="320" w:type="dxa"/>
            <w:vAlign w:val="bottom"/>
          </w:tcPr>
          <w:p>
            <w:pPr>
              <w:spacing w:after="0"/>
              <w:rPr>
                <w:sz w:val="14"/>
                <w:szCs w:val="14"/>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Charlottesville, VA</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75,958</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90 %</w:t>
            </w:r>
          </w:p>
        </w:tc>
        <w:tc>
          <w:tcPr>
            <w:tcW w:w="7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99,000</w:t>
            </w:r>
          </w:p>
        </w:tc>
        <w:tc>
          <w:tcPr>
            <w:tcW w:w="122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8"/>
              </w:rPr>
              <w:t>Harris Teeter / Kroger</w:t>
            </w:r>
          </w:p>
        </w:tc>
        <w:tc>
          <w:tcPr>
            <w:tcW w:w="2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Anthropologie / Old Navy / Ulta / Michaels</w:t>
            </w:r>
          </w:p>
        </w:tc>
        <w:tc>
          <w:tcPr>
            <w:tcW w:w="0" w:type="dxa"/>
            <w:vAlign w:val="bottom"/>
          </w:tcPr>
          <w:p>
            <w:pPr>
              <w:spacing w:after="0"/>
              <w:rPr>
                <w:sz w:val="1"/>
                <w:szCs w:val="1"/>
                <w:color w:val="auto"/>
              </w:rPr>
            </w:pPr>
          </w:p>
        </w:tc>
      </w:tr>
      <w:tr>
        <w:trPr>
          <w:trHeight w:val="127"/>
        </w:trPr>
        <w:tc>
          <w:tcPr>
            <w:tcW w:w="1100" w:type="dxa"/>
            <w:vAlign w:val="bottom"/>
            <w:gridSpan w:val="6"/>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Bristol Plaza</w:t>
            </w:r>
          </w:p>
        </w:tc>
        <w:tc>
          <w:tcPr>
            <w:tcW w:w="320" w:type="dxa"/>
            <w:vAlign w:val="bottom"/>
            <w:shd w:val="clear" w:color="auto" w:fill="CCEEFF"/>
          </w:tcPr>
          <w:p>
            <w:pPr>
              <w:spacing w:after="0"/>
              <w:rPr>
                <w:sz w:val="11"/>
                <w:szCs w:val="11"/>
                <w:color w:val="auto"/>
              </w:rPr>
            </w:pPr>
          </w:p>
        </w:tc>
        <w:tc>
          <w:tcPr>
            <w:tcW w:w="2140" w:type="dxa"/>
            <w:vAlign w:val="bottom"/>
            <w:shd w:val="clear" w:color="auto" w:fill="CCEEFF"/>
          </w:tcPr>
          <w:p>
            <w:pPr>
              <w:ind w:left="60"/>
              <w:spacing w:after="0" w:line="128" w:lineRule="exact"/>
              <w:rPr>
                <w:sz w:val="20"/>
                <w:szCs w:val="20"/>
                <w:color w:val="auto"/>
              </w:rPr>
            </w:pPr>
            <w:r>
              <w:rPr>
                <w:rFonts w:ascii="Times New Roman" w:cs="Times New Roman" w:eastAsia="Times New Roman" w:hAnsi="Times New Roman"/>
                <w:sz w:val="13"/>
                <w:szCs w:val="13"/>
                <w:color w:val="auto"/>
              </w:rPr>
              <w:t>Hartford-West Hartford-East Hartford,</w:t>
            </w: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37,200</w:t>
            </w:r>
          </w:p>
        </w:tc>
        <w:tc>
          <w:tcPr>
            <w:tcW w:w="4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264,000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88 %</w:t>
            </w: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rPr>
              <w:t>74,000</w:t>
            </w:r>
          </w:p>
        </w:tc>
        <w:tc>
          <w:tcPr>
            <w:tcW w:w="1220" w:type="dxa"/>
            <w:vAlign w:val="bottom"/>
            <w:shd w:val="clear" w:color="auto" w:fill="CCEEFF"/>
          </w:tcPr>
          <w:p>
            <w:pPr>
              <w:ind w:left="60"/>
              <w:spacing w:after="0" w:line="128" w:lineRule="exact"/>
              <w:rPr>
                <w:sz w:val="20"/>
                <w:szCs w:val="20"/>
                <w:color w:val="auto"/>
              </w:rPr>
            </w:pPr>
            <w:r>
              <w:rPr>
                <w:rFonts w:ascii="Times New Roman" w:cs="Times New Roman" w:eastAsia="Times New Roman" w:hAnsi="Times New Roman"/>
                <w:sz w:val="13"/>
                <w:szCs w:val="13"/>
                <w:color w:val="auto"/>
              </w:rPr>
              <w:t>Stop &amp; Shop</w:t>
            </w:r>
          </w:p>
        </w:tc>
        <w:tc>
          <w:tcPr>
            <w:tcW w:w="272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TJ Maxx / Burlington</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CT</w:t>
            </w: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7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00" w:type="dxa"/>
            <w:vAlign w:val="bottom"/>
            <w:gridSpan w:val="6"/>
          </w:tcPr>
          <w:p>
            <w:pPr>
              <w:ind w:left="20"/>
              <w:spacing w:after="0" w:line="122" w:lineRule="exact"/>
              <w:rPr>
                <w:sz w:val="20"/>
                <w:szCs w:val="20"/>
                <w:color w:val="auto"/>
              </w:rPr>
            </w:pPr>
            <w:r>
              <w:rPr>
                <w:rFonts w:ascii="Times New Roman" w:cs="Times New Roman" w:eastAsia="Times New Roman" w:hAnsi="Times New Roman"/>
                <w:sz w:val="13"/>
                <w:szCs w:val="13"/>
                <w:color w:val="auto"/>
              </w:rPr>
              <w:t>Camelback</w:t>
            </w:r>
          </w:p>
        </w:tc>
        <w:tc>
          <w:tcPr>
            <w:tcW w:w="3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(3)</w:t>
            </w:r>
          </w:p>
        </w:tc>
        <w:tc>
          <w:tcPr>
            <w:tcW w:w="21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Phoenix-Mesa-Chandler, AZ</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181,049</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41</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642,000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90 %</w:t>
            </w:r>
          </w:p>
        </w:tc>
        <w:tc>
          <w:tcPr>
            <w:tcW w:w="74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82,000</w:t>
            </w:r>
          </w:p>
        </w:tc>
        <w:tc>
          <w:tcPr>
            <w:tcW w:w="12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Fry's Food &amp; Drug</w:t>
            </w:r>
          </w:p>
        </w:tc>
        <w:tc>
          <w:tcPr>
            <w:tcW w:w="272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Nordstrom Last Chance / Best Buy /</w:t>
            </w:r>
          </w:p>
        </w:tc>
        <w:tc>
          <w:tcPr>
            <w:tcW w:w="0" w:type="dxa"/>
            <w:vAlign w:val="bottom"/>
          </w:tcPr>
          <w:p>
            <w:pPr>
              <w:spacing w:after="0"/>
              <w:rPr>
                <w:sz w:val="1"/>
                <w:szCs w:val="1"/>
                <w:color w:val="auto"/>
              </w:rPr>
            </w:pPr>
          </w:p>
        </w:tc>
      </w:tr>
      <w:tr>
        <w:trPr>
          <w:trHeight w:val="164"/>
        </w:trPr>
        <w:tc>
          <w:tcPr>
            <w:tcW w:w="110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auto"/>
              </w:rPr>
              <w:t>Colonnade</w:t>
            </w:r>
          </w:p>
        </w:tc>
        <w:tc>
          <w:tcPr>
            <w:tcW w:w="3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Floor &amp; Décor</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1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Gratiot Plaza</w:t>
            </w:r>
          </w:p>
        </w:tc>
        <w:tc>
          <w:tcPr>
            <w:tcW w:w="320" w:type="dxa"/>
            <w:vAlign w:val="bottom"/>
            <w:shd w:val="clear" w:color="auto" w:fill="CCEEFF"/>
          </w:tcPr>
          <w:p>
            <w:pPr>
              <w:spacing w:after="0"/>
              <w:rPr>
                <w:sz w:val="15"/>
                <w:szCs w:val="15"/>
                <w:color w:val="auto"/>
              </w:rPr>
            </w:pPr>
          </w:p>
        </w:tc>
        <w:tc>
          <w:tcPr>
            <w:tcW w:w="2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Detroit-Warren-Dearborn, MI</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20,031</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99 %</w:t>
            </w:r>
          </w:p>
        </w:tc>
        <w:tc>
          <w:tcPr>
            <w:tcW w:w="74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69,000</w:t>
            </w:r>
          </w:p>
        </w:tc>
        <w:tc>
          <w:tcPr>
            <w:tcW w:w="1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Kroger</w:t>
            </w:r>
          </w:p>
        </w:tc>
        <w:tc>
          <w:tcPr>
            <w:tcW w:w="2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Best Buy / DSW</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20"/>
          </w:cols>
          <w:pgMar w:left="340" w:top="1028" w:right="339"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June 30, 2024</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Real Estate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Residential</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Grocery</w:t>
            </w:r>
          </w:p>
        </w:tc>
        <w:tc>
          <w:tcPr>
            <w:tcW w:w="11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37"/>
              <w:spacing w:after="0" w:line="122" w:lineRule="exact"/>
              <w:rPr>
                <w:sz w:val="20"/>
                <w:szCs w:val="20"/>
                <w:color w:val="auto"/>
              </w:rPr>
            </w:pPr>
            <w:r>
              <w:rPr>
                <w:rFonts w:ascii="Times New Roman" w:cs="Times New Roman" w:eastAsia="Times New Roman" w:hAnsi="Times New Roman"/>
                <w:sz w:val="13"/>
                <w:szCs w:val="13"/>
                <w:b w:val="1"/>
                <w:bCs w:val="1"/>
                <w:color w:val="auto"/>
              </w:rPr>
              <w:t>Leased</w:t>
            </w:r>
          </w:p>
        </w:tc>
        <w:tc>
          <w:tcPr>
            <w:tcW w:w="740" w:type="dxa"/>
            <w:vAlign w:val="bottom"/>
            <w:vMerge w:val="continue"/>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Anchor</w:t>
            </w:r>
          </w:p>
        </w:tc>
        <w:tc>
          <w:tcPr>
            <w:tcW w:w="11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0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4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at Cost</w:t>
            </w:r>
          </w:p>
        </w:tc>
        <w:tc>
          <w:tcPr>
            <w:tcW w:w="5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7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GLA (1)</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rPr>
              <w:t>Units</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GLA</w:t>
            </w:r>
          </w:p>
        </w:tc>
        <w:tc>
          <w:tcPr>
            <w:tcW w:w="1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Grocery Anchor (2)</w:t>
            </w:r>
          </w:p>
        </w:tc>
        <w:tc>
          <w:tcPr>
            <w:tcW w:w="2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c>
          <w:tcPr>
            <w:tcW w:w="0" w:type="dxa"/>
            <w:vAlign w:val="bottom"/>
          </w:tcPr>
          <w:p>
            <w:pPr>
              <w:spacing w:after="0"/>
              <w:rPr>
                <w:sz w:val="1"/>
                <w:szCs w:val="1"/>
                <w:color w:val="auto"/>
              </w:rPr>
            </w:pPr>
          </w:p>
        </w:tc>
      </w:tr>
      <w:tr>
        <w:trPr>
          <w:trHeight w:val="140"/>
        </w:trPr>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 thousands)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Hilton Village</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Phoenix-Mesa-Chandler, AZ</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87,444</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305,000</w:t>
            </w: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CVS / Houston's</w:t>
            </w:r>
          </w:p>
        </w:tc>
        <w:tc>
          <w:tcPr>
            <w:tcW w:w="0" w:type="dxa"/>
            <w:vAlign w:val="bottom"/>
          </w:tcPr>
          <w:p>
            <w:pPr>
              <w:spacing w:after="0"/>
              <w:rPr>
                <w:sz w:val="1"/>
                <w:szCs w:val="1"/>
                <w:color w:val="auto"/>
              </w:rPr>
            </w:pPr>
          </w:p>
        </w:tc>
      </w:tr>
      <w:tr>
        <w:trPr>
          <w:trHeight w:val="183"/>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Lancaster</w:t>
            </w:r>
          </w:p>
        </w:tc>
        <w:tc>
          <w:tcPr>
            <w:tcW w:w="4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w:t>
            </w:r>
          </w:p>
        </w:tc>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Lancaster, PA</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8,806</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126,000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75,000</w:t>
            </w:r>
          </w:p>
        </w:tc>
        <w:tc>
          <w:tcPr>
            <w:tcW w:w="1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Giant Food</w:t>
            </w:r>
          </w:p>
        </w:tc>
        <w:tc>
          <w:tcPr>
            <w:tcW w:w="2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AutoZone</w:t>
            </w:r>
          </w:p>
        </w:tc>
        <w:tc>
          <w:tcPr>
            <w:tcW w:w="0" w:type="dxa"/>
            <w:vAlign w:val="bottom"/>
          </w:tcPr>
          <w:p>
            <w:pPr>
              <w:spacing w:after="0"/>
              <w:rPr>
                <w:sz w:val="1"/>
                <w:szCs w:val="1"/>
                <w:color w:val="auto"/>
              </w:rPr>
            </w:pPr>
          </w:p>
        </w:tc>
      </w:tr>
      <w:tr>
        <w:trPr>
          <w:trHeight w:val="170"/>
        </w:trPr>
        <w:tc>
          <w:tcPr>
            <w:tcW w:w="1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29th Place</w:t>
            </w:r>
          </w:p>
        </w:tc>
        <w:tc>
          <w:tcPr>
            <w:tcW w:w="400" w:type="dxa"/>
            <w:vAlign w:val="bottom"/>
          </w:tcPr>
          <w:p>
            <w:pPr>
              <w:spacing w:after="0"/>
              <w:rPr>
                <w:sz w:val="14"/>
                <w:szCs w:val="14"/>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Charlottesville, VA</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40,808</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168,000</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HomeGoods / DSW / Staples</w:t>
            </w:r>
          </w:p>
        </w:tc>
        <w:tc>
          <w:tcPr>
            <w:tcW w:w="0" w:type="dxa"/>
            <w:vAlign w:val="bottom"/>
          </w:tcPr>
          <w:p>
            <w:pPr>
              <w:spacing w:after="0"/>
              <w:rPr>
                <w:sz w:val="1"/>
                <w:szCs w:val="1"/>
                <w:color w:val="auto"/>
              </w:rPr>
            </w:pPr>
          </w:p>
        </w:tc>
      </w:tr>
      <w:tr>
        <w:trPr>
          <w:trHeight w:val="127"/>
        </w:trPr>
        <w:tc>
          <w:tcPr>
            <w:tcW w:w="102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Willow Lawn</w:t>
            </w:r>
          </w:p>
        </w:tc>
        <w:tc>
          <w:tcPr>
            <w:tcW w:w="400" w:type="dxa"/>
            <w:vAlign w:val="bottom"/>
            <w:shd w:val="clear" w:color="auto" w:fill="CCEEFF"/>
          </w:tcPr>
          <w:p>
            <w:pPr>
              <w:spacing w:after="0"/>
              <w:rPr>
                <w:sz w:val="11"/>
                <w:szCs w:val="11"/>
                <w:color w:val="auto"/>
              </w:rPr>
            </w:pPr>
          </w:p>
        </w:tc>
        <w:tc>
          <w:tcPr>
            <w:tcW w:w="20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Richmond, VA</w:t>
            </w:r>
          </w:p>
        </w:tc>
        <w:tc>
          <w:tcPr>
            <w:tcW w:w="7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110,121</w:t>
            </w:r>
          </w:p>
        </w:tc>
        <w:tc>
          <w:tcPr>
            <w:tcW w:w="4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37</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463,000</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99</w:t>
            </w:r>
          </w:p>
        </w:tc>
        <w:tc>
          <w:tcPr>
            <w:tcW w:w="1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w w:val="94"/>
              </w:rPr>
              <w:t>66,000</w:t>
            </w:r>
          </w:p>
        </w:tc>
        <w:tc>
          <w:tcPr>
            <w:tcW w:w="1180" w:type="dxa"/>
            <w:vAlign w:val="bottom"/>
            <w:shd w:val="clear" w:color="auto" w:fill="CCEEFF"/>
          </w:tcPr>
          <w:p>
            <w:pPr>
              <w:ind w:left="60"/>
              <w:spacing w:after="0" w:line="128" w:lineRule="exact"/>
              <w:rPr>
                <w:sz w:val="20"/>
                <w:szCs w:val="20"/>
                <w:color w:val="auto"/>
              </w:rPr>
            </w:pPr>
            <w:r>
              <w:rPr>
                <w:rFonts w:ascii="Times New Roman" w:cs="Times New Roman" w:eastAsia="Times New Roman" w:hAnsi="Times New Roman"/>
                <w:sz w:val="13"/>
                <w:szCs w:val="13"/>
                <w:color w:val="auto"/>
              </w:rPr>
              <w:t>Kroger</w:t>
            </w:r>
          </w:p>
        </w:tc>
        <w:tc>
          <w:tcPr>
            <w:tcW w:w="2700" w:type="dxa"/>
            <w:vAlign w:val="bottom"/>
            <w:shd w:val="clear" w:color="auto" w:fill="CCEEFF"/>
          </w:tcPr>
          <w:p>
            <w:pPr>
              <w:ind w:left="60"/>
              <w:spacing w:after="0" w:line="128" w:lineRule="exact"/>
              <w:rPr>
                <w:sz w:val="20"/>
                <w:szCs w:val="20"/>
                <w:color w:val="auto"/>
              </w:rPr>
            </w:pPr>
            <w:r>
              <w:rPr>
                <w:rFonts w:ascii="Times New Roman" w:cs="Times New Roman" w:eastAsia="Times New Roman" w:hAnsi="Times New Roman"/>
                <w:sz w:val="13"/>
                <w:szCs w:val="13"/>
                <w:color w:val="auto"/>
              </w:rPr>
              <w:t>Old Navy / Ross Dress for Less / Gold's Gym /</w:t>
            </w:r>
          </w:p>
        </w:tc>
        <w:tc>
          <w:tcPr>
            <w:tcW w:w="0" w:type="dxa"/>
            <w:vAlign w:val="bottom"/>
          </w:tcPr>
          <w:p>
            <w:pPr>
              <w:spacing w:after="0"/>
              <w:rPr>
                <w:sz w:val="1"/>
                <w:szCs w:val="1"/>
                <w:color w:val="auto"/>
              </w:rPr>
            </w:pPr>
          </w:p>
        </w:tc>
      </w:tr>
      <w:tr>
        <w:trPr>
          <w:trHeight w:val="189"/>
        </w:trPr>
        <w:tc>
          <w:tcPr>
            <w:tcW w:w="10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0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27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Dick's Sporting Goods / Ulta</w:t>
            </w:r>
          </w:p>
        </w:tc>
        <w:tc>
          <w:tcPr>
            <w:tcW w:w="0" w:type="dxa"/>
            <w:vAlign w:val="bottom"/>
          </w:tcPr>
          <w:p>
            <w:pPr>
              <w:spacing w:after="0"/>
              <w:rPr>
                <w:sz w:val="1"/>
                <w:szCs w:val="1"/>
                <w:color w:val="auto"/>
              </w:rPr>
            </w:pPr>
          </w:p>
        </w:tc>
      </w:tr>
      <w:tr>
        <w:trPr>
          <w:trHeight w:val="163"/>
        </w:trPr>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80" w:type="dxa"/>
            <w:vAlign w:val="bottom"/>
          </w:tcPr>
          <w:p>
            <w:pPr>
              <w:ind w:left="1420"/>
              <w:spacing w:after="0" w:line="146" w:lineRule="exact"/>
              <w:rPr>
                <w:sz w:val="20"/>
                <w:szCs w:val="20"/>
                <w:color w:val="auto"/>
              </w:rPr>
            </w:pPr>
            <w:r>
              <w:rPr>
                <w:rFonts w:ascii="Times New Roman" w:cs="Times New Roman" w:eastAsia="Times New Roman" w:hAnsi="Times New Roman"/>
                <w:sz w:val="13"/>
                <w:szCs w:val="13"/>
                <w:b w:val="1"/>
                <w:bCs w:val="1"/>
                <w:color w:val="auto"/>
                <w:w w:val="96"/>
              </w:rPr>
              <w:t>Total Other</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561,417</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8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2,668,000</w:t>
            </w:r>
          </w:p>
        </w:tc>
        <w:tc>
          <w:tcPr>
            <w:tcW w:w="80" w:type="dxa"/>
            <w:vAlign w:val="bottom"/>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02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20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gridSpan w:val="2"/>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27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Grand Total</w:t>
            </w:r>
          </w:p>
        </w:tc>
        <w:tc>
          <w:tcPr>
            <w:tcW w:w="4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$ 10,775,905</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2,156</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26,681,000</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95 %</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3,104</w:t>
            </w:r>
          </w:p>
        </w:tc>
        <w:tc>
          <w:tcPr>
            <w:tcW w:w="5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51" w:lineRule="exact"/>
        <w:rPr>
          <w:sz w:val="20"/>
          <w:szCs w:val="20"/>
          <w:color w:val="auto"/>
        </w:rPr>
      </w:pPr>
    </w:p>
    <w:p>
      <w:pPr>
        <w:ind w:left="580" w:right="320" w:hanging="561"/>
        <w:spacing w:after="0" w:line="239" w:lineRule="auto"/>
        <w:tabs>
          <w:tab w:leader="none" w:pos="5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Represents the GLA and the percentage leased of the commercial portion of the property. Some of our properties include office space which is included in this square footage. Excludes newly created redevelopment square footage not yet in service, as well as residential and hotel square footage.</w:t>
      </w:r>
    </w:p>
    <w:p>
      <w:pPr>
        <w:spacing w:after="0" w:line="14" w:lineRule="exact"/>
        <w:rPr>
          <w:rFonts w:ascii="Times New Roman" w:cs="Times New Roman" w:eastAsia="Times New Roman" w:hAnsi="Times New Roman"/>
          <w:sz w:val="14"/>
          <w:szCs w:val="14"/>
          <w:color w:val="auto"/>
        </w:rPr>
      </w:pPr>
    </w:p>
    <w:p>
      <w:pPr>
        <w:ind w:left="580" w:hanging="561"/>
        <w:spacing w:after="0"/>
        <w:tabs>
          <w:tab w:leader="none" w:pos="5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TBA indicates that a lease is signed.</w:t>
      </w:r>
    </w:p>
    <w:p>
      <w:pPr>
        <w:spacing w:after="0" w:line="41" w:lineRule="exact"/>
        <w:rPr>
          <w:rFonts w:ascii="Times New Roman" w:cs="Times New Roman" w:eastAsia="Times New Roman" w:hAnsi="Times New Roman"/>
          <w:sz w:val="14"/>
          <w:szCs w:val="14"/>
          <w:color w:val="auto"/>
        </w:rPr>
      </w:pPr>
    </w:p>
    <w:p>
      <w:pPr>
        <w:ind w:left="580" w:hanging="561"/>
        <w:spacing w:after="0"/>
        <w:tabs>
          <w:tab w:leader="none" w:pos="5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Trust has a controlling financial interest in this property.</w:t>
      </w:r>
    </w:p>
    <w:p>
      <w:pPr>
        <w:spacing w:after="0" w:line="41" w:lineRule="exact"/>
        <w:rPr>
          <w:rFonts w:ascii="Times New Roman" w:cs="Times New Roman" w:eastAsia="Times New Roman" w:hAnsi="Times New Roman"/>
          <w:sz w:val="14"/>
          <w:szCs w:val="14"/>
          <w:color w:val="auto"/>
        </w:rPr>
      </w:pPr>
    </w:p>
    <w:p>
      <w:pPr>
        <w:ind w:left="580" w:hanging="561"/>
        <w:spacing w:after="0"/>
        <w:tabs>
          <w:tab w:leader="none" w:pos="5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All or a portion of this property is owned pursuant to a ground lease.</w:t>
      </w:r>
    </w:p>
    <w:p>
      <w:pPr>
        <w:spacing w:after="0" w:line="41" w:lineRule="exact"/>
        <w:rPr>
          <w:rFonts w:ascii="Times New Roman" w:cs="Times New Roman" w:eastAsia="Times New Roman" w:hAnsi="Times New Roman"/>
          <w:sz w:val="14"/>
          <w:szCs w:val="14"/>
          <w:color w:val="auto"/>
        </w:rPr>
      </w:pPr>
    </w:p>
    <w:p>
      <w:pPr>
        <w:ind w:left="580" w:right="360" w:hanging="561"/>
        <w:spacing w:after="0" w:line="239" w:lineRule="auto"/>
        <w:tabs>
          <w:tab w:leader="none" w:pos="5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All or a portion of the property is owned in a "downREIT" partnership, of which a wholly owned subsidiary of the Trust is the sole general partner, with third party partners holding operating partnership units.</w:t>
      </w:r>
    </w:p>
    <w:p>
      <w:pPr>
        <w:spacing w:after="0" w:line="14" w:lineRule="exact"/>
        <w:rPr>
          <w:rFonts w:ascii="Times New Roman" w:cs="Times New Roman" w:eastAsia="Times New Roman" w:hAnsi="Times New Roman"/>
          <w:sz w:val="14"/>
          <w:szCs w:val="14"/>
          <w:color w:val="auto"/>
        </w:rPr>
      </w:pPr>
    </w:p>
    <w:p>
      <w:pPr>
        <w:ind w:left="580" w:hanging="561"/>
        <w:spacing w:after="0"/>
        <w:tabs>
          <w:tab w:leader="none" w:pos="5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This property includes 40 buildings primarily along Washington Street and 14th Street in Hoboken, New Jersey.</w:t>
      </w:r>
    </w:p>
    <w:p>
      <w:pPr>
        <w:spacing w:after="0" w:line="41" w:lineRule="exact"/>
        <w:rPr>
          <w:rFonts w:ascii="Times New Roman" w:cs="Times New Roman" w:eastAsia="Times New Roman" w:hAnsi="Times New Roman"/>
          <w:sz w:val="14"/>
          <w:szCs w:val="14"/>
          <w:color w:val="auto"/>
        </w:rPr>
      </w:pPr>
    </w:p>
    <w:p>
      <w:pPr>
        <w:ind w:left="580" w:hanging="561"/>
        <w:spacing w:after="0"/>
        <w:tabs>
          <w:tab w:leader="none" w:pos="5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This property includes CocoWalk and four buildings in Coconut Grove.</w:t>
      </w:r>
    </w:p>
    <w:p>
      <w:pPr>
        <w:spacing w:after="0" w:line="42" w:lineRule="exact"/>
        <w:rPr>
          <w:sz w:val="20"/>
          <w:szCs w:val="20"/>
          <w:color w:val="auto"/>
        </w:rPr>
      </w:pPr>
    </w:p>
    <w:p>
      <w:pPr>
        <w:ind w:left="580" w:hanging="561"/>
        <w:spacing w:after="0"/>
        <w:tabs>
          <w:tab w:leader="none" w:pos="5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Grocer is a shadow anchor located adjacent to the property, but is not part of the owned property.</w:t>
      </w: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40" w:top="102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Retail Leasing Summary (1)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June 30,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Total Lease Summary - Comparable (2)</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Contractual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Cash Basis %</w:t>
            </w:r>
          </w:p>
        </w:tc>
        <w:tc>
          <w:tcPr>
            <w:tcW w:w="80" w:type="dxa"/>
            <w:vAlign w:val="bottom"/>
          </w:tcPr>
          <w:p>
            <w:pPr>
              <w:spacing w:after="0"/>
              <w:rPr>
                <w:sz w:val="11"/>
                <w:szCs w:val="11"/>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Straight-lined</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20" w:type="dxa"/>
            <w:vAlign w:val="bottom"/>
          </w:tcPr>
          <w:p>
            <w:pPr>
              <w:spacing w:after="0"/>
              <w:rPr>
                <w:sz w:val="11"/>
                <w:szCs w:val="11"/>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1"/>
                <w:szCs w:val="11"/>
                <w:color w:val="auto"/>
              </w:rPr>
            </w:pPr>
          </w:p>
        </w:tc>
        <w:tc>
          <w:tcPr>
            <w:tcW w:w="780" w:type="dxa"/>
            <w:vAlign w:val="bottom"/>
            <w:vMerge w:val="restart"/>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0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 of Comparable</w:t>
            </w: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Prior Rent (4)</w:t>
            </w:r>
          </w:p>
        </w:tc>
        <w:tc>
          <w:tcPr>
            <w:tcW w:w="9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Annual Increase</w:t>
            </w:r>
          </w:p>
        </w:tc>
        <w:tc>
          <w:tcPr>
            <w:tcW w:w="9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6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80" w:type="dxa"/>
            <w:vAlign w:val="bottom"/>
            <w:vMerge w:val="restart"/>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100" w:type="dxa"/>
            <w:vAlign w:val="bottom"/>
          </w:tcPr>
          <w:p>
            <w:pPr>
              <w:spacing w:after="0"/>
              <w:rPr>
                <w:sz w:val="9"/>
                <w:szCs w:val="9"/>
                <w:color w:val="auto"/>
              </w:rPr>
            </w:pPr>
          </w:p>
        </w:tc>
        <w:tc>
          <w:tcPr>
            <w:tcW w:w="72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rPr>
              <w:t>Leases</w:t>
            </w:r>
          </w:p>
        </w:tc>
        <w:tc>
          <w:tcPr>
            <w:tcW w:w="1020" w:type="dxa"/>
            <w:vAlign w:val="bottom"/>
            <w:gridSpan w:val="4"/>
            <w:vMerge w:val="continue"/>
          </w:tcPr>
          <w:p>
            <w:pPr>
              <w:spacing w:after="0"/>
              <w:rPr>
                <w:sz w:val="9"/>
                <w:szCs w:val="9"/>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80" w:type="dxa"/>
            <w:vAlign w:val="bottom"/>
          </w:tcPr>
          <w:p>
            <w:pPr>
              <w:spacing w:after="0"/>
              <w:rPr>
                <w:sz w:val="9"/>
                <w:szCs w:val="9"/>
                <w:color w:val="auto"/>
              </w:rPr>
            </w:pPr>
          </w:p>
        </w:tc>
        <w:tc>
          <w:tcPr>
            <w:tcW w:w="66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Rent (3) Per</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92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6"/>
              </w:rPr>
              <w:t>Increase Over</w:t>
            </w:r>
          </w:p>
        </w:tc>
        <w:tc>
          <w:tcPr>
            <w:tcW w:w="940" w:type="dxa"/>
            <w:vAlign w:val="bottom"/>
            <w:gridSpan w:val="3"/>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Basis % Increase</w:t>
            </w:r>
          </w:p>
        </w:tc>
        <w:tc>
          <w:tcPr>
            <w:tcW w:w="76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40" w:type="dxa"/>
            <w:vAlign w:val="bottom"/>
            <w:gridSpan w:val="3"/>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88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0" w:type="dxa"/>
            <w:vAlign w:val="bottom"/>
          </w:tcPr>
          <w:p>
            <w:pPr>
              <w:spacing w:after="0"/>
              <w:rPr>
                <w:sz w:val="1"/>
                <w:szCs w:val="1"/>
                <w:color w:val="auto"/>
              </w:rPr>
            </w:pPr>
          </w:p>
        </w:tc>
      </w:tr>
      <w:tr>
        <w:trPr>
          <w:trHeight w:val="155"/>
        </w:trPr>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Signed</w:t>
            </w:r>
          </w:p>
        </w:tc>
        <w:tc>
          <w:tcPr>
            <w:tcW w:w="1020" w:type="dxa"/>
            <w:vAlign w:val="bottom"/>
            <w:gridSpan w:val="4"/>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900" w:type="dxa"/>
            <w:vAlign w:val="bottom"/>
            <w:gridSpan w:val="2"/>
            <w:vMerge w:val="continue"/>
          </w:tcPr>
          <w:p>
            <w:pPr>
              <w:spacing w:after="0"/>
              <w:rPr>
                <w:sz w:val="13"/>
                <w:szCs w:val="13"/>
                <w:color w:val="auto"/>
              </w:rPr>
            </w:pPr>
          </w:p>
        </w:tc>
        <w:tc>
          <w:tcPr>
            <w:tcW w:w="74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9"/>
              </w:rPr>
              <w:t>Sq. Ft. (PSF)</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PSF</w:t>
            </w:r>
          </w:p>
        </w:tc>
        <w:tc>
          <w:tcPr>
            <w:tcW w:w="160" w:type="dxa"/>
            <w:vAlign w:val="bottom"/>
          </w:tcPr>
          <w:p>
            <w:pPr>
              <w:spacing w:after="0"/>
              <w:rPr>
                <w:sz w:val="13"/>
                <w:szCs w:val="13"/>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in Rent</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Prior Rent</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Over Prior Rent</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3"/>
                <w:szCs w:val="13"/>
                <w:color w:val="auto"/>
              </w:rPr>
            </w:pPr>
          </w:p>
        </w:tc>
        <w:tc>
          <w:tcPr>
            <w:tcW w:w="780" w:type="dxa"/>
            <w:vAlign w:val="bottom"/>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7"/>
              </w:rPr>
              <w:t>Incentives PSF</w:t>
            </w:r>
          </w:p>
        </w:tc>
        <w:tc>
          <w:tcPr>
            <w:tcW w:w="0" w:type="dxa"/>
            <w:vAlign w:val="bottom"/>
          </w:tcPr>
          <w:p>
            <w:pPr>
              <w:spacing w:after="0"/>
              <w:rPr>
                <w:sz w:val="1"/>
                <w:szCs w:val="1"/>
                <w:color w:val="auto"/>
              </w:rPr>
            </w:pPr>
          </w:p>
        </w:tc>
      </w:tr>
      <w:tr>
        <w:trPr>
          <w:trHeight w:val="203"/>
        </w:trPr>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2nd Quarter 2024</w:t>
            </w:r>
          </w:p>
        </w:tc>
        <w:tc>
          <w:tcPr>
            <w:tcW w:w="720" w:type="dxa"/>
            <w:vAlign w:val="bottom"/>
            <w:tcBorders>
              <w:top w:val="single" w:sz="8" w:color="auto"/>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594,361</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37.72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34.29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2,039,521</w:t>
            </w: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15,045,191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25.31</w:t>
            </w:r>
          </w:p>
        </w:tc>
        <w:tc>
          <w:tcPr>
            <w:tcW w:w="0" w:type="dxa"/>
            <w:vAlign w:val="bottom"/>
          </w:tcPr>
          <w:p>
            <w:pPr>
              <w:spacing w:after="0"/>
              <w:rPr>
                <w:sz w:val="1"/>
                <w:szCs w:val="1"/>
                <w:color w:val="auto"/>
              </w:rPr>
            </w:pPr>
          </w:p>
        </w:tc>
      </w:tr>
      <w:tr>
        <w:trPr>
          <w:trHeight w:val="195"/>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1st Quarter 2024</w:t>
            </w:r>
          </w:p>
        </w:tc>
        <w:tc>
          <w:tcPr>
            <w:tcW w:w="72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566,865</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36.39</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33.30</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1,750,831</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15,902,708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28.05</w:t>
            </w: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4th Quarter 2023</w:t>
            </w:r>
          </w:p>
        </w:tc>
        <w:tc>
          <w:tcPr>
            <w:tcW w:w="7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393,761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44.57</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39.97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1,811,782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13,762,615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34.95</w:t>
            </w:r>
          </w:p>
        </w:tc>
        <w:tc>
          <w:tcPr>
            <w:tcW w:w="0" w:type="dxa"/>
            <w:vAlign w:val="bottom"/>
          </w:tcPr>
          <w:p>
            <w:pPr>
              <w:spacing w:after="0"/>
              <w:rPr>
                <w:sz w:val="1"/>
                <w:szCs w:val="1"/>
                <w:color w:val="auto"/>
              </w:rPr>
            </w:pPr>
          </w:p>
        </w:tc>
      </w:tr>
      <w:tr>
        <w:trPr>
          <w:trHeight w:val="196"/>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3rd Quarter 2023</w:t>
            </w:r>
          </w:p>
        </w:tc>
        <w:tc>
          <w:tcPr>
            <w:tcW w:w="72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552,765</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34.51</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31.17</w:t>
            </w:r>
          </w:p>
        </w:tc>
        <w:tc>
          <w:tcPr>
            <w:tcW w:w="100" w:type="dxa"/>
            <w:vAlign w:val="bottom"/>
          </w:tcPr>
          <w:p>
            <w:pPr>
              <w:spacing w:after="0"/>
              <w:rPr>
                <w:sz w:val="17"/>
                <w:szCs w:val="17"/>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1,848,740</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17,240,180</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31.19</w:t>
            </w:r>
          </w:p>
        </w:tc>
        <w:tc>
          <w:tcPr>
            <w:tcW w:w="0" w:type="dxa"/>
            <w:vAlign w:val="bottom"/>
          </w:tcPr>
          <w:p>
            <w:pPr>
              <w:spacing w:after="0"/>
              <w:rPr>
                <w:sz w:val="1"/>
                <w:szCs w:val="1"/>
                <w:color w:val="auto"/>
              </w:rPr>
            </w:pPr>
          </w:p>
        </w:tc>
      </w:tr>
      <w:tr>
        <w:trPr>
          <w:trHeight w:val="228"/>
        </w:trPr>
        <w:tc>
          <w:tcPr>
            <w:tcW w:w="10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4"/>
                <w:szCs w:val="14"/>
                <w:color w:val="auto"/>
              </w:rPr>
              <w:t>426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2,107,752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37.80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7,450,874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61,950,694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29.39</w:t>
            </w: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92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New Lease Summary - Comparable (2)</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5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Cash Basis %</w:t>
            </w:r>
          </w:p>
        </w:tc>
        <w:tc>
          <w:tcPr>
            <w:tcW w:w="8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Straight-lined</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2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2"/>
                <w:szCs w:val="12"/>
                <w:color w:val="auto"/>
              </w:rPr>
            </w:pPr>
          </w:p>
        </w:tc>
        <w:tc>
          <w:tcPr>
            <w:tcW w:w="780" w:type="dxa"/>
            <w:vAlign w:val="bottom"/>
            <w:vMerge w:val="restart"/>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0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 of Comparable</w:t>
            </w: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Contractual</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Prior Rent (4)</w:t>
            </w:r>
          </w:p>
        </w:tc>
        <w:tc>
          <w:tcPr>
            <w:tcW w:w="9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Annual Increase</w:t>
            </w:r>
          </w:p>
        </w:tc>
        <w:tc>
          <w:tcPr>
            <w:tcW w:w="9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6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80" w:type="dxa"/>
            <w:vAlign w:val="bottom"/>
            <w:vMerge w:val="restart"/>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100" w:type="dxa"/>
            <w:vAlign w:val="bottom"/>
          </w:tcPr>
          <w:p>
            <w:pPr>
              <w:spacing w:after="0"/>
              <w:rPr>
                <w:sz w:val="9"/>
                <w:szCs w:val="9"/>
                <w:color w:val="auto"/>
              </w:rPr>
            </w:pPr>
          </w:p>
        </w:tc>
        <w:tc>
          <w:tcPr>
            <w:tcW w:w="72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rPr>
              <w:t>Leases</w:t>
            </w:r>
          </w:p>
        </w:tc>
        <w:tc>
          <w:tcPr>
            <w:tcW w:w="1020" w:type="dxa"/>
            <w:vAlign w:val="bottom"/>
            <w:gridSpan w:val="4"/>
            <w:vMerge w:val="continue"/>
          </w:tcPr>
          <w:p>
            <w:pPr>
              <w:spacing w:after="0"/>
              <w:rPr>
                <w:sz w:val="9"/>
                <w:szCs w:val="9"/>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92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6"/>
              </w:rPr>
              <w:t>Increase Over</w:t>
            </w:r>
          </w:p>
        </w:tc>
        <w:tc>
          <w:tcPr>
            <w:tcW w:w="940" w:type="dxa"/>
            <w:vAlign w:val="bottom"/>
            <w:gridSpan w:val="3"/>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Basis % Increase</w:t>
            </w:r>
          </w:p>
        </w:tc>
        <w:tc>
          <w:tcPr>
            <w:tcW w:w="76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40" w:type="dxa"/>
            <w:vAlign w:val="bottom"/>
            <w:gridSpan w:val="3"/>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88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0" w:type="dxa"/>
            <w:vAlign w:val="bottom"/>
          </w:tcPr>
          <w:p>
            <w:pPr>
              <w:spacing w:after="0"/>
              <w:rPr>
                <w:sz w:val="1"/>
                <w:szCs w:val="1"/>
                <w:color w:val="auto"/>
              </w:rPr>
            </w:pPr>
          </w:p>
        </w:tc>
      </w:tr>
      <w:tr>
        <w:trPr>
          <w:trHeight w:val="156"/>
        </w:trPr>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Signed</w:t>
            </w:r>
          </w:p>
        </w:tc>
        <w:tc>
          <w:tcPr>
            <w:tcW w:w="1020" w:type="dxa"/>
            <w:vAlign w:val="bottom"/>
            <w:gridSpan w:val="4"/>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900" w:type="dxa"/>
            <w:vAlign w:val="bottom"/>
            <w:gridSpan w:val="2"/>
            <w:vMerge w:val="continue"/>
          </w:tcPr>
          <w:p>
            <w:pPr>
              <w:spacing w:after="0"/>
              <w:rPr>
                <w:sz w:val="13"/>
                <w:szCs w:val="13"/>
                <w:color w:val="auto"/>
              </w:rPr>
            </w:pPr>
          </w:p>
        </w:tc>
        <w:tc>
          <w:tcPr>
            <w:tcW w:w="74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9"/>
              </w:rPr>
              <w:t>Rent (3) PSF</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PSF</w:t>
            </w:r>
          </w:p>
        </w:tc>
        <w:tc>
          <w:tcPr>
            <w:tcW w:w="160" w:type="dxa"/>
            <w:vAlign w:val="bottom"/>
          </w:tcPr>
          <w:p>
            <w:pPr>
              <w:spacing w:after="0"/>
              <w:rPr>
                <w:sz w:val="13"/>
                <w:szCs w:val="13"/>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in Rent</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Prior Rent</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Over Prior Rent</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3"/>
                <w:szCs w:val="13"/>
                <w:color w:val="auto"/>
              </w:rPr>
            </w:pPr>
          </w:p>
        </w:tc>
        <w:tc>
          <w:tcPr>
            <w:tcW w:w="780" w:type="dxa"/>
            <w:vAlign w:val="bottom"/>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7"/>
              </w:rPr>
              <w:t>Incentives PSF</w:t>
            </w:r>
          </w:p>
        </w:tc>
        <w:tc>
          <w:tcPr>
            <w:tcW w:w="0" w:type="dxa"/>
            <w:vAlign w:val="bottom"/>
          </w:tcPr>
          <w:p>
            <w:pPr>
              <w:spacing w:after="0"/>
              <w:rPr>
                <w:sz w:val="1"/>
                <w:szCs w:val="1"/>
                <w:color w:val="auto"/>
              </w:rPr>
            </w:pPr>
          </w:p>
        </w:tc>
      </w:tr>
      <w:tr>
        <w:trPr>
          <w:trHeight w:val="202"/>
        </w:trPr>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2nd Quarter 2024</w:t>
            </w:r>
          </w:p>
        </w:tc>
        <w:tc>
          <w:tcPr>
            <w:tcW w:w="720" w:type="dxa"/>
            <w:vAlign w:val="bottom"/>
            <w:tcBorders>
              <w:top w:val="single" w:sz="8" w:color="auto"/>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43 %</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313,365</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34.58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30.83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1,173,072</w:t>
            </w: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14,209,970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45.35</w:t>
            </w:r>
          </w:p>
        </w:tc>
        <w:tc>
          <w:tcPr>
            <w:tcW w:w="0" w:type="dxa"/>
            <w:vAlign w:val="bottom"/>
          </w:tcPr>
          <w:p>
            <w:pPr>
              <w:spacing w:after="0"/>
              <w:rPr>
                <w:sz w:val="1"/>
                <w:szCs w:val="1"/>
                <w:color w:val="auto"/>
              </w:rPr>
            </w:pPr>
          </w:p>
        </w:tc>
      </w:tr>
      <w:tr>
        <w:trPr>
          <w:trHeight w:val="195"/>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1st Quarter 2024</w:t>
            </w:r>
          </w:p>
        </w:tc>
        <w:tc>
          <w:tcPr>
            <w:tcW w:w="72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40 %</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222,415</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39.45</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32.99</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1,438,272</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14,313,788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64.36</w:t>
            </w: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4th Quarter 2023</w:t>
            </w:r>
          </w:p>
        </w:tc>
        <w:tc>
          <w:tcPr>
            <w:tcW w:w="7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45 %</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38.77</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33.46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1,247,214</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12,989,353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55.34</w:t>
            </w:r>
          </w:p>
        </w:tc>
        <w:tc>
          <w:tcPr>
            <w:tcW w:w="0" w:type="dxa"/>
            <w:vAlign w:val="bottom"/>
          </w:tcPr>
          <w:p>
            <w:pPr>
              <w:spacing w:after="0"/>
              <w:rPr>
                <w:sz w:val="1"/>
                <w:szCs w:val="1"/>
                <w:color w:val="auto"/>
              </w:rPr>
            </w:pPr>
          </w:p>
        </w:tc>
      </w:tr>
      <w:tr>
        <w:trPr>
          <w:trHeight w:val="196"/>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3rd Quarter 2023</w:t>
            </w:r>
          </w:p>
        </w:tc>
        <w:tc>
          <w:tcPr>
            <w:tcW w:w="72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56 %</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410,575</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28.18</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24.91</w:t>
            </w:r>
          </w:p>
        </w:tc>
        <w:tc>
          <w:tcPr>
            <w:tcW w:w="100" w:type="dxa"/>
            <w:vAlign w:val="bottom"/>
          </w:tcPr>
          <w:p>
            <w:pPr>
              <w:spacing w:after="0"/>
              <w:rPr>
                <w:sz w:val="17"/>
                <w:szCs w:val="17"/>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1,340,705</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16,926,600</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41.23</w:t>
            </w:r>
          </w:p>
        </w:tc>
        <w:tc>
          <w:tcPr>
            <w:tcW w:w="0" w:type="dxa"/>
            <w:vAlign w:val="bottom"/>
          </w:tcPr>
          <w:p>
            <w:pPr>
              <w:spacing w:after="0"/>
              <w:rPr>
                <w:sz w:val="1"/>
                <w:szCs w:val="1"/>
                <w:color w:val="auto"/>
              </w:rPr>
            </w:pPr>
          </w:p>
        </w:tc>
      </w:tr>
      <w:tr>
        <w:trPr>
          <w:trHeight w:val="228"/>
        </w:trPr>
        <w:tc>
          <w:tcPr>
            <w:tcW w:w="10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46 %</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1,181,084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34.10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29.70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5,199,263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58,439,711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49.48</w:t>
            </w: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92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Renewal Lease Summary - Comparable (2) (7)</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5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Cash Basis %</w:t>
            </w:r>
          </w:p>
        </w:tc>
        <w:tc>
          <w:tcPr>
            <w:tcW w:w="8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Straight-lined</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2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2"/>
                <w:szCs w:val="12"/>
                <w:color w:val="auto"/>
              </w:rPr>
            </w:pPr>
          </w:p>
        </w:tc>
        <w:tc>
          <w:tcPr>
            <w:tcW w:w="780" w:type="dxa"/>
            <w:vAlign w:val="bottom"/>
            <w:vMerge w:val="restart"/>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0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 of Comparable</w:t>
            </w: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Contractual</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Prior Rent (4)</w:t>
            </w:r>
          </w:p>
        </w:tc>
        <w:tc>
          <w:tcPr>
            <w:tcW w:w="9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Annual Increase</w:t>
            </w:r>
          </w:p>
        </w:tc>
        <w:tc>
          <w:tcPr>
            <w:tcW w:w="9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6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80" w:type="dxa"/>
            <w:vAlign w:val="bottom"/>
            <w:vMerge w:val="restart"/>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100" w:type="dxa"/>
            <w:vAlign w:val="bottom"/>
          </w:tcPr>
          <w:p>
            <w:pPr>
              <w:spacing w:after="0"/>
              <w:rPr>
                <w:sz w:val="9"/>
                <w:szCs w:val="9"/>
                <w:color w:val="auto"/>
              </w:rPr>
            </w:pPr>
          </w:p>
        </w:tc>
        <w:tc>
          <w:tcPr>
            <w:tcW w:w="72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rPr>
              <w:t>Leases</w:t>
            </w:r>
          </w:p>
        </w:tc>
        <w:tc>
          <w:tcPr>
            <w:tcW w:w="1020" w:type="dxa"/>
            <w:vAlign w:val="bottom"/>
            <w:gridSpan w:val="4"/>
            <w:vMerge w:val="continue"/>
          </w:tcPr>
          <w:p>
            <w:pPr>
              <w:spacing w:after="0"/>
              <w:rPr>
                <w:sz w:val="9"/>
                <w:szCs w:val="9"/>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92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6"/>
              </w:rPr>
              <w:t>Increase Over</w:t>
            </w:r>
          </w:p>
        </w:tc>
        <w:tc>
          <w:tcPr>
            <w:tcW w:w="940" w:type="dxa"/>
            <w:vAlign w:val="bottom"/>
            <w:gridSpan w:val="3"/>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Basis % Increase</w:t>
            </w:r>
          </w:p>
        </w:tc>
        <w:tc>
          <w:tcPr>
            <w:tcW w:w="76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40" w:type="dxa"/>
            <w:vAlign w:val="bottom"/>
            <w:gridSpan w:val="3"/>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88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0" w:type="dxa"/>
            <w:vAlign w:val="bottom"/>
          </w:tcPr>
          <w:p>
            <w:pPr>
              <w:spacing w:after="0"/>
              <w:rPr>
                <w:sz w:val="1"/>
                <w:szCs w:val="1"/>
                <w:color w:val="auto"/>
              </w:rPr>
            </w:pPr>
          </w:p>
        </w:tc>
      </w:tr>
      <w:tr>
        <w:trPr>
          <w:trHeight w:val="156"/>
        </w:trPr>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Signed</w:t>
            </w:r>
          </w:p>
        </w:tc>
        <w:tc>
          <w:tcPr>
            <w:tcW w:w="1020" w:type="dxa"/>
            <w:vAlign w:val="bottom"/>
            <w:gridSpan w:val="4"/>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900" w:type="dxa"/>
            <w:vAlign w:val="bottom"/>
            <w:gridSpan w:val="2"/>
            <w:vMerge w:val="continue"/>
          </w:tcPr>
          <w:p>
            <w:pPr>
              <w:spacing w:after="0"/>
              <w:rPr>
                <w:sz w:val="13"/>
                <w:szCs w:val="13"/>
                <w:color w:val="auto"/>
              </w:rPr>
            </w:pPr>
          </w:p>
        </w:tc>
        <w:tc>
          <w:tcPr>
            <w:tcW w:w="74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9"/>
              </w:rPr>
              <w:t>Rent (3) PSF</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PSF</w:t>
            </w:r>
          </w:p>
        </w:tc>
        <w:tc>
          <w:tcPr>
            <w:tcW w:w="160" w:type="dxa"/>
            <w:vAlign w:val="bottom"/>
          </w:tcPr>
          <w:p>
            <w:pPr>
              <w:spacing w:after="0"/>
              <w:rPr>
                <w:sz w:val="13"/>
                <w:szCs w:val="13"/>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in Rent</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Prior Rent</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Over Prior Rent</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3"/>
                <w:szCs w:val="13"/>
                <w:color w:val="auto"/>
              </w:rPr>
            </w:pPr>
          </w:p>
        </w:tc>
        <w:tc>
          <w:tcPr>
            <w:tcW w:w="780" w:type="dxa"/>
            <w:vAlign w:val="bottom"/>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7"/>
              </w:rPr>
              <w:t>Incentives PSF</w:t>
            </w:r>
          </w:p>
        </w:tc>
        <w:tc>
          <w:tcPr>
            <w:tcW w:w="0" w:type="dxa"/>
            <w:vAlign w:val="bottom"/>
          </w:tcPr>
          <w:p>
            <w:pPr>
              <w:spacing w:after="0"/>
              <w:rPr>
                <w:sz w:val="1"/>
                <w:szCs w:val="1"/>
                <w:color w:val="auto"/>
              </w:rPr>
            </w:pPr>
          </w:p>
        </w:tc>
      </w:tr>
      <w:tr>
        <w:trPr>
          <w:trHeight w:val="203"/>
        </w:trPr>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2nd Quarter 2024</w:t>
            </w:r>
          </w:p>
        </w:tc>
        <w:tc>
          <w:tcPr>
            <w:tcW w:w="720" w:type="dxa"/>
            <w:vAlign w:val="bottom"/>
            <w:tcBorders>
              <w:top w:val="single" w:sz="8" w:color="auto"/>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57 %</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280,996</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41.24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38.15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866,449</w:t>
            </w: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835,221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0" w:type="dxa"/>
            <w:vAlign w:val="bottom"/>
          </w:tcPr>
          <w:p>
            <w:pPr>
              <w:spacing w:after="0"/>
              <w:rPr>
                <w:sz w:val="1"/>
                <w:szCs w:val="1"/>
                <w:color w:val="auto"/>
              </w:rPr>
            </w:pPr>
          </w:p>
        </w:tc>
      </w:tr>
      <w:tr>
        <w:trPr>
          <w:trHeight w:val="195"/>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1st Quarter 2024</w:t>
            </w:r>
          </w:p>
        </w:tc>
        <w:tc>
          <w:tcPr>
            <w:tcW w:w="72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60 %</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344,450</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34.41</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33.51</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312,559</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1,588,920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4th Quarter 2023</w:t>
            </w:r>
          </w:p>
        </w:tc>
        <w:tc>
          <w:tcPr>
            <w:tcW w:w="7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55 %</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159,032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53.12</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49.57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564,568</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773,262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0" w:type="dxa"/>
            <w:vAlign w:val="bottom"/>
          </w:tcPr>
          <w:p>
            <w:pPr>
              <w:spacing w:after="0"/>
              <w:rPr>
                <w:sz w:val="1"/>
                <w:szCs w:val="1"/>
                <w:color w:val="auto"/>
              </w:rPr>
            </w:pPr>
          </w:p>
        </w:tc>
      </w:tr>
      <w:tr>
        <w:trPr>
          <w:trHeight w:val="196"/>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3rd Quarter 2023</w:t>
            </w:r>
          </w:p>
        </w:tc>
        <w:tc>
          <w:tcPr>
            <w:tcW w:w="72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44 %</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142,190</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52.80</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49.23</w:t>
            </w:r>
          </w:p>
        </w:tc>
        <w:tc>
          <w:tcPr>
            <w:tcW w:w="100" w:type="dxa"/>
            <w:vAlign w:val="bottom"/>
          </w:tcPr>
          <w:p>
            <w:pPr>
              <w:spacing w:after="0"/>
              <w:rPr>
                <w:sz w:val="17"/>
                <w:szCs w:val="17"/>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508,035</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313,580</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228"/>
        </w:trPr>
        <w:tc>
          <w:tcPr>
            <w:tcW w:w="10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54 %</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926,668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42.51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40.08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2,251,611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3,510,983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gridSpan w:val="2"/>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56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auto"/>
              </w:rPr>
              <w:t>Total Lease Summary - Comparable and Non-comparable (2) (8)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2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2"/>
                <w:szCs w:val="12"/>
                <w:color w:val="auto"/>
              </w:rPr>
            </w:pPr>
          </w:p>
        </w:tc>
        <w:tc>
          <w:tcPr>
            <w:tcW w:w="780" w:type="dxa"/>
            <w:vAlign w:val="bottom"/>
            <w:vMerge w:val="restart"/>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00" w:type="dxa"/>
            <w:vAlign w:val="bottom"/>
          </w:tcPr>
          <w:p>
            <w:pPr>
              <w:spacing w:after="0"/>
              <w:rPr>
                <w:sz w:val="9"/>
                <w:szCs w:val="9"/>
                <w:color w:val="auto"/>
              </w:rPr>
            </w:pPr>
          </w:p>
        </w:tc>
        <w:tc>
          <w:tcPr>
            <w:tcW w:w="1000" w:type="dxa"/>
            <w:vAlign w:val="bottom"/>
            <w:gridSpan w:val="4"/>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 of Comparable</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Contractual</w:t>
            </w:r>
          </w:p>
        </w:tc>
        <w:tc>
          <w:tcPr>
            <w:tcW w:w="76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80" w:type="dxa"/>
            <w:vAlign w:val="bottom"/>
            <w:vMerge w:val="restart"/>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1740" w:type="dxa"/>
            <w:vAlign w:val="bottom"/>
            <w:gridSpan w:val="4"/>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6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40" w:type="dxa"/>
            <w:vAlign w:val="bottom"/>
            <w:gridSpan w:val="3"/>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88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0" w:type="dxa"/>
            <w:vAlign w:val="bottom"/>
          </w:tcPr>
          <w:p>
            <w:pPr>
              <w:spacing w:after="0"/>
              <w:rPr>
                <w:sz w:val="1"/>
                <w:szCs w:val="1"/>
                <w:color w:val="auto"/>
              </w:rPr>
            </w:pPr>
          </w:p>
        </w:tc>
      </w:tr>
      <w:tr>
        <w:trPr>
          <w:trHeight w:val="155"/>
        </w:trPr>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Leases</w:t>
            </w:r>
          </w:p>
        </w:tc>
        <w:tc>
          <w:tcPr>
            <w:tcW w:w="160" w:type="dxa"/>
            <w:vAlign w:val="bottom"/>
          </w:tcPr>
          <w:p>
            <w:pPr>
              <w:spacing w:after="0"/>
              <w:rPr>
                <w:sz w:val="13"/>
                <w:szCs w:val="13"/>
                <w:color w:val="auto"/>
              </w:rPr>
            </w:pPr>
          </w:p>
        </w:tc>
        <w:tc>
          <w:tcPr>
            <w:tcW w:w="174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Rent (3) PSF</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3"/>
                <w:szCs w:val="13"/>
                <w:color w:val="auto"/>
              </w:rPr>
            </w:pPr>
          </w:p>
        </w:tc>
        <w:tc>
          <w:tcPr>
            <w:tcW w:w="780" w:type="dxa"/>
            <w:vAlign w:val="bottom"/>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7"/>
              </w:rPr>
              <w:t>Incentives PSF</w:t>
            </w:r>
          </w:p>
        </w:tc>
        <w:tc>
          <w:tcPr>
            <w:tcW w:w="0" w:type="dxa"/>
            <w:vAlign w:val="bottom"/>
          </w:tcPr>
          <w:p>
            <w:pPr>
              <w:spacing w:after="0"/>
              <w:rPr>
                <w:sz w:val="1"/>
                <w:szCs w:val="1"/>
                <w:color w:val="auto"/>
              </w:rPr>
            </w:pPr>
          </w:p>
        </w:tc>
      </w:tr>
      <w:tr>
        <w:trPr>
          <w:trHeight w:val="203"/>
        </w:trPr>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2nd Quarter 2024</w:t>
            </w: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98 %</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color w:val="auto"/>
              </w:rPr>
              <w:t>600,669</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37.77</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15,045,191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0" w:type="dxa"/>
            <w:vAlign w:val="bottom"/>
          </w:tcPr>
          <w:p>
            <w:pPr>
              <w:spacing w:after="0"/>
              <w:rPr>
                <w:sz w:val="1"/>
                <w:szCs w:val="1"/>
                <w:color w:val="auto"/>
              </w:rPr>
            </w:pPr>
          </w:p>
        </w:tc>
      </w:tr>
      <w:tr>
        <w:trPr>
          <w:trHeight w:val="195"/>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1st Quarter 2024</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94 %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4"/>
                <w:szCs w:val="14"/>
                <w:color w:val="auto"/>
              </w:rPr>
              <w:t>587,329</w:t>
            </w:r>
          </w:p>
        </w:tc>
        <w:tc>
          <w:tcPr>
            <w:tcW w:w="10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36.94</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16,427,528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27.97</w:t>
            </w: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4th Quarter 2023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98 %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color w:val="auto"/>
              </w:rPr>
              <w:t>398,378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44.64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14,057,750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35.29</w:t>
            </w:r>
          </w:p>
        </w:tc>
        <w:tc>
          <w:tcPr>
            <w:tcW w:w="0" w:type="dxa"/>
            <w:vAlign w:val="bottom"/>
          </w:tcPr>
          <w:p>
            <w:pPr>
              <w:spacing w:after="0"/>
              <w:rPr>
                <w:sz w:val="1"/>
                <w:szCs w:val="1"/>
                <w:color w:val="auto"/>
              </w:rPr>
            </w:pPr>
          </w:p>
        </w:tc>
      </w:tr>
      <w:tr>
        <w:trPr>
          <w:trHeight w:val="196"/>
        </w:trPr>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3rd Quarter 2023</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95 %</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color w:val="auto"/>
              </w:rPr>
              <w:t>565,496</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35.00</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18,301,660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32.36</w:t>
            </w:r>
          </w:p>
        </w:tc>
        <w:tc>
          <w:tcPr>
            <w:tcW w:w="0" w:type="dxa"/>
            <w:vAlign w:val="bottom"/>
          </w:tcPr>
          <w:p>
            <w:pPr>
              <w:spacing w:after="0"/>
              <w:rPr>
                <w:sz w:val="1"/>
                <w:szCs w:val="1"/>
                <w:color w:val="auto"/>
              </w:rPr>
            </w:pPr>
          </w:p>
        </w:tc>
      </w:tr>
      <w:tr>
        <w:trPr>
          <w:trHeight w:val="228"/>
        </w:trPr>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442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96 %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color w:val="auto"/>
              </w:rPr>
              <w:t>2,151,872</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38.09</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63,832,129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29.66</w:t>
            </w: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gridSpan w:val="2"/>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60" w:type="dxa"/>
            <w:vAlign w:val="bottom"/>
            <w:gridSpan w:val="18"/>
          </w:tcPr>
          <w:p>
            <w:pPr>
              <w:spacing w:after="0"/>
              <w:rPr>
                <w:sz w:val="20"/>
                <w:szCs w:val="20"/>
                <w:color w:val="auto"/>
              </w:rPr>
            </w:pPr>
            <w:r>
              <w:rPr>
                <w:rFonts w:ascii="Times New Roman" w:cs="Times New Roman" w:eastAsia="Times New Roman" w:hAnsi="Times New Roman"/>
                <w:sz w:val="14"/>
                <w:szCs w:val="14"/>
                <w:b w:val="1"/>
                <w:bCs w:val="1"/>
                <w:color w:val="auto"/>
              </w:rPr>
              <w:t>Total Lease Summary - Comparable, Non-comparable, and Option Exercises (2) (8) (9)</w:t>
            </w: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2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2"/>
                <w:szCs w:val="12"/>
                <w:color w:val="auto"/>
              </w:rPr>
            </w:pPr>
          </w:p>
        </w:tc>
        <w:tc>
          <w:tcPr>
            <w:tcW w:w="780" w:type="dxa"/>
            <w:vAlign w:val="bottom"/>
            <w:vMerge w:val="restart"/>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Contractual</w:t>
            </w:r>
          </w:p>
        </w:tc>
        <w:tc>
          <w:tcPr>
            <w:tcW w:w="76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80" w:type="dxa"/>
            <w:vAlign w:val="bottom"/>
            <w:vMerge w:val="restart"/>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40" w:type="dxa"/>
            <w:vAlign w:val="bottom"/>
            <w:gridSpan w:val="4"/>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6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40" w:type="dxa"/>
            <w:vAlign w:val="bottom"/>
            <w:gridSpan w:val="3"/>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88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0" w:type="dxa"/>
            <w:vAlign w:val="bottom"/>
          </w:tcPr>
          <w:p>
            <w:pPr>
              <w:spacing w:after="0"/>
              <w:rPr>
                <w:sz w:val="1"/>
                <w:szCs w:val="1"/>
                <w:color w:val="auto"/>
              </w:rPr>
            </w:pPr>
          </w:p>
        </w:tc>
      </w:tr>
      <w:tr>
        <w:trPr>
          <w:trHeight w:val="155"/>
        </w:trPr>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Rent (3) PSF</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3"/>
                <w:szCs w:val="13"/>
                <w:color w:val="auto"/>
              </w:rPr>
            </w:pPr>
          </w:p>
        </w:tc>
        <w:tc>
          <w:tcPr>
            <w:tcW w:w="780" w:type="dxa"/>
            <w:vAlign w:val="bottom"/>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7"/>
              </w:rPr>
              <w:t>Incentives PSF</w:t>
            </w:r>
          </w:p>
        </w:tc>
        <w:tc>
          <w:tcPr>
            <w:tcW w:w="0" w:type="dxa"/>
            <w:vAlign w:val="bottom"/>
          </w:tcPr>
          <w:p>
            <w:pPr>
              <w:spacing w:after="0"/>
              <w:rPr>
                <w:sz w:val="1"/>
                <w:szCs w:val="1"/>
                <w:color w:val="auto"/>
              </w:rPr>
            </w:pPr>
          </w:p>
        </w:tc>
      </w:tr>
      <w:tr>
        <w:trPr>
          <w:trHeight w:val="203"/>
        </w:trPr>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2nd Quarter 2024</w:t>
            </w: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color w:val="auto"/>
              </w:rPr>
              <w:t>805,880</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36.03</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15,045,191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18.67</w:t>
            </w:r>
          </w:p>
        </w:tc>
        <w:tc>
          <w:tcPr>
            <w:tcW w:w="0" w:type="dxa"/>
            <w:vAlign w:val="bottom"/>
          </w:tcPr>
          <w:p>
            <w:pPr>
              <w:spacing w:after="0"/>
              <w:rPr>
                <w:sz w:val="1"/>
                <w:szCs w:val="1"/>
                <w:color w:val="auto"/>
              </w:rPr>
            </w:pPr>
          </w:p>
        </w:tc>
      </w:tr>
      <w:tr>
        <w:trPr>
          <w:trHeight w:val="195"/>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1st Quarter 2024</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4"/>
                <w:szCs w:val="14"/>
                <w:color w:val="auto"/>
              </w:rPr>
              <w:t>831,076</w:t>
            </w:r>
          </w:p>
        </w:tc>
        <w:tc>
          <w:tcPr>
            <w:tcW w:w="10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34.55</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16,427,528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19.77</w:t>
            </w: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4th Quarter 2023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color w:val="auto"/>
              </w:rPr>
              <w:t>696,428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38.73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14,057,750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0" w:type="dxa"/>
            <w:vAlign w:val="bottom"/>
          </w:tcPr>
          <w:p>
            <w:pPr>
              <w:spacing w:after="0"/>
              <w:rPr>
                <w:sz w:val="1"/>
                <w:szCs w:val="1"/>
                <w:color w:val="auto"/>
              </w:rPr>
            </w:pPr>
          </w:p>
        </w:tc>
      </w:tr>
      <w:tr>
        <w:trPr>
          <w:trHeight w:val="196"/>
        </w:trPr>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3rd Quarter 2023</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color w:val="auto"/>
              </w:rPr>
              <w:t>1,047,182</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28.19</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18,301,660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17.48</w:t>
            </w:r>
          </w:p>
        </w:tc>
        <w:tc>
          <w:tcPr>
            <w:tcW w:w="0" w:type="dxa"/>
            <w:vAlign w:val="bottom"/>
          </w:tcPr>
          <w:p>
            <w:pPr>
              <w:spacing w:after="0"/>
              <w:rPr>
                <w:sz w:val="1"/>
                <w:szCs w:val="1"/>
                <w:color w:val="auto"/>
              </w:rPr>
            </w:pPr>
          </w:p>
        </w:tc>
      </w:tr>
      <w:tr>
        <w:trPr>
          <w:trHeight w:val="228"/>
        </w:trPr>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color w:val="auto"/>
              </w:rPr>
              <w:t>3,380,566</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33.79</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63,832,129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42" w:lineRule="exact"/>
        <w:rPr>
          <w:sz w:val="20"/>
          <w:szCs w:val="20"/>
          <w:color w:val="auto"/>
        </w:rPr>
      </w:pPr>
    </w:p>
    <w:p>
      <w:pPr>
        <w:ind w:left="580" w:right="60" w:hanging="567"/>
        <w:spacing w:after="0" w:line="251" w:lineRule="auto"/>
        <w:tabs>
          <w:tab w:leader="none" w:pos="5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reflects activity in retail spaces only for consolidated properties; office and residential spaces are not included. See Glossary of Terms for further discussion of information included above.</w:t>
      </w:r>
    </w:p>
    <w:p>
      <w:pPr>
        <w:ind w:left="580" w:hanging="567"/>
        <w:spacing w:after="0"/>
        <w:tabs>
          <w:tab w:leader="none" w:pos="5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Comparable leases represent those leases signed on spaces for which there was a former tenant. Contractual option exercises are not included unless they are fair market value options.</w:t>
      </w:r>
    </w:p>
    <w:p>
      <w:pPr>
        <w:spacing w:after="0" w:line="41" w:lineRule="exact"/>
        <w:rPr>
          <w:rFonts w:ascii="Times New Roman" w:cs="Times New Roman" w:eastAsia="Times New Roman" w:hAnsi="Times New Roman"/>
          <w:sz w:val="14"/>
          <w:szCs w:val="14"/>
          <w:color w:val="auto"/>
        </w:rPr>
      </w:pPr>
    </w:p>
    <w:p>
      <w:pPr>
        <w:ind w:left="580" w:hanging="567"/>
        <w:spacing w:after="0"/>
        <w:tabs>
          <w:tab w:leader="none" w:pos="5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Contractual rent represents annual rent under the new lease.</w:t>
      </w:r>
    </w:p>
    <w:p>
      <w:pPr>
        <w:spacing w:after="0" w:line="41" w:lineRule="exact"/>
        <w:rPr>
          <w:rFonts w:ascii="Times New Roman" w:cs="Times New Roman" w:eastAsia="Times New Roman" w:hAnsi="Times New Roman"/>
          <w:sz w:val="14"/>
          <w:szCs w:val="14"/>
          <w:color w:val="auto"/>
        </w:rPr>
      </w:pPr>
    </w:p>
    <w:p>
      <w:pPr>
        <w:ind w:left="580" w:hanging="567"/>
        <w:spacing w:after="0"/>
        <w:tabs>
          <w:tab w:leader="none" w:pos="5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rent represents contractual rent, including percentage rent, from the prior tenant in the final 12 months of the term.</w:t>
      </w:r>
    </w:p>
    <w:p>
      <w:pPr>
        <w:spacing w:after="0" w:line="41" w:lineRule="exact"/>
        <w:rPr>
          <w:rFonts w:ascii="Times New Roman" w:cs="Times New Roman" w:eastAsia="Times New Roman" w:hAnsi="Times New Roman"/>
          <w:sz w:val="14"/>
          <w:szCs w:val="14"/>
          <w:color w:val="auto"/>
        </w:rPr>
      </w:pPr>
    </w:p>
    <w:p>
      <w:pPr>
        <w:ind w:left="580" w:hanging="567"/>
        <w:spacing w:after="0"/>
        <w:tabs>
          <w:tab w:leader="none" w:pos="5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 average is determined on the basis of contractual rent for the lease.</w:t>
      </w:r>
    </w:p>
    <w:p>
      <w:pPr>
        <w:spacing w:after="0" w:line="41" w:lineRule="exact"/>
        <w:rPr>
          <w:rFonts w:ascii="Times New Roman" w:cs="Times New Roman" w:eastAsia="Times New Roman" w:hAnsi="Times New Roman"/>
          <w:sz w:val="14"/>
          <w:szCs w:val="14"/>
          <w:color w:val="auto"/>
        </w:rPr>
      </w:pPr>
    </w:p>
    <w:p>
      <w:pPr>
        <w:ind w:left="580" w:hanging="567"/>
        <w:spacing w:after="0"/>
        <w:tabs>
          <w:tab w:leader="none" w:pos="5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Glossary of Terms.</w:t>
      </w:r>
    </w:p>
    <w:p>
      <w:pPr>
        <w:spacing w:after="0" w:line="41" w:lineRule="exact"/>
        <w:rPr>
          <w:rFonts w:ascii="Times New Roman" w:cs="Times New Roman" w:eastAsia="Times New Roman" w:hAnsi="Times New Roman"/>
          <w:sz w:val="14"/>
          <w:szCs w:val="14"/>
          <w:color w:val="auto"/>
        </w:rPr>
      </w:pPr>
    </w:p>
    <w:p>
      <w:pPr>
        <w:ind w:left="580" w:hanging="567"/>
        <w:spacing w:after="0"/>
        <w:tabs>
          <w:tab w:leader="none" w:pos="5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Renewal leases represent expiring leases rolling over with the same tenant in the same location. All other leases are categorized as new.</w:t>
      </w:r>
    </w:p>
    <w:p>
      <w:pPr>
        <w:spacing w:after="0" w:line="41" w:lineRule="exact"/>
        <w:rPr>
          <w:rFonts w:ascii="Times New Roman" w:cs="Times New Roman" w:eastAsia="Times New Roman" w:hAnsi="Times New Roman"/>
          <w:sz w:val="14"/>
          <w:szCs w:val="14"/>
          <w:color w:val="auto"/>
        </w:rPr>
      </w:pPr>
    </w:p>
    <w:p>
      <w:pPr>
        <w:ind w:left="580" w:right="160" w:hanging="567"/>
        <w:spacing w:after="0" w:line="241" w:lineRule="auto"/>
        <w:tabs>
          <w:tab w:leader="none" w:pos="5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Leases Signed, GLA Signed, Contractual Rent Per Sq. Ft. and Weighted Average Lease Term columns include information for leases signed at Phase III of Assembly Row and Phase IV of Pike &amp; Rose. The Tenant Improvements &amp; Incentives and Tenant Improvements &amp; Incentives Per Sq. Ft. columns do not include the tenant improvements and incentives on leases signed for those projects; these amounts for leases signed are included in the projected costs for the respective projects.</w:t>
      </w:r>
    </w:p>
    <w:p>
      <w:pPr>
        <w:spacing w:after="0" w:line="1" w:lineRule="exact"/>
        <w:rPr>
          <w:rFonts w:ascii="Times New Roman" w:cs="Times New Roman" w:eastAsia="Times New Roman" w:hAnsi="Times New Roman"/>
          <w:sz w:val="14"/>
          <w:szCs w:val="14"/>
          <w:color w:val="auto"/>
        </w:rPr>
      </w:pPr>
    </w:p>
    <w:p>
      <w:pPr>
        <w:ind w:left="580" w:hanging="567"/>
        <w:spacing w:after="0"/>
        <w:tabs>
          <w:tab w:leader="none" w:pos="5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 exercises reflect a fixed rate contractual option under the lease agreement that was exercised during the period reflected.</w:t>
      </w:r>
    </w:p>
    <w:p>
      <w:pPr>
        <w:sectPr>
          <w:pgSz w:w="11900" w:h="16838" w:orient="portrait"/>
          <w:cols w:equalWidth="0" w:num="1">
            <w:col w:w="11180"/>
          </w:cols>
          <w:pgMar w:left="360" w:top="704" w:right="359"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80"/>
          </w:cols>
          <w:pgMar w:left="360" w:top="704" w:right="359" w:bottom="1440" w:gutter="0" w:footer="0" w:header="0"/>
          <w:type w:val="continuous"/>
        </w:sectPr>
      </w:pPr>
    </w:p>
    <w:bookmarkStart w:id="26" w:name="page27"/>
    <w:bookmarkEnd w:id="26"/>
    <w:p>
      <w:pPr>
        <w:ind w:left="1"/>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Lease Expirations</w:t>
      </w:r>
    </w:p>
    <w:p>
      <w:pPr>
        <w:spacing w:after="0" w:line="2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2682875"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82875" cy="154305"/>
                    </a:xfrm>
                    <a:prstGeom prst="rect">
                      <a:avLst/>
                    </a:prstGeom>
                    <a:noFill/>
                  </pic:spPr>
                </pic:pic>
              </a:graphicData>
            </a:graphic>
          </wp:anchor>
        </w:drawing>
      </w:r>
    </w:p>
    <w:p>
      <w:pPr>
        <w:spacing w:after="0" w:line="230" w:lineRule="exact"/>
        <w:rPr>
          <w:sz w:val="20"/>
          <w:szCs w:val="20"/>
          <w:color w:val="auto"/>
        </w:rPr>
      </w:pPr>
    </w:p>
    <w:p>
      <w:pPr>
        <w:ind w:left="21"/>
        <w:spacing w:after="0"/>
        <w:rPr>
          <w:sz w:val="20"/>
          <w:szCs w:val="20"/>
          <w:color w:val="auto"/>
        </w:rPr>
      </w:pPr>
      <w:r>
        <w:rPr>
          <w:rFonts w:ascii="Times New Roman" w:cs="Times New Roman" w:eastAsia="Times New Roman" w:hAnsi="Times New Roman"/>
          <w:sz w:val="16"/>
          <w:szCs w:val="16"/>
          <w:b w:val="1"/>
          <w:bCs w:val="1"/>
          <w:color w:val="auto"/>
        </w:rPr>
        <w:t>Assumes no exercise of lease options</w:t>
      </w:r>
    </w:p>
    <w:p>
      <w:pPr>
        <w:spacing w:after="0" w:line="118" w:lineRule="exact"/>
        <w:rPr>
          <w:sz w:val="20"/>
          <w:szCs w:val="20"/>
          <w:color w:val="auto"/>
        </w:rPr>
      </w:pPr>
    </w:p>
    <w:tbl>
      <w:tblPr>
        <w:tblLayout w:type="fixed"/>
        <w:tblInd w:w="11" w:type="dxa"/>
        <w:tblCellMar>
          <w:top w:w="0" w:type="dxa"/>
          <w:left w:w="0" w:type="dxa"/>
          <w:bottom w:w="0" w:type="dxa"/>
          <w:right w:w="0" w:type="dxa"/>
        </w:tblCellMar>
      </w:tblPr>
      <w:tr>
        <w:trPr>
          <w:trHeight w:val="190"/>
        </w:trPr>
        <w:tc>
          <w:tcPr>
            <w:tcW w:w="980" w:type="dxa"/>
            <w:vAlign w:val="bottom"/>
          </w:tcPr>
          <w:p>
            <w:pPr>
              <w:spacing w:after="0"/>
              <w:rPr>
                <w:sz w:val="16"/>
                <w:szCs w:val="16"/>
                <w:color w:val="auto"/>
              </w:rPr>
            </w:pP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Anchor Tenants (1)</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Small Shop Tenants</w:t>
            </w: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6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98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0" w:type="dxa"/>
            <w:vAlign w:val="bottom"/>
            <w:tcBorders>
              <w:top w:val="single" w:sz="8" w:color="auto"/>
            </w:tcBorders>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10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of Anchor</w:t>
            </w:r>
          </w:p>
        </w:tc>
        <w:tc>
          <w:tcPr>
            <w:tcW w:w="10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220" w:type="dxa"/>
            <w:vAlign w:val="bottom"/>
          </w:tcPr>
          <w:p>
            <w:pPr>
              <w:spacing w:after="0"/>
              <w:rPr>
                <w:sz w:val="11"/>
                <w:szCs w:val="11"/>
                <w:color w:val="auto"/>
              </w:rPr>
            </w:pPr>
          </w:p>
        </w:tc>
        <w:tc>
          <w:tcPr>
            <w:tcW w:w="1240" w:type="dxa"/>
            <w:vAlign w:val="bottom"/>
            <w:tcBorders>
              <w:top w:val="single" w:sz="8" w:color="auto"/>
            </w:tcBorders>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10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of Small</w:t>
            </w:r>
          </w:p>
        </w:tc>
        <w:tc>
          <w:tcPr>
            <w:tcW w:w="10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240" w:type="dxa"/>
            <w:vAlign w:val="bottom"/>
          </w:tcPr>
          <w:p>
            <w:pPr>
              <w:spacing w:after="0"/>
              <w:rPr>
                <w:sz w:val="11"/>
                <w:szCs w:val="11"/>
                <w:color w:val="auto"/>
              </w:rPr>
            </w:pPr>
          </w:p>
        </w:tc>
        <w:tc>
          <w:tcPr>
            <w:tcW w:w="1300" w:type="dxa"/>
            <w:vAlign w:val="bottom"/>
            <w:tcBorders>
              <w:top w:val="single" w:sz="8" w:color="auto"/>
            </w:tcBorders>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Expiring SF (4)</w:t>
            </w:r>
          </w:p>
        </w:tc>
        <w:tc>
          <w:tcPr>
            <w:tcW w:w="860" w:type="dxa"/>
            <w:vAlign w:val="bottom"/>
            <w:tcBorders>
              <w:top w:val="single" w:sz="8" w:color="auto"/>
            </w:tcBorders>
          </w:tcPr>
          <w:p>
            <w:pPr>
              <w:jc w:val="right"/>
              <w:ind w:right="41"/>
              <w:spacing w:after="0" w:line="129"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10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0" w:type="dxa"/>
            <w:vAlign w:val="bottom"/>
          </w:tcPr>
          <w:p>
            <w:pPr>
              <w:spacing w:after="0"/>
              <w:rPr>
                <w:sz w:val="1"/>
                <w:szCs w:val="1"/>
                <w:color w:val="auto"/>
              </w:rPr>
            </w:pPr>
          </w:p>
        </w:tc>
      </w:tr>
      <w:tr>
        <w:trPr>
          <w:trHeight w:val="196"/>
        </w:trPr>
        <w:tc>
          <w:tcPr>
            <w:tcW w:w="9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0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SF</w:t>
            </w: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240" w:type="dxa"/>
            <w:vAlign w:val="bottom"/>
            <w:vMerge w:val="continue"/>
          </w:tcPr>
          <w:p>
            <w:pPr>
              <w:spacing w:after="0"/>
              <w:rPr>
                <w:sz w:val="17"/>
                <w:szCs w:val="17"/>
                <w:color w:val="auto"/>
              </w:rPr>
            </w:pPr>
          </w:p>
        </w:tc>
        <w:tc>
          <w:tcPr>
            <w:tcW w:w="10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Shop SF</w:t>
            </w: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300" w:type="dxa"/>
            <w:vAlign w:val="bottom"/>
            <w:vMerge w:val="continue"/>
          </w:tcPr>
          <w:p>
            <w:pPr>
              <w:spacing w:after="0"/>
              <w:rPr>
                <w:sz w:val="17"/>
                <w:szCs w:val="17"/>
                <w:color w:val="auto"/>
              </w:rPr>
            </w:pPr>
          </w:p>
        </w:tc>
        <w:tc>
          <w:tcPr>
            <w:tcW w:w="86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SF</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PSF (2)</w:t>
            </w:r>
          </w:p>
        </w:tc>
        <w:tc>
          <w:tcPr>
            <w:tcW w:w="0" w:type="dxa"/>
            <w:vAlign w:val="bottom"/>
          </w:tcPr>
          <w:p>
            <w:pPr>
              <w:spacing w:after="0"/>
              <w:rPr>
                <w:sz w:val="1"/>
                <w:szCs w:val="1"/>
                <w:color w:val="auto"/>
              </w:rPr>
            </w:pPr>
          </w:p>
        </w:tc>
      </w:tr>
      <w:tr>
        <w:trPr>
          <w:trHeight w:val="216"/>
        </w:trPr>
        <w:tc>
          <w:tcPr>
            <w:tcW w:w="98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511,000</w:t>
            </w:r>
          </w:p>
        </w:tc>
        <w:tc>
          <w:tcPr>
            <w:tcW w:w="102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3 %</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329,000</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$35.27</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840,000</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3 %</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$24.69</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1,741,000</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$19.98</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1,051,000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$39.53</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2,792,000</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11 %</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$27.34</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1,418,000</w:t>
            </w: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9 %</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1,032,000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$49.04</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2,450,000</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$31.68</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2027</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2,078,000</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$25.65</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1,063,000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$51.46</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3,141,000</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13 %</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$34.39</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1,712,000</w:t>
            </w: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10 %</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1,048,000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$50.39</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2,760,000</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$32.08</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2029</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2,230,000</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1,118,000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$48.30</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3,349,000</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14 %</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$32.60</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1,015,000</w:t>
            </w: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6 %</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541,000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$49.07</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1,556,000</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$30.23</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2031</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783,000</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$26.92</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476,000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$46.85</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1,259,000</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5 %</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$34.45</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1,647,000</w:t>
            </w: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10 %</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$29.07</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604,000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$46.31</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2,251,000</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$33.70</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2033</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963,000</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$24.63</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501,000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$46.86</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1,463,000</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6 %</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$32.24</w:t>
            </w:r>
          </w:p>
        </w:tc>
        <w:tc>
          <w:tcPr>
            <w:tcW w:w="0" w:type="dxa"/>
            <w:vAlign w:val="bottom"/>
          </w:tcPr>
          <w:p>
            <w:pPr>
              <w:spacing w:after="0"/>
              <w:rPr>
                <w:sz w:val="1"/>
                <w:szCs w:val="1"/>
                <w:color w:val="auto"/>
              </w:rPr>
            </w:pPr>
          </w:p>
        </w:tc>
      </w:tr>
      <w:tr>
        <w:trPr>
          <w:trHeight w:val="216"/>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2,415,000</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15 %</w:t>
            </w: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$26.83</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562,000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$49.92</w:t>
            </w:r>
          </w:p>
        </w:tc>
        <w:tc>
          <w:tcPr>
            <w:tcW w:w="2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2,977,000</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$31.18</w:t>
            </w:r>
          </w:p>
        </w:tc>
        <w:tc>
          <w:tcPr>
            <w:tcW w:w="0" w:type="dxa"/>
            <w:vAlign w:val="bottom"/>
          </w:tcPr>
          <w:p>
            <w:pPr>
              <w:spacing w:after="0"/>
              <w:rPr>
                <w:sz w:val="1"/>
                <w:szCs w:val="1"/>
                <w:color w:val="auto"/>
              </w:rPr>
            </w:pPr>
          </w:p>
        </w:tc>
      </w:tr>
      <w:tr>
        <w:trPr>
          <w:trHeight w:val="211"/>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 (3)</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16,513,000</w:t>
            </w: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100 %</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$23.80</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8,325,000</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$47.28</w:t>
            </w: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24,838,000</w:t>
            </w: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100 %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$31.67</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9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200" w:type="dxa"/>
            <w:vAlign w:val="bottom"/>
            <w:tcBorders>
              <w:left w:val="single" w:sz="8" w:color="auto"/>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Assumes all lease options are exercised</w:t>
            </w:r>
          </w:p>
        </w:tc>
        <w:tc>
          <w:tcPr>
            <w:tcW w:w="102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980" w:type="dxa"/>
            <w:vAlign w:val="bottom"/>
          </w:tcPr>
          <w:p>
            <w:pPr>
              <w:spacing w:after="0"/>
              <w:rPr>
                <w:sz w:val="22"/>
                <w:szCs w:val="22"/>
                <w:color w:val="auto"/>
              </w:rPr>
            </w:pP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Anchor Tenants (1)</w:t>
            </w: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Small Shop Tenants</w:t>
            </w: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6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98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0" w:type="dxa"/>
            <w:vAlign w:val="bottom"/>
            <w:tcBorders>
              <w:top w:val="single" w:sz="8" w:color="auto"/>
            </w:tcBorders>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10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of Anchor</w:t>
            </w:r>
          </w:p>
        </w:tc>
        <w:tc>
          <w:tcPr>
            <w:tcW w:w="10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220" w:type="dxa"/>
            <w:vAlign w:val="bottom"/>
          </w:tcPr>
          <w:p>
            <w:pPr>
              <w:spacing w:after="0"/>
              <w:rPr>
                <w:sz w:val="11"/>
                <w:szCs w:val="11"/>
                <w:color w:val="auto"/>
              </w:rPr>
            </w:pPr>
          </w:p>
        </w:tc>
        <w:tc>
          <w:tcPr>
            <w:tcW w:w="1240" w:type="dxa"/>
            <w:vAlign w:val="bottom"/>
            <w:tcBorders>
              <w:top w:val="single" w:sz="8" w:color="auto"/>
            </w:tcBorders>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10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of Small</w:t>
            </w:r>
          </w:p>
        </w:tc>
        <w:tc>
          <w:tcPr>
            <w:tcW w:w="10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240" w:type="dxa"/>
            <w:vAlign w:val="bottom"/>
          </w:tcPr>
          <w:p>
            <w:pPr>
              <w:spacing w:after="0"/>
              <w:rPr>
                <w:sz w:val="11"/>
                <w:szCs w:val="11"/>
                <w:color w:val="auto"/>
              </w:rPr>
            </w:pPr>
          </w:p>
        </w:tc>
        <w:tc>
          <w:tcPr>
            <w:tcW w:w="1300" w:type="dxa"/>
            <w:vAlign w:val="bottom"/>
            <w:tcBorders>
              <w:top w:val="single" w:sz="8" w:color="auto"/>
            </w:tcBorders>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Expiring SF (4)</w:t>
            </w:r>
          </w:p>
        </w:tc>
        <w:tc>
          <w:tcPr>
            <w:tcW w:w="860" w:type="dxa"/>
            <w:vAlign w:val="bottom"/>
            <w:tcBorders>
              <w:top w:val="single" w:sz="8" w:color="auto"/>
            </w:tcBorders>
          </w:tcPr>
          <w:p>
            <w:pPr>
              <w:jc w:val="right"/>
              <w:ind w:right="41"/>
              <w:spacing w:after="0" w:line="129"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10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0" w:type="dxa"/>
            <w:vAlign w:val="bottom"/>
          </w:tcPr>
          <w:p>
            <w:pPr>
              <w:spacing w:after="0"/>
              <w:rPr>
                <w:sz w:val="1"/>
                <w:szCs w:val="1"/>
                <w:color w:val="auto"/>
              </w:rPr>
            </w:pPr>
          </w:p>
        </w:tc>
      </w:tr>
      <w:tr>
        <w:trPr>
          <w:trHeight w:val="196"/>
        </w:trPr>
        <w:tc>
          <w:tcPr>
            <w:tcW w:w="9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0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SF</w:t>
            </w: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240" w:type="dxa"/>
            <w:vAlign w:val="bottom"/>
            <w:vMerge w:val="continue"/>
          </w:tcPr>
          <w:p>
            <w:pPr>
              <w:spacing w:after="0"/>
              <w:rPr>
                <w:sz w:val="17"/>
                <w:szCs w:val="17"/>
                <w:color w:val="auto"/>
              </w:rPr>
            </w:pPr>
          </w:p>
        </w:tc>
        <w:tc>
          <w:tcPr>
            <w:tcW w:w="10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Shop SF</w:t>
            </w: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300" w:type="dxa"/>
            <w:vAlign w:val="bottom"/>
            <w:vMerge w:val="continue"/>
          </w:tcPr>
          <w:p>
            <w:pPr>
              <w:spacing w:after="0"/>
              <w:rPr>
                <w:sz w:val="17"/>
                <w:szCs w:val="17"/>
                <w:color w:val="auto"/>
              </w:rPr>
            </w:pPr>
          </w:p>
        </w:tc>
        <w:tc>
          <w:tcPr>
            <w:tcW w:w="86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SF</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PSF (2)</w:t>
            </w:r>
          </w:p>
        </w:tc>
        <w:tc>
          <w:tcPr>
            <w:tcW w:w="0" w:type="dxa"/>
            <w:vAlign w:val="bottom"/>
          </w:tcPr>
          <w:p>
            <w:pPr>
              <w:spacing w:after="0"/>
              <w:rPr>
                <w:sz w:val="1"/>
                <w:szCs w:val="1"/>
                <w:color w:val="auto"/>
              </w:rPr>
            </w:pPr>
          </w:p>
        </w:tc>
      </w:tr>
      <w:tr>
        <w:trPr>
          <w:trHeight w:val="216"/>
        </w:trPr>
        <w:tc>
          <w:tcPr>
            <w:tcW w:w="98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414,000</w:t>
            </w:r>
          </w:p>
        </w:tc>
        <w:tc>
          <w:tcPr>
            <w:tcW w:w="102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3 %</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326,000</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$34.49</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740,000</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3 %</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$25.72</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691,000</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777,000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$37.53</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1,469,000</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6 %</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$29.84</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526,000</w:t>
            </w: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3 %</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612,000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$49.01</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1,139,000</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$33.66</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2027</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514,000</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$20.94</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572,000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$50.73</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1,085,000</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4 %</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$36.64</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411,000</w:t>
            </w: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3 %</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567,000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$47.69</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978,000</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$36.05</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2029</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616,000</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$26.50</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621,000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$47.60</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1,237,000</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5 %</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$37.09</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393,000</w:t>
            </w: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2 %</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452,000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$47.79</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845,000</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$35.66</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2031</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382,000</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396,000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$49.59</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778,000</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3 %</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$35.36</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370,000</w:t>
            </w: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2 %</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$32.09</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471,000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$51.95</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841,000</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$43.20</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2033</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242,000</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$24.10</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360,000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$53.95</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601,000</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3 %</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$41.96</w:t>
            </w:r>
          </w:p>
        </w:tc>
        <w:tc>
          <w:tcPr>
            <w:tcW w:w="0" w:type="dxa"/>
            <w:vAlign w:val="bottom"/>
          </w:tcPr>
          <w:p>
            <w:pPr>
              <w:spacing w:after="0"/>
              <w:rPr>
                <w:sz w:val="1"/>
                <w:szCs w:val="1"/>
                <w:color w:val="auto"/>
              </w:rPr>
            </w:pPr>
          </w:p>
        </w:tc>
      </w:tr>
      <w:tr>
        <w:trPr>
          <w:trHeight w:val="216"/>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11,954,000</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72 %</w:t>
            </w: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$24.50</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3,171,000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$48.08</w:t>
            </w:r>
          </w:p>
        </w:tc>
        <w:tc>
          <w:tcPr>
            <w:tcW w:w="2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15,125,000</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$29.45</w:t>
            </w:r>
          </w:p>
        </w:tc>
        <w:tc>
          <w:tcPr>
            <w:tcW w:w="0" w:type="dxa"/>
            <w:vAlign w:val="bottom"/>
          </w:tcPr>
          <w:p>
            <w:pPr>
              <w:spacing w:after="0"/>
              <w:rPr>
                <w:sz w:val="1"/>
                <w:szCs w:val="1"/>
                <w:color w:val="auto"/>
              </w:rPr>
            </w:pPr>
          </w:p>
        </w:tc>
      </w:tr>
      <w:tr>
        <w:trPr>
          <w:trHeight w:val="211"/>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 (3)</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16,513,000</w:t>
            </w: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100 %</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$23.80</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8,325,000</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$47.28</w:t>
            </w: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24,838,000</w:t>
            </w: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100 %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$31.67</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32" w:lineRule="exact"/>
        <w:rPr>
          <w:sz w:val="20"/>
          <w:szCs w:val="20"/>
          <w:color w:val="auto"/>
        </w:rPr>
      </w:pPr>
    </w:p>
    <w:p>
      <w:pPr>
        <w:ind w:left="781" w:hanging="781"/>
        <w:spacing w:after="0"/>
        <w:tabs>
          <w:tab w:leader="none" w:pos="78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Anchor is defined as a commercial tenant leasing 10,000 square feet or more.</w:t>
      </w:r>
    </w:p>
    <w:p>
      <w:pPr>
        <w:spacing w:after="0" w:line="32" w:lineRule="exact"/>
        <w:rPr>
          <w:rFonts w:ascii="Times New Roman" w:cs="Times New Roman" w:eastAsia="Times New Roman" w:hAnsi="Times New Roman"/>
          <w:sz w:val="16"/>
          <w:szCs w:val="16"/>
          <w:color w:val="auto"/>
        </w:rPr>
      </w:pPr>
    </w:p>
    <w:p>
      <w:pPr>
        <w:ind w:left="781" w:right="320" w:hanging="781"/>
        <w:spacing w:after="0" w:line="245" w:lineRule="auto"/>
        <w:tabs>
          <w:tab w:leader="none" w:pos="78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Minimum Rent reflects in-place contractual (defined as rents on a cash-basis without taking the impacts of rent abatements into account) rent as of June 30, 2024.</w:t>
      </w:r>
    </w:p>
    <w:p>
      <w:pPr>
        <w:spacing w:after="0" w:line="2" w:lineRule="exact"/>
        <w:rPr>
          <w:rFonts w:ascii="Times New Roman" w:cs="Times New Roman" w:eastAsia="Times New Roman" w:hAnsi="Times New Roman"/>
          <w:sz w:val="16"/>
          <w:szCs w:val="16"/>
          <w:color w:val="auto"/>
        </w:rPr>
      </w:pPr>
    </w:p>
    <w:p>
      <w:pPr>
        <w:ind w:left="781" w:hanging="781"/>
        <w:spacing w:after="0"/>
        <w:tabs>
          <w:tab w:leader="none" w:pos="78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occupied square footage of the commercial portion of our portfolio as of June 30, 2024.</w:t>
      </w:r>
    </w:p>
    <w:p>
      <w:pPr>
        <w:spacing w:after="0" w:line="32" w:lineRule="exact"/>
        <w:rPr>
          <w:rFonts w:ascii="Times New Roman" w:cs="Times New Roman" w:eastAsia="Times New Roman" w:hAnsi="Times New Roman"/>
          <w:sz w:val="16"/>
          <w:szCs w:val="16"/>
          <w:color w:val="auto"/>
        </w:rPr>
      </w:pPr>
    </w:p>
    <w:p>
      <w:pPr>
        <w:ind w:left="781" w:hanging="781"/>
        <w:spacing w:after="0"/>
        <w:tabs>
          <w:tab w:leader="none" w:pos="78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81"/>
          </w:cols>
          <w:pgMar w:left="359" w:top="1022" w:right="359" w:bottom="1440" w:gutter="0" w:footer="0" w:header="0"/>
        </w:sectPr>
      </w:pPr>
    </w:p>
    <w:bookmarkStart w:id="27" w:name="page28"/>
    <w:bookmarkEnd w:id="27"/>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Portfolio Leased Statistics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860" w:type="dxa"/>
            <w:vAlign w:val="bottom"/>
            <w:tcBorders>
              <w:bottom w:val="single" w:sz="8" w:color="auto"/>
            </w:tcBorders>
          </w:tcPr>
          <w:p>
            <w:pPr>
              <w:spacing w:after="0"/>
              <w:rPr>
                <w:sz w:val="18"/>
                <w:szCs w:val="18"/>
                <w:color w:val="auto"/>
              </w:rPr>
            </w:pPr>
          </w:p>
        </w:tc>
      </w:tr>
      <w:tr>
        <w:trPr>
          <w:trHeight w:val="209"/>
        </w:trPr>
        <w:tc>
          <w:tcPr>
            <w:tcW w:w="5460" w:type="dxa"/>
            <w:vAlign w:val="bottom"/>
          </w:tcPr>
          <w:p>
            <w:pPr>
              <w:spacing w:after="0"/>
              <w:rPr>
                <w:sz w:val="18"/>
                <w:szCs w:val="18"/>
                <w:color w:val="auto"/>
              </w:rPr>
            </w:pPr>
          </w:p>
        </w:tc>
        <w:tc>
          <w:tcPr>
            <w:tcW w:w="196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March 31, 2024</w:t>
            </w:r>
          </w:p>
        </w:tc>
        <w:tc>
          <w:tcPr>
            <w:tcW w:w="18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410"/>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Properties</w:t>
            </w:r>
          </w:p>
        </w:tc>
        <w:tc>
          <w:tcPr>
            <w:tcW w:w="1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r>
      <w:tr>
        <w:trPr>
          <w:trHeight w:val="327"/>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Overall Portfolio (1)(2)</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Leasable Area (GLA)</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26,681,000</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26,198,000</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25,951,000</w:t>
            </w:r>
          </w:p>
        </w:tc>
      </w:tr>
      <w:tr>
        <w:trPr>
          <w:trHeight w:val="21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94.3 %</w:t>
            </w: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Occupied %</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92.8 %</w:t>
            </w:r>
          </w:p>
        </w:tc>
      </w:tr>
      <w:tr>
        <w:trPr>
          <w:trHeight w:val="21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 - anchor tenants</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96.4 %</w:t>
            </w: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 - small shop tenants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90.2 %</w:t>
            </w:r>
          </w:p>
        </w:tc>
      </w:tr>
      <w:tr>
        <w:trPr>
          <w:trHeight w:val="21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Active commercial tenant leases</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3,420</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3,303</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3,270</w:t>
            </w:r>
          </w:p>
        </w:tc>
      </w:tr>
      <w:tr>
        <w:trPr>
          <w:trHeight w:val="219"/>
        </w:trPr>
        <w:tc>
          <w:tcPr>
            <w:tcW w:w="54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14"/>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Comparable Properties (1)</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8"/>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GLA</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25,074,000</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25,109,000</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25,090,000</w:t>
            </w:r>
          </w:p>
        </w:tc>
      </w:tr>
      <w:tr>
        <w:trPr>
          <w:trHeight w:val="21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94.4 %</w:t>
            </w: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Occupied %</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92.9 %</w:t>
            </w:r>
          </w:p>
        </w:tc>
      </w:tr>
      <w:tr>
        <w:trPr>
          <w:trHeight w:val="467"/>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Properties</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27"/>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Overall Portfolio (1)(2)</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units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3,103</w:t>
            </w:r>
          </w:p>
        </w:tc>
      </w:tr>
      <w:tr>
        <w:trPr>
          <w:trHeight w:val="21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97.6 %</w:t>
            </w:r>
          </w:p>
        </w:tc>
      </w:tr>
      <w:tr>
        <w:trPr>
          <w:trHeight w:val="219"/>
        </w:trPr>
        <w:tc>
          <w:tcPr>
            <w:tcW w:w="54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14"/>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Comparable Properties (1)</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8"/>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units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2,980</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2,980</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2,980</w:t>
            </w:r>
          </w:p>
        </w:tc>
      </w:tr>
      <w:tr>
        <w:trPr>
          <w:trHeight w:val="210"/>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98.3 %</w:t>
            </w:r>
          </w:p>
        </w:tc>
      </w:tr>
    </w:tbl>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32" w:lineRule="exact"/>
        <w:rPr>
          <w:sz w:val="20"/>
          <w:szCs w:val="20"/>
          <w:color w:val="auto"/>
        </w:rPr>
      </w:pPr>
    </w:p>
    <w:p>
      <w:pPr>
        <w:ind w:left="800" w:hanging="774"/>
        <w:spacing w:after="0"/>
        <w:tabs>
          <w:tab w:leader="none" w:pos="8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Glossary of terms.</w:t>
      </w:r>
    </w:p>
    <w:p>
      <w:pPr>
        <w:spacing w:after="0" w:line="32" w:lineRule="exact"/>
        <w:rPr>
          <w:rFonts w:ascii="Times New Roman" w:cs="Times New Roman" w:eastAsia="Times New Roman" w:hAnsi="Times New Roman"/>
          <w:sz w:val="16"/>
          <w:szCs w:val="16"/>
          <w:color w:val="auto"/>
        </w:rPr>
      </w:pPr>
    </w:p>
    <w:p>
      <w:pPr>
        <w:ind w:left="800" w:hanging="774"/>
        <w:spacing w:after="0"/>
        <w:tabs>
          <w:tab w:leader="none" w:pos="8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redevelopment square footage and residential units not yet placed in service.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92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Top 25 Tenants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Credit Ratings</w:t>
            </w: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Percentage of Total</w:t>
            </w:r>
          </w:p>
        </w:tc>
        <w:tc>
          <w:tcPr>
            <w:tcW w:w="960" w:type="dxa"/>
            <w:vAlign w:val="bottom"/>
          </w:tcPr>
          <w:p>
            <w:pPr>
              <w:spacing w:after="0"/>
              <w:rPr>
                <w:sz w:val="13"/>
                <w:szCs w:val="13"/>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Rank</w:t>
            </w: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Tenant Name</w:t>
            </w:r>
          </w:p>
        </w:tc>
        <w:tc>
          <w:tcPr>
            <w:tcW w:w="14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60" w:type="dxa"/>
            <w:vAlign w:val="bottom"/>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Annualized Base Rent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Tenant GLA</w:t>
            </w:r>
          </w:p>
        </w:tc>
        <w:tc>
          <w:tcPr>
            <w:tcW w:w="1320" w:type="dxa"/>
            <w:vAlign w:val="bottom"/>
            <w:vMerge w:val="continue"/>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Locations</w:t>
            </w:r>
          </w:p>
        </w:tc>
        <w:tc>
          <w:tcPr>
            <w:tcW w:w="0" w:type="dxa"/>
            <w:vAlign w:val="bottom"/>
          </w:tcPr>
          <w:p>
            <w:pPr>
              <w:spacing w:after="0"/>
              <w:rPr>
                <w:sz w:val="1"/>
                <w:szCs w:val="1"/>
                <w:color w:val="auto"/>
              </w:rPr>
            </w:pPr>
          </w:p>
        </w:tc>
      </w:tr>
      <w:tr>
        <w:trPr>
          <w:trHeight w:val="196"/>
        </w:trPr>
        <w:tc>
          <w:tcPr>
            <w:tcW w:w="560" w:type="dxa"/>
            <w:vAlign w:val="bottom"/>
            <w:tcBorders>
              <w:bottom w:val="single" w:sz="8" w:color="auto"/>
            </w:tcBorders>
            <w:vMerge w:val="continue"/>
          </w:tcPr>
          <w:p>
            <w:pPr>
              <w:spacing w:after="0"/>
              <w:rPr>
                <w:sz w:val="17"/>
                <w:szCs w:val="17"/>
                <w:color w:val="auto"/>
              </w:rPr>
            </w:pPr>
          </w:p>
        </w:tc>
        <w:tc>
          <w:tcPr>
            <w:tcW w:w="2940" w:type="dxa"/>
            <w:vAlign w:val="bottom"/>
            <w:tcBorders>
              <w:bottom w:val="single" w:sz="8" w:color="auto"/>
            </w:tcBorders>
            <w:vMerge w:val="continue"/>
          </w:tcPr>
          <w:p>
            <w:pPr>
              <w:spacing w:after="0"/>
              <w:rPr>
                <w:sz w:val="17"/>
                <w:szCs w:val="17"/>
                <w:color w:val="auto"/>
              </w:rPr>
            </w:pPr>
          </w:p>
        </w:tc>
        <w:tc>
          <w:tcPr>
            <w:tcW w:w="2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(S&amp;P/Moody's) (1)   Annualized Base Rent</w:t>
            </w:r>
          </w:p>
        </w:tc>
        <w:tc>
          <w:tcPr>
            <w:tcW w:w="16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w:t>
            </w:r>
          </w:p>
        </w:tc>
        <w:tc>
          <w:tcPr>
            <w:tcW w:w="96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Total GLA (3)</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Leased</w:t>
            </w: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TJX Companies, The</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 / A2</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24,031,000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2.69 %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3.97 %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Ahold Delhaize</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BBB+ / Baa1</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17,274,000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1.93 %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3.05 %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NetApp, Inc.</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BBB+ / Baa2</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15,212,000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1.70 %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1.03 %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Cisco Systems, Inc.</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AA- / A1</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14,897,000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1.67 %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0.91 %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CVS Corporation</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BBB / Baa2</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11,432,000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1.28 %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0.97 %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Gap, Inc., The</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BB / Ba3</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11,154,000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1.25 %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1.09 %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L.A. Fitness International LLC</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B / B2</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9,374,000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1.05 %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1.20 %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62"/>
        </w:trPr>
        <w:tc>
          <w:tcPr>
            <w:tcW w:w="560" w:type="dxa"/>
            <w:vAlign w:val="bottom"/>
          </w:tcPr>
          <w:p>
            <w:pPr>
              <w:jc w:val="right"/>
              <w:ind w:right="39"/>
              <w:spacing w:after="0" w:line="162" w:lineRule="exact"/>
              <w:rPr>
                <w:sz w:val="20"/>
                <w:szCs w:val="20"/>
                <w:color w:val="auto"/>
              </w:rPr>
            </w:pPr>
            <w:r>
              <w:rPr>
                <w:rFonts w:ascii="Times New Roman" w:cs="Times New Roman" w:eastAsia="Times New Roman" w:hAnsi="Times New Roman"/>
                <w:sz w:val="16"/>
                <w:szCs w:val="16"/>
                <w:color w:val="auto"/>
              </w:rPr>
              <w:t>8</w:t>
            </w:r>
          </w:p>
        </w:tc>
        <w:tc>
          <w:tcPr>
            <w:tcW w:w="294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Albertsons Companies Inc. (Acme,</w:t>
            </w:r>
          </w:p>
        </w:tc>
        <w:tc>
          <w:tcPr>
            <w:tcW w:w="14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BB+ / Ba2</w:t>
            </w:r>
          </w:p>
        </w:tc>
        <w:tc>
          <w:tcPr>
            <w:tcW w:w="300" w:type="dxa"/>
            <w:vAlign w:val="bottom"/>
          </w:tcPr>
          <w:p>
            <w:pPr>
              <w:jc w:val="right"/>
              <w:ind w:right="139"/>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8,495,000</w:t>
            </w:r>
          </w:p>
        </w:tc>
        <w:tc>
          <w:tcPr>
            <w:tcW w:w="1660" w:type="dxa"/>
            <w:vAlign w:val="bottom"/>
          </w:tcPr>
          <w:p>
            <w:pPr>
              <w:jc w:val="right"/>
              <w:ind w:right="80"/>
              <w:spacing w:after="0" w:line="162" w:lineRule="exact"/>
              <w:rPr>
                <w:sz w:val="20"/>
                <w:szCs w:val="20"/>
                <w:color w:val="auto"/>
              </w:rPr>
            </w:pPr>
            <w:r>
              <w:rPr>
                <w:rFonts w:ascii="Times New Roman" w:cs="Times New Roman" w:eastAsia="Times New Roman" w:hAnsi="Times New Roman"/>
                <w:sz w:val="16"/>
                <w:szCs w:val="16"/>
                <w:color w:val="auto"/>
              </w:rPr>
              <w:t>0.95 %</w:t>
            </w: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544,000</w:t>
            </w:r>
          </w:p>
        </w:tc>
        <w:tc>
          <w:tcPr>
            <w:tcW w:w="1320" w:type="dxa"/>
            <w:vAlign w:val="bottom"/>
          </w:tcPr>
          <w:p>
            <w:pPr>
              <w:jc w:val="right"/>
              <w:ind w:right="100"/>
              <w:spacing w:after="0" w:line="162" w:lineRule="exact"/>
              <w:rPr>
                <w:sz w:val="20"/>
                <w:szCs w:val="20"/>
                <w:color w:val="auto"/>
              </w:rPr>
            </w:pPr>
            <w:r>
              <w:rPr>
                <w:rFonts w:ascii="Times New Roman" w:cs="Times New Roman" w:eastAsia="Times New Roman" w:hAnsi="Times New Roman"/>
                <w:sz w:val="16"/>
                <w:szCs w:val="16"/>
                <w:color w:val="auto"/>
              </w:rPr>
              <w:t>1.84 %</w:t>
            </w: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Balducci's, Safeway)</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Ross Stores, Inc.</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BBB+ / A2</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7,856,000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0.88 %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1.23 %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Home Depot, Inc.</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 / A2</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7,485,000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0.84 %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1.62 %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AMC Entertainment Inc.</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CCC+ / Caa2</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7,240,000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0.81 %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0.96 %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Kroger Co., The</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BBB / Baa1</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7,172,000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0.80 %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2.07 %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65"/>
        </w:trPr>
        <w:tc>
          <w:tcPr>
            <w:tcW w:w="560" w:type="dxa"/>
            <w:vAlign w:val="bottom"/>
            <w:shd w:val="clear" w:color="auto" w:fill="CCEEFF"/>
          </w:tcPr>
          <w:p>
            <w:pPr>
              <w:jc w:val="right"/>
              <w:ind w:right="39"/>
              <w:spacing w:after="0" w:line="165" w:lineRule="exact"/>
              <w:rPr>
                <w:sz w:val="20"/>
                <w:szCs w:val="20"/>
                <w:color w:val="auto"/>
              </w:rPr>
            </w:pPr>
            <w:r>
              <w:rPr>
                <w:rFonts w:ascii="Times New Roman" w:cs="Times New Roman" w:eastAsia="Times New Roman" w:hAnsi="Times New Roman"/>
                <w:sz w:val="16"/>
                <w:szCs w:val="16"/>
                <w:color w:val="auto"/>
              </w:rPr>
              <w:t>13</w:t>
            </w:r>
          </w:p>
        </w:tc>
        <w:tc>
          <w:tcPr>
            <w:tcW w:w="2940" w:type="dxa"/>
            <w:vAlign w:val="bottom"/>
            <w:shd w:val="clear" w:color="auto" w:fill="CCEEFF"/>
          </w:tcPr>
          <w:p>
            <w:pPr>
              <w:ind w:left="60"/>
              <w:spacing w:after="0" w:line="165" w:lineRule="exact"/>
              <w:rPr>
                <w:sz w:val="20"/>
                <w:szCs w:val="20"/>
                <w:color w:val="auto"/>
              </w:rPr>
            </w:pPr>
            <w:r>
              <w:rPr>
                <w:rFonts w:ascii="Times New Roman" w:cs="Times New Roman" w:eastAsia="Times New Roman" w:hAnsi="Times New Roman"/>
                <w:sz w:val="16"/>
                <w:szCs w:val="16"/>
                <w:color w:val="auto"/>
              </w:rPr>
              <w:t>KnitWell Group (Ann Taylor, Chico's,</w:t>
            </w:r>
          </w:p>
        </w:tc>
        <w:tc>
          <w:tcPr>
            <w:tcW w:w="148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NR / NR</w:t>
            </w:r>
          </w:p>
        </w:tc>
        <w:tc>
          <w:tcPr>
            <w:tcW w:w="300" w:type="dxa"/>
            <w:vAlign w:val="bottom"/>
            <w:shd w:val="clear" w:color="auto" w:fill="CCEEFF"/>
          </w:tcPr>
          <w:p>
            <w:pPr>
              <w:jc w:val="right"/>
              <w:ind w:right="139"/>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7,101,000</w:t>
            </w:r>
          </w:p>
        </w:tc>
        <w:tc>
          <w:tcPr>
            <w:tcW w:w="1660" w:type="dxa"/>
            <w:vAlign w:val="bottom"/>
            <w:shd w:val="clear" w:color="auto" w:fill="CCEEFF"/>
          </w:tcPr>
          <w:p>
            <w:pPr>
              <w:jc w:val="right"/>
              <w:ind w:right="80"/>
              <w:spacing w:after="0" w:line="165" w:lineRule="exact"/>
              <w:rPr>
                <w:sz w:val="20"/>
                <w:szCs w:val="20"/>
                <w:color w:val="auto"/>
              </w:rPr>
            </w:pPr>
            <w:r>
              <w:rPr>
                <w:rFonts w:ascii="Times New Roman" w:cs="Times New Roman" w:eastAsia="Times New Roman" w:hAnsi="Times New Roman"/>
                <w:sz w:val="16"/>
                <w:szCs w:val="16"/>
                <w:color w:val="auto"/>
              </w:rPr>
              <w:t>0.79 %</w:t>
            </w:r>
          </w:p>
        </w:tc>
        <w:tc>
          <w:tcPr>
            <w:tcW w:w="96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174,000</w:t>
            </w:r>
          </w:p>
        </w:tc>
        <w:tc>
          <w:tcPr>
            <w:tcW w:w="1320" w:type="dxa"/>
            <w:vAlign w:val="bottom"/>
            <w:shd w:val="clear" w:color="auto" w:fill="CCEEFF"/>
          </w:tcPr>
          <w:p>
            <w:pPr>
              <w:jc w:val="right"/>
              <w:ind w:right="100"/>
              <w:spacing w:after="0" w:line="165" w:lineRule="exact"/>
              <w:rPr>
                <w:sz w:val="20"/>
                <w:szCs w:val="20"/>
                <w:color w:val="auto"/>
              </w:rPr>
            </w:pPr>
            <w:r>
              <w:rPr>
                <w:rFonts w:ascii="Times New Roman" w:cs="Times New Roman" w:eastAsia="Times New Roman" w:hAnsi="Times New Roman"/>
                <w:sz w:val="16"/>
                <w:szCs w:val="16"/>
                <w:color w:val="auto"/>
              </w:rPr>
              <w:t>0.59 %</w:t>
            </w:r>
          </w:p>
        </w:tc>
        <w:tc>
          <w:tcPr>
            <w:tcW w:w="86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162"/>
        </w:trPr>
        <w:tc>
          <w:tcPr>
            <w:tcW w:w="560" w:type="dxa"/>
            <w:vAlign w:val="bottom"/>
            <w:shd w:val="clear" w:color="auto" w:fill="CCEEFF"/>
          </w:tcPr>
          <w:p>
            <w:pPr>
              <w:spacing w:after="0"/>
              <w:rPr>
                <w:sz w:val="14"/>
                <w:szCs w:val="14"/>
                <w:color w:val="auto"/>
              </w:rPr>
            </w:pPr>
          </w:p>
        </w:tc>
        <w:tc>
          <w:tcPr>
            <w:tcW w:w="2940" w:type="dxa"/>
            <w:vAlign w:val="bottom"/>
            <w:shd w:val="clear" w:color="auto" w:fill="CCEEFF"/>
          </w:tcPr>
          <w:p>
            <w:pPr>
              <w:ind w:left="60"/>
              <w:spacing w:after="0" w:line="162" w:lineRule="exact"/>
              <w:rPr>
                <w:sz w:val="20"/>
                <w:szCs w:val="20"/>
                <w:color w:val="auto"/>
              </w:rPr>
            </w:pPr>
            <w:r>
              <w:rPr>
                <w:rFonts w:ascii="Times New Roman" w:cs="Times New Roman" w:eastAsia="Times New Roman" w:hAnsi="Times New Roman"/>
                <w:sz w:val="16"/>
                <w:szCs w:val="16"/>
                <w:color w:val="auto"/>
              </w:rPr>
              <w:t>Loft, Talbots, White House Black Market,</w:t>
            </w:r>
          </w:p>
        </w:tc>
        <w:tc>
          <w:tcPr>
            <w:tcW w:w="1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Soma)</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PUMA North America, Inc.</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NR / NR</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6,985,000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0.78 %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0.52 %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Dick's Sporting Goods, Inc.</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BBB / Baa3</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6,856,000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0.77 %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1.21 %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Bank of America, N.A.</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 / A1</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6,822,000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0.76 %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0.39 %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Target Corporation</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 / A2</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6,375,000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0.71 %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2.12 %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Ulta Beauty, Inc.</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NR / NR</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6,178,000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0.69 %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0.62 %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Whole Foods Market, Inc.</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AA- / A1</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5,859,000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0.66 %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0.63 %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Michaels Stores, Inc.</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 / B3</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5,806,000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0.65 %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1.07 %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Choice Hotels International, Inc.</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BBB- / Baa3</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5,607,000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0.63 %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0.37 %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Starbucks Corporation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BBB+ / Baa1</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5,265,000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0.59 %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0.26 %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JPMorgan Chase Bank</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A- / A1</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5,240,000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0.59 %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0.28 %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Hudson's Bay Company (Saks)</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NR / NR</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5,155,000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0.58 %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0.34 %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Wells Fargo Bank, N.A.</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BBB+ / A1</w:t>
            </w: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5,049,000</w:t>
            </w:r>
          </w:p>
        </w:tc>
        <w:tc>
          <w:tcPr>
            <w:tcW w:w="16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0.56 %</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63,000</w:t>
            </w:r>
          </w:p>
        </w:tc>
        <w:tc>
          <w:tcPr>
            <w:tcW w:w="132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0.21 %</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7"/>
        </w:trPr>
        <w:tc>
          <w:tcPr>
            <w:tcW w:w="560" w:type="dxa"/>
            <w:vAlign w:val="bottom"/>
          </w:tcPr>
          <w:p>
            <w:pPr>
              <w:spacing w:after="0"/>
              <w:rPr>
                <w:sz w:val="17"/>
                <w:szCs w:val="17"/>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Totals - Top 25 Tenants</w:t>
            </w:r>
          </w:p>
        </w:tc>
        <w:tc>
          <w:tcPr>
            <w:tcW w:w="1480" w:type="dxa"/>
            <w:vAlign w:val="bottom"/>
          </w:tcPr>
          <w:p>
            <w:pPr>
              <w:spacing w:after="0"/>
              <w:rPr>
                <w:sz w:val="17"/>
                <w:szCs w:val="17"/>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219,920,000</w:t>
            </w:r>
          </w:p>
        </w:tc>
        <w:tc>
          <w:tcPr>
            <w:tcW w:w="16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24.59 %</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8,438,000</w:t>
            </w:r>
          </w:p>
        </w:tc>
        <w:tc>
          <w:tcPr>
            <w:tcW w:w="13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28.54 %</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20"/>
        </w:trPr>
        <w:tc>
          <w:tcPr>
            <w:tcW w:w="56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60" w:type="dxa"/>
            <w:vAlign w:val="bottom"/>
            <w:shd w:val="clear" w:color="auto" w:fill="CCEEFF"/>
          </w:tcPr>
          <w:p>
            <w:pPr>
              <w:spacing w:after="0"/>
              <w:rPr>
                <w:sz w:val="16"/>
                <w:szCs w:val="16"/>
                <w:color w:val="auto"/>
              </w:rPr>
            </w:pPr>
          </w:p>
        </w:tc>
        <w:tc>
          <w:tcPr>
            <w:tcW w:w="29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(5):</w:t>
            </w:r>
          </w:p>
        </w:tc>
        <w:tc>
          <w:tcPr>
            <w:tcW w:w="1480" w:type="dxa"/>
            <w:vAlign w:val="bottom"/>
          </w:tcPr>
          <w:p>
            <w:pPr>
              <w:spacing w:after="0"/>
              <w:rPr>
                <w:sz w:val="18"/>
                <w:szCs w:val="18"/>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894,228,000</w:t>
            </w:r>
          </w:p>
        </w:tc>
        <w:tc>
          <w:tcPr>
            <w:tcW w:w="1660" w:type="dxa"/>
            <w:vAlign w:val="bottom"/>
          </w:tcPr>
          <w:p>
            <w:pPr>
              <w:jc w:val="right"/>
              <w:ind w:right="1380"/>
              <w:spacing w:after="0"/>
              <w:rPr>
                <w:sz w:val="20"/>
                <w:szCs w:val="20"/>
                <w:color w:val="auto"/>
              </w:rPr>
            </w:pPr>
            <w:r>
              <w:rPr>
                <w:rFonts w:ascii="Times New Roman" w:cs="Times New Roman" w:eastAsia="Times New Roman" w:hAnsi="Times New Roman"/>
                <w:sz w:val="16"/>
                <w:szCs w:val="16"/>
                <w:color w:val="auto"/>
                <w:w w:val="96"/>
              </w:rPr>
              <w:t>(2)</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29,569,000</w:t>
            </w:r>
          </w:p>
        </w:tc>
        <w:tc>
          <w:tcPr>
            <w:tcW w:w="1320" w:type="dxa"/>
            <w:vAlign w:val="bottom"/>
          </w:tcPr>
          <w:p>
            <w:pPr>
              <w:jc w:val="right"/>
              <w:ind w:right="1040"/>
              <w:spacing w:after="0"/>
              <w:rPr>
                <w:sz w:val="20"/>
                <w:szCs w:val="20"/>
                <w:color w:val="auto"/>
              </w:rPr>
            </w:pPr>
            <w:r>
              <w:rPr>
                <w:rFonts w:ascii="Times New Roman" w:cs="Times New Roman" w:eastAsia="Times New Roman" w:hAnsi="Times New Roman"/>
                <w:sz w:val="16"/>
                <w:szCs w:val="16"/>
                <w:color w:val="auto"/>
                <w:w w:val="96"/>
              </w:rPr>
              <w:t>(4)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32" w:lineRule="exact"/>
        <w:rPr>
          <w:sz w:val="20"/>
          <w:szCs w:val="20"/>
          <w:color w:val="auto"/>
        </w:rPr>
      </w:pPr>
    </w:p>
    <w:p>
      <w:pPr>
        <w:ind w:left="620" w:hanging="614"/>
        <w:spacing w:after="0"/>
        <w:tabs>
          <w:tab w:leader="none" w:pos="6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 Ratings are as of June 30, 2024. Subsequent rating changes have not been reflected.</w:t>
      </w:r>
    </w:p>
    <w:p>
      <w:pPr>
        <w:spacing w:after="0" w:line="32" w:lineRule="exact"/>
        <w:rPr>
          <w:rFonts w:ascii="Times New Roman" w:cs="Times New Roman" w:eastAsia="Times New Roman" w:hAnsi="Times New Roman"/>
          <w:sz w:val="16"/>
          <w:szCs w:val="16"/>
          <w:color w:val="auto"/>
        </w:rPr>
      </w:pPr>
    </w:p>
    <w:p>
      <w:pPr>
        <w:ind w:left="620" w:hanging="614"/>
        <w:spacing w:after="0"/>
        <w:tabs>
          <w:tab w:leader="none" w:pos="6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Glossary of Terms.</w:t>
      </w:r>
    </w:p>
    <w:p>
      <w:pPr>
        <w:spacing w:after="0" w:line="32" w:lineRule="exact"/>
        <w:rPr>
          <w:rFonts w:ascii="Times New Roman" w:cs="Times New Roman" w:eastAsia="Times New Roman" w:hAnsi="Times New Roman"/>
          <w:sz w:val="16"/>
          <w:szCs w:val="16"/>
          <w:color w:val="auto"/>
        </w:rPr>
      </w:pPr>
    </w:p>
    <w:p>
      <w:pPr>
        <w:ind w:left="620" w:hanging="614"/>
        <w:spacing w:after="0"/>
        <w:tabs>
          <w:tab w:leader="none" w:pos="6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 items may not add up to total due to rounding.</w:t>
      </w:r>
    </w:p>
    <w:p>
      <w:pPr>
        <w:spacing w:after="0" w:line="32" w:lineRule="exact"/>
        <w:rPr>
          <w:rFonts w:ascii="Times New Roman" w:cs="Times New Roman" w:eastAsia="Times New Roman" w:hAnsi="Times New Roman"/>
          <w:sz w:val="16"/>
          <w:szCs w:val="16"/>
          <w:color w:val="auto"/>
        </w:rPr>
      </w:pPr>
    </w:p>
    <w:p>
      <w:pPr>
        <w:ind w:left="620" w:hanging="614"/>
        <w:spacing w:after="0"/>
        <w:tabs>
          <w:tab w:leader="none" w:pos="6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redevelopment square footage not yet placed in service.</w:t>
      </w:r>
    </w:p>
    <w:p>
      <w:pPr>
        <w:spacing w:after="0" w:line="32" w:lineRule="exact"/>
        <w:rPr>
          <w:rFonts w:ascii="Times New Roman" w:cs="Times New Roman" w:eastAsia="Times New Roman" w:hAnsi="Times New Roman"/>
          <w:sz w:val="16"/>
          <w:szCs w:val="16"/>
          <w:color w:val="auto"/>
        </w:rPr>
      </w:pPr>
    </w:p>
    <w:p>
      <w:pPr>
        <w:ind w:left="620" w:hanging="614"/>
        <w:spacing w:after="0"/>
        <w:tabs>
          <w:tab w:leader="none" w:pos="6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Totals reflect both the commercial and residential portions of our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80"/>
          </w:cols>
          <w:pgMar w:left="360" w:top="1022" w:right="359" w:bottom="1440" w:gutter="0" w:footer="0" w:header="0"/>
        </w:sectPr>
      </w:pPr>
    </w:p>
    <w:bookmarkStart w:id="29" w:name="page30"/>
    <w:bookmarkEnd w:id="29"/>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FFO Guidance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range of estimated earnings per diluted share to estimated FFO per diluted share for the full year 2024.</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720" w:type="dxa"/>
            <w:vAlign w:val="bottom"/>
            <w:tcBorders>
              <w:top w:val="single" w:sz="8" w:color="auto"/>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Full Year 2024 Guidance Range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46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Low</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High</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Estimated net income available to common shareholders, per diluted share</w:t>
            </w:r>
          </w:p>
        </w:tc>
        <w:tc>
          <w:tcPr>
            <w:tcW w:w="156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5"/>
              </w:rPr>
              <w:t>3.51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Estimated gain on sale of real estate, net</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6"/>
              </w:rPr>
              <w:t>(0.62)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depreciation and amortization</w:t>
            </w:r>
          </w:p>
        </w:tc>
        <w:tc>
          <w:tcPr>
            <w:tcW w:w="15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3.99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5"/>
              </w:rPr>
              <w:t>3.99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Estimated FFO per diluted share</w:t>
            </w:r>
          </w:p>
        </w:tc>
        <w:tc>
          <w:tcPr>
            <w:tcW w:w="15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rPr>
              <w:t>6.70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5"/>
              </w:rPr>
              <w:t>6.88</w:t>
            </w:r>
          </w:p>
        </w:tc>
        <w:tc>
          <w:tcPr>
            <w:tcW w:w="0" w:type="dxa"/>
            <w:vAlign w:val="bottom"/>
          </w:tcPr>
          <w:p>
            <w:pPr>
              <w:spacing w:after="0"/>
              <w:rPr>
                <w:sz w:val="1"/>
                <w:szCs w:val="1"/>
                <w:color w:val="auto"/>
              </w:rPr>
            </w:pPr>
          </w:p>
        </w:tc>
      </w:tr>
      <w:tr>
        <w:trPr>
          <w:trHeight w:val="20"/>
        </w:trPr>
        <w:tc>
          <w:tcPr>
            <w:tcW w:w="67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Note:</w:t>
            </w:r>
          </w:p>
        </w:tc>
        <w:tc>
          <w:tcPr>
            <w:tcW w:w="1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6720" w:type="dxa"/>
            <w:vAlign w:val="bottom"/>
            <w:gridSpan w:val="4"/>
            <w:vMerge w:val="continue"/>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See Glossary of Terms. Individual items may not add up to total due to rounding.</w:t>
            </w: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Guidance Assumptions (1):</w:t>
            </w: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4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properties growth</w:t>
            </w:r>
          </w:p>
        </w:tc>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2.25% - 3.5%</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Comparable properties growth excluding prior period rents and lease termination fees</w:t>
            </w:r>
          </w:p>
        </w:tc>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 - 4%</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period rents (2)</w:t>
            </w:r>
          </w:p>
        </w:tc>
        <w:tc>
          <w:tcPr>
            <w:tcW w:w="1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$2 - $3 million</w:t>
            </w: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 termination fees</w:t>
            </w:r>
          </w:p>
        </w:tc>
        <w:tc>
          <w:tcPr>
            <w:tcW w:w="1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$4 - $6 million</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Incremental redevelopment/expansion POI (3)</w:t>
            </w:r>
          </w:p>
        </w:tc>
        <w:tc>
          <w:tcPr>
            <w:tcW w:w="1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$9 - $12 million</w:t>
            </w: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8"/>
              </w:rPr>
              <w:t>$48 - $51 million</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Development/redevelopment capital</w:t>
            </w:r>
          </w:p>
        </w:tc>
        <w:tc>
          <w:tcPr>
            <w:tcW w:w="3080" w:type="dxa"/>
            <w:vAlign w:val="bottom"/>
            <w:gridSpan w:val="4"/>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$100 - $150 million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Capitalized interest</w:t>
            </w:r>
          </w:p>
        </w:tc>
        <w:tc>
          <w:tcPr>
            <w:tcW w:w="1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8"/>
              </w:rPr>
              <w:t>$18 - $21 million</w:t>
            </w: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p>
    <w:p>
      <w:pPr>
        <w:spacing w:after="0" w:line="27" w:lineRule="exact"/>
        <w:rPr>
          <w:sz w:val="20"/>
          <w:szCs w:val="20"/>
          <w:color w:val="auto"/>
        </w:rPr>
      </w:pPr>
    </w:p>
    <w:p>
      <w:pPr>
        <w:ind w:left="480" w:hanging="472"/>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assume the impact of potential acquisitions or dispositions which have not closed as of July 31, 2024.</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amounts which were contractually deferred or payments renegotiated specifically related to the COVID-19 pandemic.</w:t>
      </w:r>
    </w:p>
    <w:p>
      <w:pPr>
        <w:spacing w:after="0" w:line="9" w:lineRule="exact"/>
        <w:rPr>
          <w:rFonts w:ascii="Times New Roman" w:cs="Times New Roman" w:eastAsia="Times New Roman" w:hAnsi="Times New Roman"/>
          <w:sz w:val="18"/>
          <w:szCs w:val="18"/>
          <w:color w:val="auto"/>
        </w:rPr>
      </w:pPr>
    </w:p>
    <w:p>
      <w:pPr>
        <w:ind w:left="500" w:right="140" w:hanging="492"/>
        <w:spacing w:after="0" w:line="260" w:lineRule="auto"/>
        <w:tabs>
          <w:tab w:leader="none" w:pos="49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expected additional POI to be recognized in 2024 compared to the amount recognized in 2023 from all of the redevelopments listed on page 15. Does not include any additional POI from "Active Property Improvement Projects."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927"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13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EBITDA for Real Estate ("EBITDAre"): </w:t>
      </w:r>
      <w:r>
        <w:rPr>
          <w:rFonts w:ascii="Times New Roman" w:cs="Times New Roman" w:eastAsia="Times New Roman" w:hAnsi="Times New Roman"/>
          <w:sz w:val="16"/>
          <w:szCs w:val="16"/>
          <w:color w:val="auto"/>
        </w:rPr>
        <w:t>EBITDAre is a non-GAAP measure that the National Association of Real Estate Investment Trusts ("NAREIT") defines as: net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income computed in accordance with GAAP plus net interest expense, income tax expense, depreciation and amortization, gain or loss on sale of real estate, impairments of real estate and change in control of interest, and adjustments to reflect the entity's share of EBITDAre of unconsolidated affiliates. We calculate EBITDAre consistent with the NAREIT definition. As EBITDA is a widely known and understood measure of performance, management believes EBITDAre represents an additional non-GAAP performance measure, independent of a company's capital structure, that will provide investors with a uniform basis to measure the enterprise value of a company. EBITDAre also approximates a key performance measure in our debt covenants, but it should not be considered an alternative measure of operating results or cash flow from operations as determined in accordance with GAAP. The reconciliation of net income to EBITDAre for the three and six months ended June 30, 2024 and 2023 is as follows:</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6"/>
                <w:szCs w:val="16"/>
                <w:color w:val="auto"/>
              </w:rPr>
            </w:pPr>
          </w:p>
        </w:tc>
      </w:tr>
      <w:tr>
        <w:trPr>
          <w:trHeight w:val="203"/>
        </w:trPr>
        <w:tc>
          <w:tcPr>
            <w:tcW w:w="5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gridSpan w:val="3"/>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7"/>
                <w:szCs w:val="17"/>
                <w:color w:val="auto"/>
              </w:rPr>
            </w:pPr>
          </w:p>
        </w:tc>
      </w:tr>
      <w:tr>
        <w:trPr>
          <w:trHeight w:val="23"/>
        </w:trPr>
        <w:tc>
          <w:tcPr>
            <w:tcW w:w="5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5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196"/>
        </w:trPr>
        <w:tc>
          <w:tcPr>
            <w:tcW w:w="5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2"/>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114,655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63,004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172,671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120,735</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42,884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88,005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82,109</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interest income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(3,054)</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7"/>
                <w:szCs w:val="17"/>
                <w:color w:val="auto"/>
              </w:rPr>
              <w:t>Income tax provision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78,974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168,453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157,611</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7"/>
                <w:szCs w:val="17"/>
                <w:color w:val="auto"/>
              </w:rPr>
              <w:t>Gain on sale of real estate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(52,280)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(1,702)</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Adjustments of EBITDAre of unconsolidated affiliates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2,800</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3,942</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6,254</w:t>
            </w:r>
          </w:p>
        </w:tc>
      </w:tr>
      <w:tr>
        <w:trPr>
          <w:trHeight w:val="210"/>
        </w:trPr>
        <w:tc>
          <w:tcPr>
            <w:tcW w:w="5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EBITDAre</w:t>
            </w:r>
          </w:p>
        </w:tc>
        <w:tc>
          <w:tcPr>
            <w:tcW w:w="3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192,904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185,516</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378,480</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362,293</w:t>
            </w:r>
          </w:p>
        </w:tc>
      </w:tr>
      <w:tr>
        <w:trPr>
          <w:trHeight w:val="21"/>
        </w:trPr>
        <w:tc>
          <w:tcPr>
            <w:tcW w:w="5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7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Funds From Operations (FFO): </w:t>
      </w:r>
      <w:r>
        <w:rPr>
          <w:rFonts w:ascii="Times New Roman" w:cs="Times New Roman" w:eastAsia="Times New Roman" w:hAnsi="Times New Roman"/>
          <w:sz w:val="16"/>
          <w:szCs w:val="16"/>
          <w:color w:val="auto"/>
        </w:rPr>
        <w:t>FFO is a supplemental measure of real estate companies' operating performances. NAREIT defines FFO as follows: net income, computed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accordance with GAAP plus real estate related depreciation and amortization,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Property Operating Income: </w:t>
      </w:r>
      <w:r>
        <w:rPr>
          <w:rFonts w:ascii="Times New Roman" w:cs="Times New Roman" w:eastAsia="Times New Roman" w:hAnsi="Times New Roman"/>
          <w:sz w:val="16"/>
          <w:szCs w:val="16"/>
          <w:color w:val="auto"/>
        </w:rPr>
        <w:t>Rental income and mortgage interest income, less rental expenses and real estate taxes.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Overall Portfolio: </w:t>
      </w:r>
      <w:r>
        <w:rPr>
          <w:rFonts w:ascii="Times New Roman" w:cs="Times New Roman" w:eastAsia="Times New Roman" w:hAnsi="Times New Roman"/>
          <w:sz w:val="16"/>
          <w:szCs w:val="16"/>
          <w:color w:val="auto"/>
        </w:rPr>
        <w:t>Includes all operating properties owned in reporting period.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Comparable Properties: </w:t>
      </w:r>
      <w:r>
        <w:rPr>
          <w:rFonts w:ascii="Times New Roman" w:cs="Times New Roman" w:eastAsia="Times New Roman" w:hAnsi="Times New Roman"/>
          <w:sz w:val="16"/>
          <w:szCs w:val="16"/>
          <w:color w:val="auto"/>
        </w:rPr>
        <w:t>Represents our consolidated property portfolio other than those properties that distort comparability between periods in two primary categories:</w:t>
      </w:r>
    </w:p>
    <w:p>
      <w:pPr>
        <w:spacing w:after="0" w:line="25" w:lineRule="exact"/>
        <w:rPr>
          <w:sz w:val="20"/>
          <w:szCs w:val="20"/>
          <w:color w:val="auto"/>
        </w:rPr>
      </w:pPr>
    </w:p>
    <w:p>
      <w:pPr>
        <w:ind w:right="160" w:firstLine="8"/>
        <w:spacing w:after="0" w:line="257" w:lineRule="auto"/>
        <w:tabs>
          <w:tab w:leader="none" w:pos="229"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assets that were not owned for the full quarter in both periods presented and (2) assets currently under development or being repositioned for significant redevelopment and investment. Comparable property growth statistics are calculated on a GAAP basis.</w:t>
      </w:r>
    </w:p>
    <w:p>
      <w:pPr>
        <w:spacing w:after="0" w:line="99" w:lineRule="exact"/>
        <w:rPr>
          <w:sz w:val="20"/>
          <w:szCs w:val="20"/>
          <w:color w:val="auto"/>
        </w:rPr>
      </w:pPr>
    </w:p>
    <w:p>
      <w:pPr>
        <w:ind w:right="160"/>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Annualized Base Rent (ABR): </w:t>
      </w:r>
      <w:r>
        <w:rPr>
          <w:rFonts w:ascii="Times New Roman" w:cs="Times New Roman" w:eastAsia="Times New Roman" w:hAnsi="Times New Roman"/>
          <w:sz w:val="16"/>
          <w:szCs w:val="16"/>
          <w:color w:val="auto"/>
        </w:rPr>
        <w:t>Represents aggregate, annualized in-place contractual (defined as rents billed on a cash basis without taking the impact of rent abatements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into account) minimum rent for all occupied spaces as of the reporting period.</w:t>
      </w:r>
    </w:p>
    <w:p>
      <w:pPr>
        <w:spacing w:after="0" w:line="5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Retail Leasing Summary - Lease Rollover Calculation: </w:t>
      </w:r>
      <w:r>
        <w:rPr>
          <w:rFonts w:ascii="Times New Roman" w:cs="Times New Roman" w:eastAsia="Times New Roman" w:hAnsi="Times New Roman"/>
          <w:sz w:val="16"/>
          <w:szCs w:val="16"/>
          <w:color w:val="auto"/>
        </w:rPr>
        <w:t>The rental increases associated with comparable spaces generally include all leases signed for retail space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arms-length transactions reflecting market leverage between landlords and tenants during the period, excluding leases at properties sold during the quarter or under contract to be sold. The comparison between the rent for expiring leases and new leases is determined by including contractual rent on the expiring lease, including percentage rent, and the comparable annual rent and in some instances, projections of percentage rent, to be paid on the new lease. In atypical circumstances, management may exercise judgement as to how to most effectively reflect the comparability of rents reported in the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w:t>
      </w:r>
    </w:p>
    <w:p>
      <w:pPr>
        <w:spacing w:after="0" w:line="84" w:lineRule="exact"/>
        <w:rPr>
          <w:sz w:val="20"/>
          <w:szCs w:val="20"/>
          <w:color w:val="auto"/>
        </w:rPr>
      </w:pPr>
    </w:p>
    <w:p>
      <w:pPr>
        <w:ind w:right="240"/>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Tenant Improvements and Incentives: </w:t>
      </w:r>
      <w:r>
        <w:rPr>
          <w:rFonts w:ascii="Times New Roman" w:cs="Times New Roman" w:eastAsia="Times New Roman" w:hAnsi="Times New Roman"/>
          <w:sz w:val="16"/>
          <w:szCs w:val="16"/>
          <w:color w:val="auto"/>
        </w:rPr>
        <w:t>Represents the total dollars committed for the improvement (fit-out) of a space as it relates to a specific lease. Incentives include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amounts paid to tenants as an inducement to sign a lease that do not represent building improvements.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General: </w:t>
      </w:r>
      <w:r>
        <w:rPr>
          <w:rFonts w:ascii="Times New Roman" w:cs="Times New Roman" w:eastAsia="Times New Roman" w:hAnsi="Times New Roman"/>
          <w:sz w:val="16"/>
          <w:szCs w:val="16"/>
          <w:color w:val="auto"/>
        </w:rPr>
        <w:t>Property related statistics are the for the consolidated property portfolio except where noted.</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3"/>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lvl w:ilvl="1">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3"/>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upperLetter"/>
      <w:start w:val="19"/>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2024-08-01T15:17:30Z</dcterms:created>
  <dcterms:modified xsi:type="dcterms:W3CDTF">2024-08-01T15:17:30Z</dcterms:modified>
</cp:coreProperties>
</file>