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26"/>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381000</wp:posOffset>
            </wp:positionH>
            <wp:positionV relativeFrom="page">
              <wp:posOffset>163830</wp:posOffset>
            </wp:positionV>
            <wp:extent cx="6795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5135" cy="8255"/>
                    </a:xfrm>
                    <a:prstGeom prst="rect">
                      <a:avLst/>
                    </a:prstGeom>
                    <a:noFill/>
                  </pic:spPr>
                </pic:pic>
              </a:graphicData>
            </a:graphic>
          </wp:anchor>
        </w:drawing>
        <w:drawing>
          <wp:anchor simplePos="0" relativeHeight="251657728" behindDoc="1" locked="0" layoutInCell="0" allowOverlap="1">
            <wp:simplePos x="0" y="0"/>
            <wp:positionH relativeFrom="page">
              <wp:posOffset>381000</wp:posOffset>
            </wp:positionH>
            <wp:positionV relativeFrom="page">
              <wp:posOffset>205740</wp:posOffset>
            </wp:positionV>
            <wp:extent cx="6795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5135" cy="8255"/>
                    </a:xfrm>
                    <a:prstGeom prst="rect">
                      <a:avLst/>
                    </a:prstGeom>
                    <a:noFill/>
                  </pic:spPr>
                </pic:pic>
              </a:graphicData>
            </a:graphic>
          </wp:anchor>
        </w:drawing>
        <w:t>UNITED STATES</w:t>
      </w:r>
    </w:p>
    <w:p>
      <w:pPr>
        <w:spacing w:after="0" w:line="43" w:lineRule="exact"/>
        <w:rPr>
          <w:sz w:val="24"/>
          <w:szCs w:val="24"/>
          <w:color w:val="auto"/>
        </w:rPr>
      </w:pPr>
    </w:p>
    <w:p>
      <w:pPr>
        <w:jc w:val="center"/>
        <w:ind w:right="-826"/>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ind w:left="4166"/>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217170</wp:posOffset>
            </wp:positionV>
            <wp:extent cx="1423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826"/>
        <w:spacing w:after="0"/>
        <w:rPr>
          <w:sz w:val="20"/>
          <w:szCs w:val="20"/>
          <w:color w:val="auto"/>
        </w:rPr>
      </w:pPr>
      <w:r>
        <w:rPr>
          <w:rFonts w:ascii="Arial" w:cs="Arial" w:eastAsia="Arial" w:hAnsi="Arial"/>
          <w:sz w:val="31"/>
          <w:szCs w:val="31"/>
          <w:b w:val="1"/>
          <w:bCs w:val="1"/>
          <w:color w:val="auto"/>
        </w:rPr>
        <w:t>SCHEDULE 14A</w:t>
      </w:r>
    </w:p>
    <w:p>
      <w:pPr>
        <w:spacing w:after="0" w:line="27" w:lineRule="exact"/>
        <w:rPr>
          <w:sz w:val="24"/>
          <w:szCs w:val="24"/>
          <w:color w:val="auto"/>
        </w:rPr>
      </w:pPr>
    </w:p>
    <w:p>
      <w:pPr>
        <w:jc w:val="center"/>
        <w:ind w:right="-826"/>
        <w:spacing w:after="0"/>
        <w:rPr>
          <w:sz w:val="20"/>
          <w:szCs w:val="20"/>
          <w:color w:val="auto"/>
        </w:rPr>
      </w:pPr>
      <w:r>
        <w:rPr>
          <w:rFonts w:ascii="Arial" w:cs="Arial" w:eastAsia="Arial" w:hAnsi="Arial"/>
          <w:sz w:val="21"/>
          <w:szCs w:val="21"/>
          <w:b w:val="1"/>
          <w:bCs w:val="1"/>
          <w:color w:val="auto"/>
        </w:rPr>
        <w:t>(Rule 14a-101)</w:t>
      </w:r>
    </w:p>
    <w:p>
      <w:pPr>
        <w:jc w:val="center"/>
        <w:ind w:right="-826"/>
        <w:spacing w:after="0" w:line="234" w:lineRule="auto"/>
        <w:rPr>
          <w:sz w:val="20"/>
          <w:szCs w:val="20"/>
          <w:color w:val="auto"/>
        </w:rPr>
      </w:pPr>
      <w:r>
        <w:rPr>
          <w:rFonts w:ascii="Arial" w:cs="Arial" w:eastAsia="Arial" w:hAnsi="Arial"/>
          <w:sz w:val="21"/>
          <w:szCs w:val="21"/>
          <w:b w:val="1"/>
          <w:bCs w:val="1"/>
          <w:color w:val="auto"/>
        </w:rPr>
        <w:t>INFORMATION REQUIRED IN PROXY STATEMENT</w:t>
      </w:r>
    </w:p>
    <w:p>
      <w:pPr>
        <w:spacing w:after="0" w:line="1" w:lineRule="exact"/>
        <w:rPr>
          <w:sz w:val="24"/>
          <w:szCs w:val="24"/>
          <w:color w:val="auto"/>
        </w:rPr>
      </w:pPr>
    </w:p>
    <w:p>
      <w:pPr>
        <w:jc w:val="center"/>
        <w:ind w:right="-826"/>
        <w:spacing w:after="0"/>
        <w:rPr>
          <w:sz w:val="20"/>
          <w:szCs w:val="20"/>
          <w:color w:val="auto"/>
        </w:rPr>
      </w:pPr>
      <w:r>
        <w:rPr>
          <w:rFonts w:ascii="Arial" w:cs="Arial" w:eastAsia="Arial" w:hAnsi="Arial"/>
          <w:sz w:val="21"/>
          <w:szCs w:val="21"/>
          <w:b w:val="1"/>
          <w:bCs w:val="1"/>
          <w:color w:val="auto"/>
        </w:rPr>
        <w:t>SCHEDULE 14A INFORMATION</w:t>
      </w:r>
    </w:p>
    <w:p>
      <w:pPr>
        <w:spacing w:after="0" w:line="222" w:lineRule="exact"/>
        <w:rPr>
          <w:sz w:val="24"/>
          <w:szCs w:val="24"/>
          <w:color w:val="auto"/>
        </w:rPr>
      </w:pPr>
    </w:p>
    <w:p>
      <w:pPr>
        <w:jc w:val="center"/>
        <w:ind w:right="-826"/>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7" w:lineRule="exact"/>
        <w:rPr>
          <w:sz w:val="24"/>
          <w:szCs w:val="24"/>
          <w:color w:val="auto"/>
        </w:rPr>
      </w:pPr>
    </w:p>
    <w:p>
      <w:pPr>
        <w:jc w:val="center"/>
        <w:ind w:right="-826"/>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217170</wp:posOffset>
            </wp:positionV>
            <wp:extent cx="1423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6"/>
        <w:spacing w:after="0" w:line="161" w:lineRule="exact"/>
        <w:tabs>
          <w:tab w:leader="none" w:pos="2706"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75"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w:t>
      </w:r>
    </w:p>
    <w:p>
      <w:pPr>
        <w:spacing w:after="0" w:line="141" w:lineRule="exact"/>
        <w:rPr>
          <w:sz w:val="24"/>
          <w:szCs w:val="24"/>
          <w:color w:val="auto"/>
        </w:rPr>
      </w:pPr>
    </w:p>
    <w:p>
      <w:pPr>
        <w:ind w:left="426" w:hanging="426"/>
        <w:spacing w:after="0"/>
        <w:tabs>
          <w:tab w:leader="none" w:pos="426"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53" w:lineRule="exact"/>
        <w:rPr>
          <w:rFonts w:ascii="MS PGothic" w:cs="MS PGothic" w:eastAsia="MS PGothic" w:hAnsi="MS PGothic"/>
          <w:sz w:val="14"/>
          <w:szCs w:val="14"/>
          <w:color w:val="auto"/>
        </w:rPr>
      </w:pPr>
    </w:p>
    <w:p>
      <w:pPr>
        <w:ind w:left="426" w:hanging="426"/>
        <w:spacing w:after="0"/>
        <w:tabs>
          <w:tab w:leader="none" w:pos="42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53" w:lineRule="exact"/>
        <w:rPr>
          <w:rFonts w:ascii="MS PGothic" w:cs="MS PGothic" w:eastAsia="MS PGothic" w:hAnsi="MS PGothic"/>
          <w:sz w:val="14"/>
          <w:szCs w:val="14"/>
          <w:color w:val="auto"/>
        </w:rPr>
      </w:pPr>
    </w:p>
    <w:p>
      <w:pPr>
        <w:ind w:left="426" w:hanging="426"/>
        <w:spacing w:after="0"/>
        <w:tabs>
          <w:tab w:leader="none" w:pos="426"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54" w:lineRule="exact"/>
        <w:rPr>
          <w:sz w:val="24"/>
          <w:szCs w:val="24"/>
          <w:color w:val="auto"/>
        </w:rPr>
      </w:pPr>
    </w:p>
    <w:p>
      <w:pPr>
        <w:ind w:left="426" w:hanging="426"/>
        <w:spacing w:after="0"/>
        <w:tabs>
          <w:tab w:leader="none" w:pos="426"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54" w:lineRule="exact"/>
        <w:rPr>
          <w:sz w:val="24"/>
          <w:szCs w:val="24"/>
          <w:color w:val="auto"/>
        </w:rPr>
      </w:pPr>
    </w:p>
    <w:p>
      <w:pPr>
        <w:ind w:left="426" w:hanging="426"/>
        <w:spacing w:after="0"/>
        <w:tabs>
          <w:tab w:leader="none" w:pos="426"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826"/>
        <w:spacing w:after="0"/>
        <w:rPr>
          <w:sz w:val="20"/>
          <w:szCs w:val="20"/>
          <w:color w:val="auto"/>
        </w:rPr>
      </w:pPr>
      <w:r>
        <w:rPr>
          <w:rFonts w:ascii="Arial" w:cs="Arial" w:eastAsia="Arial" w:hAnsi="Arial"/>
          <w:sz w:val="38"/>
          <w:szCs w:val="38"/>
          <w:b w:val="1"/>
          <w:bCs w:val="1"/>
          <w:color w:val="auto"/>
        </w:rPr>
        <w:t>FEDERAL REALTY INVESTMENT TRUST</w:t>
      </w:r>
    </w:p>
    <w:p>
      <w:pPr>
        <w:spacing w:after="0" w:line="42" w:lineRule="exact"/>
        <w:rPr>
          <w:sz w:val="24"/>
          <w:szCs w:val="24"/>
          <w:color w:val="auto"/>
        </w:rPr>
      </w:pPr>
    </w:p>
    <w:p>
      <w:pPr>
        <w:jc w:val="center"/>
        <w:ind w:right="-826"/>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19" w:lineRule="exact"/>
        <w:rPr>
          <w:sz w:val="24"/>
          <w:szCs w:val="24"/>
          <w:color w:val="auto"/>
        </w:rPr>
      </w:pPr>
    </w:p>
    <w:p>
      <w:pPr>
        <w:jc w:val="center"/>
        <w:ind w:right="-826"/>
        <w:spacing w:after="0"/>
        <w:rPr>
          <w:sz w:val="20"/>
          <w:szCs w:val="20"/>
          <w:color w:val="auto"/>
        </w:rPr>
      </w:pPr>
      <w:r>
        <w:rPr>
          <w:rFonts w:ascii="Arial" w:cs="Arial" w:eastAsia="Arial" w:hAnsi="Arial"/>
          <w:sz w:val="17"/>
          <w:szCs w:val="17"/>
          <w:b w:val="1"/>
          <w:bCs w:val="1"/>
          <w:color w:val="auto"/>
        </w:rPr>
        <w:t>Not applicable.</w:t>
      </w:r>
    </w:p>
    <w:p>
      <w:pPr>
        <w:spacing w:after="0" w:line="25" w:lineRule="exact"/>
        <w:rPr>
          <w:sz w:val="24"/>
          <w:szCs w:val="24"/>
          <w:color w:val="auto"/>
        </w:rPr>
      </w:pPr>
    </w:p>
    <w:p>
      <w:pPr>
        <w:ind w:left="2986"/>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2" w:lineRule="exact"/>
        <w:rPr>
          <w:sz w:val="24"/>
          <w:szCs w:val="24"/>
          <w:color w:val="auto"/>
        </w:rPr>
      </w:pPr>
    </w:p>
    <w:p>
      <w:pPr>
        <w:ind w:left="6"/>
        <w:spacing w:after="0"/>
        <w:rPr>
          <w:sz w:val="20"/>
          <w:szCs w:val="20"/>
          <w:color w:val="auto"/>
        </w:rPr>
      </w:pPr>
      <w:r>
        <w:rPr>
          <w:rFonts w:ascii="Arial" w:cs="Arial" w:eastAsia="Arial" w:hAnsi="Arial"/>
          <w:sz w:val="14"/>
          <w:szCs w:val="14"/>
          <w:color w:val="auto"/>
        </w:rPr>
        <w:t>Payment of Filing Fee (Check all boxes that apply):</w:t>
      </w:r>
    </w:p>
    <w:p>
      <w:pPr>
        <w:spacing w:after="0" w:line="219" w:lineRule="exact"/>
        <w:rPr>
          <w:sz w:val="24"/>
          <w:szCs w:val="24"/>
          <w:color w:val="auto"/>
        </w:rPr>
      </w:pPr>
    </w:p>
    <w:p>
      <w:pPr>
        <w:ind w:left="546" w:hanging="546"/>
        <w:spacing w:after="0"/>
        <w:tabs>
          <w:tab w:leader="none" w:pos="546"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14" w:lineRule="exact"/>
        <w:rPr>
          <w:sz w:val="24"/>
          <w:szCs w:val="24"/>
          <w:color w:val="auto"/>
        </w:rPr>
      </w:pPr>
    </w:p>
    <w:p>
      <w:pPr>
        <w:ind w:left="546" w:hanging="546"/>
        <w:spacing w:after="0"/>
        <w:tabs>
          <w:tab w:leader="none" w:pos="546"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14" w:lineRule="exact"/>
        <w:rPr>
          <w:rFonts w:ascii="MS PGothic" w:cs="MS PGothic" w:eastAsia="MS PGothic" w:hAnsi="MS PGothic"/>
          <w:sz w:val="14"/>
          <w:szCs w:val="14"/>
          <w:color w:val="auto"/>
        </w:rPr>
      </w:pPr>
    </w:p>
    <w:p>
      <w:pPr>
        <w:ind w:left="546" w:hanging="546"/>
        <w:spacing w:after="0"/>
        <w:tabs>
          <w:tab w:leader="none" w:pos="546"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 (b) per Exchange Act Rules 14a-6 (i) (1) and D-11.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935990</wp:posOffset>
            </wp:positionV>
            <wp:extent cx="67951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51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977900</wp:posOffset>
            </wp:positionV>
            <wp:extent cx="6795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95135" cy="8255"/>
                    </a:xfrm>
                    <a:prstGeom prst="rect">
                      <a:avLst/>
                    </a:prstGeom>
                    <a:noFill/>
                  </pic:spPr>
                </pic:pic>
              </a:graphicData>
            </a:graphic>
          </wp:anchor>
        </w:drawing>
      </w:r>
    </w:p>
    <w:p>
      <w:pPr>
        <w:sectPr>
          <w:pgSz w:w="11900" w:h="16838" w:orient="portrait"/>
          <w:cols w:equalWidth="0" w:num="1">
            <w:col w:w="9865"/>
          </w:cols>
          <w:pgMar w:left="594" w:top="129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Important Notice Regarding the Availability of Proxy Materials for the Shareholder Meeting of</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FEDERAL REALTY INVESTMENT TRUST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To Be Held 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May 3, 2023 at 9:00 a.m.</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virtually at https://web.lumiagm.com/202329683 (password: federal2023)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4363720</wp:posOffset>
            </wp:positionH>
            <wp:positionV relativeFrom="paragraph">
              <wp:posOffset>166370</wp:posOffset>
            </wp:positionV>
            <wp:extent cx="2364740" cy="866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64740" cy="866140"/>
                    </a:xfrm>
                    <a:prstGeom prst="rect">
                      <a:avLst/>
                    </a:prstGeom>
                    <a:noFill/>
                  </pic:spPr>
                </pic:pic>
              </a:graphicData>
            </a:graphic>
          </wp:anchor>
        </w:drawing>
      </w:r>
    </w:p>
    <w:p>
      <w:pPr>
        <w:spacing w:after="0" w:line="36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b w:val="1"/>
          <w:bCs w:val="1"/>
          <w:color w:val="auto"/>
        </w:rPr>
        <w:t>COMPANY NUMBER</w:t>
      </w:r>
    </w:p>
    <w:p>
      <w:pPr>
        <w:spacing w:after="0" w:line="25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b w:val="1"/>
          <w:bCs w:val="1"/>
          <w:color w:val="auto"/>
        </w:rPr>
        <w:t>ACCOUNT NUMBER</w:t>
      </w:r>
    </w:p>
    <w:p>
      <w:pPr>
        <w:spacing w:after="0" w:line="23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b w:val="1"/>
          <w:bCs w:val="1"/>
          <w:color w:val="auto"/>
        </w:rPr>
        <w:t>CONTROL NUMBER</w:t>
      </w:r>
    </w:p>
    <w:p>
      <w:pPr>
        <w:spacing w:after="0" w:line="355" w:lineRule="exact"/>
        <w:rPr>
          <w:sz w:val="20"/>
          <w:szCs w:val="20"/>
          <w:color w:val="auto"/>
        </w:rPr>
      </w:pPr>
    </w:p>
    <w:p>
      <w:pPr>
        <w:ind w:right="240"/>
        <w:spacing w:after="0" w:line="299" w:lineRule="auto"/>
        <w:rPr>
          <w:sz w:val="20"/>
          <w:szCs w:val="20"/>
          <w:color w:val="auto"/>
        </w:rPr>
      </w:pPr>
      <w:r>
        <w:rPr>
          <w:rFonts w:ascii="Times New Roman" w:cs="Times New Roman" w:eastAsia="Times New Roman" w:hAnsi="Times New Roman"/>
          <w:sz w:val="17"/>
          <w:szCs w:val="17"/>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37"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7"/>
          <w:szCs w:val="17"/>
          <w:b w:val="1"/>
          <w:bCs w:val="1"/>
          <w:color w:val="auto"/>
        </w:rPr>
        <w:t>If you want to receive a paper or e-mail copy of the proxy materials you must request one. There is no charge to you for requesting a copy. To facilitate timely delivery please make the request as instructed below before 04/21/23.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visit http://www.federalrealty.com/shareholder-meeting, where the following is available for view: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828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  Annual Report/Form 10-K/Notice &amp; Proxy Statement</w:t>
            </w:r>
          </w:p>
        </w:tc>
      </w:tr>
      <w:tr>
        <w:trPr>
          <w:trHeight w:val="228"/>
        </w:trPr>
        <w:tc>
          <w:tcPr>
            <w:tcW w:w="2420" w:type="dxa"/>
            <w:vAlign w:val="bottom"/>
          </w:tcPr>
          <w:p>
            <w:pPr>
              <w:spacing w:after="0"/>
              <w:rPr>
                <w:sz w:val="19"/>
                <w:szCs w:val="19"/>
                <w:color w:val="auto"/>
              </w:rPr>
            </w:pPr>
          </w:p>
        </w:tc>
        <w:tc>
          <w:tcPr>
            <w:tcW w:w="828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  Instructions on How to Access and Participate in the Annual Shareholder Meeting</w:t>
            </w:r>
          </w:p>
        </w:tc>
      </w:tr>
      <w:tr>
        <w:trPr>
          <w:trHeight w:val="295"/>
        </w:trPr>
        <w:tc>
          <w:tcPr>
            <w:tcW w:w="2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 REQUEST MATERIAL:</w:t>
            </w:r>
          </w:p>
        </w:tc>
        <w:tc>
          <w:tcPr>
            <w:tcW w:w="828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TELEPHONE: 888-Proxy-NA (888-776-9962) 718-921-8562 (for international callers)</w:t>
            </w:r>
          </w:p>
        </w:tc>
      </w:tr>
      <w:tr>
        <w:trPr>
          <w:trHeight w:val="210"/>
        </w:trPr>
        <w:tc>
          <w:tcPr>
            <w:tcW w:w="2420" w:type="dxa"/>
            <w:vAlign w:val="bottom"/>
          </w:tcPr>
          <w:p>
            <w:pPr>
              <w:spacing w:after="0"/>
              <w:rPr>
                <w:sz w:val="18"/>
                <w:szCs w:val="18"/>
                <w:color w:val="auto"/>
              </w:rPr>
            </w:pPr>
          </w:p>
        </w:tc>
        <w:tc>
          <w:tcPr>
            <w:tcW w:w="828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E-MAIL: info@astfinancial.com</w:t>
            </w:r>
          </w:p>
        </w:tc>
      </w:tr>
      <w:tr>
        <w:trPr>
          <w:trHeight w:val="230"/>
        </w:trPr>
        <w:tc>
          <w:tcPr>
            <w:tcW w:w="2420" w:type="dxa"/>
            <w:vAlign w:val="bottom"/>
          </w:tcPr>
          <w:p>
            <w:pPr>
              <w:spacing w:after="0"/>
              <w:rPr>
                <w:sz w:val="19"/>
                <w:szCs w:val="19"/>
                <w:color w:val="auto"/>
              </w:rPr>
            </w:pPr>
          </w:p>
        </w:tc>
        <w:tc>
          <w:tcPr>
            <w:tcW w:w="828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WEBSITE: https://us.astfinancial.com/OnlineProxyVoting/ProxyVoting/RequestMaterials</w:t>
            </w:r>
          </w:p>
        </w:tc>
      </w:tr>
      <w:tr>
        <w:trPr>
          <w:trHeight w:val="276"/>
        </w:trPr>
        <w:tc>
          <w:tcPr>
            <w:tcW w:w="2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 VOTE:</w:t>
            </w:r>
          </w:p>
        </w:tc>
        <w:tc>
          <w:tcPr>
            <w:tcW w:w="828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 xml:space="preserve">ONLINE: </w:t>
            </w:r>
            <w:r>
              <w:rPr>
                <w:rFonts w:ascii="Times New Roman" w:cs="Times New Roman" w:eastAsia="Times New Roman" w:hAnsi="Times New Roman"/>
                <w:sz w:val="17"/>
                <w:szCs w:val="17"/>
                <w:color w:val="auto"/>
              </w:rPr>
              <w:t>To access your online proxy card, please visit</w:t>
            </w:r>
            <w:r>
              <w:rPr>
                <w:rFonts w:ascii="Times New Roman" w:cs="Times New Roman" w:eastAsia="Times New Roman" w:hAnsi="Times New Roman"/>
                <w:sz w:val="17"/>
                <w:szCs w:val="17"/>
                <w:b w:val="1"/>
                <w:bCs w:val="1"/>
                <w:color w:val="auto"/>
              </w:rPr>
              <w:t xml:space="preserve"> www.voteproxy.com </w:t>
            </w:r>
            <w:r>
              <w:rPr>
                <w:rFonts w:ascii="Times New Roman" w:cs="Times New Roman" w:eastAsia="Times New Roman" w:hAnsi="Times New Roman"/>
                <w:sz w:val="17"/>
                <w:szCs w:val="17"/>
                <w:color w:val="auto"/>
              </w:rPr>
              <w:t>and follow the on-screen</w:t>
            </w:r>
          </w:p>
        </w:tc>
      </w:tr>
      <w:tr>
        <w:trPr>
          <w:trHeight w:val="20"/>
        </w:trPr>
        <w:tc>
          <w:tcPr>
            <w:tcW w:w="2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11"/>
        </w:trPr>
        <w:tc>
          <w:tcPr>
            <w:tcW w:w="2420" w:type="dxa"/>
            <w:vAlign w:val="bottom"/>
          </w:tcPr>
          <w:p>
            <w:pPr>
              <w:spacing w:after="0"/>
              <w:rPr>
                <w:sz w:val="18"/>
                <w:szCs w:val="18"/>
                <w:color w:val="auto"/>
              </w:rPr>
            </w:pPr>
          </w:p>
        </w:tc>
        <w:tc>
          <w:tcPr>
            <w:tcW w:w="828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instructions or scan the QR code with your smartphone. You may enter your voting instructions at</w:t>
            </w:r>
          </w:p>
        </w:tc>
      </w:tr>
      <w:tr>
        <w:trPr>
          <w:trHeight w:val="208"/>
        </w:trPr>
        <w:tc>
          <w:tcPr>
            <w:tcW w:w="2420" w:type="dxa"/>
            <w:vAlign w:val="bottom"/>
          </w:tcPr>
          <w:p>
            <w:pPr>
              <w:spacing w:after="0"/>
              <w:rPr>
                <w:sz w:val="18"/>
                <w:szCs w:val="18"/>
                <w:color w:val="auto"/>
              </w:rPr>
            </w:pPr>
          </w:p>
        </w:tc>
        <w:tc>
          <w:tcPr>
            <w:tcW w:w="828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www.voteproxy.com up until 11:59 PM Eastern Time the day before the cut-off or meeting date.</w:t>
            </w:r>
          </w:p>
        </w:tc>
      </w:tr>
      <w:tr>
        <w:trPr>
          <w:trHeight w:val="212"/>
        </w:trPr>
        <w:tc>
          <w:tcPr>
            <w:tcW w:w="2420" w:type="dxa"/>
            <w:vAlign w:val="bottom"/>
          </w:tcPr>
          <w:p>
            <w:pPr>
              <w:spacing w:after="0"/>
              <w:rPr>
                <w:sz w:val="18"/>
                <w:szCs w:val="18"/>
                <w:color w:val="auto"/>
              </w:rPr>
            </w:pPr>
          </w:p>
        </w:tc>
        <w:tc>
          <w:tcPr>
            <w:tcW w:w="828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 xml:space="preserve">DURING THE MEETING: </w:t>
            </w:r>
            <w:r>
              <w:rPr>
                <w:rFonts w:ascii="Times New Roman" w:cs="Times New Roman" w:eastAsia="Times New Roman" w:hAnsi="Times New Roman"/>
                <w:sz w:val="17"/>
                <w:szCs w:val="17"/>
                <w:color w:val="auto"/>
              </w:rPr>
              <w:t>You may virtually attend the meeting and vote your shares through the internet.</w:t>
            </w:r>
          </w:p>
        </w:tc>
      </w:tr>
      <w:tr>
        <w:trPr>
          <w:trHeight w:val="228"/>
        </w:trPr>
        <w:tc>
          <w:tcPr>
            <w:tcW w:w="2420" w:type="dxa"/>
            <w:vAlign w:val="bottom"/>
          </w:tcPr>
          <w:p>
            <w:pPr>
              <w:spacing w:after="0"/>
              <w:rPr>
                <w:sz w:val="19"/>
                <w:szCs w:val="19"/>
                <w:color w:val="auto"/>
              </w:rPr>
            </w:pPr>
          </w:p>
        </w:tc>
        <w:tc>
          <w:tcPr>
            <w:tcW w:w="828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Go to: https://web.lumiagm.com/202329683 (password: federal2023).</w:t>
            </w:r>
          </w:p>
        </w:tc>
      </w:tr>
      <w:tr>
        <w:trPr>
          <w:trHeight w:val="289"/>
        </w:trPr>
        <w:tc>
          <w:tcPr>
            <w:tcW w:w="2420" w:type="dxa"/>
            <w:vAlign w:val="bottom"/>
          </w:tcPr>
          <w:p>
            <w:pPr>
              <w:spacing w:after="0"/>
              <w:rPr>
                <w:sz w:val="24"/>
                <w:szCs w:val="24"/>
                <w:color w:val="auto"/>
              </w:rPr>
            </w:pPr>
          </w:p>
        </w:tc>
        <w:tc>
          <w:tcPr>
            <w:tcW w:w="828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 xml:space="preserve">TELEPHONE: </w:t>
            </w:r>
            <w:r>
              <w:rPr>
                <w:rFonts w:ascii="Times New Roman" w:cs="Times New Roman" w:eastAsia="Times New Roman" w:hAnsi="Times New Roman"/>
                <w:sz w:val="17"/>
                <w:szCs w:val="17"/>
                <w:color w:val="auto"/>
              </w:rPr>
              <w:t>To vote by telephone, please visit</w:t>
            </w:r>
            <w:r>
              <w:rPr>
                <w:rFonts w:ascii="Times New Roman" w:cs="Times New Roman" w:eastAsia="Times New Roman" w:hAnsi="Times New Roman"/>
                <w:sz w:val="17"/>
                <w:szCs w:val="17"/>
                <w:b w:val="1"/>
                <w:bCs w:val="1"/>
                <w:color w:val="auto"/>
              </w:rPr>
              <w:t xml:space="preserve"> www.voteproxy.com </w:t>
            </w:r>
            <w:r>
              <w:rPr>
                <w:rFonts w:ascii="Times New Roman" w:cs="Times New Roman" w:eastAsia="Times New Roman" w:hAnsi="Times New Roman"/>
                <w:sz w:val="17"/>
                <w:szCs w:val="17"/>
                <w:color w:val="auto"/>
              </w:rPr>
              <w:t>to view the materials and to obtain the</w:t>
            </w:r>
          </w:p>
        </w:tc>
      </w:tr>
      <w:tr>
        <w:trPr>
          <w:trHeight w:val="229"/>
        </w:trPr>
        <w:tc>
          <w:tcPr>
            <w:tcW w:w="24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toll free number to call.</w:t>
            </w:r>
          </w:p>
        </w:tc>
        <w:tc>
          <w:tcPr>
            <w:tcW w:w="1500" w:type="dxa"/>
            <w:vAlign w:val="bottom"/>
            <w:tcBorders>
              <w:top w:val="single" w:sz="8" w:color="auto"/>
            </w:tcBorders>
            <w:gridSpan w:val="2"/>
          </w:tcPr>
          <w:p>
            <w:pPr>
              <w:spacing w:after="0"/>
              <w:rPr>
                <w:sz w:val="19"/>
                <w:szCs w:val="19"/>
                <w:color w:val="auto"/>
              </w:rPr>
            </w:pPr>
          </w:p>
        </w:tc>
        <w:tc>
          <w:tcPr>
            <w:tcW w:w="2960" w:type="dxa"/>
            <w:vAlign w:val="bottom"/>
            <w:gridSpan w:val="2"/>
          </w:tcPr>
          <w:p>
            <w:pPr>
              <w:spacing w:after="0"/>
              <w:rPr>
                <w:sz w:val="19"/>
                <w:szCs w:val="19"/>
                <w:color w:val="auto"/>
              </w:rPr>
            </w:pPr>
          </w:p>
        </w:tc>
      </w:tr>
      <w:tr>
        <w:trPr>
          <w:trHeight w:val="341"/>
        </w:trPr>
        <w:tc>
          <w:tcPr>
            <w:tcW w:w="2420" w:type="dxa"/>
            <w:vAlign w:val="bottom"/>
          </w:tcPr>
          <w:p>
            <w:pPr>
              <w:spacing w:after="0"/>
              <w:rPr>
                <w:sz w:val="24"/>
                <w:szCs w:val="24"/>
                <w:color w:val="auto"/>
              </w:rPr>
            </w:pPr>
          </w:p>
        </w:tc>
        <w:tc>
          <w:tcPr>
            <w:tcW w:w="828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 xml:space="preserve">MAIL: </w:t>
            </w:r>
            <w:r>
              <w:rPr>
                <w:rFonts w:ascii="Times New Roman" w:cs="Times New Roman" w:eastAsia="Times New Roman" w:hAnsi="Times New Roman"/>
                <w:sz w:val="17"/>
                <w:szCs w:val="17"/>
                <w:color w:val="auto"/>
              </w:rPr>
              <w:t>You may request a card by following the instructions above.</w:t>
            </w:r>
          </w:p>
        </w:tc>
      </w:tr>
      <w:tr>
        <w:trPr>
          <w:trHeight w:val="92"/>
        </w:trPr>
        <w:tc>
          <w:tcPr>
            <w:tcW w:w="242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r>
      <w:tr>
        <w:trPr>
          <w:trHeight w:val="271"/>
        </w:trPr>
        <w:tc>
          <w:tcPr>
            <w:tcW w:w="2420" w:type="dxa"/>
            <w:vAlign w:val="bottom"/>
          </w:tcPr>
          <w:p>
            <w:pPr>
              <w:spacing w:after="0"/>
              <w:rPr>
                <w:sz w:val="23"/>
                <w:szCs w:val="23"/>
                <w:color w:val="auto"/>
              </w:rPr>
            </w:pPr>
          </w:p>
        </w:tc>
        <w:tc>
          <w:tcPr>
            <w:tcW w:w="8280" w:type="dxa"/>
            <w:vAlign w:val="bottom"/>
            <w:gridSpan w:val="5"/>
          </w:tcPr>
          <w:p>
            <w:pPr>
              <w:ind w:left="2080"/>
              <w:spacing w:after="0"/>
              <w:rPr>
                <w:sz w:val="20"/>
                <w:szCs w:val="20"/>
                <w:color w:val="auto"/>
              </w:rPr>
            </w:pPr>
            <w:r>
              <w:rPr>
                <w:rFonts w:ascii="Times New Roman" w:cs="Times New Roman" w:eastAsia="Times New Roman" w:hAnsi="Times New Roman"/>
                <w:sz w:val="14"/>
                <w:szCs w:val="14"/>
                <w:color w:val="auto"/>
              </w:rPr>
              <w:t>1.   To elect the following nominees as Trustees as set forth in our Proxy Statement:</w:t>
            </w:r>
          </w:p>
        </w:tc>
      </w:tr>
      <w:tr>
        <w:trPr>
          <w:trHeight w:val="328"/>
        </w:trPr>
        <w:tc>
          <w:tcPr>
            <w:tcW w:w="2420" w:type="dxa"/>
            <w:vAlign w:val="bottom"/>
          </w:tcPr>
          <w:p>
            <w:pPr>
              <w:spacing w:after="0"/>
              <w:rPr>
                <w:sz w:val="24"/>
                <w:szCs w:val="24"/>
                <w:color w:val="auto"/>
              </w:rPr>
            </w:pPr>
          </w:p>
        </w:tc>
        <w:tc>
          <w:tcPr>
            <w:tcW w:w="8280" w:type="dxa"/>
            <w:vAlign w:val="bottom"/>
            <w:gridSpan w:val="5"/>
          </w:tcPr>
          <w:p>
            <w:pPr>
              <w:ind w:left="2420"/>
              <w:spacing w:after="0"/>
              <w:rPr>
                <w:sz w:val="20"/>
                <w:szCs w:val="20"/>
                <w:color w:val="auto"/>
              </w:rPr>
            </w:pPr>
            <w:r>
              <w:rPr>
                <w:rFonts w:ascii="Times New Roman" w:cs="Times New Roman" w:eastAsia="Times New Roman" w:hAnsi="Times New Roman"/>
                <w:sz w:val="14"/>
                <w:szCs w:val="14"/>
                <w:color w:val="auto"/>
              </w:rPr>
              <w:t>David W. Faeder</w:t>
            </w:r>
          </w:p>
        </w:tc>
      </w:tr>
      <w:tr>
        <w:trPr>
          <w:trHeight w:val="315"/>
        </w:trPr>
        <w:tc>
          <w:tcPr>
            <w:tcW w:w="2420" w:type="dxa"/>
            <w:vAlign w:val="bottom"/>
          </w:tcPr>
          <w:p>
            <w:pPr>
              <w:spacing w:after="0"/>
              <w:rPr>
                <w:sz w:val="24"/>
                <w:szCs w:val="24"/>
                <w:color w:val="auto"/>
              </w:rPr>
            </w:pPr>
          </w:p>
        </w:tc>
        <w:tc>
          <w:tcPr>
            <w:tcW w:w="8280" w:type="dxa"/>
            <w:vAlign w:val="bottom"/>
            <w:gridSpan w:val="5"/>
          </w:tcPr>
          <w:p>
            <w:pPr>
              <w:ind w:left="2420"/>
              <w:spacing w:after="0"/>
              <w:rPr>
                <w:sz w:val="20"/>
                <w:szCs w:val="20"/>
                <w:color w:val="auto"/>
              </w:rPr>
            </w:pPr>
            <w:r>
              <w:rPr>
                <w:rFonts w:ascii="Times New Roman" w:cs="Times New Roman" w:eastAsia="Times New Roman" w:hAnsi="Times New Roman"/>
                <w:sz w:val="14"/>
                <w:szCs w:val="14"/>
                <w:color w:val="auto"/>
              </w:rPr>
              <w:t>Elizabeth I. Holland</w:t>
            </w:r>
          </w:p>
        </w:tc>
      </w:tr>
      <w:tr>
        <w:trPr>
          <w:trHeight w:val="315"/>
        </w:trPr>
        <w:tc>
          <w:tcPr>
            <w:tcW w:w="2420" w:type="dxa"/>
            <w:vAlign w:val="bottom"/>
          </w:tcPr>
          <w:p>
            <w:pPr>
              <w:spacing w:after="0"/>
              <w:rPr>
                <w:sz w:val="24"/>
                <w:szCs w:val="24"/>
                <w:color w:val="auto"/>
              </w:rPr>
            </w:pPr>
          </w:p>
        </w:tc>
        <w:tc>
          <w:tcPr>
            <w:tcW w:w="8280" w:type="dxa"/>
            <w:vAlign w:val="bottom"/>
            <w:gridSpan w:val="5"/>
          </w:tcPr>
          <w:p>
            <w:pPr>
              <w:ind w:left="2420"/>
              <w:spacing w:after="0"/>
              <w:rPr>
                <w:sz w:val="20"/>
                <w:szCs w:val="20"/>
                <w:color w:val="auto"/>
              </w:rPr>
            </w:pPr>
            <w:r>
              <w:rPr>
                <w:rFonts w:ascii="Times New Roman" w:cs="Times New Roman" w:eastAsia="Times New Roman" w:hAnsi="Times New Roman"/>
                <w:sz w:val="14"/>
                <w:szCs w:val="14"/>
                <w:color w:val="auto"/>
              </w:rPr>
              <w:t>Nicole Y. Lamb-Hale</w:t>
            </w:r>
          </w:p>
        </w:tc>
      </w:tr>
      <w:tr>
        <w:trPr>
          <w:trHeight w:val="315"/>
        </w:trPr>
        <w:tc>
          <w:tcPr>
            <w:tcW w:w="2420" w:type="dxa"/>
            <w:vAlign w:val="bottom"/>
          </w:tcPr>
          <w:p>
            <w:pPr>
              <w:spacing w:after="0"/>
              <w:rPr>
                <w:sz w:val="24"/>
                <w:szCs w:val="24"/>
                <w:color w:val="auto"/>
              </w:rPr>
            </w:pPr>
          </w:p>
        </w:tc>
        <w:tc>
          <w:tcPr>
            <w:tcW w:w="8280" w:type="dxa"/>
            <w:vAlign w:val="bottom"/>
            <w:gridSpan w:val="5"/>
          </w:tcPr>
          <w:p>
            <w:pPr>
              <w:ind w:left="2420"/>
              <w:spacing w:after="0"/>
              <w:rPr>
                <w:sz w:val="20"/>
                <w:szCs w:val="20"/>
                <w:color w:val="auto"/>
              </w:rPr>
            </w:pPr>
            <w:r>
              <w:rPr>
                <w:rFonts w:ascii="Times New Roman" w:cs="Times New Roman" w:eastAsia="Times New Roman" w:hAnsi="Times New Roman"/>
                <w:sz w:val="14"/>
                <w:szCs w:val="14"/>
                <w:color w:val="auto"/>
              </w:rPr>
              <w:t>Thomas A. McEachin</w:t>
            </w:r>
          </w:p>
        </w:tc>
      </w:tr>
      <w:tr>
        <w:trPr>
          <w:trHeight w:val="315"/>
        </w:trPr>
        <w:tc>
          <w:tcPr>
            <w:tcW w:w="2420" w:type="dxa"/>
            <w:vAlign w:val="bottom"/>
          </w:tcPr>
          <w:p>
            <w:pPr>
              <w:spacing w:after="0"/>
              <w:rPr>
                <w:sz w:val="24"/>
                <w:szCs w:val="24"/>
                <w:color w:val="auto"/>
              </w:rPr>
            </w:pPr>
          </w:p>
        </w:tc>
        <w:tc>
          <w:tcPr>
            <w:tcW w:w="8280" w:type="dxa"/>
            <w:vAlign w:val="bottom"/>
            <w:gridSpan w:val="5"/>
          </w:tcPr>
          <w:p>
            <w:pPr>
              <w:ind w:left="2420"/>
              <w:spacing w:after="0"/>
              <w:rPr>
                <w:sz w:val="20"/>
                <w:szCs w:val="20"/>
                <w:color w:val="auto"/>
              </w:rPr>
            </w:pPr>
            <w:r>
              <w:rPr>
                <w:rFonts w:ascii="Times New Roman" w:cs="Times New Roman" w:eastAsia="Times New Roman" w:hAnsi="Times New Roman"/>
                <w:sz w:val="14"/>
                <w:szCs w:val="14"/>
                <w:color w:val="auto"/>
              </w:rPr>
              <w:t>Anthony P. Nader, III</w:t>
            </w:r>
          </w:p>
        </w:tc>
      </w:tr>
      <w:tr>
        <w:trPr>
          <w:trHeight w:val="315"/>
        </w:trPr>
        <w:tc>
          <w:tcPr>
            <w:tcW w:w="2420" w:type="dxa"/>
            <w:vAlign w:val="bottom"/>
          </w:tcPr>
          <w:p>
            <w:pPr>
              <w:spacing w:after="0"/>
              <w:rPr>
                <w:sz w:val="24"/>
                <w:szCs w:val="24"/>
                <w:color w:val="auto"/>
              </w:rPr>
            </w:pPr>
          </w:p>
        </w:tc>
        <w:tc>
          <w:tcPr>
            <w:tcW w:w="8280" w:type="dxa"/>
            <w:vAlign w:val="bottom"/>
            <w:gridSpan w:val="5"/>
          </w:tcPr>
          <w:p>
            <w:pPr>
              <w:ind w:left="2420"/>
              <w:spacing w:after="0"/>
              <w:rPr>
                <w:sz w:val="20"/>
                <w:szCs w:val="20"/>
                <w:color w:val="auto"/>
              </w:rPr>
            </w:pPr>
            <w:r>
              <w:rPr>
                <w:rFonts w:ascii="Times New Roman" w:cs="Times New Roman" w:eastAsia="Times New Roman" w:hAnsi="Times New Roman"/>
                <w:sz w:val="14"/>
                <w:szCs w:val="14"/>
                <w:color w:val="auto"/>
              </w:rPr>
              <w:t>Gail P. Steinel</w:t>
            </w:r>
          </w:p>
        </w:tc>
      </w:tr>
      <w:tr>
        <w:trPr>
          <w:trHeight w:val="315"/>
        </w:trPr>
        <w:tc>
          <w:tcPr>
            <w:tcW w:w="2420" w:type="dxa"/>
            <w:vAlign w:val="bottom"/>
          </w:tcPr>
          <w:p>
            <w:pPr>
              <w:spacing w:after="0"/>
              <w:rPr>
                <w:sz w:val="24"/>
                <w:szCs w:val="24"/>
                <w:color w:val="auto"/>
              </w:rPr>
            </w:pPr>
          </w:p>
        </w:tc>
        <w:tc>
          <w:tcPr>
            <w:tcW w:w="8280" w:type="dxa"/>
            <w:vAlign w:val="bottom"/>
            <w:gridSpan w:val="5"/>
          </w:tcPr>
          <w:p>
            <w:pPr>
              <w:ind w:left="2420"/>
              <w:spacing w:after="0"/>
              <w:rPr>
                <w:sz w:val="20"/>
                <w:szCs w:val="20"/>
                <w:color w:val="auto"/>
              </w:rPr>
            </w:pPr>
            <w:r>
              <w:rPr>
                <w:rFonts w:ascii="Times New Roman" w:cs="Times New Roman" w:eastAsia="Times New Roman" w:hAnsi="Times New Roman"/>
                <w:sz w:val="14"/>
                <w:szCs w:val="14"/>
                <w:color w:val="auto"/>
              </w:rPr>
              <w:t>Donald C. Wood</w:t>
            </w:r>
          </w:p>
        </w:tc>
      </w:tr>
      <w:tr>
        <w:trPr>
          <w:trHeight w:val="315"/>
        </w:trPr>
        <w:tc>
          <w:tcPr>
            <w:tcW w:w="2420" w:type="dxa"/>
            <w:vAlign w:val="bottom"/>
          </w:tcPr>
          <w:p>
            <w:pPr>
              <w:spacing w:after="0"/>
              <w:rPr>
                <w:sz w:val="24"/>
                <w:szCs w:val="24"/>
                <w:color w:val="auto"/>
              </w:rPr>
            </w:pPr>
          </w:p>
        </w:tc>
        <w:tc>
          <w:tcPr>
            <w:tcW w:w="8280" w:type="dxa"/>
            <w:vAlign w:val="bottom"/>
            <w:gridSpan w:val="5"/>
          </w:tcPr>
          <w:p>
            <w:pPr>
              <w:ind w:left="2080"/>
              <w:spacing w:after="0"/>
              <w:rPr>
                <w:sz w:val="20"/>
                <w:szCs w:val="20"/>
                <w:color w:val="auto"/>
              </w:rPr>
            </w:pPr>
            <w:r>
              <w:rPr>
                <w:rFonts w:ascii="Times New Roman" w:cs="Times New Roman" w:eastAsia="Times New Roman" w:hAnsi="Times New Roman"/>
                <w:sz w:val="14"/>
                <w:szCs w:val="14"/>
                <w:color w:val="auto"/>
              </w:rPr>
              <w:t>2.   To approve, on a non-binding, advisory basis, the compensation of our named executive officers.</w:t>
            </w:r>
          </w:p>
        </w:tc>
      </w:tr>
      <w:tr>
        <w:trPr>
          <w:trHeight w:val="276"/>
        </w:trPr>
        <w:tc>
          <w:tcPr>
            <w:tcW w:w="2420" w:type="dxa"/>
            <w:vAlign w:val="bottom"/>
          </w:tcPr>
          <w:p>
            <w:pPr>
              <w:spacing w:after="0"/>
              <w:rPr>
                <w:sz w:val="24"/>
                <w:szCs w:val="24"/>
                <w:color w:val="auto"/>
              </w:rPr>
            </w:pPr>
          </w:p>
        </w:tc>
        <w:tc>
          <w:tcPr>
            <w:tcW w:w="8280" w:type="dxa"/>
            <w:vAlign w:val="bottom"/>
            <w:gridSpan w:val="5"/>
          </w:tcPr>
          <w:p>
            <w:pPr>
              <w:ind w:left="2080"/>
              <w:spacing w:after="0"/>
              <w:rPr>
                <w:sz w:val="20"/>
                <w:szCs w:val="20"/>
                <w:color w:val="auto"/>
              </w:rPr>
            </w:pPr>
            <w:r>
              <w:rPr>
                <w:rFonts w:ascii="Times New Roman" w:cs="Times New Roman" w:eastAsia="Times New Roman" w:hAnsi="Times New Roman"/>
                <w:sz w:val="14"/>
                <w:szCs w:val="14"/>
                <w:color w:val="auto"/>
                <w:w w:val="99"/>
              </w:rPr>
              <w:t>3.   To approve, on a non-binding, advisory basis, the frequency of holding future, non-binding, advisory votes</w:t>
            </w:r>
          </w:p>
        </w:tc>
      </w:tr>
      <w:tr>
        <w:trPr>
          <w:trHeight w:val="183"/>
        </w:trPr>
        <w:tc>
          <w:tcPr>
            <w:tcW w:w="2420" w:type="dxa"/>
            <w:vAlign w:val="bottom"/>
          </w:tcPr>
          <w:p>
            <w:pPr>
              <w:spacing w:after="0"/>
              <w:rPr>
                <w:sz w:val="15"/>
                <w:szCs w:val="15"/>
                <w:color w:val="auto"/>
              </w:rPr>
            </w:pPr>
          </w:p>
        </w:tc>
        <w:tc>
          <w:tcPr>
            <w:tcW w:w="8280" w:type="dxa"/>
            <w:vAlign w:val="bottom"/>
            <w:gridSpan w:val="5"/>
          </w:tcPr>
          <w:p>
            <w:pPr>
              <w:ind w:left="2280"/>
              <w:spacing w:after="0"/>
              <w:rPr>
                <w:sz w:val="20"/>
                <w:szCs w:val="20"/>
                <w:color w:val="auto"/>
              </w:rPr>
            </w:pPr>
            <w:r>
              <w:rPr>
                <w:rFonts w:ascii="Times New Roman" w:cs="Times New Roman" w:eastAsia="Times New Roman" w:hAnsi="Times New Roman"/>
                <w:sz w:val="14"/>
                <w:szCs w:val="14"/>
                <w:color w:val="auto"/>
              </w:rPr>
              <w:t>on the compensation of our named executive officers.</w:t>
            </w:r>
          </w:p>
        </w:tc>
      </w:tr>
      <w:tr>
        <w:trPr>
          <w:trHeight w:val="315"/>
        </w:trPr>
        <w:tc>
          <w:tcPr>
            <w:tcW w:w="2420" w:type="dxa"/>
            <w:vAlign w:val="bottom"/>
          </w:tcPr>
          <w:p>
            <w:pPr>
              <w:spacing w:after="0"/>
              <w:rPr>
                <w:sz w:val="24"/>
                <w:szCs w:val="24"/>
                <w:color w:val="auto"/>
              </w:rPr>
            </w:pPr>
          </w:p>
        </w:tc>
        <w:tc>
          <w:tcPr>
            <w:tcW w:w="8280" w:type="dxa"/>
            <w:vAlign w:val="bottom"/>
            <w:gridSpan w:val="5"/>
          </w:tcPr>
          <w:p>
            <w:pPr>
              <w:ind w:left="2080"/>
              <w:spacing w:after="0"/>
              <w:rPr>
                <w:sz w:val="20"/>
                <w:szCs w:val="20"/>
                <w:color w:val="auto"/>
              </w:rPr>
            </w:pPr>
            <w:r>
              <w:rPr>
                <w:rFonts w:ascii="Times New Roman" w:cs="Times New Roman" w:eastAsia="Times New Roman" w:hAnsi="Times New Roman"/>
                <w:sz w:val="14"/>
                <w:szCs w:val="14"/>
                <w:color w:val="auto"/>
              </w:rPr>
              <w:t>4.   To approve, on a non-binding, advisory basis, an increase to the number of authorized common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-2282825</wp:posOffset>
            </wp:positionV>
            <wp:extent cx="8255" cy="31476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3147695"/>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-3564890</wp:posOffset>
            </wp:positionV>
            <wp:extent cx="499745" cy="508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745" cy="508000"/>
                    </a:xfrm>
                    <a:prstGeom prst="rect">
                      <a:avLst/>
                    </a:prstGeom>
                    <a:noFill/>
                  </pic:spPr>
                </pic:pic>
              </a:graphicData>
            </a:graphic>
          </wp:anchor>
        </w:drawing>
      </w:r>
    </w:p>
    <w:p>
      <w:pPr>
        <w:ind w:left="4500" w:right="60" w:hanging="4707"/>
        <w:spacing w:after="0" w:line="247" w:lineRule="auto"/>
        <w:tabs>
          <w:tab w:leader="none" w:pos="4480" w:val="left"/>
        </w:tabs>
        <w:rPr>
          <w:sz w:val="20"/>
          <w:szCs w:val="20"/>
          <w:color w:val="auto"/>
        </w:rPr>
      </w:pPr>
      <w:r>
        <w:rPr>
          <w:rFonts w:ascii="Times New Roman" w:cs="Times New Roman" w:eastAsia="Times New Roman" w:hAnsi="Times New Roman"/>
          <w:sz w:val="34"/>
          <w:szCs w:val="34"/>
          <w:b w:val="1"/>
          <w:bCs w:val="1"/>
          <w:color w:val="auto"/>
          <w:vertAlign w:val="subscript"/>
        </w:rPr>
        <w:t>Please note that you cannot use this notice to vote by mail.</w:t>
      </w:r>
      <w:r>
        <w:rPr>
          <w:rFonts w:ascii="Times New Roman" w:cs="Times New Roman" w:eastAsia="Times New Roman" w:hAnsi="Times New Roman"/>
          <w:sz w:val="14"/>
          <w:szCs w:val="14"/>
          <w:color w:val="auto"/>
        </w:rPr>
        <w:tab/>
        <w:t>5.   To ratify the appointment of Grant Thornton LLP as our independent registered public accounting firm for the fiscal year ending December 31, 2023.</w:t>
      </w:r>
    </w:p>
    <w:p>
      <w:pPr>
        <w:spacing w:after="0" w:line="227" w:lineRule="exact"/>
        <w:rPr>
          <w:sz w:val="20"/>
          <w:szCs w:val="20"/>
          <w:color w:val="auto"/>
        </w:rPr>
      </w:pPr>
    </w:p>
    <w:p>
      <w:pPr>
        <w:ind w:left="4700" w:right="40" w:hanging="209"/>
        <w:spacing w:after="0" w:line="247" w:lineRule="auto"/>
        <w:rPr>
          <w:sz w:val="20"/>
          <w:szCs w:val="20"/>
          <w:color w:val="auto"/>
        </w:rPr>
      </w:pPr>
      <w:r>
        <w:rPr>
          <w:rFonts w:ascii="Times New Roman" w:cs="Times New Roman" w:eastAsia="Times New Roman" w:hAnsi="Times New Roman"/>
          <w:sz w:val="14"/>
          <w:szCs w:val="14"/>
          <w:color w:val="auto"/>
        </w:rPr>
        <w:t>6.   To consider and act upon any other matters properly coming before the meeting or any postponement(s) or adjournment(s) thereof.</w:t>
      </w:r>
    </w:p>
    <w:p>
      <w:pPr>
        <w:spacing w:after="0" w:line="12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THE BOARD OF TRUSTEES RECOMMENDS YOU VOTE “FOR” THE ELECTION OF ALL</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THE NOMINEES, “FOR” PROPOSALS 2, 4, AND 5, AND FOR “1 YEAR” FOR PROPOSAL 3.</w:t>
      </w:r>
    </w:p>
    <w:p>
      <w:pPr>
        <w:sectPr>
          <w:pgSz w:w="11900" w:h="16838" w:orient="portrait"/>
          <w:cols w:equalWidth="0" w:num="1">
            <w:col w:w="10700"/>
          </w:cols>
          <w:pgMar w:left="600" w:top="252" w:right="599" w:bottom="1440" w:gutter="0" w:footer="0" w:header="0"/>
        </w:sectPr>
      </w:pPr>
    </w:p>
    <w:bookmarkStart w:id="2" w:name="page3"/>
    <w:bookmarkEnd w:id="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drawing>
          <wp:anchor simplePos="0" relativeHeight="251657728" behindDoc="1" locked="0" layoutInCell="0" allowOverlap="1">
            <wp:simplePos x="0" y="0"/>
            <wp:positionH relativeFrom="page">
              <wp:posOffset>4253230</wp:posOffset>
            </wp:positionH>
            <wp:positionV relativeFrom="page">
              <wp:posOffset>213995</wp:posOffset>
            </wp:positionV>
            <wp:extent cx="2747645" cy="394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7645" cy="3947160"/>
                    </a:xfrm>
                    <a:prstGeom prst="rect">
                      <a:avLst/>
                    </a:prstGeom>
                    <a:noFill/>
                  </pic:spPr>
                </pic:pic>
              </a:graphicData>
            </a:graphic>
          </wp:anchor>
        </w:drawing>
      </w:r>
    </w:p>
    <w:p>
      <w:pPr>
        <w:ind w:left="6020"/>
        <w:spacing w:after="0"/>
        <w:rPr>
          <w:sz w:val="20"/>
          <w:szCs w:val="20"/>
          <w:color w:val="auto"/>
        </w:rPr>
      </w:pPr>
      <w:r>
        <w:rPr>
          <w:rFonts w:ascii="Times New Roman" w:cs="Times New Roman" w:eastAsia="Times New Roman" w:hAnsi="Times New Roman"/>
          <w:sz w:val="45"/>
          <w:szCs w:val="45"/>
          <w:color w:val="004877"/>
        </w:rPr>
        <w:t xml:space="preserve">Your </w:t>
      </w:r>
      <w:r>
        <w:rPr>
          <w:rFonts w:ascii="Times New Roman" w:cs="Times New Roman" w:eastAsia="Times New Roman" w:hAnsi="Times New Roman"/>
          <w:sz w:val="45"/>
          <w:szCs w:val="45"/>
          <w:b w:val="1"/>
          <w:bCs w:val="1"/>
          <w:color w:val="004877"/>
        </w:rPr>
        <w:t>Vote</w:t>
      </w:r>
      <w:r>
        <w:rPr>
          <w:rFonts w:ascii="Times New Roman" w:cs="Times New Roman" w:eastAsia="Times New Roman" w:hAnsi="Times New Roman"/>
          <w:sz w:val="45"/>
          <w:szCs w:val="45"/>
          <w:color w:val="004877"/>
        </w:rPr>
        <w:t xml:space="preserve">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41910</wp:posOffset>
            </wp:positionV>
            <wp:extent cx="1423670" cy="382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670" cy="382905"/>
                    </a:xfrm>
                    <a:prstGeom prst="rect">
                      <a:avLst/>
                    </a:prstGeom>
                    <a:noFill/>
                  </pic:spPr>
                </pic:pic>
              </a:graphicData>
            </a:graphic>
          </wp:anchor>
        </w:drawing>
      </w:r>
    </w:p>
    <w:p>
      <w:pPr>
        <w:spacing w:after="0" w:line="86"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9"/>
          <w:szCs w:val="19"/>
          <w:b w:val="1"/>
          <w:bCs w:val="1"/>
          <w:color w:val="004877"/>
        </w:rPr>
        <w:t>FEDERAL REALTY INVESTMENT TRUST</w:t>
      </w:r>
    </w:p>
    <w:p>
      <w:pPr>
        <w:spacing w:after="0" w:line="111"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9"/>
          <w:szCs w:val="19"/>
          <w:color w:val="004877"/>
        </w:rPr>
        <w:t>2023 Annual Meeting</w:t>
      </w:r>
    </w:p>
    <w:p>
      <w:pPr>
        <w:spacing w:after="0" w:line="31"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6"/>
          <w:szCs w:val="16"/>
          <w:color w:val="004877"/>
        </w:rPr>
        <w:t>Vote by May 02,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-52070</wp:posOffset>
            </wp:positionV>
            <wp:extent cx="2689860" cy="1615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9860" cy="1615440"/>
                    </a:xfrm>
                    <a:prstGeom prst="rect">
                      <a:avLst/>
                    </a:prstGeom>
                    <a:noFill/>
                  </pic:spPr>
                </pic:pic>
              </a:graphicData>
            </a:graphic>
          </wp:anchor>
        </w:drawing>
      </w:r>
    </w:p>
    <w:p>
      <w:pPr>
        <w:jc w:val="center"/>
        <w:ind w:left="5360"/>
        <w:spacing w:after="0"/>
        <w:rPr>
          <w:sz w:val="20"/>
          <w:szCs w:val="20"/>
          <w:color w:val="auto"/>
        </w:rPr>
      </w:pPr>
      <w:r>
        <w:rPr>
          <w:rFonts w:ascii="Times New Roman" w:cs="Times New Roman" w:eastAsia="Times New Roman" w:hAnsi="Times New Roman"/>
          <w:sz w:val="16"/>
          <w:szCs w:val="16"/>
          <w:color w:val="004877"/>
        </w:rPr>
        <w:t>11:59 PM 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FLASHID-JOB#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494665</wp:posOffset>
            </wp:positionV>
            <wp:extent cx="1040765" cy="831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0765" cy="8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0C5990"/>
        </w:rPr>
        <w:t>You invested in FEDERAL REALTY INVESTMENT TRUST and it’s time to vote!</w:t>
      </w:r>
    </w:p>
    <w:p>
      <w:pPr>
        <w:spacing w:after="0" w:line="32"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0C5990"/>
        </w:rPr>
        <w:t xml:space="preserve">You have the right to vote on proposals being presented at the Annual Meeting. </w:t>
      </w:r>
      <w:r>
        <w:rPr>
          <w:rFonts w:ascii="Times New Roman" w:cs="Times New Roman" w:eastAsia="Times New Roman" w:hAnsi="Times New Roman"/>
          <w:sz w:val="17"/>
          <w:szCs w:val="17"/>
          <w:b w:val="1"/>
          <w:bCs w:val="1"/>
          <w:color w:val="0C5990"/>
        </w:rPr>
        <w:t>This is an important notice regarding the availability of proxy</w:t>
      </w:r>
      <w:r>
        <w:rPr>
          <w:rFonts w:ascii="Times New Roman" w:cs="Times New Roman" w:eastAsia="Times New Roman" w:hAnsi="Times New Roman"/>
          <w:sz w:val="17"/>
          <w:szCs w:val="17"/>
          <w:color w:val="0C5990"/>
        </w:rPr>
        <w:t xml:space="preserve"> </w:t>
      </w:r>
      <w:r>
        <w:rPr>
          <w:rFonts w:ascii="Times New Roman" w:cs="Times New Roman" w:eastAsia="Times New Roman" w:hAnsi="Times New Roman"/>
          <w:sz w:val="17"/>
          <w:szCs w:val="17"/>
          <w:b w:val="1"/>
          <w:bCs w:val="1"/>
          <w:color w:val="0C5990"/>
        </w:rPr>
        <w:t>material for the shareholder meeting to be held on May 03, 2023</w:t>
      </w:r>
      <w:r>
        <w:rPr>
          <w:rFonts w:ascii="Times New Roman" w:cs="Times New Roman" w:eastAsia="Times New Roman" w:hAnsi="Times New Roman"/>
          <w:sz w:val="17"/>
          <w:szCs w:val="17"/>
          <w:color w:val="0C5990"/>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0C5990"/>
        </w:rPr>
        <w:t>Get informed before you vote</w:t>
      </w:r>
    </w:p>
    <w:p>
      <w:pPr>
        <w:spacing w:after="0" w:line="3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0C5990"/>
        </w:rPr>
        <w:t>View the Annual Report/Form 10-K/Notice &amp; Proxy Statement online OR you can receive a free paper or email copy of the material(s) by requesting prior to April 19, 2023.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2746375</wp:posOffset>
            </wp:positionV>
            <wp:extent cx="679513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513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hanging="96"/>
        <w:spacing w:after="0" w:line="247" w:lineRule="auto"/>
        <w:tabs>
          <w:tab w:leader="none" w:pos="100" w:val="left"/>
        </w:tabs>
        <w:numPr>
          <w:ilvl w:val="0"/>
          <w:numId w:val="6"/>
        </w:numPr>
        <w:rPr>
          <w:rFonts w:ascii="Times New Roman" w:cs="Times New Roman" w:eastAsia="Times New Roman" w:hAnsi="Times New Roman"/>
          <w:sz w:val="14"/>
          <w:szCs w:val="14"/>
          <w:color w:val="0C5990"/>
        </w:rPr>
      </w:pPr>
      <w:r>
        <w:rPr>
          <w:rFonts w:ascii="Times New Roman" w:cs="Times New Roman" w:eastAsia="Times New Roman" w:hAnsi="Times New Roman"/>
          <w:sz w:val="14"/>
          <w:szCs w:val="14"/>
          <w:color w:val="0C5990"/>
        </w:rPr>
        <w:t>If you choose to vote these shares in person at the meeting, you must request a “legal proxy.” To do so, please follow the instructions at www.ProxyVote.com or request a paper copy of the materials, which will contain the appropriate instructions. Please check the meeting materials for any special requirements for meeting attendance.</w:t>
      </w:r>
    </w:p>
    <w:p>
      <w:pPr>
        <w:sectPr>
          <w:pgSz w:w="11900" w:h="16838" w:orient="portrait"/>
          <w:cols w:equalWidth="0" w:num="1">
            <w:col w:w="10380"/>
          </w:cols>
          <w:pgMar w:left="800" w:top="1440" w:right="719" w:bottom="1440" w:gutter="0" w:footer="0" w:header="0"/>
        </w:sectPr>
      </w:pPr>
    </w:p>
    <w:bookmarkStart w:id="3" w:name="page4"/>
    <w:bookmarkEnd w:id="3"/>
    <w:p>
      <w:pPr>
        <w:ind w:left="120"/>
        <w:spacing w:after="0"/>
        <w:tabs>
          <w:tab w:leader="none" w:pos="4480" w:val="left"/>
        </w:tabs>
        <w:rPr>
          <w:sz w:val="20"/>
          <w:szCs w:val="20"/>
          <w:color w:val="auto"/>
        </w:rPr>
      </w:pPr>
      <w:r>
        <w:rPr>
          <w:rFonts w:ascii="Times New Roman" w:cs="Times New Roman" w:eastAsia="Times New Roman" w:hAnsi="Times New Roman"/>
          <w:sz w:val="26"/>
          <w:szCs w:val="26"/>
          <w:b w:val="1"/>
          <w:bCs w:val="1"/>
          <w:color w:val="007BB6"/>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Vote at www.ProxyVote.com</w:t>
      </w:r>
      <w:r>
        <w:rPr>
          <w:sz w:val="20"/>
          <w:szCs w:val="20"/>
          <w:color w:val="auto"/>
        </w:rPr>
        <w:tab/>
      </w:r>
      <w:r>
        <w:rPr>
          <w:rFonts w:ascii="Times New Roman" w:cs="Times New Roman" w:eastAsia="Times New Roman" w:hAnsi="Times New Roman"/>
          <w:sz w:val="26"/>
          <w:szCs w:val="26"/>
          <w:b w:val="1"/>
          <w:bCs w:val="1"/>
          <w:color w:val="7A51A1"/>
        </w:rPr>
        <w:t>Control # XXXX XXXX XXXX 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795135" cy="50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5135" cy="501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0C5990"/>
        </w:rPr>
        <w:t>THIS IS NOT A VOTABLE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-157480</wp:posOffset>
            </wp:positionV>
            <wp:extent cx="3039110" cy="890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39110" cy="890905"/>
                    </a:xfrm>
                    <a:prstGeom prst="rect">
                      <a:avLst/>
                    </a:prstGeom>
                    <a:noFill/>
                  </pic:spPr>
                </pic:pic>
              </a:graphicData>
            </a:graphic>
          </wp:anchor>
        </w:drawing>
      </w:r>
    </w:p>
    <w:p>
      <w:pPr>
        <w:spacing w:after="0" w:line="237" w:lineRule="exact"/>
        <w:rPr>
          <w:sz w:val="20"/>
          <w:szCs w:val="20"/>
          <w:color w:val="auto"/>
        </w:rPr>
      </w:pPr>
    </w:p>
    <w:p>
      <w:pPr>
        <w:ind w:right="5600"/>
        <w:spacing w:after="0" w:line="277" w:lineRule="auto"/>
        <w:rPr>
          <w:sz w:val="20"/>
          <w:szCs w:val="20"/>
          <w:color w:val="auto"/>
        </w:rPr>
      </w:pPr>
      <w:r>
        <w:rPr>
          <w:rFonts w:ascii="Times New Roman" w:cs="Times New Roman" w:eastAsia="Times New Roman" w:hAnsi="Times New Roman"/>
          <w:sz w:val="17"/>
          <w:szCs w:val="17"/>
          <w:color w:val="004877"/>
        </w:rPr>
        <w:t>This is an overview of the proposals being presented at the upcoming shareholder meeting. Please follow the instructions on the reverse side to vote these important matters.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0C5990"/>
              </w:rPr>
              <w:t>Board</w:t>
            </w:r>
          </w:p>
        </w:tc>
        <w:tc>
          <w:tcPr>
            <w:tcW w:w="0" w:type="dxa"/>
            <w:vAlign w:val="bottom"/>
          </w:tcPr>
          <w:p>
            <w:pPr>
              <w:spacing w:after="0"/>
              <w:rPr>
                <w:sz w:val="1"/>
                <w:szCs w:val="1"/>
                <w:color w:val="auto"/>
              </w:rPr>
            </w:pPr>
          </w:p>
        </w:tc>
      </w:tr>
      <w:tr>
        <w:trPr>
          <w:trHeight w:val="224"/>
        </w:trPr>
        <w:tc>
          <w:tcPr>
            <w:tcW w:w="95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0C5990"/>
              </w:rPr>
              <w:t>Voting Items</w:t>
            </w:r>
          </w:p>
        </w:tc>
        <w:tc>
          <w:tcPr>
            <w:tcW w:w="11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C5990"/>
              </w:rPr>
              <w:t>Recommends</w:t>
            </w:r>
          </w:p>
        </w:tc>
        <w:tc>
          <w:tcPr>
            <w:tcW w:w="0" w:type="dxa"/>
            <w:vAlign w:val="bottom"/>
          </w:tcPr>
          <w:p>
            <w:pPr>
              <w:spacing w:after="0"/>
              <w:rPr>
                <w:sz w:val="1"/>
                <w:szCs w:val="1"/>
                <w:color w:val="auto"/>
              </w:rPr>
            </w:pPr>
          </w:p>
        </w:tc>
      </w:tr>
      <w:tr>
        <w:trPr>
          <w:trHeight w:val="264"/>
        </w:trPr>
        <w:tc>
          <w:tcPr>
            <w:tcW w:w="440" w:type="dxa"/>
            <w:vAlign w:val="bottom"/>
            <w:shd w:val="clear" w:color="auto" w:fill="F0EFF7"/>
          </w:tcPr>
          <w:p>
            <w:pPr>
              <w:ind w:left="160"/>
              <w:spacing w:after="0"/>
              <w:rPr>
                <w:sz w:val="20"/>
                <w:szCs w:val="20"/>
                <w:color w:val="auto"/>
              </w:rPr>
            </w:pPr>
            <w:r>
              <w:rPr>
                <w:rFonts w:ascii="Times New Roman" w:cs="Times New Roman" w:eastAsia="Times New Roman" w:hAnsi="Times New Roman"/>
                <w:sz w:val="17"/>
                <w:szCs w:val="17"/>
                <w:color w:val="0C5990"/>
              </w:rPr>
              <w:t>1.</w:t>
            </w:r>
          </w:p>
        </w:tc>
        <w:tc>
          <w:tcPr>
            <w:tcW w:w="9120" w:type="dxa"/>
            <w:vAlign w:val="bottom"/>
            <w:tcBorders>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7"/>
                <w:szCs w:val="17"/>
                <w:color w:val="0C5990"/>
              </w:rPr>
              <w:t>Election of Trustees</w:t>
            </w:r>
          </w:p>
        </w:tc>
        <w:tc>
          <w:tcPr>
            <w:tcW w:w="1140" w:type="dxa"/>
            <w:vAlign w:val="bottom"/>
            <w:shd w:val="clear" w:color="auto" w:fill="F0EFF7"/>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440" w:type="dxa"/>
            <w:vAlign w:val="bottom"/>
            <w:shd w:val="clear" w:color="auto" w:fill="F0EFF7"/>
          </w:tcPr>
          <w:p>
            <w:pPr>
              <w:spacing w:after="0"/>
              <w:rPr>
                <w:sz w:val="24"/>
                <w:szCs w:val="24"/>
                <w:color w:val="auto"/>
              </w:rPr>
            </w:pPr>
          </w:p>
        </w:tc>
        <w:tc>
          <w:tcPr>
            <w:tcW w:w="9120" w:type="dxa"/>
            <w:vAlign w:val="bottom"/>
            <w:tcBorders>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7"/>
                <w:szCs w:val="17"/>
                <w:b w:val="1"/>
                <w:bCs w:val="1"/>
                <w:color w:val="0C5990"/>
              </w:rPr>
              <w:t>Nominees:</w:t>
            </w:r>
          </w:p>
        </w:tc>
        <w:tc>
          <w:tcPr>
            <w:tcW w:w="1140" w:type="dxa"/>
            <w:vAlign w:val="bottom"/>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0" w:type="dxa"/>
            <w:vAlign w:val="bottom"/>
            <w:shd w:val="clear" w:color="auto" w:fill="F0EFF7"/>
          </w:tcPr>
          <w:p>
            <w:pPr>
              <w:ind w:left="160"/>
              <w:spacing w:after="0"/>
              <w:rPr>
                <w:sz w:val="20"/>
                <w:szCs w:val="20"/>
                <w:color w:val="auto"/>
              </w:rPr>
            </w:pPr>
            <w:r>
              <w:rPr>
                <w:rFonts w:ascii="Times New Roman" w:cs="Times New Roman" w:eastAsia="Times New Roman" w:hAnsi="Times New Roman"/>
                <w:sz w:val="17"/>
                <w:szCs w:val="17"/>
                <w:color w:val="0C5990"/>
              </w:rPr>
              <w:t>1A</w:t>
            </w:r>
          </w:p>
        </w:tc>
        <w:tc>
          <w:tcPr>
            <w:tcW w:w="9120" w:type="dxa"/>
            <w:vAlign w:val="bottom"/>
            <w:tcBorders>
              <w:right w:val="single" w:sz="8" w:color="0C5990"/>
            </w:tcBorders>
            <w:shd w:val="clear" w:color="auto" w:fill="F0EFF7"/>
          </w:tcPr>
          <w:p>
            <w:pPr>
              <w:ind w:left="120"/>
              <w:spacing w:after="0"/>
              <w:rPr>
                <w:sz w:val="20"/>
                <w:szCs w:val="20"/>
                <w:color w:val="auto"/>
              </w:rPr>
            </w:pPr>
            <w:r>
              <w:rPr>
                <w:rFonts w:ascii="Times New Roman" w:cs="Times New Roman" w:eastAsia="Times New Roman" w:hAnsi="Times New Roman"/>
                <w:sz w:val="17"/>
                <w:szCs w:val="17"/>
                <w:color w:val="0C5990"/>
              </w:rPr>
              <w:t>David W. Faeder</w:t>
            </w:r>
          </w:p>
        </w:tc>
        <w:tc>
          <w:tcPr>
            <w:tcW w:w="1140" w:type="dxa"/>
            <w:vAlign w:val="bottom"/>
            <w:vMerge w:val="restart"/>
            <w:shd w:val="clear" w:color="auto" w:fill="F0EFF7"/>
          </w:tcPr>
          <w:p>
            <w:pPr>
              <w:ind w:left="360"/>
              <w:spacing w:after="0"/>
              <w:rPr>
                <w:sz w:val="20"/>
                <w:szCs w:val="20"/>
                <w:color w:val="auto"/>
              </w:rPr>
            </w:pPr>
            <w:r>
              <w:rPr>
                <w:rFonts w:ascii="Times New Roman" w:cs="Times New Roman" w:eastAsia="Times New Roman" w:hAnsi="Times New Roman"/>
                <w:sz w:val="17"/>
                <w:szCs w:val="17"/>
                <w:b w:val="1"/>
                <w:bCs w:val="1"/>
                <w:color w:val="0C5990"/>
              </w:rPr>
              <w:t>For</w:t>
            </w:r>
          </w:p>
        </w:tc>
        <w:tc>
          <w:tcPr>
            <w:tcW w:w="0" w:type="dxa"/>
            <w:vAlign w:val="bottom"/>
          </w:tcPr>
          <w:p>
            <w:pPr>
              <w:spacing w:after="0"/>
              <w:rPr>
                <w:sz w:val="1"/>
                <w:szCs w:val="1"/>
                <w:color w:val="auto"/>
              </w:rPr>
            </w:pPr>
          </w:p>
        </w:tc>
      </w:tr>
      <w:tr>
        <w:trPr>
          <w:trHeight w:val="105"/>
        </w:trPr>
        <w:tc>
          <w:tcPr>
            <w:tcW w:w="440" w:type="dxa"/>
            <w:vAlign w:val="bottom"/>
            <w:tcBorders>
              <w:bottom w:val="single" w:sz="8" w:color="F0EFF7"/>
            </w:tcBorders>
            <w:shd w:val="clear" w:color="auto" w:fill="F0EFF7"/>
          </w:tcPr>
          <w:p>
            <w:pPr>
              <w:spacing w:after="0"/>
              <w:rPr>
                <w:sz w:val="9"/>
                <w:szCs w:val="9"/>
                <w:color w:val="auto"/>
              </w:rPr>
            </w:pPr>
          </w:p>
        </w:tc>
        <w:tc>
          <w:tcPr>
            <w:tcW w:w="9120" w:type="dxa"/>
            <w:vAlign w:val="bottom"/>
            <w:tcBorders>
              <w:bottom w:val="single" w:sz="8" w:color="F0EFF7"/>
              <w:right w:val="single" w:sz="8" w:color="0C5990"/>
            </w:tcBorders>
            <w:shd w:val="clear" w:color="auto" w:fill="F0EFF7"/>
          </w:tcPr>
          <w:p>
            <w:pPr>
              <w:spacing w:after="0"/>
              <w:rPr>
                <w:sz w:val="9"/>
                <w:szCs w:val="9"/>
                <w:color w:val="auto"/>
              </w:rPr>
            </w:pPr>
          </w:p>
        </w:tc>
        <w:tc>
          <w:tcPr>
            <w:tcW w:w="1140" w:type="dxa"/>
            <w:vAlign w:val="bottom"/>
            <w:tcBorders>
              <w:bottom w:val="single" w:sz="8" w:color="F0EFF7"/>
            </w:tcBorders>
            <w:vMerge w:val="continue"/>
            <w:shd w:val="clear" w:color="auto" w:fill="F0EFF7"/>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440" w:type="dxa"/>
            <w:vAlign w:val="bottom"/>
            <w:tcBorders>
              <w:top w:val="single" w:sz="8" w:color="0C5990"/>
              <w:bottom w:val="single" w:sz="8" w:color="F0EFF7"/>
            </w:tcBorders>
            <w:shd w:val="clear" w:color="auto" w:fill="F0EFF7"/>
          </w:tcPr>
          <w:p>
            <w:pPr>
              <w:ind w:left="160"/>
              <w:spacing w:after="0"/>
              <w:rPr>
                <w:sz w:val="20"/>
                <w:szCs w:val="20"/>
                <w:color w:val="auto"/>
              </w:rPr>
            </w:pPr>
            <w:r>
              <w:rPr>
                <w:rFonts w:ascii="Times New Roman" w:cs="Times New Roman" w:eastAsia="Times New Roman" w:hAnsi="Times New Roman"/>
                <w:sz w:val="17"/>
                <w:szCs w:val="17"/>
                <w:color w:val="0C5990"/>
              </w:rPr>
              <w:t>1B</w:t>
            </w:r>
          </w:p>
        </w:tc>
        <w:tc>
          <w:tcPr>
            <w:tcW w:w="9120" w:type="dxa"/>
            <w:vAlign w:val="bottom"/>
            <w:tcBorders>
              <w:top w:val="single" w:sz="8" w:color="0C5990"/>
              <w:bottom w:val="single" w:sz="8" w:color="F0EFF7"/>
              <w:right w:val="single" w:sz="8" w:color="0C5990"/>
            </w:tcBorders>
            <w:shd w:val="clear" w:color="auto" w:fill="F0EFF7"/>
          </w:tcPr>
          <w:p>
            <w:pPr>
              <w:ind w:left="100"/>
              <w:spacing w:after="0"/>
              <w:rPr>
                <w:sz w:val="20"/>
                <w:szCs w:val="20"/>
                <w:color w:val="auto"/>
              </w:rPr>
            </w:pPr>
            <w:r>
              <w:rPr>
                <w:rFonts w:ascii="Times New Roman" w:cs="Times New Roman" w:eastAsia="Times New Roman" w:hAnsi="Times New Roman"/>
                <w:sz w:val="17"/>
                <w:szCs w:val="17"/>
                <w:color w:val="0C5990"/>
              </w:rPr>
              <w:t>Elizabeth I. Holland</w:t>
            </w:r>
          </w:p>
        </w:tc>
        <w:tc>
          <w:tcPr>
            <w:tcW w:w="1140" w:type="dxa"/>
            <w:vAlign w:val="bottom"/>
            <w:tcBorders>
              <w:top w:val="single" w:sz="8" w:color="0C5990"/>
              <w:bottom w:val="single" w:sz="8" w:color="F0EFF7"/>
            </w:tcBorders>
            <w:shd w:val="clear" w:color="auto" w:fill="F0EFF7"/>
          </w:tcPr>
          <w:p>
            <w:pPr>
              <w:ind w:left="360"/>
              <w:spacing w:after="0"/>
              <w:rPr>
                <w:sz w:val="20"/>
                <w:szCs w:val="20"/>
                <w:color w:val="auto"/>
              </w:rPr>
            </w:pPr>
            <w:r>
              <w:rPr>
                <w:rFonts w:ascii="Times New Roman" w:cs="Times New Roman" w:eastAsia="Times New Roman" w:hAnsi="Times New Roman"/>
                <w:sz w:val="17"/>
                <w:szCs w:val="17"/>
                <w:b w:val="1"/>
                <w:bCs w:val="1"/>
                <w:color w:val="0C5990"/>
              </w:rPr>
              <w:t>For</w:t>
            </w:r>
          </w:p>
        </w:tc>
        <w:tc>
          <w:tcPr>
            <w:tcW w:w="0" w:type="dxa"/>
            <w:vAlign w:val="bottom"/>
          </w:tcPr>
          <w:p>
            <w:pPr>
              <w:spacing w:after="0"/>
              <w:rPr>
                <w:sz w:val="1"/>
                <w:szCs w:val="1"/>
                <w:color w:val="auto"/>
              </w:rPr>
            </w:pPr>
          </w:p>
        </w:tc>
      </w:tr>
      <w:tr>
        <w:trPr>
          <w:trHeight w:val="326"/>
        </w:trPr>
        <w:tc>
          <w:tcPr>
            <w:tcW w:w="440" w:type="dxa"/>
            <w:vAlign w:val="bottom"/>
            <w:tcBorders>
              <w:top w:val="single" w:sz="8" w:color="0C5990"/>
              <w:bottom w:val="single" w:sz="8" w:color="F0EFF7"/>
            </w:tcBorders>
            <w:shd w:val="clear" w:color="auto" w:fill="F0EFF7"/>
          </w:tcPr>
          <w:p>
            <w:pPr>
              <w:ind w:left="160"/>
              <w:spacing w:after="0"/>
              <w:rPr>
                <w:sz w:val="20"/>
                <w:szCs w:val="20"/>
                <w:color w:val="auto"/>
              </w:rPr>
            </w:pPr>
            <w:r>
              <w:rPr>
                <w:rFonts w:ascii="Times New Roman" w:cs="Times New Roman" w:eastAsia="Times New Roman" w:hAnsi="Times New Roman"/>
                <w:sz w:val="17"/>
                <w:szCs w:val="17"/>
                <w:color w:val="0C5990"/>
              </w:rPr>
              <w:t>1C</w:t>
            </w:r>
          </w:p>
        </w:tc>
        <w:tc>
          <w:tcPr>
            <w:tcW w:w="9120" w:type="dxa"/>
            <w:vAlign w:val="bottom"/>
            <w:tcBorders>
              <w:top w:val="single" w:sz="8" w:color="0C5990"/>
              <w:bottom w:val="single" w:sz="8" w:color="F0EFF7"/>
              <w:right w:val="single" w:sz="8" w:color="0C5990"/>
            </w:tcBorders>
            <w:shd w:val="clear" w:color="auto" w:fill="F0EFF7"/>
          </w:tcPr>
          <w:p>
            <w:pPr>
              <w:ind w:left="100"/>
              <w:spacing w:after="0"/>
              <w:rPr>
                <w:sz w:val="20"/>
                <w:szCs w:val="20"/>
                <w:color w:val="auto"/>
              </w:rPr>
            </w:pPr>
            <w:r>
              <w:rPr>
                <w:rFonts w:ascii="Times New Roman" w:cs="Times New Roman" w:eastAsia="Times New Roman" w:hAnsi="Times New Roman"/>
                <w:sz w:val="17"/>
                <w:szCs w:val="17"/>
                <w:color w:val="0C5990"/>
              </w:rPr>
              <w:t>Nicole Y. Lamb-Hale</w:t>
            </w:r>
          </w:p>
        </w:tc>
        <w:tc>
          <w:tcPr>
            <w:tcW w:w="1140" w:type="dxa"/>
            <w:vAlign w:val="bottom"/>
            <w:tcBorders>
              <w:top w:val="single" w:sz="8" w:color="0C5990"/>
              <w:bottom w:val="single" w:sz="8" w:color="F0EFF7"/>
            </w:tcBorders>
            <w:shd w:val="clear" w:color="auto" w:fill="F0EFF7"/>
          </w:tcPr>
          <w:p>
            <w:pPr>
              <w:ind w:left="360"/>
              <w:spacing w:after="0"/>
              <w:rPr>
                <w:sz w:val="20"/>
                <w:szCs w:val="20"/>
                <w:color w:val="auto"/>
              </w:rPr>
            </w:pPr>
            <w:r>
              <w:rPr>
                <w:rFonts w:ascii="Times New Roman" w:cs="Times New Roman" w:eastAsia="Times New Roman" w:hAnsi="Times New Roman"/>
                <w:sz w:val="17"/>
                <w:szCs w:val="17"/>
                <w:b w:val="1"/>
                <w:bCs w:val="1"/>
                <w:color w:val="0C5990"/>
              </w:rPr>
              <w:t>For</w:t>
            </w:r>
          </w:p>
        </w:tc>
        <w:tc>
          <w:tcPr>
            <w:tcW w:w="0" w:type="dxa"/>
            <w:vAlign w:val="bottom"/>
          </w:tcPr>
          <w:p>
            <w:pPr>
              <w:spacing w:after="0"/>
              <w:rPr>
                <w:sz w:val="1"/>
                <w:szCs w:val="1"/>
                <w:color w:val="auto"/>
              </w:rPr>
            </w:pPr>
          </w:p>
        </w:tc>
      </w:tr>
      <w:tr>
        <w:trPr>
          <w:trHeight w:val="326"/>
        </w:trPr>
        <w:tc>
          <w:tcPr>
            <w:tcW w:w="440" w:type="dxa"/>
            <w:vAlign w:val="bottom"/>
            <w:tcBorders>
              <w:top w:val="single" w:sz="8" w:color="0C5990"/>
              <w:bottom w:val="single" w:sz="8" w:color="F0EFF7"/>
            </w:tcBorders>
            <w:shd w:val="clear" w:color="auto" w:fill="F0EFF7"/>
          </w:tcPr>
          <w:p>
            <w:pPr>
              <w:ind w:left="160"/>
              <w:spacing w:after="0"/>
              <w:rPr>
                <w:sz w:val="20"/>
                <w:szCs w:val="20"/>
                <w:color w:val="auto"/>
              </w:rPr>
            </w:pPr>
            <w:r>
              <w:rPr>
                <w:rFonts w:ascii="Times New Roman" w:cs="Times New Roman" w:eastAsia="Times New Roman" w:hAnsi="Times New Roman"/>
                <w:sz w:val="17"/>
                <w:szCs w:val="17"/>
                <w:color w:val="0C5990"/>
              </w:rPr>
              <w:t>1D</w:t>
            </w:r>
          </w:p>
        </w:tc>
        <w:tc>
          <w:tcPr>
            <w:tcW w:w="9120" w:type="dxa"/>
            <w:vAlign w:val="bottom"/>
            <w:tcBorders>
              <w:top w:val="single" w:sz="8" w:color="0C5990"/>
              <w:bottom w:val="single" w:sz="8" w:color="F0EFF7"/>
              <w:right w:val="single" w:sz="8" w:color="0C5990"/>
            </w:tcBorders>
            <w:shd w:val="clear" w:color="auto" w:fill="F0EFF7"/>
          </w:tcPr>
          <w:p>
            <w:pPr>
              <w:ind w:left="100"/>
              <w:spacing w:after="0"/>
              <w:rPr>
                <w:sz w:val="20"/>
                <w:szCs w:val="20"/>
                <w:color w:val="auto"/>
              </w:rPr>
            </w:pPr>
            <w:r>
              <w:rPr>
                <w:rFonts w:ascii="Times New Roman" w:cs="Times New Roman" w:eastAsia="Times New Roman" w:hAnsi="Times New Roman"/>
                <w:sz w:val="17"/>
                <w:szCs w:val="17"/>
                <w:color w:val="0C5990"/>
              </w:rPr>
              <w:t>Thomas A. McEachin</w:t>
            </w:r>
          </w:p>
        </w:tc>
        <w:tc>
          <w:tcPr>
            <w:tcW w:w="1140" w:type="dxa"/>
            <w:vAlign w:val="bottom"/>
            <w:tcBorders>
              <w:top w:val="single" w:sz="8" w:color="0C5990"/>
              <w:bottom w:val="single" w:sz="8" w:color="F0EFF7"/>
            </w:tcBorders>
            <w:shd w:val="clear" w:color="auto" w:fill="F0EFF7"/>
          </w:tcPr>
          <w:p>
            <w:pPr>
              <w:ind w:left="360"/>
              <w:spacing w:after="0"/>
              <w:rPr>
                <w:sz w:val="20"/>
                <w:szCs w:val="20"/>
                <w:color w:val="auto"/>
              </w:rPr>
            </w:pPr>
            <w:r>
              <w:rPr>
                <w:rFonts w:ascii="Times New Roman" w:cs="Times New Roman" w:eastAsia="Times New Roman" w:hAnsi="Times New Roman"/>
                <w:sz w:val="17"/>
                <w:szCs w:val="17"/>
                <w:b w:val="1"/>
                <w:bCs w:val="1"/>
                <w:color w:val="0C5990"/>
              </w:rPr>
              <w:t>For</w:t>
            </w:r>
          </w:p>
        </w:tc>
        <w:tc>
          <w:tcPr>
            <w:tcW w:w="0" w:type="dxa"/>
            <w:vAlign w:val="bottom"/>
          </w:tcPr>
          <w:p>
            <w:pPr>
              <w:spacing w:after="0"/>
              <w:rPr>
                <w:sz w:val="1"/>
                <w:szCs w:val="1"/>
                <w:color w:val="auto"/>
              </w:rPr>
            </w:pPr>
          </w:p>
        </w:tc>
      </w:tr>
      <w:tr>
        <w:trPr>
          <w:trHeight w:val="326"/>
        </w:trPr>
        <w:tc>
          <w:tcPr>
            <w:tcW w:w="440" w:type="dxa"/>
            <w:vAlign w:val="bottom"/>
            <w:tcBorders>
              <w:top w:val="single" w:sz="8" w:color="0C5990"/>
              <w:bottom w:val="single" w:sz="8" w:color="F0EFF7"/>
            </w:tcBorders>
            <w:shd w:val="clear" w:color="auto" w:fill="F0EFF7"/>
          </w:tcPr>
          <w:p>
            <w:pPr>
              <w:ind w:left="160"/>
              <w:spacing w:after="0"/>
              <w:rPr>
                <w:sz w:val="20"/>
                <w:szCs w:val="20"/>
                <w:color w:val="auto"/>
              </w:rPr>
            </w:pPr>
            <w:r>
              <w:rPr>
                <w:rFonts w:ascii="Times New Roman" w:cs="Times New Roman" w:eastAsia="Times New Roman" w:hAnsi="Times New Roman"/>
                <w:sz w:val="17"/>
                <w:szCs w:val="17"/>
                <w:color w:val="0C5990"/>
              </w:rPr>
              <w:t>1E</w:t>
            </w:r>
          </w:p>
        </w:tc>
        <w:tc>
          <w:tcPr>
            <w:tcW w:w="9120" w:type="dxa"/>
            <w:vAlign w:val="bottom"/>
            <w:tcBorders>
              <w:top w:val="single" w:sz="8" w:color="0C5990"/>
              <w:bottom w:val="single" w:sz="8" w:color="F0EFF7"/>
              <w:right w:val="single" w:sz="8" w:color="0C5990"/>
            </w:tcBorders>
            <w:shd w:val="clear" w:color="auto" w:fill="F0EFF7"/>
          </w:tcPr>
          <w:p>
            <w:pPr>
              <w:ind w:left="100"/>
              <w:spacing w:after="0"/>
              <w:rPr>
                <w:sz w:val="20"/>
                <w:szCs w:val="20"/>
                <w:color w:val="auto"/>
              </w:rPr>
            </w:pPr>
            <w:r>
              <w:rPr>
                <w:rFonts w:ascii="Times New Roman" w:cs="Times New Roman" w:eastAsia="Times New Roman" w:hAnsi="Times New Roman"/>
                <w:sz w:val="17"/>
                <w:szCs w:val="17"/>
                <w:color w:val="0C5990"/>
              </w:rPr>
              <w:t>Anthony P. Nader, III</w:t>
            </w:r>
          </w:p>
        </w:tc>
        <w:tc>
          <w:tcPr>
            <w:tcW w:w="1140" w:type="dxa"/>
            <w:vAlign w:val="bottom"/>
            <w:tcBorders>
              <w:top w:val="single" w:sz="8" w:color="0C5990"/>
              <w:bottom w:val="single" w:sz="8" w:color="F0EFF7"/>
            </w:tcBorders>
            <w:shd w:val="clear" w:color="auto" w:fill="F0EFF7"/>
          </w:tcPr>
          <w:p>
            <w:pPr>
              <w:ind w:left="360"/>
              <w:spacing w:after="0"/>
              <w:rPr>
                <w:sz w:val="20"/>
                <w:szCs w:val="20"/>
                <w:color w:val="auto"/>
              </w:rPr>
            </w:pPr>
            <w:r>
              <w:rPr>
                <w:rFonts w:ascii="Times New Roman" w:cs="Times New Roman" w:eastAsia="Times New Roman" w:hAnsi="Times New Roman"/>
                <w:sz w:val="17"/>
                <w:szCs w:val="17"/>
                <w:b w:val="1"/>
                <w:bCs w:val="1"/>
                <w:color w:val="0C5990"/>
              </w:rPr>
              <w:t>For</w:t>
            </w:r>
          </w:p>
        </w:tc>
        <w:tc>
          <w:tcPr>
            <w:tcW w:w="0" w:type="dxa"/>
            <w:vAlign w:val="bottom"/>
          </w:tcPr>
          <w:p>
            <w:pPr>
              <w:spacing w:after="0"/>
              <w:rPr>
                <w:sz w:val="1"/>
                <w:szCs w:val="1"/>
                <w:color w:val="auto"/>
              </w:rPr>
            </w:pPr>
          </w:p>
        </w:tc>
      </w:tr>
      <w:tr>
        <w:trPr>
          <w:trHeight w:val="326"/>
        </w:trPr>
        <w:tc>
          <w:tcPr>
            <w:tcW w:w="440" w:type="dxa"/>
            <w:vAlign w:val="bottom"/>
            <w:tcBorders>
              <w:top w:val="single" w:sz="8" w:color="0C5990"/>
              <w:bottom w:val="single" w:sz="8" w:color="F0EFF7"/>
            </w:tcBorders>
            <w:shd w:val="clear" w:color="auto" w:fill="F0EFF7"/>
          </w:tcPr>
          <w:p>
            <w:pPr>
              <w:ind w:left="160"/>
              <w:spacing w:after="0"/>
              <w:rPr>
                <w:sz w:val="20"/>
                <w:szCs w:val="20"/>
                <w:color w:val="auto"/>
              </w:rPr>
            </w:pPr>
            <w:r>
              <w:rPr>
                <w:rFonts w:ascii="Times New Roman" w:cs="Times New Roman" w:eastAsia="Times New Roman" w:hAnsi="Times New Roman"/>
                <w:sz w:val="17"/>
                <w:szCs w:val="17"/>
                <w:color w:val="0C5990"/>
              </w:rPr>
              <w:t>1F</w:t>
            </w:r>
          </w:p>
        </w:tc>
        <w:tc>
          <w:tcPr>
            <w:tcW w:w="9120" w:type="dxa"/>
            <w:vAlign w:val="bottom"/>
            <w:tcBorders>
              <w:top w:val="single" w:sz="8" w:color="0C5990"/>
              <w:bottom w:val="single" w:sz="8" w:color="F0EFF7"/>
              <w:right w:val="single" w:sz="8" w:color="0C5990"/>
            </w:tcBorders>
            <w:shd w:val="clear" w:color="auto" w:fill="F0EFF7"/>
          </w:tcPr>
          <w:p>
            <w:pPr>
              <w:ind w:left="100"/>
              <w:spacing w:after="0"/>
              <w:rPr>
                <w:sz w:val="20"/>
                <w:szCs w:val="20"/>
                <w:color w:val="auto"/>
              </w:rPr>
            </w:pPr>
            <w:r>
              <w:rPr>
                <w:rFonts w:ascii="Times New Roman" w:cs="Times New Roman" w:eastAsia="Times New Roman" w:hAnsi="Times New Roman"/>
                <w:sz w:val="17"/>
                <w:szCs w:val="17"/>
                <w:color w:val="0C5990"/>
              </w:rPr>
              <w:t>Gail P. Steinel</w:t>
            </w:r>
          </w:p>
        </w:tc>
        <w:tc>
          <w:tcPr>
            <w:tcW w:w="1140" w:type="dxa"/>
            <w:vAlign w:val="bottom"/>
            <w:tcBorders>
              <w:top w:val="single" w:sz="8" w:color="0C5990"/>
              <w:bottom w:val="single" w:sz="8" w:color="F0EFF7"/>
            </w:tcBorders>
            <w:shd w:val="clear" w:color="auto" w:fill="F0EFF7"/>
          </w:tcPr>
          <w:p>
            <w:pPr>
              <w:ind w:left="360"/>
              <w:spacing w:after="0"/>
              <w:rPr>
                <w:sz w:val="20"/>
                <w:szCs w:val="20"/>
                <w:color w:val="auto"/>
              </w:rPr>
            </w:pPr>
            <w:r>
              <w:rPr>
                <w:rFonts w:ascii="Times New Roman" w:cs="Times New Roman" w:eastAsia="Times New Roman" w:hAnsi="Times New Roman"/>
                <w:sz w:val="17"/>
                <w:szCs w:val="17"/>
                <w:b w:val="1"/>
                <w:bCs w:val="1"/>
                <w:color w:val="0C5990"/>
              </w:rPr>
              <w:t>For</w:t>
            </w:r>
          </w:p>
        </w:tc>
        <w:tc>
          <w:tcPr>
            <w:tcW w:w="0" w:type="dxa"/>
            <w:vAlign w:val="bottom"/>
          </w:tcPr>
          <w:p>
            <w:pPr>
              <w:spacing w:after="0"/>
              <w:rPr>
                <w:sz w:val="1"/>
                <w:szCs w:val="1"/>
                <w:color w:val="auto"/>
              </w:rPr>
            </w:pPr>
          </w:p>
        </w:tc>
      </w:tr>
      <w:tr>
        <w:trPr>
          <w:trHeight w:val="326"/>
        </w:trPr>
        <w:tc>
          <w:tcPr>
            <w:tcW w:w="440" w:type="dxa"/>
            <w:vAlign w:val="bottom"/>
            <w:tcBorders>
              <w:top w:val="single" w:sz="8" w:color="0C5990"/>
              <w:bottom w:val="single" w:sz="8" w:color="F0EFF7"/>
            </w:tcBorders>
            <w:shd w:val="clear" w:color="auto" w:fill="F0EFF7"/>
          </w:tcPr>
          <w:p>
            <w:pPr>
              <w:ind w:left="160"/>
              <w:spacing w:after="0"/>
              <w:rPr>
                <w:sz w:val="20"/>
                <w:szCs w:val="20"/>
                <w:color w:val="auto"/>
              </w:rPr>
            </w:pPr>
            <w:r>
              <w:rPr>
                <w:rFonts w:ascii="Times New Roman" w:cs="Times New Roman" w:eastAsia="Times New Roman" w:hAnsi="Times New Roman"/>
                <w:sz w:val="17"/>
                <w:szCs w:val="17"/>
                <w:color w:val="0C5990"/>
              </w:rPr>
              <w:t>1G</w:t>
            </w:r>
          </w:p>
        </w:tc>
        <w:tc>
          <w:tcPr>
            <w:tcW w:w="9120" w:type="dxa"/>
            <w:vAlign w:val="bottom"/>
            <w:tcBorders>
              <w:top w:val="single" w:sz="8" w:color="0C5990"/>
              <w:bottom w:val="single" w:sz="8" w:color="F0EFF7"/>
              <w:right w:val="single" w:sz="8" w:color="0C5990"/>
            </w:tcBorders>
            <w:shd w:val="clear" w:color="auto" w:fill="F0EFF7"/>
          </w:tcPr>
          <w:p>
            <w:pPr>
              <w:ind w:left="100"/>
              <w:spacing w:after="0"/>
              <w:rPr>
                <w:sz w:val="20"/>
                <w:szCs w:val="20"/>
                <w:color w:val="auto"/>
              </w:rPr>
            </w:pPr>
            <w:r>
              <w:rPr>
                <w:rFonts w:ascii="Times New Roman" w:cs="Times New Roman" w:eastAsia="Times New Roman" w:hAnsi="Times New Roman"/>
                <w:sz w:val="17"/>
                <w:szCs w:val="17"/>
                <w:color w:val="0C5990"/>
              </w:rPr>
              <w:t>Donald C. Wood</w:t>
            </w:r>
          </w:p>
        </w:tc>
        <w:tc>
          <w:tcPr>
            <w:tcW w:w="1140" w:type="dxa"/>
            <w:vAlign w:val="bottom"/>
            <w:tcBorders>
              <w:top w:val="single" w:sz="8" w:color="0C5990"/>
              <w:bottom w:val="single" w:sz="8" w:color="F0EFF7"/>
            </w:tcBorders>
            <w:shd w:val="clear" w:color="auto" w:fill="F0EFF7"/>
          </w:tcPr>
          <w:p>
            <w:pPr>
              <w:ind w:left="360"/>
              <w:spacing w:after="0"/>
              <w:rPr>
                <w:sz w:val="20"/>
                <w:szCs w:val="20"/>
                <w:color w:val="auto"/>
              </w:rPr>
            </w:pPr>
            <w:r>
              <w:rPr>
                <w:rFonts w:ascii="Times New Roman" w:cs="Times New Roman" w:eastAsia="Times New Roman" w:hAnsi="Times New Roman"/>
                <w:sz w:val="17"/>
                <w:szCs w:val="17"/>
                <w:b w:val="1"/>
                <w:bCs w:val="1"/>
                <w:color w:val="0C5990"/>
              </w:rPr>
              <w:t>For</w:t>
            </w:r>
          </w:p>
        </w:tc>
        <w:tc>
          <w:tcPr>
            <w:tcW w:w="0" w:type="dxa"/>
            <w:vAlign w:val="bottom"/>
          </w:tcPr>
          <w:p>
            <w:pPr>
              <w:spacing w:after="0"/>
              <w:rPr>
                <w:sz w:val="1"/>
                <w:szCs w:val="1"/>
                <w:color w:val="auto"/>
              </w:rPr>
            </w:pPr>
          </w:p>
        </w:tc>
      </w:tr>
      <w:tr>
        <w:trPr>
          <w:trHeight w:val="326"/>
        </w:trPr>
        <w:tc>
          <w:tcPr>
            <w:tcW w:w="440" w:type="dxa"/>
            <w:vAlign w:val="bottom"/>
            <w:tcBorders>
              <w:top w:val="single" w:sz="8" w:color="0C5990"/>
              <w:bottom w:val="single" w:sz="8" w:color="F0EFF7"/>
            </w:tcBorders>
            <w:shd w:val="clear" w:color="auto" w:fill="F0EFF7"/>
          </w:tcPr>
          <w:p>
            <w:pPr>
              <w:ind w:left="160"/>
              <w:spacing w:after="0"/>
              <w:rPr>
                <w:sz w:val="20"/>
                <w:szCs w:val="20"/>
                <w:color w:val="auto"/>
              </w:rPr>
            </w:pPr>
            <w:r>
              <w:rPr>
                <w:rFonts w:ascii="Times New Roman" w:cs="Times New Roman" w:eastAsia="Times New Roman" w:hAnsi="Times New Roman"/>
                <w:sz w:val="17"/>
                <w:szCs w:val="17"/>
                <w:color w:val="0C5990"/>
              </w:rPr>
              <w:t>2.</w:t>
            </w:r>
          </w:p>
        </w:tc>
        <w:tc>
          <w:tcPr>
            <w:tcW w:w="9120" w:type="dxa"/>
            <w:vAlign w:val="bottom"/>
            <w:tcBorders>
              <w:top w:val="single" w:sz="8" w:color="0C5990"/>
              <w:bottom w:val="single" w:sz="8" w:color="F0EFF7"/>
              <w:right w:val="single" w:sz="8" w:color="0C5990"/>
            </w:tcBorders>
            <w:shd w:val="clear" w:color="auto" w:fill="F0EFF7"/>
          </w:tcPr>
          <w:p>
            <w:pPr>
              <w:ind w:left="100"/>
              <w:spacing w:after="0"/>
              <w:rPr>
                <w:sz w:val="20"/>
                <w:szCs w:val="20"/>
                <w:color w:val="auto"/>
              </w:rPr>
            </w:pPr>
            <w:r>
              <w:rPr>
                <w:rFonts w:ascii="Times New Roman" w:cs="Times New Roman" w:eastAsia="Times New Roman" w:hAnsi="Times New Roman"/>
                <w:sz w:val="17"/>
                <w:szCs w:val="17"/>
                <w:color w:val="0C5990"/>
              </w:rPr>
              <w:t>To approve, on a non-binding, advisory basis, the compensation of our named executive officers.</w:t>
            </w:r>
          </w:p>
        </w:tc>
        <w:tc>
          <w:tcPr>
            <w:tcW w:w="1140" w:type="dxa"/>
            <w:vAlign w:val="bottom"/>
            <w:tcBorders>
              <w:top w:val="single" w:sz="8" w:color="0C5990"/>
              <w:bottom w:val="single" w:sz="8" w:color="F0EFF7"/>
            </w:tcBorders>
            <w:shd w:val="clear" w:color="auto" w:fill="F0EFF7"/>
          </w:tcPr>
          <w:p>
            <w:pPr>
              <w:ind w:left="360"/>
              <w:spacing w:after="0"/>
              <w:rPr>
                <w:sz w:val="20"/>
                <w:szCs w:val="20"/>
                <w:color w:val="auto"/>
              </w:rPr>
            </w:pPr>
            <w:r>
              <w:rPr>
                <w:rFonts w:ascii="Times New Roman" w:cs="Times New Roman" w:eastAsia="Times New Roman" w:hAnsi="Times New Roman"/>
                <w:sz w:val="17"/>
                <w:szCs w:val="17"/>
                <w:b w:val="1"/>
                <w:bCs w:val="1"/>
                <w:color w:val="0C5990"/>
              </w:rPr>
              <w:t>For</w:t>
            </w:r>
          </w:p>
        </w:tc>
        <w:tc>
          <w:tcPr>
            <w:tcW w:w="0" w:type="dxa"/>
            <w:vAlign w:val="bottom"/>
          </w:tcPr>
          <w:p>
            <w:pPr>
              <w:spacing w:after="0"/>
              <w:rPr>
                <w:sz w:val="1"/>
                <w:szCs w:val="1"/>
                <w:color w:val="auto"/>
              </w:rPr>
            </w:pPr>
          </w:p>
        </w:tc>
      </w:tr>
      <w:tr>
        <w:trPr>
          <w:trHeight w:val="198"/>
        </w:trPr>
        <w:tc>
          <w:tcPr>
            <w:tcW w:w="440" w:type="dxa"/>
            <w:vAlign w:val="bottom"/>
            <w:tcBorders>
              <w:top w:val="single" w:sz="8" w:color="0C5990"/>
            </w:tcBorders>
            <w:vMerge w:val="restart"/>
            <w:shd w:val="clear" w:color="auto" w:fill="F0EFF7"/>
          </w:tcPr>
          <w:p>
            <w:pPr>
              <w:ind w:left="160"/>
              <w:spacing w:after="0"/>
              <w:rPr>
                <w:sz w:val="20"/>
                <w:szCs w:val="20"/>
                <w:color w:val="auto"/>
              </w:rPr>
            </w:pPr>
            <w:r>
              <w:rPr>
                <w:rFonts w:ascii="Times New Roman" w:cs="Times New Roman" w:eastAsia="Times New Roman" w:hAnsi="Times New Roman"/>
                <w:sz w:val="17"/>
                <w:szCs w:val="17"/>
                <w:color w:val="0C5990"/>
              </w:rPr>
              <w:t>3.</w:t>
            </w:r>
          </w:p>
        </w:tc>
        <w:tc>
          <w:tcPr>
            <w:tcW w:w="9120" w:type="dxa"/>
            <w:vAlign w:val="bottom"/>
            <w:tcBorders>
              <w:top w:val="single" w:sz="8" w:color="0C5990"/>
              <w:right w:val="single" w:sz="8" w:color="0C5990"/>
            </w:tcBorders>
            <w:shd w:val="clear" w:color="auto" w:fill="F0EFF7"/>
          </w:tcPr>
          <w:p>
            <w:pPr>
              <w:ind w:left="100"/>
              <w:spacing w:after="0"/>
              <w:rPr>
                <w:sz w:val="20"/>
                <w:szCs w:val="20"/>
                <w:color w:val="auto"/>
              </w:rPr>
            </w:pPr>
            <w:r>
              <w:rPr>
                <w:rFonts w:ascii="Times New Roman" w:cs="Times New Roman" w:eastAsia="Times New Roman" w:hAnsi="Times New Roman"/>
                <w:sz w:val="17"/>
                <w:szCs w:val="17"/>
                <w:color w:val="0C5990"/>
              </w:rPr>
              <w:t>To approve, on a non-binding, advisory basis, the frequency of holding future, non-binding, advisory votes on the compensation</w:t>
            </w:r>
          </w:p>
        </w:tc>
        <w:tc>
          <w:tcPr>
            <w:tcW w:w="1140" w:type="dxa"/>
            <w:vAlign w:val="bottom"/>
            <w:tcBorders>
              <w:top w:val="single" w:sz="8" w:color="0C5990"/>
            </w:tcBorders>
            <w:vMerge w:val="restart"/>
            <w:shd w:val="clear" w:color="auto" w:fill="F0EFF7"/>
          </w:tcPr>
          <w:p>
            <w:pPr>
              <w:ind w:left="360"/>
              <w:spacing w:after="0"/>
              <w:rPr>
                <w:sz w:val="20"/>
                <w:szCs w:val="20"/>
                <w:color w:val="auto"/>
              </w:rPr>
            </w:pPr>
            <w:r>
              <w:rPr>
                <w:rFonts w:ascii="Times New Roman" w:cs="Times New Roman" w:eastAsia="Times New Roman" w:hAnsi="Times New Roman"/>
                <w:sz w:val="17"/>
                <w:szCs w:val="17"/>
                <w:b w:val="1"/>
                <w:bCs w:val="1"/>
                <w:color w:val="0C5990"/>
              </w:rPr>
              <w:t>Year</w:t>
            </w:r>
          </w:p>
        </w:tc>
        <w:tc>
          <w:tcPr>
            <w:tcW w:w="0" w:type="dxa"/>
            <w:vAlign w:val="bottom"/>
          </w:tcPr>
          <w:p>
            <w:pPr>
              <w:spacing w:after="0"/>
              <w:rPr>
                <w:sz w:val="1"/>
                <w:szCs w:val="1"/>
                <w:color w:val="auto"/>
              </w:rPr>
            </w:pPr>
          </w:p>
        </w:tc>
      </w:tr>
      <w:tr>
        <w:trPr>
          <w:trHeight w:val="162"/>
        </w:trPr>
        <w:tc>
          <w:tcPr>
            <w:tcW w:w="440" w:type="dxa"/>
            <w:vAlign w:val="bottom"/>
            <w:vMerge w:val="continue"/>
            <w:shd w:val="clear" w:color="auto" w:fill="F0EFF7"/>
          </w:tcPr>
          <w:p>
            <w:pPr>
              <w:spacing w:after="0"/>
              <w:rPr>
                <w:sz w:val="14"/>
                <w:szCs w:val="14"/>
                <w:color w:val="auto"/>
              </w:rPr>
            </w:pPr>
          </w:p>
        </w:tc>
        <w:tc>
          <w:tcPr>
            <w:tcW w:w="9120" w:type="dxa"/>
            <w:vAlign w:val="bottom"/>
            <w:tcBorders>
              <w:right w:val="single" w:sz="8" w:color="0C5990"/>
            </w:tcBorders>
            <w:vMerge w:val="restart"/>
            <w:shd w:val="clear" w:color="auto" w:fill="F0EFF7"/>
          </w:tcPr>
          <w:p>
            <w:pPr>
              <w:ind w:left="100"/>
              <w:spacing w:after="0"/>
              <w:rPr>
                <w:sz w:val="20"/>
                <w:szCs w:val="20"/>
                <w:color w:val="auto"/>
              </w:rPr>
            </w:pPr>
            <w:r>
              <w:rPr>
                <w:rFonts w:ascii="Times New Roman" w:cs="Times New Roman" w:eastAsia="Times New Roman" w:hAnsi="Times New Roman"/>
                <w:sz w:val="17"/>
                <w:szCs w:val="17"/>
                <w:color w:val="0C5990"/>
              </w:rPr>
              <w:t>of our named executive officers.</w:t>
            </w:r>
          </w:p>
        </w:tc>
        <w:tc>
          <w:tcPr>
            <w:tcW w:w="1140" w:type="dxa"/>
            <w:vAlign w:val="bottom"/>
            <w:vMerge w:val="continue"/>
            <w:shd w:val="clear" w:color="auto" w:fill="F0EFF7"/>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440" w:type="dxa"/>
            <w:vAlign w:val="bottom"/>
            <w:tcBorders>
              <w:bottom w:val="single" w:sz="8" w:color="F0EFF7"/>
            </w:tcBorders>
            <w:shd w:val="clear" w:color="auto" w:fill="F0EFF7"/>
          </w:tcPr>
          <w:p>
            <w:pPr>
              <w:spacing w:after="0"/>
              <w:rPr>
                <w:sz w:val="8"/>
                <w:szCs w:val="8"/>
                <w:color w:val="auto"/>
              </w:rPr>
            </w:pPr>
          </w:p>
        </w:tc>
        <w:tc>
          <w:tcPr>
            <w:tcW w:w="9120" w:type="dxa"/>
            <w:vAlign w:val="bottom"/>
            <w:tcBorders>
              <w:bottom w:val="single" w:sz="8" w:color="F0EFF7"/>
              <w:right w:val="single" w:sz="8" w:color="0C5990"/>
            </w:tcBorders>
            <w:vMerge w:val="continue"/>
            <w:shd w:val="clear" w:color="auto" w:fill="F0EFF7"/>
          </w:tcPr>
          <w:p>
            <w:pPr>
              <w:spacing w:after="0"/>
              <w:rPr>
                <w:sz w:val="8"/>
                <w:szCs w:val="8"/>
                <w:color w:val="auto"/>
              </w:rPr>
            </w:pPr>
          </w:p>
        </w:tc>
        <w:tc>
          <w:tcPr>
            <w:tcW w:w="1140" w:type="dxa"/>
            <w:vAlign w:val="bottom"/>
            <w:tcBorders>
              <w:bottom w:val="single" w:sz="8" w:color="F0EFF7"/>
            </w:tcBorders>
            <w:shd w:val="clear" w:color="auto" w:fill="F0EFF7"/>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440" w:type="dxa"/>
            <w:vAlign w:val="bottom"/>
            <w:tcBorders>
              <w:top w:val="single" w:sz="8" w:color="0C5990"/>
              <w:bottom w:val="single" w:sz="8" w:color="F0EFF7"/>
            </w:tcBorders>
            <w:shd w:val="clear" w:color="auto" w:fill="F0EFF7"/>
          </w:tcPr>
          <w:p>
            <w:pPr>
              <w:ind w:left="160"/>
              <w:spacing w:after="0"/>
              <w:rPr>
                <w:sz w:val="20"/>
                <w:szCs w:val="20"/>
                <w:color w:val="auto"/>
              </w:rPr>
            </w:pPr>
            <w:r>
              <w:rPr>
                <w:rFonts w:ascii="Times New Roman" w:cs="Times New Roman" w:eastAsia="Times New Roman" w:hAnsi="Times New Roman"/>
                <w:sz w:val="17"/>
                <w:szCs w:val="17"/>
                <w:color w:val="0C5990"/>
              </w:rPr>
              <w:t>4.</w:t>
            </w:r>
          </w:p>
        </w:tc>
        <w:tc>
          <w:tcPr>
            <w:tcW w:w="9120" w:type="dxa"/>
            <w:vAlign w:val="bottom"/>
            <w:tcBorders>
              <w:top w:val="single" w:sz="8" w:color="0C5990"/>
              <w:bottom w:val="single" w:sz="8" w:color="F0EFF7"/>
              <w:right w:val="single" w:sz="8" w:color="0C5990"/>
            </w:tcBorders>
            <w:shd w:val="clear" w:color="auto" w:fill="F0EFF7"/>
          </w:tcPr>
          <w:p>
            <w:pPr>
              <w:ind w:left="100"/>
              <w:spacing w:after="0"/>
              <w:rPr>
                <w:sz w:val="20"/>
                <w:szCs w:val="20"/>
                <w:color w:val="auto"/>
              </w:rPr>
            </w:pPr>
            <w:r>
              <w:rPr>
                <w:rFonts w:ascii="Times New Roman" w:cs="Times New Roman" w:eastAsia="Times New Roman" w:hAnsi="Times New Roman"/>
                <w:sz w:val="17"/>
                <w:szCs w:val="17"/>
                <w:color w:val="0C5990"/>
              </w:rPr>
              <w:t>To approve, on a non-binding, advisory basis, an increase to the number of authorized common shares</w:t>
            </w:r>
          </w:p>
        </w:tc>
        <w:tc>
          <w:tcPr>
            <w:tcW w:w="1140" w:type="dxa"/>
            <w:vAlign w:val="bottom"/>
            <w:tcBorders>
              <w:top w:val="single" w:sz="8" w:color="0C5990"/>
              <w:bottom w:val="single" w:sz="8" w:color="F0EFF7"/>
            </w:tcBorders>
            <w:shd w:val="clear" w:color="auto" w:fill="F0EFF7"/>
          </w:tcPr>
          <w:p>
            <w:pPr>
              <w:ind w:left="360"/>
              <w:spacing w:after="0"/>
              <w:rPr>
                <w:sz w:val="20"/>
                <w:szCs w:val="20"/>
                <w:color w:val="auto"/>
              </w:rPr>
            </w:pPr>
            <w:r>
              <w:rPr>
                <w:rFonts w:ascii="Times New Roman" w:cs="Times New Roman" w:eastAsia="Times New Roman" w:hAnsi="Times New Roman"/>
                <w:sz w:val="17"/>
                <w:szCs w:val="17"/>
                <w:b w:val="1"/>
                <w:bCs w:val="1"/>
                <w:color w:val="0C5990"/>
              </w:rPr>
              <w:t>For</w:t>
            </w:r>
          </w:p>
        </w:tc>
        <w:tc>
          <w:tcPr>
            <w:tcW w:w="0" w:type="dxa"/>
            <w:vAlign w:val="bottom"/>
          </w:tcPr>
          <w:p>
            <w:pPr>
              <w:spacing w:after="0"/>
              <w:rPr>
                <w:sz w:val="1"/>
                <w:szCs w:val="1"/>
                <w:color w:val="auto"/>
              </w:rPr>
            </w:pPr>
          </w:p>
        </w:tc>
      </w:tr>
      <w:tr>
        <w:trPr>
          <w:trHeight w:val="198"/>
        </w:trPr>
        <w:tc>
          <w:tcPr>
            <w:tcW w:w="440" w:type="dxa"/>
            <w:vAlign w:val="bottom"/>
            <w:tcBorders>
              <w:top w:val="single" w:sz="8" w:color="0C5990"/>
            </w:tcBorders>
            <w:vMerge w:val="restart"/>
            <w:shd w:val="clear" w:color="auto" w:fill="F0EFF7"/>
          </w:tcPr>
          <w:p>
            <w:pPr>
              <w:ind w:left="160"/>
              <w:spacing w:after="0"/>
              <w:rPr>
                <w:sz w:val="20"/>
                <w:szCs w:val="20"/>
                <w:color w:val="auto"/>
              </w:rPr>
            </w:pPr>
            <w:r>
              <w:rPr>
                <w:rFonts w:ascii="Times New Roman" w:cs="Times New Roman" w:eastAsia="Times New Roman" w:hAnsi="Times New Roman"/>
                <w:sz w:val="17"/>
                <w:szCs w:val="17"/>
                <w:color w:val="0C5990"/>
              </w:rPr>
              <w:t>5.</w:t>
            </w:r>
          </w:p>
        </w:tc>
        <w:tc>
          <w:tcPr>
            <w:tcW w:w="9120" w:type="dxa"/>
            <w:vAlign w:val="bottom"/>
            <w:tcBorders>
              <w:top w:val="single" w:sz="8" w:color="0C5990"/>
              <w:right w:val="single" w:sz="8" w:color="0C5990"/>
            </w:tcBorders>
            <w:shd w:val="clear" w:color="auto" w:fill="F0EFF7"/>
          </w:tcPr>
          <w:p>
            <w:pPr>
              <w:ind w:left="100"/>
              <w:spacing w:after="0"/>
              <w:rPr>
                <w:sz w:val="20"/>
                <w:szCs w:val="20"/>
                <w:color w:val="auto"/>
              </w:rPr>
            </w:pPr>
            <w:r>
              <w:rPr>
                <w:rFonts w:ascii="Times New Roman" w:cs="Times New Roman" w:eastAsia="Times New Roman" w:hAnsi="Times New Roman"/>
                <w:sz w:val="17"/>
                <w:szCs w:val="17"/>
                <w:color w:val="0C5990"/>
              </w:rPr>
              <w:t>To ratify the appointment of Grant Thornton LLP as our independent registered public accounting firm for the fiscal year ending</w:t>
            </w:r>
          </w:p>
        </w:tc>
        <w:tc>
          <w:tcPr>
            <w:tcW w:w="1140" w:type="dxa"/>
            <w:vAlign w:val="bottom"/>
            <w:tcBorders>
              <w:top w:val="single" w:sz="8" w:color="0C5990"/>
            </w:tcBorders>
            <w:vMerge w:val="restart"/>
            <w:shd w:val="clear" w:color="auto" w:fill="F0EFF7"/>
          </w:tcPr>
          <w:p>
            <w:pPr>
              <w:ind w:left="360"/>
              <w:spacing w:after="0"/>
              <w:rPr>
                <w:sz w:val="20"/>
                <w:szCs w:val="20"/>
                <w:color w:val="auto"/>
              </w:rPr>
            </w:pPr>
            <w:r>
              <w:rPr>
                <w:rFonts w:ascii="Times New Roman" w:cs="Times New Roman" w:eastAsia="Times New Roman" w:hAnsi="Times New Roman"/>
                <w:sz w:val="17"/>
                <w:szCs w:val="17"/>
                <w:b w:val="1"/>
                <w:bCs w:val="1"/>
                <w:color w:val="0C5990"/>
              </w:rPr>
              <w:t>For</w:t>
            </w:r>
          </w:p>
        </w:tc>
        <w:tc>
          <w:tcPr>
            <w:tcW w:w="0" w:type="dxa"/>
            <w:vAlign w:val="bottom"/>
          </w:tcPr>
          <w:p>
            <w:pPr>
              <w:spacing w:after="0"/>
              <w:rPr>
                <w:sz w:val="1"/>
                <w:szCs w:val="1"/>
                <w:color w:val="auto"/>
              </w:rPr>
            </w:pPr>
          </w:p>
        </w:tc>
      </w:tr>
      <w:tr>
        <w:trPr>
          <w:trHeight w:val="162"/>
        </w:trPr>
        <w:tc>
          <w:tcPr>
            <w:tcW w:w="440" w:type="dxa"/>
            <w:vAlign w:val="bottom"/>
            <w:vMerge w:val="continue"/>
            <w:shd w:val="clear" w:color="auto" w:fill="F0EFF7"/>
          </w:tcPr>
          <w:p>
            <w:pPr>
              <w:spacing w:after="0"/>
              <w:rPr>
                <w:sz w:val="14"/>
                <w:szCs w:val="14"/>
                <w:color w:val="auto"/>
              </w:rPr>
            </w:pPr>
          </w:p>
        </w:tc>
        <w:tc>
          <w:tcPr>
            <w:tcW w:w="9120" w:type="dxa"/>
            <w:vAlign w:val="bottom"/>
            <w:tcBorders>
              <w:right w:val="single" w:sz="8" w:color="0C5990"/>
            </w:tcBorders>
            <w:vMerge w:val="restart"/>
            <w:shd w:val="clear" w:color="auto" w:fill="F0EFF7"/>
          </w:tcPr>
          <w:p>
            <w:pPr>
              <w:ind w:left="100"/>
              <w:spacing w:after="0"/>
              <w:rPr>
                <w:sz w:val="20"/>
                <w:szCs w:val="20"/>
                <w:color w:val="auto"/>
              </w:rPr>
            </w:pPr>
            <w:r>
              <w:rPr>
                <w:rFonts w:ascii="Times New Roman" w:cs="Times New Roman" w:eastAsia="Times New Roman" w:hAnsi="Times New Roman"/>
                <w:sz w:val="17"/>
                <w:szCs w:val="17"/>
                <w:color w:val="0C5990"/>
              </w:rPr>
              <w:t>December 31, 2023.</w:t>
            </w:r>
          </w:p>
        </w:tc>
        <w:tc>
          <w:tcPr>
            <w:tcW w:w="1140" w:type="dxa"/>
            <w:vAlign w:val="bottom"/>
            <w:vMerge w:val="continue"/>
            <w:shd w:val="clear" w:color="auto" w:fill="F0EFF7"/>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440" w:type="dxa"/>
            <w:vAlign w:val="bottom"/>
            <w:tcBorders>
              <w:bottom w:val="single" w:sz="8" w:color="F0EFF7"/>
            </w:tcBorders>
            <w:shd w:val="clear" w:color="auto" w:fill="F0EFF7"/>
          </w:tcPr>
          <w:p>
            <w:pPr>
              <w:spacing w:after="0"/>
              <w:rPr>
                <w:sz w:val="8"/>
                <w:szCs w:val="8"/>
                <w:color w:val="auto"/>
              </w:rPr>
            </w:pPr>
          </w:p>
        </w:tc>
        <w:tc>
          <w:tcPr>
            <w:tcW w:w="9120" w:type="dxa"/>
            <w:vAlign w:val="bottom"/>
            <w:tcBorders>
              <w:bottom w:val="single" w:sz="8" w:color="F0EFF7"/>
              <w:right w:val="single" w:sz="8" w:color="0C5990"/>
            </w:tcBorders>
            <w:vMerge w:val="continue"/>
            <w:shd w:val="clear" w:color="auto" w:fill="F0EFF7"/>
          </w:tcPr>
          <w:p>
            <w:pPr>
              <w:spacing w:after="0"/>
              <w:rPr>
                <w:sz w:val="8"/>
                <w:szCs w:val="8"/>
                <w:color w:val="auto"/>
              </w:rPr>
            </w:pPr>
          </w:p>
        </w:tc>
        <w:tc>
          <w:tcPr>
            <w:tcW w:w="1140" w:type="dxa"/>
            <w:vAlign w:val="bottom"/>
            <w:tcBorders>
              <w:bottom w:val="single" w:sz="8" w:color="F0EFF7"/>
            </w:tcBorders>
            <w:shd w:val="clear" w:color="auto" w:fill="F0EFF7"/>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0700" w:type="dxa"/>
            <w:vAlign w:val="bottom"/>
            <w:tcBorders>
              <w:top w:val="single" w:sz="8" w:color="0C5990"/>
              <w:bottom w:val="single" w:sz="8" w:color="F0EFF7"/>
            </w:tcBorders>
            <w:gridSpan w:val="3"/>
            <w:shd w:val="clear" w:color="auto" w:fill="F0EFF7"/>
          </w:tcPr>
          <w:p>
            <w:pPr>
              <w:ind w:left="160"/>
              <w:spacing w:after="0"/>
              <w:rPr>
                <w:sz w:val="20"/>
                <w:szCs w:val="20"/>
                <w:color w:val="auto"/>
              </w:rPr>
            </w:pPr>
            <w:r>
              <w:rPr>
                <w:rFonts w:ascii="Times New Roman" w:cs="Times New Roman" w:eastAsia="Times New Roman" w:hAnsi="Times New Roman"/>
                <w:sz w:val="17"/>
                <w:szCs w:val="17"/>
                <w:b w:val="1"/>
                <w:bCs w:val="1"/>
                <w:color w:val="0C5990"/>
              </w:rPr>
              <w:t xml:space="preserve">NOTE: </w:t>
            </w:r>
            <w:r>
              <w:rPr>
                <w:rFonts w:ascii="Times New Roman" w:cs="Times New Roman" w:eastAsia="Times New Roman" w:hAnsi="Times New Roman"/>
                <w:sz w:val="17"/>
                <w:szCs w:val="17"/>
                <w:color w:val="0C5990"/>
              </w:rPr>
              <w:t>To consider and act upon any other matters properly coming before the meeting or any postponement(s) or adjournment(s) thereof.</w:t>
            </w:r>
          </w:p>
        </w:tc>
        <w:tc>
          <w:tcPr>
            <w:tcW w:w="0" w:type="dxa"/>
            <w:vAlign w:val="bottom"/>
          </w:tcPr>
          <w:p>
            <w:pPr>
              <w:spacing w:after="0"/>
              <w:rPr>
                <w:sz w:val="1"/>
                <w:szCs w:val="1"/>
                <w:color w:val="auto"/>
              </w:rPr>
            </w:pPr>
          </w:p>
        </w:tc>
      </w:tr>
      <w:tr>
        <w:trPr>
          <w:trHeight w:val="3757"/>
        </w:trPr>
        <w:tc>
          <w:tcPr>
            <w:tcW w:w="440" w:type="dxa"/>
            <w:vAlign w:val="bottom"/>
            <w:tcBorders>
              <w:top w:val="single" w:sz="8" w:color="0C5990"/>
            </w:tcBorders>
            <w:shd w:val="clear" w:color="auto" w:fill="F0EFF7"/>
          </w:tcPr>
          <w:p>
            <w:pPr>
              <w:spacing w:after="0"/>
              <w:rPr>
                <w:sz w:val="24"/>
                <w:szCs w:val="24"/>
                <w:color w:val="auto"/>
              </w:rPr>
            </w:pPr>
          </w:p>
        </w:tc>
        <w:tc>
          <w:tcPr>
            <w:tcW w:w="9120" w:type="dxa"/>
            <w:vAlign w:val="bottom"/>
            <w:tcBorders>
              <w:top w:val="single" w:sz="8" w:color="0C5990"/>
              <w:right w:val="single" w:sz="8" w:color="F0EFF7"/>
            </w:tcBorders>
            <w:shd w:val="clear" w:color="auto" w:fill="F0EFF7"/>
          </w:tcPr>
          <w:p>
            <w:pPr>
              <w:spacing w:after="0"/>
              <w:rPr>
                <w:sz w:val="24"/>
                <w:szCs w:val="24"/>
                <w:color w:val="auto"/>
              </w:rPr>
            </w:pPr>
          </w:p>
        </w:tc>
        <w:tc>
          <w:tcPr>
            <w:tcW w:w="1140" w:type="dxa"/>
            <w:vAlign w:val="bottom"/>
            <w:tcBorders>
              <w:top w:val="single" w:sz="8" w:color="0C5990"/>
            </w:tcBorders>
            <w:shd w:val="clear" w:color="auto" w:fill="F0EFF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6120765</wp:posOffset>
            </wp:positionH>
            <wp:positionV relativeFrom="paragraph">
              <wp:posOffset>-5112385</wp:posOffset>
            </wp:positionV>
            <wp:extent cx="149860" cy="149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-4895850</wp:posOffset>
            </wp:positionV>
            <wp:extent cx="149860" cy="149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-4679315</wp:posOffset>
            </wp:positionV>
            <wp:extent cx="149860" cy="149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-4462780</wp:posOffset>
            </wp:positionV>
            <wp:extent cx="149860" cy="149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-4246245</wp:posOffset>
            </wp:positionV>
            <wp:extent cx="149860" cy="149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-4029710</wp:posOffset>
            </wp:positionV>
            <wp:extent cx="149860" cy="149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-3813175</wp:posOffset>
            </wp:positionV>
            <wp:extent cx="149860" cy="149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-3596640</wp:posOffset>
            </wp:positionV>
            <wp:extent cx="149860" cy="149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-3338195</wp:posOffset>
            </wp:positionV>
            <wp:extent cx="149860" cy="149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-3080385</wp:posOffset>
            </wp:positionV>
            <wp:extent cx="149860" cy="149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9860" cy="149860"/>
                    </a:xfrm>
                    <a:prstGeom prst="rect">
                      <a:avLst/>
                    </a:prstGeom>
                    <a:noFill/>
                  </pic:spPr>
                </pic:pic>
              </a:graphicData>
            </a:graphic>
          </wp:anchor>
        </w:drawing>
        <w:drawing>
          <wp:anchor simplePos="0" relativeHeight="251657728" behindDoc="1" locked="0" layoutInCell="0" allowOverlap="1">
            <wp:simplePos x="0" y="0"/>
            <wp:positionH relativeFrom="column">
              <wp:posOffset>6120765</wp:posOffset>
            </wp:positionH>
            <wp:positionV relativeFrom="paragraph">
              <wp:posOffset>-2821940</wp:posOffset>
            </wp:positionV>
            <wp:extent cx="149860" cy="149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9860" cy="14986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0" w:type="dxa"/>
            <w:vAlign w:val="bottom"/>
          </w:tcPr>
          <w:p>
            <w:pPr>
              <w:spacing w:after="0"/>
              <w:rPr>
                <w:sz w:val="20"/>
                <w:szCs w:val="20"/>
                <w:color w:val="auto"/>
              </w:rPr>
            </w:pPr>
            <w:r>
              <w:rPr>
                <w:rFonts w:ascii="Times New Roman" w:cs="Times New Roman" w:eastAsia="Times New Roman" w:hAnsi="Times New Roman"/>
                <w:sz w:val="16"/>
                <w:szCs w:val="16"/>
                <w:color w:val="7A51A1"/>
              </w:rPr>
              <w:t>Under New York Stock Exchange rules, brokers may vote “routine” matters at their discretion if your voting instructions are not communicated to us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9800" w:type="dxa"/>
            <w:vAlign w:val="bottom"/>
          </w:tcPr>
          <w:p>
            <w:pPr>
              <w:spacing w:after="0"/>
              <w:rPr>
                <w:sz w:val="20"/>
                <w:szCs w:val="20"/>
                <w:color w:val="auto"/>
              </w:rPr>
            </w:pPr>
            <w:r>
              <w:rPr>
                <w:rFonts w:ascii="Times New Roman" w:cs="Times New Roman" w:eastAsia="Times New Roman" w:hAnsi="Times New Roman"/>
                <w:sz w:val="16"/>
                <w:szCs w:val="16"/>
                <w:color w:val="7A51A1"/>
              </w:rPr>
              <w:t xml:space="preserve">at least 10 days before the meeting. </w:t>
            </w:r>
            <w:r>
              <w:rPr>
                <w:rFonts w:ascii="Times New Roman" w:cs="Times New Roman" w:eastAsia="Times New Roman" w:hAnsi="Times New Roman"/>
                <w:sz w:val="16"/>
                <w:szCs w:val="16"/>
                <w:b w:val="1"/>
                <w:bCs w:val="1"/>
                <w:color w:val="7A51A1"/>
              </w:rPr>
              <w:t>We will nevertheless follow your instructions, even if the broker’s discretionary vote has already been given,</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800" w:type="dxa"/>
            <w:vAlign w:val="bottom"/>
          </w:tcPr>
          <w:p>
            <w:pPr>
              <w:spacing w:after="0"/>
              <w:rPr>
                <w:sz w:val="20"/>
                <w:szCs w:val="20"/>
                <w:color w:val="auto"/>
              </w:rPr>
            </w:pPr>
            <w:r>
              <w:rPr>
                <w:rFonts w:ascii="Times New Roman" w:cs="Times New Roman" w:eastAsia="Times New Roman" w:hAnsi="Times New Roman"/>
                <w:sz w:val="16"/>
                <w:szCs w:val="16"/>
                <w:b w:val="1"/>
                <w:bCs w:val="1"/>
                <w:color w:val="7A51A1"/>
              </w:rPr>
              <w:t>provided your instructions are received prior to the meeting date.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7A51A1"/>
              </w:rPr>
              <w:t>1.00000</w:t>
            </w:r>
          </w:p>
        </w:tc>
        <w:tc>
          <w:tcPr>
            <w:tcW w:w="0" w:type="dxa"/>
            <w:vAlign w:val="bottom"/>
          </w:tcPr>
          <w:p>
            <w:pPr>
              <w:spacing w:after="0"/>
              <w:rPr>
                <w:sz w:val="1"/>
                <w:szCs w:val="1"/>
                <w:color w:val="auto"/>
              </w:rPr>
            </w:pPr>
          </w:p>
        </w:tc>
      </w:tr>
      <w:tr>
        <w:trPr>
          <w:trHeight w:val="187"/>
        </w:trPr>
        <w:tc>
          <w:tcPr>
            <w:tcW w:w="98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98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7A51A1"/>
              </w:rPr>
              <w:t>322,224</w:t>
            </w:r>
          </w:p>
        </w:tc>
        <w:tc>
          <w:tcPr>
            <w:tcW w:w="0" w:type="dxa"/>
            <w:vAlign w:val="bottom"/>
          </w:tcPr>
          <w:p>
            <w:pPr>
              <w:spacing w:after="0"/>
              <w:rPr>
                <w:sz w:val="1"/>
                <w:szCs w:val="1"/>
                <w:color w:val="auto"/>
              </w:rPr>
            </w:pPr>
          </w:p>
        </w:tc>
      </w:tr>
      <w:tr>
        <w:trPr>
          <w:trHeight w:val="206"/>
        </w:trPr>
        <w:tc>
          <w:tcPr>
            <w:tcW w:w="9800" w:type="dxa"/>
            <w:vAlign w:val="bottom"/>
          </w:tcPr>
          <w:p>
            <w:pPr>
              <w:ind w:left="4220"/>
              <w:spacing w:after="0"/>
              <w:rPr>
                <w:sz w:val="20"/>
                <w:szCs w:val="20"/>
                <w:color w:val="auto"/>
              </w:rPr>
            </w:pPr>
            <w:r>
              <w:rPr>
                <w:rFonts w:ascii="Times New Roman" w:cs="Times New Roman" w:eastAsia="Times New Roman" w:hAnsi="Times New Roman"/>
                <w:sz w:val="16"/>
                <w:szCs w:val="16"/>
                <w:color w:val="auto"/>
              </w:rPr>
              <w:t>FLASHID-JOB#</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7A51A1"/>
              </w:rPr>
              <w:t>148,294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700"/>
      </w:cols>
      <w:pgMar w:left="600" w:top="25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2023-03-24T08:06:12Z</dcterms:created>
  <dcterms:modified xsi:type="dcterms:W3CDTF">2023-03-24T08:06:12Z</dcterms:modified>
</cp:coreProperties>
</file>