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June 30, 2017</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00" w:right="260" w:hanging="440"/>
        <w:spacing w:after="0" w:line="308" w:lineRule="auto"/>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On August 2, 2017, Federal Realty Investment Trust issued supplemental data pertaining to its operations, as well as a press release, to report its financial results for the quarter ended June 30, 2017.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2017 (including press release dated August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August 2, 2017</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2017</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Quarter 2017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2017 Significant Acquisitions and Dispositions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2017,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517525</wp:posOffset>
            </wp:positionV>
            <wp:extent cx="219519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2611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480" w:type="dxa"/>
            <w:vAlign w:val="bottom"/>
          </w:tcPr>
          <w:p>
            <w:pPr>
              <w:spacing w:after="0"/>
              <w:rPr>
                <w:sz w:val="24"/>
                <w:szCs w:val="24"/>
                <w:color w:val="auto"/>
              </w:rPr>
            </w:pPr>
          </w:p>
        </w:tc>
      </w:tr>
      <w:tr>
        <w:trPr>
          <w:trHeight w:val="486"/>
        </w:trPr>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4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Leah Andress</w:t>
            </w:r>
          </w:p>
        </w:tc>
        <w:tc>
          <w:tcPr>
            <w:tcW w:w="5480" w:type="dxa"/>
            <w:vAlign w:val="bottom"/>
          </w:tcPr>
          <w:p>
            <w:pPr>
              <w:jc w:val="right"/>
              <w:spacing w:after="0"/>
              <w:rPr>
                <w:sz w:val="20"/>
                <w:szCs w:val="20"/>
                <w:color w:val="auto"/>
              </w:rPr>
            </w:pPr>
            <w:r>
              <w:rPr>
                <w:rFonts w:ascii="Arial" w:cs="Arial" w:eastAsia="Arial" w:hAnsi="Arial"/>
                <w:sz w:val="18"/>
                <w:szCs w:val="18"/>
                <w:color w:val="auto"/>
              </w:rPr>
              <w:t>Andrea Simpson</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Investor Relations Associate</w:t>
            </w:r>
          </w:p>
        </w:tc>
        <w:tc>
          <w:tcPr>
            <w:tcW w:w="5480" w:type="dxa"/>
            <w:vAlign w:val="bottom"/>
          </w:tcPr>
          <w:p>
            <w:pPr>
              <w:jc w:val="right"/>
              <w:spacing w:after="0"/>
              <w:rPr>
                <w:sz w:val="20"/>
                <w:szCs w:val="20"/>
                <w:color w:val="auto"/>
              </w:rPr>
            </w:pPr>
            <w:r>
              <w:rPr>
                <w:rFonts w:ascii="Arial" w:cs="Arial" w:eastAsia="Arial" w:hAnsi="Arial"/>
                <w:sz w:val="18"/>
                <w:szCs w:val="18"/>
                <w:color w:val="auto"/>
              </w:rPr>
              <w:t>Vice President, Marketing</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480" w:type="dxa"/>
            <w:vAlign w:val="bottom"/>
          </w:tcPr>
          <w:p>
            <w:pPr>
              <w:jc w:val="right"/>
              <w:spacing w:after="0"/>
              <w:rPr>
                <w:sz w:val="20"/>
                <w:szCs w:val="20"/>
                <w:color w:val="auto"/>
              </w:rPr>
            </w:pPr>
            <w:r>
              <w:rPr>
                <w:rFonts w:ascii="Arial" w:cs="Arial" w:eastAsia="Arial" w:hAnsi="Arial"/>
                <w:sz w:val="18"/>
                <w:szCs w:val="18"/>
                <w:color w:val="auto"/>
              </w:rPr>
              <w:t>617.684.1511</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landress@federalrealty.com</w:t>
            </w:r>
          </w:p>
        </w:tc>
        <w:tc>
          <w:tcPr>
            <w:tcW w:w="5480" w:type="dxa"/>
            <w:vAlign w:val="bottom"/>
          </w:tcPr>
          <w:p>
            <w:pPr>
              <w:jc w:val="right"/>
              <w:spacing w:after="0"/>
              <w:rPr>
                <w:sz w:val="20"/>
                <w:szCs w:val="20"/>
                <w:color w:val="auto"/>
              </w:rPr>
            </w:pPr>
            <w:r>
              <w:rPr>
                <w:rFonts w:ascii="Arial" w:cs="Arial" w:eastAsia="Arial" w:hAnsi="Arial"/>
                <w:sz w:val="18"/>
                <w:szCs w:val="18"/>
                <w:i w:val="1"/>
                <w:iCs w:val="1"/>
                <w:color w:val="auto"/>
              </w:rPr>
              <w:t>asimpson@federalrealty.com</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Second Quarter 2017 Operating Results</w:t>
      </w:r>
    </w:p>
    <w:p>
      <w:pPr>
        <w:spacing w:after="0" w:line="301"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ROCKVILLE, Md. (August 2, 2017) - Federal Realty Investment Trust (NYSE:FRT) today reported operating results for its second quarter ended June 30, 2017. Highlights of the quarter include:</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earnings per diluted share of $1.05 for the quarter compared to $0.78 in second quarter 2016.</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$1.49 for the quarter compared to $1.42 in second quarter 2017, representing growth of 4.9%.</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 center property operating income growth of 3.9% for the second quarter.</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397,555 sf of comparable space (432,164 sf total) in the second quarter at an average rent of $45.55 psf and achieved cash basis rollover growth on those comparable spaces of 13%.</w:t>
      </w:r>
    </w:p>
    <w:p>
      <w:pPr>
        <w:spacing w:after="0" w:line="14"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Party to a binding contract to form a new joint venture with Primestor Development, which will own an interest in seven shopping centers totaling over 1.3 million square feet on 114 acres of urban land in Latino communities in Los Angeles, California.</w:t>
      </w:r>
    </w:p>
    <w:p>
      <w:pPr>
        <w:spacing w:after="0" w:line="14" w:lineRule="exact"/>
        <w:rPr>
          <w:rFonts w:ascii="Arial" w:cs="Arial" w:eastAsia="Arial" w:hAnsi="Arial"/>
          <w:sz w:val="18"/>
          <w:szCs w:val="18"/>
          <w:color w:val="auto"/>
        </w:rPr>
      </w:pPr>
    </w:p>
    <w:p>
      <w:pPr>
        <w:ind w:left="660" w:hanging="328"/>
        <w:spacing w:after="0" w:line="32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Opportunistically issued $300 million aggregate principal amount of 3.25% Notes due 2027 at an effective yield of 3.358% and an additional $100 million aggregate principal amount of 4.50% Notes due 2044 at an effective yield of 4.143%.</w:t>
      </w:r>
    </w:p>
    <w:p>
      <w:pPr>
        <w:ind w:left="660" w:hanging="328"/>
        <w:spacing w:after="0" w:line="3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the regular quarterly dividend rate on common shares to $1.00 per share, representing the 50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consecutive year of common dividend increases.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2017 FFO per diluted share guidance range to $5.86 - $5.94.</w:t>
      </w:r>
    </w:p>
    <w:p>
      <w:pPr>
        <w:spacing w:after="0" w:line="35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“We’re very pleased to deliver not only another quarter of record bottom line results but also the 50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year of consecutive dividend increases to our shareholders,” said Donald C. Wood, President and Chief Executive Office of Federal Realty. “At Federal Realty, we remain focused on positioning our portfolio for the next decade and beyond - through value creation in our existing assets, infill acquisitions which re-stock our redevelopment pipeline and our recently announced agreement to acquire seven properties located in markets where demand exceeds supply. Our business plan continues to exemplify balance and discipline as we navigate the challenging retail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517525</wp:posOffset>
            </wp:positionV>
            <wp:extent cx="138938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Financial Results</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Net income available for common shareholders was $76.2 million and earnings per diluted share was $1.05 for second quarter 2017 versus $55.8 million and $0.78, respectively, for second quarter 2016.</w:t>
      </w:r>
    </w:p>
    <w:p>
      <w:pPr>
        <w:spacing w:after="0" w:line="11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second quarter 2017, Federal Realty generated funds from operations available for common shareholders (FFO) of $108.6 million, or $1.49 per diluted share. This compares to FFO of $102.2 million, or $1.42 per diluted share, in second quarter 2016.</w:t>
      </w:r>
    </w:p>
    <w:p>
      <w:pPr>
        <w:spacing w:after="0" w:line="116"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6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In second quarter 2017, same center property operating income increased 3.9% when including properties that are being redeveloped and decreased 0.7% when excluding those properties. The vacancies impacting same center results have been released to tenants at significantly higher rents.</w:t>
      </w:r>
    </w:p>
    <w:p>
      <w:pPr>
        <w:spacing w:after="0" w:line="123"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overall portfolio was 94.5% leased as of June 30, 2017, compared to 94.6% on March 31, 2017 and 94.5% on June 30, 2016. Federal Realty’s same center portfolio was 95.9% leased on June 30, 2017, compared to 95.8% on March 31, 2017 and 95.9% on June 30, 2016.</w:t>
      </w:r>
    </w:p>
    <w:p>
      <w:pPr>
        <w:spacing w:after="0" w:line="11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During second quarter 2017, Federal Realty signed 111 leases for 432,164 square feet of retail space. On a comparable space basis (i.e., spaces for which there was a former tenant), Federal Realty leased 397,555 square feet at an average cash basis contractual rent increase (i.e., excluding the impact of straight-line rents) of 13%. The average contractual rent on this comparable space for the first year of the new leases is $45.55 per square foot compared to the average contractual rent of $40.16 per square foot for the last year of the prior leases. The previous average contractual rent was calculated by including both the minimum rent and any percentage rent actually paid during the last year of the lease term for the re-leased space. On a straight-line basis, rent increases for comparable retail space averaged 27% for second quarter 2017.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 and Recent Developments</w:t>
      </w:r>
    </w:p>
    <w:p>
      <w:pPr>
        <w:spacing w:after="0" w:line="261" w:lineRule="exact"/>
        <w:rPr>
          <w:sz w:val="20"/>
          <w:szCs w:val="20"/>
          <w:color w:val="auto"/>
        </w:rPr>
      </w:pPr>
    </w:p>
    <w:p>
      <w:pPr>
        <w:jc w:val="both"/>
        <w:ind w:left="660" w:hanging="328"/>
        <w:spacing w:after="0" w:line="3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August 1, 2017 - Federal Realty is party to a binding contract to form a new joint venture with Primestor Development Inc., the Los Angeles based owner and developer of premier retail properties serving the urban Latino communities of Southern California. The Trust will hold an approximately 90% interest in the venture. The venture will be seeded with a 100% interest in five dominant community shopping centers, plus one center under redevelopment and a 25% minority interest in a seventh shopping center. These seven properties total over 1.3 million square feet on 114 acres of urban land with tenants such as Ross Dress for Less, Marshalls, and Kroger's Food 4 Less. The Trust’s investment in the venture is expected to approximate $345 million which includes a $20 million commitment to complete the redevelopment of one of the centers.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40" w:right="239" w:bottom="1440" w:gutter="0" w:footer="0" w:header="0"/>
        </w:sectPr>
      </w:pPr>
    </w:p>
    <w:bookmarkStart w:id="7" w:name="page8"/>
    <w:bookmarkEnd w:id="7"/>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715010</wp:posOffset>
            </wp:positionV>
            <wp:extent cx="138938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jc w:val="both"/>
        <w:ind w:left="660" w:hanging="328"/>
        <w:spacing w:after="0" w:line="3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July 31, 2017 - Federal Realty announced the approval by its Board of Trustees of an increase in the regular dividend rate on its common shares to $1.00 per share per quarter resulting in an annualized dividend rate of $4.00 per share. The quarterly cash dividend will be payable on October 16, 2017 to common shareholders of record as of September 22, 2017. Federal Realty is the only real estate investment trust in the United States to have increased its common dividend every year for the last 50 years and one of only a small number of companies in any sector to accomplish such a record. The compound annual growth rate of the dividend increases over that 50 years is in excess of 7%.</w:t>
      </w:r>
    </w:p>
    <w:p>
      <w:pPr>
        <w:ind w:left="660" w:right="280" w:hanging="328"/>
        <w:spacing w:after="0" w:line="38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June 20, 2017 - Federal Realty priced its public offering of $300 million aggregate principal amount of 3.25% Notes due 2027 at an effective yield of 3.358% and an additional $100 million aggregate principal amount of 4.50% Notes due 2044 at an effective yield of</w:t>
      </w:r>
    </w:p>
    <w:p>
      <w:pPr>
        <w:ind w:left="660" w:right="220"/>
        <w:spacing w:after="0" w:line="360" w:lineRule="auto"/>
        <w:rPr>
          <w:rFonts w:ascii="Arial" w:cs="Arial" w:eastAsia="Arial" w:hAnsi="Arial"/>
          <w:sz w:val="17"/>
          <w:szCs w:val="17"/>
          <w:color w:val="auto"/>
        </w:rPr>
      </w:pPr>
      <w:r>
        <w:rPr>
          <w:rFonts w:ascii="Arial" w:cs="Arial" w:eastAsia="Arial" w:hAnsi="Arial"/>
          <w:sz w:val="18"/>
          <w:szCs w:val="18"/>
          <w:color w:val="auto"/>
        </w:rPr>
        <w:t>4.143%. The 2044 Notes have the same terms and are of the same series as the notes that Federal Realty first issued on November 14, 2014 and again on March 16, 2015. Federal Realty has a total of $550 million of such series of notes outstanding.</w:t>
      </w:r>
    </w:p>
    <w:p>
      <w:pPr>
        <w:jc w:val="both"/>
        <w:ind w:left="660" w:hanging="328"/>
        <w:spacing w:after="0" w:line="36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19, 2017 - Federal Realty acquired a 90% interest in 1700 - 1730 4th Street, a 71,000 square foot single-story, mixed-use building located on Fourth Street in Berkeley, California, one of the Bay Area’s premiere and unique street-retail districts. Current tenants include CB2, California Closets, and the offices of Ingram Books.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increased its 2017 guidance for FFO per diluted share to $5.86 to $5.94 and updated its 2017 earnings per diluted share guidance to $3.31 to $3.39.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second quarter 2017 earnings conference call, which is scheduled for Thursday, August 3, 2017 at 11:00AM ET. To participate, please call 877.445.3230 five to ten minutes prior to the call start time and use the passcode 39460118 (required). A replay of the webcast will be available on Federal Realty’s website at www.federalrealty.com. A telephonic replay of the conference call will also be available through August 10, 2017 by dialing 855.859.2056; Passcode: 39460118.</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6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8" w:name="page9"/>
    <w:bookmarkEnd w:id="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517525</wp:posOffset>
            </wp:positionV>
            <wp:extent cx="138938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jc w:val="both"/>
        <w:spacing w:after="0" w:line="364" w:lineRule="auto"/>
        <w:rPr>
          <w:sz w:val="20"/>
          <w:szCs w:val="20"/>
          <w:color w:val="auto"/>
        </w:rPr>
      </w:pPr>
      <w:r>
        <w:rPr>
          <w:rFonts w:ascii="Arial" w:cs="Arial" w:eastAsia="Arial" w:hAnsi="Arial"/>
          <w:sz w:val="18"/>
          <w:szCs w:val="18"/>
          <w:color w:val="auto"/>
        </w:rPr>
        <w:t>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99 properties include over 2,800 tenants, in over 23 million square feet, and over 1,800 residential units.</w:t>
      </w:r>
    </w:p>
    <w:p>
      <w:pPr>
        <w:spacing w:after="0" w:line="122"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50 consecutive years, the longest record in the REIT industry. Federal Realty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2017, and include the following:</w:t>
      </w:r>
    </w:p>
    <w:p>
      <w:pPr>
        <w:spacing w:after="0" w:line="125" w:lineRule="exact"/>
        <w:rPr>
          <w:sz w:val="20"/>
          <w:szCs w:val="20"/>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4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24"/>
                <w:szCs w:val="24"/>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192,935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388,243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property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208,049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197,981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415,438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396,325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78,237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79,797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17,046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96,234</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124,959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117,846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250,804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239,268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157,057</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(Loss) income from real estate partnerships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110,448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w w:val="96"/>
              </w:rPr>
              <w:t>Gain on sale of real estate and change in control of interests,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18,996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137,961</w:t>
            </w:r>
          </w:p>
        </w:tc>
        <w:tc>
          <w:tcPr>
            <w:tcW w:w="0" w:type="dxa"/>
            <w:vAlign w:val="bottom"/>
          </w:tcPr>
          <w:p>
            <w:pPr>
              <w:spacing w:after="0"/>
              <w:rPr>
                <w:sz w:val="1"/>
                <w:szCs w:val="1"/>
                <w:color w:val="auto"/>
              </w:rPr>
            </w:pPr>
          </w:p>
        </w:tc>
      </w:tr>
      <w:tr>
        <w:trPr>
          <w:trHeight w:val="243"/>
        </w:trPr>
        <w:tc>
          <w:tcPr>
            <w:tcW w:w="528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55,941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132,896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76,156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55,806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132,210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132,625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w w:val="96"/>
              </w:rPr>
              <w:t>Gain on sale of real estate and change in control of interests,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72,001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70,797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71,928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70,270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Gain on sale of real estate and change in control of interests, net</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70,974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70,451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gridSpan w:val="4"/>
          </w:tcPr>
          <w:p>
            <w:pPr>
              <w:jc w:val="right"/>
              <w:ind w:right="51"/>
              <w:spacing w:after="0" w:line="153" w:lineRule="exact"/>
              <w:rPr>
                <w:sz w:val="20"/>
                <w:szCs w:val="20"/>
                <w:color w:val="auto"/>
              </w:rPr>
            </w:pPr>
            <w:r>
              <w:rPr>
                <w:rFonts w:ascii="Arial" w:cs="Arial" w:eastAsia="Arial" w:hAnsi="Arial"/>
                <w:sz w:val="14"/>
                <w:szCs w:val="14"/>
                <w:b w:val="1"/>
                <w:bCs w:val="1"/>
                <w:color w:val="auto"/>
                <w:w w:val="90"/>
              </w:rPr>
              <w:t>(in thousands, except share and per share</w:t>
            </w:r>
          </w:p>
        </w:tc>
        <w:tc>
          <w:tcPr>
            <w:tcW w:w="0" w:type="dxa"/>
            <w:vAlign w:val="bottom"/>
          </w:tcPr>
          <w:p>
            <w:pPr>
              <w:spacing w:after="0"/>
              <w:rPr>
                <w:sz w:val="1"/>
                <w:szCs w:val="1"/>
                <w:color w:val="auto"/>
              </w:rPr>
            </w:pPr>
          </w:p>
        </w:tc>
      </w:tr>
      <w:tr>
        <w:trPr>
          <w:trHeight w:val="186"/>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5"/>
              </w:rPr>
              <w:t>Operating (including $1,265,976 and $1,226,918 of consolidated variable interest entities, 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6,371,714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6,125,957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599,260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Asset held for sale</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7,091,427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1"/>
              </w:rPr>
              <w:t>Less accumulated depreciation and amortization (including $226,193 and $209,239 of consolidated variable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(1,808,326)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5,283,101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5,029,839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96,326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29,904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210,678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208,555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5,803,503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$383,304 and $439,120 of consolidated variable interest entities,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414,891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471,117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71,590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279,316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279,151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2,377,208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1,976,594</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190,459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201,756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143,002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115,817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3,564,781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3,203,750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152,045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143,694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shd w:val="clear" w:color="auto" w:fill="CCEEFF"/>
              </w:rPr>
              <w:t>Common shares of beneficial interest, $.01 par, 100,000,000 shares authorized, 72,251,477 and 71,995,897</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2,741,803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2,718,325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(749,734)</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1,992,367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1,976,733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99,102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2,086,677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2,075,835</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5,803,503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1" w:name="page12"/>
    <w:bookmarkEnd w:id="11"/>
    <w:p>
      <w:pPr>
        <w:ind w:left="10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June 30, 2017</w:t>
      </w:r>
    </w:p>
    <w:p>
      <w:pPr>
        <w:spacing w:after="0" w:line="126"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2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24"/>
                <w:szCs w:val="24"/>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(in thousands, except per share data)</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20" w:type="dxa"/>
            <w:vAlign w:val="bottom"/>
            <w:shd w:val="clear" w:color="auto" w:fill="CCEEFF"/>
          </w:tcPr>
          <w:p>
            <w:pPr>
              <w:spacing w:after="0"/>
              <w:rPr>
                <w:sz w:val="22"/>
                <w:szCs w:val="22"/>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78,133</w:t>
            </w: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58,898</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136,203</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137,961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(5,065)</w:t>
            </w: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(18,814)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(18,884)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(26,427)</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45,634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90,316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84,027</w:t>
            </w: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5,066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9,750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8,469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108,177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101,804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213,663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198,965</w:t>
            </w: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Dividends on preferred shares (2)</w:t>
            </w:r>
          </w:p>
        </w:tc>
        <w:tc>
          <w:tcPr>
            <w:tcW w:w="26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(271)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1,647</w:t>
            </w: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(569)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1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FFO</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108,603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102,197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214,523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199,772</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61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Weighted average number of common shares, diluted</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73,019</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71,816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72,956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71,327</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2.80</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Summary of Capital Expenditures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Non-maintenance capital expenditures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109,821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215,647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165,221</w:t>
            </w:r>
          </w:p>
        </w:tc>
      </w:tr>
      <w:tr>
        <w:trPr>
          <w:trHeight w:val="243"/>
        </w:trPr>
        <w:tc>
          <w:tcPr>
            <w:tcW w:w="20" w:type="dxa"/>
            <w:vAlign w:val="bottom"/>
          </w:tcPr>
          <w:p>
            <w:pPr>
              <w:spacing w:after="0"/>
              <w:rPr>
                <w:sz w:val="21"/>
                <w:szCs w:val="21"/>
                <w:color w:val="auto"/>
              </w:rPr>
            </w:pPr>
          </w:p>
        </w:tc>
        <w:tc>
          <w:tcPr>
            <w:tcW w:w="6180" w:type="dxa"/>
            <w:vAlign w:val="bottom"/>
            <w:gridSpan w:val="4"/>
          </w:tcPr>
          <w:p>
            <w:pPr>
              <w:ind w:left="360"/>
              <w:spacing w:after="0"/>
              <w:rPr>
                <w:sz w:val="20"/>
                <w:szCs w:val="20"/>
                <w:color w:val="auto"/>
              </w:rPr>
            </w:pPr>
            <w:r>
              <w:rPr>
                <w:rFonts w:ascii="Arial" w:cs="Arial" w:eastAsia="Arial" w:hAnsi="Arial"/>
                <w:sz w:val="18"/>
                <w:szCs w:val="18"/>
                <w:color w:val="auto"/>
              </w:rPr>
              <w:t>Tenant improvements and incentives</w:t>
            </w:r>
          </w:p>
        </w:tc>
        <w:tc>
          <w:tcPr>
            <w:tcW w:w="26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12,587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21,737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15,428</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122,408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237,384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180,649</w:t>
            </w:r>
          </w:p>
        </w:tc>
      </w:tr>
      <w:tr>
        <w:trPr>
          <w:trHeight w:val="243"/>
        </w:trPr>
        <w:tc>
          <w:tcPr>
            <w:tcW w:w="20" w:type="dxa"/>
            <w:vAlign w:val="bottom"/>
          </w:tcPr>
          <w:p>
            <w:pPr>
              <w:spacing w:after="0"/>
              <w:rPr>
                <w:sz w:val="21"/>
                <w:szCs w:val="21"/>
                <w:color w:val="auto"/>
              </w:rPr>
            </w:pPr>
          </w:p>
        </w:tc>
        <w:tc>
          <w:tcPr>
            <w:tcW w:w="6180" w:type="dxa"/>
            <w:vAlign w:val="bottom"/>
            <w:gridSpan w:val="4"/>
          </w:tcPr>
          <w:p>
            <w:pPr>
              <w:ind w:left="36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6,471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5,492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7,181</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128,879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109,174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247,282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187,830</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Dividends and Payout Ratios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Regular common dividends declared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70,755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67,018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141,451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133,589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Dividend payout ratio as a percentage of FFO</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660" w:right="100" w:hanging="652"/>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and six months ended June 30, 2017, dividends on preferred stock are not deducted in the calculation of FFO, as the related shares are dilutive and included in "weighted average common shares, diluted."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742" w:right="29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73,039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72,186</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126.39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165.55</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9,231,399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11,950,392</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9,241,399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11,960,392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3,142,988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2,664,953</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12,384,387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14,625,345</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market price per common share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3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include 787,962 and 768,765 operating partnership units outstanding at June 30, 2017 and 2016,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Total debt includes capital leases, mortgages payable, notes payable, senior notes and debentures, net of premiums and discounts from our consolidated balance </w:t>
      </w:r>
      <w:r>
        <w:rPr>
          <w:rFonts w:ascii="Arial" w:cs="Arial" w:eastAsia="Arial" w:hAnsi="Arial"/>
          <w:sz w:val="12"/>
          <w:szCs w:val="12"/>
          <w:color w:val="auto"/>
        </w:rPr>
        <w:t>sheet.</w:t>
      </w:r>
    </w:p>
    <w:p>
      <w:pPr>
        <w:spacing w:after="0" w:line="95"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2016</w:t>
            </w:r>
          </w:p>
        </w:tc>
      </w:tr>
      <w:tr>
        <w:trPr>
          <w:trHeight w:val="264"/>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144,276</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137,432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286,419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272,018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23,590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39,877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36,637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81,395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78,439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8,715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8,645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204,246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192,935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408,693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388,243</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40" w:hanging="652"/>
        <w:spacing w:after="0" w:line="25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$3.8 million and $2.7 million for the three months ended June 30, 2017 and 2016, respectively, and $7.4 million and $4.7 million for the six months ended June 30, 2017 and 2016, respectively, to recognize minimum rents on a straight-line basis. In addition, minimum rents include $1.3 million and $0.4 million for the three months ended June 30, 2017 and 2016, respectively, and $2.4 million and $0.7 million for the six months ended June 30, 2017 and 2016,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As of June 30, 2017</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Mortgages Payable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10/1/2017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42,004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Grove at Shrewsbury (West)</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3/1/2018</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10,670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5/1/2019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21,053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Shops at Sunset Place</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9/1/2020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67,628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29th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1/31/2021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AVENUE at White Marsh</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1/1/2022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1/10/2022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71,898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Plaza El Segundo</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6/5/2027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Chelsea</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6,423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413,330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414,891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Term loan (1)</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+ 0.90%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5,141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Revolving credit facility (2)</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4/20/2020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+ 0.825%</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280,141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rPr>
              <w:t>Net unamortized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notes payable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279,316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2.98%</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i w:val="1"/>
                <w:iCs w:val="1"/>
                <w:color w:val="auto"/>
                <w:w w:val="97"/>
              </w:rPr>
              <w:t>Unsecured fixed rate</w:t>
            </w:r>
          </w:p>
        </w:tc>
        <w:tc>
          <w:tcPr>
            <w:tcW w:w="2420" w:type="dxa"/>
            <w:vAlign w:val="bottom"/>
            <w:tcBorders>
              <w:top w:val="single" w:sz="8" w:color="CCEEFF"/>
            </w:tcBorders>
            <w:gridSpan w:val="2"/>
          </w:tcPr>
          <w:p>
            <w:pPr>
              <w:spacing w:after="0"/>
              <w:rPr>
                <w:sz w:val="20"/>
                <w:szCs w:val="20"/>
                <w:color w:val="auto"/>
              </w:rPr>
            </w:pPr>
          </w:p>
        </w:tc>
        <w:tc>
          <w:tcPr>
            <w:tcW w:w="17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5.90%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4/1/2020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2.55%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2.75%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7.48% debentures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7/15/2027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6.82% medium term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3.625%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8/1/2046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3.625%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2,394,200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2"/>
              </w:rPr>
              <w:t>Net unamortized discount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(16,992)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2,377,208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1"/>
              </w:rPr>
              <w:t>Capital lease obligations</w:t>
            </w:r>
          </w:p>
        </w:tc>
        <w:tc>
          <w:tcPr>
            <w:tcW w:w="2640" w:type="dxa"/>
            <w:vAlign w:val="bottom"/>
            <w:tcBorders>
              <w:bottom w:val="single" w:sz="8" w:color="CCEEFF"/>
            </w:tcBorders>
            <w:gridSpan w:val="3"/>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2106</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71,573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8.04%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3,142,988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3,142,988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variable rate debt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3,142,988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19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747" w:right="239" w:bottom="190" w:gutter="0" w:footer="0" w:header="0"/>
          <w:type w:val="continuous"/>
        </w:sectPr>
      </w:pPr>
    </w:p>
    <w:bookmarkStart w:id="15" w:name="page16"/>
    <w:bookmarkEnd w:id="15"/>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0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2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6"/>
              </w:rPr>
              <w:t>June 30,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center"/>
              <w:ind w:left="584"/>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60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Operational Statistics</w:t>
            </w:r>
          </w:p>
        </w:tc>
        <w:tc>
          <w:tcPr>
            <w:tcW w:w="60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400" w:type="dxa"/>
            <w:vAlign w:val="bottom"/>
            <w:gridSpan w:val="2"/>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(5)</w:t>
            </w:r>
          </w:p>
        </w:tc>
        <w:tc>
          <w:tcPr>
            <w:tcW w:w="1280" w:type="dxa"/>
            <w:vAlign w:val="bottom"/>
            <w:gridSpan w:val="3"/>
          </w:tcPr>
          <w:p>
            <w:pPr>
              <w:ind w:left="520"/>
              <w:spacing w:after="0"/>
              <w:rPr>
                <w:sz w:val="20"/>
                <w:szCs w:val="20"/>
                <w:color w:val="auto"/>
              </w:rPr>
            </w:pPr>
            <w:r>
              <w:rPr>
                <w:rFonts w:ascii="Arial" w:cs="Arial" w:eastAsia="Arial" w:hAnsi="Arial"/>
                <w:sz w:val="16"/>
                <w:szCs w:val="16"/>
                <w:color w:val="auto"/>
              </w:rPr>
              <w:t>5.11x</w:t>
            </w:r>
          </w:p>
        </w:tc>
        <w:tc>
          <w:tcPr>
            <w:tcW w:w="780" w:type="dxa"/>
            <w:vAlign w:val="bottom"/>
            <w:gridSpan w:val="2"/>
          </w:tcPr>
          <w:p>
            <w:pPr>
              <w:ind w:left="280"/>
              <w:spacing w:after="0"/>
              <w:rPr>
                <w:sz w:val="20"/>
                <w:szCs w:val="20"/>
                <w:color w:val="auto"/>
              </w:rPr>
            </w:pPr>
            <w:r>
              <w:rPr>
                <w:rFonts w:ascii="Arial" w:cs="Arial" w:eastAsia="Arial" w:hAnsi="Arial"/>
                <w:sz w:val="16"/>
                <w:szCs w:val="16"/>
                <w:color w:val="auto"/>
              </w:rPr>
              <w:t>4.70x</w:t>
            </w:r>
          </w:p>
        </w:tc>
        <w:tc>
          <w:tcPr>
            <w:tcW w:w="1260" w:type="dxa"/>
            <w:vAlign w:val="bottom"/>
          </w:tcPr>
          <w:p>
            <w:pPr>
              <w:ind w:left="500"/>
              <w:spacing w:after="0"/>
              <w:rPr>
                <w:sz w:val="20"/>
                <w:szCs w:val="20"/>
                <w:color w:val="auto"/>
              </w:rPr>
            </w:pPr>
            <w:r>
              <w:rPr>
                <w:rFonts w:ascii="Arial" w:cs="Arial" w:eastAsia="Arial" w:hAnsi="Arial"/>
                <w:sz w:val="16"/>
                <w:szCs w:val="16"/>
                <w:color w:val="auto"/>
              </w:rPr>
              <w:t>4.80x</w:t>
            </w:r>
          </w:p>
        </w:tc>
        <w:tc>
          <w:tcPr>
            <w:tcW w:w="660" w:type="dxa"/>
            <w:vAlign w:val="bottom"/>
          </w:tcPr>
          <w:p>
            <w:pPr>
              <w:ind w:left="260"/>
              <w:spacing w:after="0"/>
              <w:rPr>
                <w:sz w:val="20"/>
                <w:szCs w:val="20"/>
                <w:color w:val="auto"/>
              </w:rPr>
            </w:pPr>
            <w:r>
              <w:rPr>
                <w:rFonts w:ascii="Arial" w:cs="Arial" w:eastAsia="Arial" w:hAnsi="Arial"/>
                <w:sz w:val="16"/>
                <w:szCs w:val="16"/>
                <w:color w:val="auto"/>
                <w:w w:val="96"/>
              </w:rPr>
              <w:t>5.04x</w:t>
            </w: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(5)</w:t>
            </w:r>
          </w:p>
        </w:tc>
        <w:tc>
          <w:tcPr>
            <w:tcW w:w="12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4.43x</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4.63x</w:t>
            </w:r>
          </w:p>
        </w:tc>
        <w:tc>
          <w:tcPr>
            <w:tcW w:w="1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4.45x</w:t>
            </w:r>
          </w:p>
        </w:tc>
        <w:tc>
          <w:tcPr>
            <w:tcW w:w="6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6"/>
              </w:rPr>
              <w:t>4.55x</w:t>
            </w:r>
          </w:p>
        </w:tc>
      </w:tr>
      <w:tr>
        <w:trPr>
          <w:trHeight w:val="33"/>
        </w:trPr>
        <w:tc>
          <w:tcPr>
            <w:tcW w:w="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16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30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both the three and six months ended June 30, 2017, was $344.0 million. The weighted average interest rate on borrowings under our revolving credit facility, before amortization of debt fees, for both the three and six months ended June 30, 2017, was 1.8%.</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4.</w:t>
      </w:r>
    </w:p>
    <w:p>
      <w:pPr>
        <w:spacing w:after="0" w:line="55" w:lineRule="exact"/>
        <w:rPr>
          <w:rFonts w:ascii="Arial" w:cs="Arial" w:eastAsia="Arial" w:hAnsi="Arial"/>
          <w:sz w:val="14"/>
          <w:szCs w:val="14"/>
          <w:color w:val="auto"/>
        </w:rPr>
      </w:pPr>
    </w:p>
    <w:p>
      <w:pPr>
        <w:ind w:left="660" w:right="4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outstanding balance on June 30, 2017. In addition, the weighted average effective interest rate is calculated using the fixed rate on our term loan of 2.62% as the result of the interest rate swap agreements discussed in Note 1. The term loan is included in fixed rate debt.</w:t>
      </w:r>
    </w:p>
    <w:p>
      <w:pPr>
        <w:spacing w:after="0" w:line="23" w:lineRule="exact"/>
        <w:rPr>
          <w:rFonts w:ascii="Arial" w:cs="Arial" w:eastAsia="Arial" w:hAnsi="Arial"/>
          <w:sz w:val="14"/>
          <w:szCs w:val="14"/>
          <w:color w:val="auto"/>
        </w:rPr>
      </w:pPr>
    </w:p>
    <w:p>
      <w:pPr>
        <w:ind w:left="660" w:right="40" w:hanging="652"/>
        <w:spacing w:after="0" w:line="286"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Fixed charges consist of interest on borrowed funds (including capitalized interest), amortization of debt discount/premium and debt costs, and the portion of rent expense representing an interest factor. EBITDA includes a gain on sale of real estate and change in control of interests of $20.7 million and $1.8 million for the three months ended June 30, 2017 and 2016, respectively, and $20.9 million and $27.5 million for the six months ended June 30, 2017 and 2016, respectively. Adjusted EBITDA is reconciled to net income in the Glossary of Terms.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3,115</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41,732</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44,847</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5,525</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285,502</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291,027</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5,455</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20,160</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25,615</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4,769</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210,593</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215,362</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3,110</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253,625</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256,735</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1,237</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366,323</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367,560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38.0%</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330,010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331,247</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1,003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301,003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58.0%</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2026</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29,200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29,690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59.0%</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19,115</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1,276,500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1,295,615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45,599</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3,113,645</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263" w:lineRule="exact"/>
              <w:rPr>
                <w:sz w:val="20"/>
                <w:szCs w:val="20"/>
                <w:color w:val="auto"/>
              </w:rPr>
            </w:pPr>
            <w:r>
              <w:rPr>
                <w:rFonts w:ascii="Arial" w:cs="Arial" w:eastAsia="Arial" w:hAnsi="Arial"/>
                <w:sz w:val="18"/>
                <w:szCs w:val="18"/>
                <w:color w:val="auto"/>
              </w:rPr>
              <w:t xml:space="preserve">3,159,244  </w:t>
            </w:r>
            <w:r>
              <w:rPr>
                <w:rFonts w:ascii="Arial" w:cs="Arial" w:eastAsia="Arial" w:hAnsi="Arial"/>
                <w:sz w:val="28"/>
                <w:szCs w:val="28"/>
                <w:color w:val="auto"/>
                <w:vertAlign w:val="subscript"/>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$275.0 million unsecured term loan matures on November 21, 2018, subject to a one-year extension at our option.</w:t>
      </w:r>
    </w:p>
    <w:p>
      <w:pPr>
        <w:spacing w:after="0" w:line="59" w:lineRule="exact"/>
        <w:rPr>
          <w:rFonts w:ascii="Arial" w:cs="Arial" w:eastAsia="Arial" w:hAnsi="Arial"/>
          <w:sz w:val="16"/>
          <w:szCs w:val="16"/>
          <w:color w:val="auto"/>
        </w:rPr>
      </w:pPr>
    </w:p>
    <w:p>
      <w:pPr>
        <w:ind w:left="660" w:right="10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June 30, 2017, there was no balance outstanding under this credit facility.</w:t>
      </w:r>
    </w:p>
    <w:p>
      <w:pPr>
        <w:spacing w:after="0" w:line="10" w:lineRule="exact"/>
        <w:rPr>
          <w:rFonts w:ascii="Arial" w:cs="Arial" w:eastAsia="Arial" w:hAnsi="Arial"/>
          <w:sz w:val="16"/>
          <w:szCs w:val="16"/>
          <w:color w:val="auto"/>
        </w:rPr>
      </w:pPr>
    </w:p>
    <w:p>
      <w:pPr>
        <w:ind w:left="660" w:right="16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premium/(discount) and debt issuance costs on certain mortgage loans, notes payable, and senior notes as of June 30, 2017.</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2017</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Property</w:t>
            </w:r>
          </w:p>
        </w:tc>
        <w:tc>
          <w:tcPr>
            <w:tcW w:w="14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Location</w:t>
            </w:r>
          </w:p>
        </w:tc>
        <w:tc>
          <w:tcPr>
            <w:tcW w:w="478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Opportunity</w:t>
            </w: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2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The Point</w:t>
            </w: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El Segundo, CA</w:t>
            </w: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w w:val="99"/>
              </w:rPr>
              <w:t>Addition of 90,000 square feet of retail and 25,000 square feet of office space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47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6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Cocowalk</w:t>
            </w:r>
          </w:p>
        </w:tc>
        <w:tc>
          <w:tcPr>
            <w:tcW w:w="1480" w:type="dxa"/>
            <w:vAlign w:val="bottom"/>
          </w:tcPr>
          <w:p>
            <w:pPr>
              <w:spacing w:after="0" w:line="157" w:lineRule="exact"/>
              <w:rPr>
                <w:sz w:val="20"/>
                <w:szCs w:val="20"/>
                <w:color w:val="auto"/>
              </w:rPr>
            </w:pPr>
            <w:r>
              <w:rPr>
                <w:rFonts w:ascii="Arial" w:cs="Arial" w:eastAsia="Arial" w:hAnsi="Arial"/>
                <w:sz w:val="14"/>
                <w:szCs w:val="14"/>
                <w:color w:val="auto"/>
              </w:rPr>
              <w:t>Coconut Grove, FL</w:t>
            </w:r>
          </w:p>
        </w:tc>
        <w:tc>
          <w:tcPr>
            <w:tcW w:w="4780" w:type="dxa"/>
            <w:vAlign w:val="bottom"/>
          </w:tcPr>
          <w:p>
            <w:pPr>
              <w:spacing w:after="0" w:line="157" w:lineRule="exact"/>
              <w:rPr>
                <w:sz w:val="20"/>
                <w:szCs w:val="20"/>
                <w:color w:val="auto"/>
              </w:rPr>
            </w:pPr>
            <w:r>
              <w:rPr>
                <w:rFonts w:ascii="Arial" w:cs="Arial" w:eastAsia="Arial" w:hAnsi="Arial"/>
                <w:sz w:val="14"/>
                <w:szCs w:val="14"/>
                <w:color w:val="auto"/>
                <w:w w:val="96"/>
              </w:rPr>
              <w:t>Shopping center redevelopment to include demolition of three story east wing of</w:t>
            </w:r>
          </w:p>
        </w:tc>
        <w:tc>
          <w:tcPr>
            <w:tcW w:w="840" w:type="dxa"/>
            <w:vAlign w:val="bottom"/>
          </w:tcPr>
          <w:p>
            <w:pPr>
              <w:jc w:val="right"/>
              <w:ind w:right="88"/>
              <w:spacing w:after="0" w:line="157" w:lineRule="exact"/>
              <w:rPr>
                <w:sz w:val="20"/>
                <w:szCs w:val="20"/>
                <w:color w:val="auto"/>
              </w:rPr>
            </w:pPr>
            <w:r>
              <w:rPr>
                <w:rFonts w:ascii="Arial" w:cs="Arial" w:eastAsia="Arial" w:hAnsi="Arial"/>
                <w:sz w:val="14"/>
                <w:szCs w:val="14"/>
                <w:color w:val="auto"/>
              </w:rPr>
              <w:t>6%-7%</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$73-$77</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w w:val="96"/>
              </w:rPr>
              <w:t>the property and construction of a 77,000 square foot 5-story office building with</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an additional 13,000 square feet of ground floor retail</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Towson Residential</w:t>
            </w: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Towson, MD</w:t>
            </w: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New 105 unit 5-story apartment building with above grade parking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47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6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Plaza Del Mercado</w:t>
            </w:r>
          </w:p>
        </w:tc>
        <w:tc>
          <w:tcPr>
            <w:tcW w:w="1480" w:type="dxa"/>
            <w:vAlign w:val="bottom"/>
          </w:tcPr>
          <w:p>
            <w:pPr>
              <w:spacing w:after="0" w:line="157" w:lineRule="exact"/>
              <w:rPr>
                <w:sz w:val="20"/>
                <w:szCs w:val="20"/>
                <w:color w:val="auto"/>
              </w:rPr>
            </w:pPr>
            <w:r>
              <w:rPr>
                <w:rFonts w:ascii="Arial" w:cs="Arial" w:eastAsia="Arial" w:hAnsi="Arial"/>
                <w:sz w:val="14"/>
                <w:szCs w:val="14"/>
                <w:color w:val="auto"/>
              </w:rPr>
              <w:t>Silver Spring, MD</w:t>
            </w:r>
          </w:p>
        </w:tc>
        <w:tc>
          <w:tcPr>
            <w:tcW w:w="4780" w:type="dxa"/>
            <w:vAlign w:val="bottom"/>
          </w:tcPr>
          <w:p>
            <w:pPr>
              <w:spacing w:after="0" w:line="157" w:lineRule="exact"/>
              <w:rPr>
                <w:sz w:val="20"/>
                <w:szCs w:val="20"/>
                <w:color w:val="auto"/>
              </w:rPr>
            </w:pPr>
            <w:r>
              <w:rPr>
                <w:rFonts w:ascii="Arial" w:cs="Arial" w:eastAsia="Arial" w:hAnsi="Arial"/>
                <w:sz w:val="14"/>
                <w:szCs w:val="14"/>
                <w:color w:val="auto"/>
                <w:w w:val="97"/>
              </w:rPr>
              <w:t>Demolition of former grocery anchor space to construct spaces for new grocery</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$15</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$15</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anchor and fitness center tenants</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Tower Shops</w:t>
            </w: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Davie, FL</w:t>
            </w: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Addition of 50,000 square foot pad building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47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6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480" w:type="dxa"/>
            <w:vAlign w:val="bottom"/>
          </w:tcPr>
          <w:p>
            <w:pPr>
              <w:spacing w:after="0" w:line="157" w:lineRule="exact"/>
              <w:rPr>
                <w:sz w:val="20"/>
                <w:szCs w:val="20"/>
                <w:color w:val="auto"/>
              </w:rPr>
            </w:pPr>
            <w:r>
              <w:rPr>
                <w:rFonts w:ascii="Arial" w:cs="Arial" w:eastAsia="Arial" w:hAnsi="Arial"/>
                <w:sz w:val="14"/>
                <w:szCs w:val="14"/>
                <w:color w:val="auto"/>
              </w:rPr>
              <w:t>Boca Raton, FL</w:t>
            </w:r>
          </w:p>
        </w:tc>
        <w:tc>
          <w:tcPr>
            <w:tcW w:w="4780" w:type="dxa"/>
            <w:vAlign w:val="bottom"/>
          </w:tcPr>
          <w:p>
            <w:pPr>
              <w:spacing w:after="0" w:line="157" w:lineRule="exact"/>
              <w:rPr>
                <w:sz w:val="20"/>
                <w:szCs w:val="20"/>
                <w:color w:val="auto"/>
              </w:rPr>
            </w:pPr>
            <w:r>
              <w:rPr>
                <w:rFonts w:ascii="Arial" w:cs="Arial" w:eastAsia="Arial" w:hAnsi="Arial"/>
                <w:sz w:val="14"/>
                <w:szCs w:val="14"/>
                <w:color w:val="auto"/>
                <w:w w:val="96"/>
              </w:rPr>
              <w:t>Demolition of small shop spaces and relocation of tenants to accommodate new</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$11</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$5</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37,000 square foot fitness center tenant</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Montrose Crossing</w:t>
            </w: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Rockville, MD</w:t>
            </w: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Demolition of 10,000 square foot restaurant building to construct an 18,000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square foot multi-tenant pad building</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gridSpan w:val="2"/>
          </w:tcPr>
          <w:p>
            <w:pPr>
              <w:ind w:left="40"/>
              <w:spacing w:after="0"/>
              <w:rPr>
                <w:sz w:val="20"/>
                <w:szCs w:val="20"/>
                <w:color w:val="auto"/>
              </w:rPr>
            </w:pPr>
            <w:r>
              <w:rPr>
                <w:rFonts w:ascii="Arial" w:cs="Arial" w:eastAsia="Arial" w:hAnsi="Arial"/>
                <w:sz w:val="14"/>
                <w:szCs w:val="14"/>
                <w:color w:val="auto"/>
              </w:rPr>
              <w:t>Pike 7</w:t>
            </w:r>
          </w:p>
        </w:tc>
        <w:tc>
          <w:tcPr>
            <w:tcW w:w="1480" w:type="dxa"/>
            <w:vAlign w:val="bottom"/>
          </w:tcPr>
          <w:p>
            <w:pPr>
              <w:spacing w:after="0"/>
              <w:rPr>
                <w:sz w:val="20"/>
                <w:szCs w:val="20"/>
                <w:color w:val="auto"/>
              </w:rPr>
            </w:pPr>
            <w:r>
              <w:rPr>
                <w:rFonts w:ascii="Arial" w:cs="Arial" w:eastAsia="Arial" w:hAnsi="Arial"/>
                <w:sz w:val="14"/>
                <w:szCs w:val="14"/>
                <w:color w:val="auto"/>
              </w:rPr>
              <w:t>Vienna, VA</w:t>
            </w:r>
          </w:p>
        </w:tc>
        <w:tc>
          <w:tcPr>
            <w:tcW w:w="4780" w:type="dxa"/>
            <w:vAlign w:val="bottom"/>
          </w:tcPr>
          <w:p>
            <w:pPr>
              <w:spacing w:after="0"/>
              <w:rPr>
                <w:sz w:val="20"/>
                <w:szCs w:val="20"/>
                <w:color w:val="auto"/>
              </w:rPr>
            </w:pPr>
            <w:r>
              <w:rPr>
                <w:rFonts w:ascii="Arial" w:cs="Arial" w:eastAsia="Arial" w:hAnsi="Arial"/>
                <w:sz w:val="14"/>
                <w:szCs w:val="14"/>
                <w:color w:val="auto"/>
              </w:rPr>
              <w:t>Addition of 8,300 square foot multi-tenant retail pad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4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Willow Lawn</w:t>
            </w:r>
          </w:p>
        </w:tc>
        <w:tc>
          <w:tcPr>
            <w:tcW w:w="14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Richmond, VA</w:t>
            </w:r>
          </w:p>
        </w:tc>
        <w:tc>
          <w:tcPr>
            <w:tcW w:w="47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4"/>
                <w:shd w:val="clear" w:color="auto" w:fill="CCEEFF"/>
              </w:rPr>
              <w:t>Demolition of small shop and mini anchor spaces to construct new 49,000 square</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shd w:val="clear" w:color="auto" w:fill="CCEEFF"/>
              </w:rPr>
              <w:t>2018</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shd w:val="clear" w:color="auto" w:fill="CCEEFF"/>
              </w:rPr>
              <w:t>foot anchor space to accommodate new sporting goods retailer and new 17,000</w:t>
            </w: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square foot building for relocation of existing tenant</w:t>
            </w:r>
          </w:p>
        </w:tc>
        <w:tc>
          <w:tcPr>
            <w:tcW w:w="8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Mercer Mall</w:t>
            </w:r>
          </w:p>
        </w:tc>
        <w:tc>
          <w:tcPr>
            <w:tcW w:w="1480" w:type="dxa"/>
            <w:vAlign w:val="bottom"/>
          </w:tcPr>
          <w:p>
            <w:pPr>
              <w:spacing w:after="0" w:line="157" w:lineRule="exact"/>
              <w:rPr>
                <w:sz w:val="20"/>
                <w:szCs w:val="20"/>
                <w:color w:val="auto"/>
              </w:rPr>
            </w:pPr>
            <w:r>
              <w:rPr>
                <w:rFonts w:ascii="Arial" w:cs="Arial" w:eastAsia="Arial" w:hAnsi="Arial"/>
                <w:sz w:val="14"/>
                <w:szCs w:val="14"/>
                <w:color w:val="auto"/>
              </w:rPr>
              <w:t>Lawrenceville, NJ</w:t>
            </w:r>
          </w:p>
        </w:tc>
        <w:tc>
          <w:tcPr>
            <w:tcW w:w="4780" w:type="dxa"/>
            <w:vAlign w:val="bottom"/>
          </w:tcPr>
          <w:p>
            <w:pPr>
              <w:spacing w:after="0" w:line="157" w:lineRule="exact"/>
              <w:rPr>
                <w:sz w:val="20"/>
                <w:szCs w:val="20"/>
                <w:color w:val="auto"/>
              </w:rPr>
            </w:pPr>
            <w:r>
              <w:rPr>
                <w:rFonts w:ascii="Arial" w:cs="Arial" w:eastAsia="Arial" w:hAnsi="Arial"/>
                <w:sz w:val="14"/>
                <w:szCs w:val="14"/>
                <w:color w:val="auto"/>
                <w:w w:val="96"/>
              </w:rPr>
              <w:t>Redevelopment of recently acquired office building pre-leased to a single tenant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$9</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user</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The AVENUE at White</w:t>
            </w: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White Marsh, MD</w:t>
            </w: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w w:val="98"/>
              </w:rPr>
              <w:t>Addition of two new pad sites totaling 13,000 square feet, a new 3,600 square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Marsh</w:t>
            </w:r>
          </w:p>
        </w:tc>
        <w:tc>
          <w:tcPr>
            <w:tcW w:w="148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foot restaurant building, and a drive up ATM</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gridSpan w:val="2"/>
          </w:tcPr>
          <w:p>
            <w:pPr>
              <w:ind w:left="40"/>
              <w:spacing w:after="0"/>
              <w:rPr>
                <w:sz w:val="20"/>
                <w:szCs w:val="20"/>
                <w:color w:val="auto"/>
              </w:rPr>
            </w:pPr>
            <w:r>
              <w:rPr>
                <w:rFonts w:ascii="Arial" w:cs="Arial" w:eastAsia="Arial" w:hAnsi="Arial"/>
                <w:sz w:val="14"/>
                <w:szCs w:val="14"/>
                <w:color w:val="auto"/>
              </w:rPr>
              <w:t>Santana Row</w:t>
            </w:r>
          </w:p>
        </w:tc>
        <w:tc>
          <w:tcPr>
            <w:tcW w:w="1480" w:type="dxa"/>
            <w:vAlign w:val="bottom"/>
          </w:tcPr>
          <w:p>
            <w:pPr>
              <w:spacing w:after="0"/>
              <w:rPr>
                <w:sz w:val="20"/>
                <w:szCs w:val="20"/>
                <w:color w:val="auto"/>
              </w:rPr>
            </w:pPr>
            <w:r>
              <w:rPr>
                <w:rFonts w:ascii="Arial" w:cs="Arial" w:eastAsia="Arial" w:hAnsi="Arial"/>
                <w:sz w:val="14"/>
                <w:szCs w:val="14"/>
                <w:color w:val="auto"/>
              </w:rPr>
              <w:t>San Jose, CA</w:t>
            </w:r>
          </w:p>
        </w:tc>
        <w:tc>
          <w:tcPr>
            <w:tcW w:w="4780" w:type="dxa"/>
            <w:vAlign w:val="bottom"/>
          </w:tcPr>
          <w:p>
            <w:pPr>
              <w:spacing w:after="0"/>
              <w:rPr>
                <w:sz w:val="20"/>
                <w:szCs w:val="20"/>
                <w:color w:val="auto"/>
              </w:rPr>
            </w:pPr>
            <w:r>
              <w:rPr>
                <w:rFonts w:ascii="Arial" w:cs="Arial" w:eastAsia="Arial" w:hAnsi="Arial"/>
                <w:sz w:val="14"/>
                <w:szCs w:val="14"/>
                <w:color w:val="auto"/>
              </w:rPr>
              <w:t>Addition of two retail kiosks and open air plaza upgrades</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4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64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Free State Shopping</w:t>
            </w:r>
          </w:p>
        </w:tc>
        <w:tc>
          <w:tcPr>
            <w:tcW w:w="14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Bowie, MD</w:t>
            </w:r>
          </w:p>
        </w:tc>
        <w:tc>
          <w:tcPr>
            <w:tcW w:w="47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6"/>
              </w:rPr>
              <w:t>Demolition of 26,000 square foot vacant building to allow for construction of new</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148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12,500 square foot pad building for new daycare tenant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gridSpan w:val="2"/>
          </w:tcPr>
          <w:p>
            <w:pPr>
              <w:ind w:left="40"/>
              <w:spacing w:after="0"/>
              <w:rPr>
                <w:sz w:val="20"/>
                <w:szCs w:val="20"/>
                <w:color w:val="auto"/>
              </w:rPr>
            </w:pPr>
            <w:r>
              <w:rPr>
                <w:rFonts w:ascii="Arial" w:cs="Arial" w:eastAsia="Arial" w:hAnsi="Arial"/>
                <w:sz w:val="14"/>
                <w:szCs w:val="14"/>
                <w:color w:val="auto"/>
              </w:rPr>
              <w:t>Eastgate Crossing</w:t>
            </w:r>
          </w:p>
        </w:tc>
        <w:tc>
          <w:tcPr>
            <w:tcW w:w="1480" w:type="dxa"/>
            <w:vAlign w:val="bottom"/>
          </w:tcPr>
          <w:p>
            <w:pPr>
              <w:spacing w:after="0"/>
              <w:rPr>
                <w:sz w:val="20"/>
                <w:szCs w:val="20"/>
                <w:color w:val="auto"/>
              </w:rPr>
            </w:pPr>
            <w:r>
              <w:rPr>
                <w:rFonts w:ascii="Arial" w:cs="Arial" w:eastAsia="Arial" w:hAnsi="Arial"/>
                <w:sz w:val="14"/>
                <w:szCs w:val="14"/>
                <w:color w:val="auto"/>
              </w:rPr>
              <w:t>Chapel Hill, NC</w:t>
            </w:r>
          </w:p>
        </w:tc>
        <w:tc>
          <w:tcPr>
            <w:tcW w:w="4780" w:type="dxa"/>
            <w:vAlign w:val="bottom"/>
          </w:tcPr>
          <w:p>
            <w:pPr>
              <w:spacing w:after="0"/>
              <w:rPr>
                <w:sz w:val="20"/>
                <w:szCs w:val="20"/>
                <w:color w:val="auto"/>
              </w:rPr>
            </w:pPr>
            <w:r>
              <w:rPr>
                <w:rFonts w:ascii="Arial" w:cs="Arial" w:eastAsia="Arial" w:hAnsi="Arial"/>
                <w:sz w:val="14"/>
                <w:szCs w:val="14"/>
                <w:color w:val="auto"/>
                <w:w w:val="98"/>
              </w:rPr>
              <w:t>New 7,400 square foot multi-tenant pad building on site of existing gas station</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40" w:type="dxa"/>
            <w:vAlign w:val="bottom"/>
            <w:tcBorders>
              <w:bottom w:val="single" w:sz="8" w:color="CCEEFF"/>
            </w:tcBorders>
          </w:tcPr>
          <w:p>
            <w:pPr>
              <w:spacing w:after="0"/>
              <w:rPr>
                <w:sz w:val="6"/>
                <w:szCs w:val="6"/>
                <w:color w:val="auto"/>
              </w:rPr>
            </w:pPr>
          </w:p>
        </w:tc>
        <w:tc>
          <w:tcPr>
            <w:tcW w:w="1600" w:type="dxa"/>
            <w:vAlign w:val="bottom"/>
            <w:tcBorders>
              <w:bottom w:val="single" w:sz="8" w:color="CCEEFF"/>
            </w:tcBorders>
          </w:tcPr>
          <w:p>
            <w:pPr>
              <w:spacing w:after="0"/>
              <w:rPr>
                <w:sz w:val="6"/>
                <w:szCs w:val="6"/>
                <w:color w:val="auto"/>
              </w:rPr>
            </w:pPr>
          </w:p>
        </w:tc>
        <w:tc>
          <w:tcPr>
            <w:tcW w:w="1480" w:type="dxa"/>
            <w:vAlign w:val="bottom"/>
            <w:tcBorders>
              <w:bottom w:val="single" w:sz="8" w:color="CCEEFF"/>
            </w:tcBorders>
          </w:tcPr>
          <w:p>
            <w:pPr>
              <w:spacing w:after="0"/>
              <w:rPr>
                <w:sz w:val="6"/>
                <w:szCs w:val="6"/>
                <w:color w:val="auto"/>
              </w:rPr>
            </w:pPr>
          </w:p>
        </w:tc>
        <w:tc>
          <w:tcPr>
            <w:tcW w:w="478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Active Redevelopment projects (4)</w:t>
            </w:r>
          </w:p>
        </w:tc>
        <w:tc>
          <w:tcPr>
            <w:tcW w:w="47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$278-$282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shd w:val="clear" w:color="auto" w:fill="CCEEFF"/>
          </w:tcPr>
          <w:p>
            <w:pPr>
              <w:spacing w:after="0"/>
              <w:rPr>
                <w:sz w:val="5"/>
                <w:szCs w:val="5"/>
                <w:color w:val="auto"/>
              </w:rPr>
            </w:pPr>
          </w:p>
        </w:tc>
        <w:tc>
          <w:tcPr>
            <w:tcW w:w="16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CCEEFF"/>
            </w:tcBorders>
            <w:shd w:val="clear" w:color="auto" w:fill="CCEEFF"/>
          </w:tcPr>
          <w:p>
            <w:pPr>
              <w:spacing w:after="0"/>
              <w:rPr>
                <w:sz w:val="5"/>
                <w:szCs w:val="5"/>
                <w:color w:val="auto"/>
              </w:rPr>
            </w:pPr>
          </w:p>
        </w:tc>
        <w:tc>
          <w:tcPr>
            <w:tcW w:w="478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-98425</wp:posOffset>
            </wp:positionV>
            <wp:extent cx="1586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66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Stabilization is generally the year in which 95%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60"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2017</w:t>
      </w:r>
    </w:p>
    <w:p>
      <w:pPr>
        <w:spacing w:after="0" w:line="344"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Projected POI Delivered (as a % of</w:t>
      </w:r>
    </w:p>
    <w:p>
      <w:pPr>
        <w:spacing w:after="0" w:line="1"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Total)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w w:val="87"/>
              </w:rPr>
              <w:t>Projected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2"/>
              </w:rPr>
              <w:t>Costs to</w:t>
            </w:r>
          </w:p>
        </w:tc>
        <w:tc>
          <w:tcPr>
            <w:tcW w:w="250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Year Ended December 31, (2)</w:t>
            </w: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Property (1)   Location</w:t>
            </w:r>
          </w:p>
        </w:tc>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Opportunity</w:t>
            </w:r>
          </w:p>
        </w:tc>
        <w:tc>
          <w:tcPr>
            <w:tcW w:w="80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5"/>
              </w:rPr>
              <w:t>ROI (3)</w:t>
            </w: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Cost (4)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(in</w:t>
            </w: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(in</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millions)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4"/>
        </w:trPr>
        <w:tc>
          <w:tcPr>
            <w:tcW w:w="21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Assembly Row Somerville, MA</w:t>
            </w:r>
          </w:p>
        </w:tc>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w:t>
            </w:r>
          </w:p>
        </w:tc>
        <w:tc>
          <w:tcPr>
            <w:tcW w:w="1280" w:type="dxa"/>
            <w:vAlign w:val="bottom"/>
            <w:shd w:val="clear" w:color="auto" w:fill="CCEEFF"/>
          </w:tcPr>
          <w:p>
            <w:pPr>
              <w:spacing w:after="0"/>
              <w:rPr>
                <w:sz w:val="15"/>
                <w:szCs w:val="15"/>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- 161,000 SF of retail</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w:t>
            </w: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shd w:val="clear" w:color="auto" w:fill="CCEEFF"/>
              </w:rPr>
              <w:t>$280 - 295</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50%</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First retail tenants opened in 2Q 2017,</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7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- 447 residential units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9"/>
                <w:shd w:val="clear" w:color="auto" w:fill="CCEEFF"/>
              </w:rPr>
              <w:t>remaining tenants projected to open through</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780" w:type="dxa"/>
            <w:vAlign w:val="bottom"/>
            <w:vMerge w:val="continue"/>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2Q 2018</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- 159 boutique hotel rooms</w:t>
            </w: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w w:val="88"/>
                <w:shd w:val="clear" w:color="auto" w:fill="CCEEFF"/>
              </w:rPr>
              <w:t>741,500 SF Partners Healthcare office space</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5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(built by Partners) opened in 2016</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tcPr>
          <w:p>
            <w:pPr>
              <w:ind w:left="60"/>
              <w:spacing w:after="0"/>
              <w:rPr>
                <w:sz w:val="20"/>
                <w:szCs w:val="20"/>
                <w:color w:val="auto"/>
              </w:rPr>
            </w:pPr>
            <w:r>
              <w:rPr>
                <w:rFonts w:ascii="Arial" w:cs="Arial" w:eastAsia="Arial" w:hAnsi="Arial"/>
                <w:sz w:val="14"/>
                <w:szCs w:val="14"/>
                <w:color w:val="auto"/>
              </w:rPr>
              <w:t>- 122 for-sale condominium</w:t>
            </w:r>
          </w:p>
        </w:tc>
        <w:tc>
          <w:tcPr>
            <w:tcW w:w="8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93"/>
              </w:rPr>
              <w:t>(6)</w:t>
            </w:r>
          </w:p>
        </w:tc>
        <w:tc>
          <w:tcPr>
            <w:tcW w:w="640" w:type="dxa"/>
            <w:vAlign w:val="bottom"/>
            <w:gridSpan w:val="2"/>
          </w:tcPr>
          <w:p>
            <w:pPr>
              <w:jc w:val="right"/>
              <w:ind w:right="12"/>
              <w:spacing w:after="0"/>
              <w:rPr>
                <w:sz w:val="20"/>
                <w:szCs w:val="20"/>
                <w:color w:val="auto"/>
              </w:rPr>
            </w:pPr>
            <w:r>
              <w:rPr>
                <w:rFonts w:ascii="Arial" w:cs="Arial" w:eastAsia="Arial" w:hAnsi="Arial"/>
                <w:sz w:val="14"/>
                <w:szCs w:val="14"/>
                <w:color w:val="auto"/>
              </w:rPr>
              <w:t>$74 - 79</w:t>
            </w: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w w:val="94"/>
              </w:rPr>
              <w:t>Projected closings to commence 2Q 2018</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units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Future Phases</w:t>
            </w:r>
          </w:p>
        </w:tc>
        <w:tc>
          <w:tcPr>
            <w:tcW w:w="1280" w:type="dxa"/>
            <w:vAlign w:val="bottom"/>
            <w:shd w:val="clear" w:color="auto" w:fill="CCEEFF"/>
          </w:tcPr>
          <w:p>
            <w:pPr>
              <w:spacing w:after="0"/>
              <w:rPr>
                <w:sz w:val="15"/>
                <w:szCs w:val="15"/>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- 2M SF of commercial</w:t>
            </w:r>
          </w:p>
        </w:tc>
        <w:tc>
          <w:tcPr>
            <w:tcW w:w="800" w:type="dxa"/>
            <w:vAlign w:val="bottom"/>
            <w:shd w:val="clear" w:color="auto" w:fill="CCEEFF"/>
          </w:tcPr>
          <w:p>
            <w:pPr>
              <w:jc w:val="center"/>
              <w:ind w:left="72"/>
              <w:spacing w:after="0"/>
              <w:rPr>
                <w:sz w:val="20"/>
                <w:szCs w:val="20"/>
                <w:color w:val="auto"/>
              </w:rPr>
            </w:pPr>
            <w:r>
              <w:rPr>
                <w:rFonts w:ascii="Arial" w:cs="Arial" w:eastAsia="Arial" w:hAnsi="Arial"/>
                <w:sz w:val="14"/>
                <w:szCs w:val="14"/>
                <w:color w:val="auto"/>
                <w:w w:val="92"/>
                <w:shd w:val="clear" w:color="auto" w:fill="CCEEFF"/>
              </w:rPr>
              <w:t>TBD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shd w:val="clear" w:color="auto" w:fill="CCEEFF"/>
              </w:rPr>
              <w:t>TBD</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- 826 residential units</w:t>
            </w: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Pike &amp; Rose</w:t>
            </w:r>
          </w:p>
        </w:tc>
        <w:tc>
          <w:tcPr>
            <w:tcW w:w="304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Bethesda,</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MD</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Phase I</w:t>
            </w:r>
          </w:p>
        </w:tc>
        <w:tc>
          <w:tcPr>
            <w:tcW w:w="1240" w:type="dxa"/>
            <w:vAlign w:val="bottom"/>
            <w:shd w:val="clear" w:color="auto" w:fill="CCEEFF"/>
          </w:tcPr>
          <w:p>
            <w:pPr>
              <w:spacing w:after="0"/>
              <w:rPr>
                <w:sz w:val="17"/>
                <w:szCs w:val="17"/>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- 159,000 SF of retail</w:t>
            </w: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1"/>
              </w:rPr>
              <w:t>6-7%</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$265</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- 270</w:t>
            </w:r>
          </w:p>
        </w:tc>
        <w:tc>
          <w:tcPr>
            <w:tcW w:w="680" w:type="dxa"/>
            <w:vAlign w:val="bottom"/>
            <w:shd w:val="clear" w:color="auto" w:fill="CCEEFF"/>
          </w:tcPr>
          <w:p>
            <w:pPr>
              <w:jc w:val="center"/>
              <w:ind w:right="92"/>
              <w:spacing w:after="0"/>
              <w:rPr>
                <w:sz w:val="20"/>
                <w:szCs w:val="20"/>
                <w:color w:val="auto"/>
              </w:rPr>
            </w:pPr>
            <w:r>
              <w:rPr>
                <w:rFonts w:ascii="Arial" w:cs="Arial" w:eastAsia="Arial" w:hAnsi="Arial"/>
                <w:sz w:val="14"/>
                <w:szCs w:val="14"/>
                <w:color w:val="auto"/>
                <w:w w:val="89"/>
              </w:rPr>
              <w:t>$266</w:t>
            </w: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75%</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90%</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100%</w:t>
            </w:r>
          </w:p>
        </w:tc>
        <w:tc>
          <w:tcPr>
            <w:tcW w:w="2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Retail &amp; office open</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- 80,000 SF of office</w:t>
            </w: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Residential opened in 2014 (174 units) and</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- 493 residential units</w:t>
            </w: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2015/16 (319 units)</w:t>
            </w: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920" w:type="dxa"/>
            <w:vAlign w:val="bottom"/>
            <w:gridSpan w:val="3"/>
          </w:tcPr>
          <w:p>
            <w:pPr>
              <w:ind w:left="40"/>
              <w:spacing w:after="0"/>
              <w:rPr>
                <w:sz w:val="20"/>
                <w:szCs w:val="20"/>
                <w:color w:val="auto"/>
              </w:rPr>
            </w:pPr>
            <w:r>
              <w:rPr>
                <w:rFonts w:ascii="Arial" w:cs="Arial" w:eastAsia="Arial" w:hAnsi="Arial"/>
                <w:sz w:val="14"/>
                <w:szCs w:val="14"/>
                <w:color w:val="auto"/>
              </w:rPr>
              <w:t>Phase II</w:t>
            </w:r>
          </w:p>
        </w:tc>
        <w:tc>
          <w:tcPr>
            <w:tcW w:w="1240" w:type="dxa"/>
            <w:vAlign w:val="bottom"/>
          </w:tcPr>
          <w:p>
            <w:pPr>
              <w:spacing w:after="0"/>
              <w:rPr>
                <w:sz w:val="14"/>
                <w:szCs w:val="14"/>
                <w:color w:val="auto"/>
              </w:rPr>
            </w:pPr>
          </w:p>
        </w:tc>
        <w:tc>
          <w:tcPr>
            <w:tcW w:w="1800" w:type="dxa"/>
            <w:vAlign w:val="bottom"/>
          </w:tcPr>
          <w:p>
            <w:pPr>
              <w:ind w:left="60"/>
              <w:spacing w:after="0"/>
              <w:rPr>
                <w:sz w:val="20"/>
                <w:szCs w:val="20"/>
                <w:color w:val="auto"/>
              </w:rPr>
            </w:pPr>
            <w:r>
              <w:rPr>
                <w:rFonts w:ascii="Arial" w:cs="Arial" w:eastAsia="Arial" w:hAnsi="Arial"/>
                <w:sz w:val="14"/>
                <w:szCs w:val="14"/>
                <w:color w:val="auto"/>
              </w:rPr>
              <w:t>- 216,000 SF of retail</w:t>
            </w:r>
          </w:p>
        </w:tc>
        <w:tc>
          <w:tcPr>
            <w:tcW w:w="700" w:type="dxa"/>
            <w:vAlign w:val="bottom"/>
          </w:tcPr>
          <w:p>
            <w:pPr>
              <w:jc w:val="center"/>
              <w:ind w:left="132"/>
              <w:spacing w:after="0"/>
              <w:rPr>
                <w:sz w:val="20"/>
                <w:szCs w:val="20"/>
                <w:color w:val="auto"/>
              </w:rPr>
            </w:pPr>
            <w:r>
              <w:rPr>
                <w:rFonts w:ascii="Arial" w:cs="Arial" w:eastAsia="Arial" w:hAnsi="Arial"/>
                <w:sz w:val="14"/>
                <w:szCs w:val="14"/>
                <w:color w:val="auto"/>
                <w:w w:val="91"/>
              </w:rPr>
              <w:t>6-7%</w:t>
            </w: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jc w:val="right"/>
              <w:spacing w:after="0"/>
              <w:rPr>
                <w:sz w:val="20"/>
                <w:szCs w:val="20"/>
                <w:color w:val="auto"/>
              </w:rPr>
            </w:pPr>
            <w:r>
              <w:rPr>
                <w:rFonts w:ascii="Arial" w:cs="Arial" w:eastAsia="Arial" w:hAnsi="Arial"/>
                <w:sz w:val="14"/>
                <w:szCs w:val="14"/>
                <w:color w:val="auto"/>
                <w:w w:val="96"/>
              </w:rPr>
              <w:t>$200</w:t>
            </w:r>
          </w:p>
        </w:tc>
        <w:tc>
          <w:tcPr>
            <w:tcW w:w="420" w:type="dxa"/>
            <w:vAlign w:val="bottom"/>
          </w:tcPr>
          <w:p>
            <w:pPr>
              <w:ind w:left="20"/>
              <w:spacing w:after="0"/>
              <w:rPr>
                <w:sz w:val="20"/>
                <w:szCs w:val="20"/>
                <w:color w:val="auto"/>
              </w:rPr>
            </w:pPr>
            <w:r>
              <w:rPr>
                <w:rFonts w:ascii="Arial" w:cs="Arial" w:eastAsia="Arial" w:hAnsi="Arial"/>
                <w:sz w:val="14"/>
                <w:szCs w:val="14"/>
                <w:color w:val="auto"/>
              </w:rPr>
              <w:t>- 207</w:t>
            </w:r>
          </w:p>
        </w:tc>
        <w:tc>
          <w:tcPr>
            <w:tcW w:w="680" w:type="dxa"/>
            <w:vAlign w:val="bottom"/>
          </w:tcPr>
          <w:p>
            <w:pPr>
              <w:jc w:val="center"/>
              <w:ind w:right="92"/>
              <w:spacing w:after="0"/>
              <w:rPr>
                <w:sz w:val="20"/>
                <w:szCs w:val="20"/>
                <w:color w:val="auto"/>
              </w:rPr>
            </w:pPr>
            <w:r>
              <w:rPr>
                <w:rFonts w:ascii="Arial" w:cs="Arial" w:eastAsia="Arial" w:hAnsi="Arial"/>
                <w:sz w:val="14"/>
                <w:szCs w:val="14"/>
                <w:color w:val="auto"/>
                <w:w w:val="89"/>
              </w:rPr>
              <w:t>$148</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780" w:type="dxa"/>
            <w:vAlign w:val="bottom"/>
          </w:tcPr>
          <w:p>
            <w:pPr>
              <w:jc w:val="right"/>
              <w:ind w:right="192"/>
              <w:spacing w:after="0"/>
              <w:rPr>
                <w:sz w:val="20"/>
                <w:szCs w:val="20"/>
                <w:color w:val="auto"/>
              </w:rPr>
            </w:pPr>
            <w:r>
              <w:rPr>
                <w:rFonts w:ascii="Arial" w:cs="Arial" w:eastAsia="Arial" w:hAnsi="Arial"/>
                <w:sz w:val="14"/>
                <w:szCs w:val="14"/>
                <w:color w:val="auto"/>
              </w:rPr>
              <w:t>65%</w:t>
            </w:r>
          </w:p>
        </w:tc>
        <w:tc>
          <w:tcPr>
            <w:tcW w:w="760" w:type="dxa"/>
            <w:vAlign w:val="bottom"/>
          </w:tcPr>
          <w:p>
            <w:pPr>
              <w:jc w:val="right"/>
              <w:ind w:right="152"/>
              <w:spacing w:after="0"/>
              <w:rPr>
                <w:sz w:val="20"/>
                <w:szCs w:val="20"/>
                <w:color w:val="auto"/>
              </w:rPr>
            </w:pPr>
            <w:r>
              <w:rPr>
                <w:rFonts w:ascii="Arial" w:cs="Arial" w:eastAsia="Arial" w:hAnsi="Arial"/>
                <w:sz w:val="14"/>
                <w:szCs w:val="14"/>
                <w:color w:val="auto"/>
              </w:rPr>
              <w:t>85%</w:t>
            </w:r>
          </w:p>
        </w:tc>
        <w:tc>
          <w:tcPr>
            <w:tcW w:w="2660" w:type="dxa"/>
            <w:vAlign w:val="bottom"/>
          </w:tcPr>
          <w:p>
            <w:pPr>
              <w:ind w:left="180"/>
              <w:spacing w:after="0"/>
              <w:rPr>
                <w:sz w:val="20"/>
                <w:szCs w:val="20"/>
                <w:color w:val="auto"/>
              </w:rPr>
            </w:pPr>
            <w:r>
              <w:rPr>
                <w:rFonts w:ascii="Arial" w:cs="Arial" w:eastAsia="Arial" w:hAnsi="Arial"/>
                <w:sz w:val="14"/>
                <w:szCs w:val="14"/>
                <w:color w:val="auto"/>
                <w:w w:val="92"/>
              </w:rPr>
              <w:t>First retail tenant, REI, opened in 2Q 2017,</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vMerge w:val="restart"/>
          </w:tcPr>
          <w:p>
            <w:pPr>
              <w:ind w:left="60"/>
              <w:spacing w:after="0"/>
              <w:rPr>
                <w:sz w:val="20"/>
                <w:szCs w:val="20"/>
                <w:color w:val="auto"/>
              </w:rPr>
            </w:pPr>
            <w:r>
              <w:rPr>
                <w:rFonts w:ascii="Arial" w:cs="Arial" w:eastAsia="Arial" w:hAnsi="Arial"/>
                <w:sz w:val="14"/>
                <w:szCs w:val="14"/>
                <w:color w:val="auto"/>
              </w:rPr>
              <w:t>- 272 residential units</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60" w:type="dxa"/>
            <w:vAlign w:val="bottom"/>
          </w:tcPr>
          <w:p>
            <w:pPr>
              <w:ind w:left="180"/>
              <w:spacing w:after="0" w:line="149" w:lineRule="exact"/>
              <w:rPr>
                <w:sz w:val="20"/>
                <w:szCs w:val="20"/>
                <w:color w:val="auto"/>
              </w:rPr>
            </w:pPr>
            <w:r>
              <w:rPr>
                <w:rFonts w:ascii="Arial" w:cs="Arial" w:eastAsia="Arial" w:hAnsi="Arial"/>
                <w:sz w:val="14"/>
                <w:szCs w:val="14"/>
                <w:color w:val="auto"/>
                <w:w w:val="89"/>
              </w:rPr>
              <w:t>remaining tenants projected to open through</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60" w:type="dxa"/>
            <w:vAlign w:val="bottom"/>
          </w:tcPr>
          <w:p>
            <w:pPr>
              <w:ind w:left="180"/>
              <w:spacing w:after="0"/>
              <w:rPr>
                <w:sz w:val="20"/>
                <w:szCs w:val="20"/>
                <w:color w:val="auto"/>
              </w:rPr>
            </w:pPr>
            <w:r>
              <w:rPr>
                <w:rFonts w:ascii="Arial" w:cs="Arial" w:eastAsia="Arial" w:hAnsi="Arial"/>
                <w:sz w:val="14"/>
                <w:szCs w:val="14"/>
                <w:color w:val="auto"/>
              </w:rPr>
              <w:t>2Q 2018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0" w:type="dxa"/>
            <w:vAlign w:val="bottom"/>
          </w:tcPr>
          <w:p>
            <w:pPr>
              <w:ind w:left="60"/>
              <w:spacing w:after="0"/>
              <w:rPr>
                <w:sz w:val="20"/>
                <w:szCs w:val="20"/>
                <w:color w:val="auto"/>
              </w:rPr>
            </w:pPr>
            <w:r>
              <w:rPr>
                <w:rFonts w:ascii="Arial" w:cs="Arial" w:eastAsia="Arial" w:hAnsi="Arial"/>
                <w:sz w:val="14"/>
                <w:szCs w:val="14"/>
                <w:color w:val="auto"/>
              </w:rPr>
              <w:t>- 177 hotel rooms</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- 99 for-sale condominium</w:t>
            </w: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- 58</w:t>
            </w:r>
          </w:p>
        </w:tc>
        <w:tc>
          <w:tcPr>
            <w:tcW w:w="680" w:type="dxa"/>
            <w:vAlign w:val="bottom"/>
            <w:shd w:val="clear" w:color="auto" w:fill="CCEEFF"/>
          </w:tcPr>
          <w:p>
            <w:pPr>
              <w:jc w:val="center"/>
              <w:ind w:right="92"/>
              <w:spacing w:after="0"/>
              <w:rPr>
                <w:sz w:val="20"/>
                <w:szCs w:val="20"/>
                <w:color w:val="auto"/>
              </w:rPr>
            </w:pPr>
            <w:r>
              <w:rPr>
                <w:rFonts w:ascii="Arial" w:cs="Arial" w:eastAsia="Arial" w:hAnsi="Arial"/>
                <w:sz w:val="14"/>
                <w:szCs w:val="14"/>
                <w:color w:val="auto"/>
                <w:w w:val="85"/>
              </w:rPr>
              <w:t>$43</w:t>
            </w: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Projected closings to commence 2Q 2018</w:t>
            </w:r>
          </w:p>
        </w:tc>
        <w:tc>
          <w:tcPr>
            <w:tcW w:w="0" w:type="dxa"/>
            <w:vAlign w:val="bottom"/>
          </w:tcPr>
          <w:p>
            <w:pPr>
              <w:spacing w:after="0"/>
              <w:rPr>
                <w:sz w:val="1"/>
                <w:szCs w:val="1"/>
                <w:color w:val="auto"/>
              </w:rPr>
            </w:pPr>
          </w:p>
        </w:tc>
      </w:tr>
      <w:tr>
        <w:trPr>
          <w:trHeight w:val="186"/>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units</w:t>
            </w: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3"/>
          </w:tcPr>
          <w:p>
            <w:pPr>
              <w:ind w:left="40"/>
              <w:spacing w:after="0"/>
              <w:rPr>
                <w:sz w:val="20"/>
                <w:szCs w:val="20"/>
                <w:color w:val="auto"/>
              </w:rPr>
            </w:pPr>
            <w:r>
              <w:rPr>
                <w:rFonts w:ascii="Arial" w:cs="Arial" w:eastAsia="Arial" w:hAnsi="Arial"/>
                <w:sz w:val="14"/>
                <w:szCs w:val="14"/>
                <w:color w:val="auto"/>
                <w:w w:val="94"/>
              </w:rPr>
              <w:t>Future Phases</w:t>
            </w:r>
          </w:p>
        </w:tc>
        <w:tc>
          <w:tcPr>
            <w:tcW w:w="124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Arial" w:cs="Arial" w:eastAsia="Arial" w:hAnsi="Arial"/>
                <w:sz w:val="14"/>
                <w:szCs w:val="14"/>
                <w:color w:val="auto"/>
              </w:rPr>
              <w:t>- 1M SF of commercial</w:t>
            </w:r>
          </w:p>
        </w:tc>
        <w:tc>
          <w:tcPr>
            <w:tcW w:w="700" w:type="dxa"/>
            <w:vAlign w:val="bottom"/>
          </w:tcPr>
          <w:p>
            <w:pPr>
              <w:ind w:left="300"/>
              <w:spacing w:after="0"/>
              <w:rPr>
                <w:sz w:val="20"/>
                <w:szCs w:val="20"/>
                <w:color w:val="auto"/>
              </w:rPr>
            </w:pPr>
            <w:r>
              <w:rPr>
                <w:rFonts w:ascii="Arial" w:cs="Arial" w:eastAsia="Arial" w:hAnsi="Arial"/>
                <w:sz w:val="14"/>
                <w:szCs w:val="14"/>
                <w:color w:val="auto"/>
              </w:rPr>
              <w:t>TBD</w:t>
            </w:r>
          </w:p>
        </w:tc>
        <w:tc>
          <w:tcPr>
            <w:tcW w:w="300" w:type="dxa"/>
            <w:vAlign w:val="bottom"/>
          </w:tcPr>
          <w:p>
            <w:pPr>
              <w:spacing w:after="0"/>
              <w:rPr>
                <w:sz w:val="16"/>
                <w:szCs w:val="16"/>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TBD</w:t>
            </w: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0" w:type="dxa"/>
            <w:vAlign w:val="bottom"/>
          </w:tcPr>
          <w:p>
            <w:pPr>
              <w:ind w:left="60"/>
              <w:spacing w:after="0"/>
              <w:rPr>
                <w:sz w:val="20"/>
                <w:szCs w:val="20"/>
                <w:color w:val="auto"/>
              </w:rPr>
            </w:pPr>
            <w:r>
              <w:rPr>
                <w:rFonts w:ascii="Arial" w:cs="Arial" w:eastAsia="Arial" w:hAnsi="Arial"/>
                <w:sz w:val="14"/>
                <w:szCs w:val="14"/>
                <w:color w:val="auto"/>
              </w:rPr>
              <w:t>- 741 residential units</w:t>
            </w: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Santana Row</w:t>
            </w:r>
          </w:p>
        </w:tc>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San Jose, CA</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88"/>
        </w:trPr>
        <w:tc>
          <w:tcPr>
            <w:tcW w:w="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80" w:type="dxa"/>
            <w:vAlign w:val="bottom"/>
          </w:tcPr>
          <w:p>
            <w:pPr>
              <w:spacing w:after="0"/>
              <w:rPr>
                <w:sz w:val="7"/>
                <w:szCs w:val="7"/>
                <w:color w:val="auto"/>
              </w:rPr>
            </w:pPr>
          </w:p>
        </w:tc>
      </w:tr>
      <w:tr>
        <w:trPr>
          <w:trHeight w:val="165"/>
        </w:trPr>
        <w:tc>
          <w:tcPr>
            <w:tcW w:w="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700 Santana</w:t>
            </w:r>
          </w:p>
        </w:tc>
        <w:tc>
          <w:tcPr>
            <w:tcW w:w="31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- 284,000 SF of office</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7%</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$205 - 215</w:t>
            </w:r>
          </w:p>
        </w:tc>
        <w:tc>
          <w:tcPr>
            <w:tcW w:w="6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$30</w:t>
            </w:r>
          </w:p>
        </w:tc>
        <w:tc>
          <w:tcPr>
            <w:tcW w:w="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TBD</w:t>
            </w:r>
          </w:p>
        </w:tc>
        <w:tc>
          <w:tcPr>
            <w:tcW w:w="2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Commenced construction 4Q 2016</w:t>
            </w:r>
          </w:p>
        </w:tc>
      </w:tr>
      <w:tr>
        <w:trPr>
          <w:trHeight w:val="172"/>
        </w:trPr>
        <w:tc>
          <w:tcPr>
            <w:tcW w:w="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Row</w:t>
            </w:r>
          </w:p>
        </w:tc>
        <w:tc>
          <w:tcPr>
            <w:tcW w:w="3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r>
      <w:tr>
        <w:trPr>
          <w:trHeight w:val="179"/>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- 29,000 SF of retail &amp; 1,300</w:t>
            </w: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Opening projected 2019</w:t>
            </w:r>
          </w:p>
        </w:tc>
      </w:tr>
      <w:tr>
        <w:trPr>
          <w:trHeight w:val="186"/>
        </w:trPr>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2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parking spaces</w:t>
            </w:r>
          </w:p>
        </w:tc>
        <w:tc>
          <w:tcPr>
            <w:tcW w:w="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r>
      <w:tr>
        <w:trPr>
          <w:trHeight w:val="189"/>
        </w:trPr>
        <w:tc>
          <w:tcPr>
            <w:tcW w:w="920" w:type="dxa"/>
            <w:vAlign w:val="bottom"/>
            <w:gridSpan w:val="3"/>
          </w:tcPr>
          <w:p>
            <w:pPr>
              <w:ind w:left="40"/>
              <w:spacing w:after="0"/>
              <w:rPr>
                <w:sz w:val="20"/>
                <w:szCs w:val="20"/>
                <w:color w:val="auto"/>
              </w:rPr>
            </w:pPr>
            <w:r>
              <w:rPr>
                <w:rFonts w:ascii="Arial" w:cs="Arial" w:eastAsia="Arial" w:hAnsi="Arial"/>
                <w:sz w:val="14"/>
                <w:szCs w:val="14"/>
                <w:color w:val="auto"/>
                <w:w w:val="94"/>
              </w:rPr>
              <w:t>Future Phases</w:t>
            </w:r>
          </w:p>
        </w:tc>
        <w:tc>
          <w:tcPr>
            <w:tcW w:w="3120" w:type="dxa"/>
            <w:vAlign w:val="bottom"/>
          </w:tcPr>
          <w:p>
            <w:pPr>
              <w:ind w:left="1300"/>
              <w:spacing w:after="0"/>
              <w:rPr>
                <w:sz w:val="20"/>
                <w:szCs w:val="20"/>
                <w:color w:val="auto"/>
              </w:rPr>
            </w:pPr>
            <w:r>
              <w:rPr>
                <w:rFonts w:ascii="Arial" w:cs="Arial" w:eastAsia="Arial" w:hAnsi="Arial"/>
                <w:sz w:val="14"/>
                <w:szCs w:val="14"/>
                <w:color w:val="auto"/>
              </w:rPr>
              <w:t>- 321,000 SF of commercial</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60" w:type="dxa"/>
            <w:vAlign w:val="bottom"/>
          </w:tcPr>
          <w:p>
            <w:pPr>
              <w:jc w:val="center"/>
              <w:ind w:left="12"/>
              <w:spacing w:after="0"/>
              <w:rPr>
                <w:sz w:val="20"/>
                <w:szCs w:val="20"/>
                <w:color w:val="auto"/>
              </w:rPr>
            </w:pPr>
            <w:r>
              <w:rPr>
                <w:rFonts w:ascii="Arial" w:cs="Arial" w:eastAsia="Arial" w:hAnsi="Arial"/>
                <w:sz w:val="14"/>
                <w:szCs w:val="14"/>
                <w:color w:val="auto"/>
                <w:w w:val="99"/>
              </w:rPr>
              <w:t>TBD</w:t>
            </w: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80" w:type="dxa"/>
            <w:vAlign w:val="bottom"/>
          </w:tcPr>
          <w:p>
            <w:pPr>
              <w:spacing w:after="0"/>
              <w:rPr>
                <w:sz w:val="16"/>
                <w:szCs w:val="16"/>
                <w:color w:val="auto"/>
              </w:rPr>
            </w:pPr>
          </w:p>
        </w:tc>
      </w:tr>
    </w:tbl>
    <w:p>
      <w:pPr>
        <w:spacing w:after="0" w:line="98"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- 395 residential units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8" w:lineRule="exact"/>
        <w:rPr>
          <w:sz w:val="20"/>
          <w:szCs w:val="20"/>
          <w:color w:val="auto"/>
        </w:rPr>
      </w:pPr>
    </w:p>
    <w:p>
      <w:pPr>
        <w:ind w:left="500" w:right="180" w:hanging="465"/>
        <w:spacing w:after="0" w:line="239"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and projected POI percentages are subject to adjustment as a result of factors inherent in the development process, some of which may not be</w:t>
      </w:r>
    </w:p>
    <w:p>
      <w:pPr>
        <w:spacing w:after="0" w:line="30"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under the direct control of the Company. Refer to the Company's filings with the Securities and Exchange Commission on Form 10-K and Form 10-Q for other risk factors.</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Percentage figures reflect (i) the projected POI (herein defined) for the stated year divided by (ii) the current projected annual stabilized POI for the Property. These percentages are projections only and</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cannot give any</w:t>
      </w:r>
    </w:p>
    <w:p>
      <w:pPr>
        <w:spacing w:after="0" w:line="2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assurances that these amounts will actually be achieved.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Costs are net of expected reimbursement by third parties and land sale proceeds from expected exercise of option. Phase II total costs include our share of the costs in the hotel.</w:t>
      </w:r>
    </w:p>
    <w:p>
      <w:pPr>
        <w:spacing w:after="0" w:line="64"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2" w:lineRule="exact"/>
        <w:rPr>
          <w:rFonts w:ascii="Arial" w:cs="Arial" w:eastAsia="Arial" w:hAnsi="Arial"/>
          <w:sz w:val="12"/>
          <w:szCs w:val="12"/>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sold at cost.</w:t>
      </w:r>
    </w:p>
    <w:p>
      <w:pPr>
        <w:spacing w:after="0" w:line="29"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approximately $7 million of costs incurred to date of which we have claims for recovery against 3rd parties.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Assembly Row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72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219"/>
          </w:cols>
          <w:pgMar w:left="240" w:top="58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Pike &amp; Rose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89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758952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219"/>
          </w:cols>
          <w:pgMar w:left="240" w:top="580" w:right="1440"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2017</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Bethesda, MD</w:t>
            </w:r>
          </w:p>
        </w:tc>
        <w:tc>
          <w:tcPr>
            <w:tcW w:w="2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Fresh Meadows</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Queens, NY</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Dedham, MA</w:t>
            </w:r>
          </w:p>
        </w:tc>
        <w:tc>
          <w:tcPr>
            <w:tcW w:w="2500" w:type="dxa"/>
            <w:vAlign w:val="bottom"/>
          </w:tcPr>
          <w:p>
            <w:pPr>
              <w:ind w:left="660"/>
              <w:spacing w:after="0"/>
              <w:rPr>
                <w:sz w:val="20"/>
                <w:szCs w:val="20"/>
                <w:color w:val="auto"/>
              </w:rPr>
            </w:pPr>
            <w:r>
              <w:rPr>
                <w:rFonts w:ascii="Arial" w:cs="Arial" w:eastAsia="Arial" w:hAnsi="Arial"/>
                <w:sz w:val="16"/>
                <w:szCs w:val="16"/>
                <w:b w:val="1"/>
                <w:bCs w:val="1"/>
                <w:color w:val="auto"/>
              </w:rPr>
              <w:t>Melville Mall</w:t>
            </w:r>
          </w:p>
        </w:tc>
        <w:tc>
          <w:tcPr>
            <w:tcW w:w="4380" w:type="dxa"/>
            <w:vAlign w:val="bottom"/>
          </w:tcPr>
          <w:p>
            <w:pPr>
              <w:ind w:left="780"/>
              <w:spacing w:after="0"/>
              <w:rPr>
                <w:sz w:val="20"/>
                <w:szCs w:val="20"/>
                <w:color w:val="auto"/>
              </w:rPr>
            </w:pPr>
            <w:r>
              <w:rPr>
                <w:rFonts w:ascii="Arial" w:cs="Arial" w:eastAsia="Arial" w:hAnsi="Arial"/>
                <w:sz w:val="16"/>
                <w:szCs w:val="16"/>
                <w:color w:val="auto"/>
              </w:rPr>
              <w:t>Huntington, NY</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Escondido, CA</w:t>
            </w:r>
          </w:p>
        </w:tc>
        <w:tc>
          <w:tcPr>
            <w:tcW w:w="2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Mercer Mall</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Lawrenceville, NJ</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Rockville, MD</w:t>
            </w:r>
          </w:p>
        </w:tc>
        <w:tc>
          <w:tcPr>
            <w:tcW w:w="2500" w:type="dxa"/>
            <w:vAlign w:val="bottom"/>
          </w:tcPr>
          <w:p>
            <w:pPr>
              <w:ind w:left="660"/>
              <w:spacing w:after="0"/>
              <w:rPr>
                <w:sz w:val="20"/>
                <w:szCs w:val="20"/>
                <w:color w:val="auto"/>
              </w:rPr>
            </w:pPr>
            <w:r>
              <w:rPr>
                <w:rFonts w:ascii="Arial" w:cs="Arial" w:eastAsia="Arial" w:hAnsi="Arial"/>
                <w:sz w:val="16"/>
                <w:szCs w:val="16"/>
                <w:b w:val="1"/>
                <w:bCs w:val="1"/>
                <w:color w:val="auto"/>
              </w:rPr>
              <w:t>Pan Am</w:t>
            </w:r>
          </w:p>
        </w:tc>
        <w:tc>
          <w:tcPr>
            <w:tcW w:w="4380" w:type="dxa"/>
            <w:vAlign w:val="bottom"/>
          </w:tcPr>
          <w:p>
            <w:pPr>
              <w:ind w:left="780"/>
              <w:spacing w:after="0"/>
              <w:rPr>
                <w:sz w:val="20"/>
                <w:szCs w:val="20"/>
                <w:color w:val="auto"/>
              </w:rPr>
            </w:pPr>
            <w:r>
              <w:rPr>
                <w:rFonts w:ascii="Arial" w:cs="Arial" w:eastAsia="Arial" w:hAnsi="Arial"/>
                <w:sz w:val="16"/>
                <w:szCs w:val="16"/>
                <w:color w:val="auto"/>
              </w:rPr>
              <w:t>Fairfax, VA</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24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Flourtown</w:t>
            </w:r>
          </w:p>
        </w:tc>
        <w:tc>
          <w:tcPr>
            <w:tcW w:w="21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Flourtown, PA</w:t>
            </w:r>
          </w:p>
        </w:tc>
        <w:tc>
          <w:tcPr>
            <w:tcW w:w="250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Wildwood</w:t>
            </w:r>
          </w:p>
        </w:tc>
        <w:tc>
          <w:tcPr>
            <w:tcW w:w="43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Bethesda, MD</w:t>
            </w:r>
          </w:p>
        </w:tc>
      </w:tr>
      <w:tr>
        <w:trPr>
          <w:trHeight w:val="33"/>
        </w:trPr>
        <w:tc>
          <w:tcPr>
            <w:tcW w:w="24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63"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500" w:type="dxa"/>
            <w:vAlign w:val="bottom"/>
          </w:tcPr>
          <w:p>
            <w:pPr>
              <w:ind w:left="720"/>
              <w:spacing w:after="0"/>
              <w:rPr>
                <w:sz w:val="20"/>
                <w:szCs w:val="20"/>
                <w:color w:val="auto"/>
              </w:rPr>
            </w:pPr>
            <w:r>
              <w:rPr>
                <w:rFonts w:ascii="Arial" w:cs="Arial" w:eastAsia="Arial" w:hAnsi="Arial"/>
                <w:sz w:val="16"/>
                <w:szCs w:val="16"/>
                <w:color w:val="auto"/>
              </w:rPr>
              <w:t>Charlottesville, VA</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Northeast</w:t>
            </w:r>
          </w:p>
        </w:tc>
        <w:tc>
          <w:tcPr>
            <w:tcW w:w="4020" w:type="dxa"/>
            <w:vAlign w:val="bottom"/>
          </w:tcPr>
          <w:p>
            <w:pPr>
              <w:ind w:left="420"/>
              <w:spacing w:after="0"/>
              <w:rPr>
                <w:sz w:val="20"/>
                <w:szCs w:val="20"/>
                <w:color w:val="auto"/>
              </w:rPr>
            </w:pPr>
            <w:r>
              <w:rPr>
                <w:rFonts w:ascii="Arial" w:cs="Arial" w:eastAsia="Arial" w:hAnsi="Arial"/>
                <w:sz w:val="16"/>
                <w:szCs w:val="16"/>
                <w:color w:val="auto"/>
              </w:rPr>
              <w:t>Philadelphia, PA</w:t>
            </w: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Bethesda, MD</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Riverpoint Center</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Chicago, IL</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Brick</w:t>
            </w:r>
          </w:p>
        </w:tc>
        <w:tc>
          <w:tcPr>
            <w:tcW w:w="2500" w:type="dxa"/>
            <w:vAlign w:val="bottom"/>
          </w:tcPr>
          <w:p>
            <w:pPr>
              <w:ind w:left="720"/>
              <w:spacing w:after="0"/>
              <w:rPr>
                <w:sz w:val="20"/>
                <w:szCs w:val="20"/>
                <w:color w:val="auto"/>
              </w:rPr>
            </w:pPr>
            <w:r>
              <w:rPr>
                <w:rFonts w:ascii="Arial" w:cs="Arial" w:eastAsia="Arial" w:hAnsi="Arial"/>
                <w:sz w:val="16"/>
                <w:szCs w:val="16"/>
                <w:color w:val="auto"/>
              </w:rPr>
              <w:t>Brick, NJ</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4020" w:type="dxa"/>
            <w:vAlign w:val="bottom"/>
          </w:tcPr>
          <w:p>
            <w:pPr>
              <w:ind w:left="420"/>
              <w:spacing w:after="0"/>
              <w:rPr>
                <w:sz w:val="20"/>
                <w:szCs w:val="20"/>
                <w:color w:val="auto"/>
              </w:rPr>
            </w:pPr>
            <w:r>
              <w:rPr>
                <w:rFonts w:ascii="Arial" w:cs="Arial" w:eastAsia="Arial" w:hAnsi="Arial"/>
                <w:sz w:val="16"/>
                <w:szCs w:val="16"/>
                <w:color w:val="auto"/>
              </w:rPr>
              <w:t>South Miami, FL</w:t>
            </w: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Crossroads</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Highland Park, IL</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Santa Monica, CA</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Darien</w:t>
            </w:r>
          </w:p>
        </w:tc>
        <w:tc>
          <w:tcPr>
            <w:tcW w:w="2500" w:type="dxa"/>
            <w:vAlign w:val="bottom"/>
          </w:tcPr>
          <w:p>
            <w:pPr>
              <w:ind w:left="720"/>
              <w:spacing w:after="0"/>
              <w:rPr>
                <w:sz w:val="20"/>
                <w:szCs w:val="20"/>
                <w:color w:val="auto"/>
              </w:rPr>
            </w:pPr>
            <w:r>
              <w:rPr>
                <w:rFonts w:ascii="Arial" w:cs="Arial" w:eastAsia="Arial" w:hAnsi="Arial"/>
                <w:sz w:val="16"/>
                <w:szCs w:val="16"/>
                <w:color w:val="auto"/>
              </w:rPr>
              <w:t>Darien, CT</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02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Fourth Street</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Berkeley, CA</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Fresh Meadows</w:t>
            </w:r>
          </w:p>
        </w:tc>
        <w:tc>
          <w:tcPr>
            <w:tcW w:w="2500" w:type="dxa"/>
            <w:vAlign w:val="bottom"/>
          </w:tcPr>
          <w:p>
            <w:pPr>
              <w:ind w:left="720"/>
              <w:spacing w:after="0"/>
              <w:rPr>
                <w:sz w:val="20"/>
                <w:szCs w:val="20"/>
                <w:color w:val="auto"/>
              </w:rPr>
            </w:pPr>
            <w:r>
              <w:rPr>
                <w:rFonts w:ascii="Arial" w:cs="Arial" w:eastAsia="Arial" w:hAnsi="Arial"/>
                <w:sz w:val="16"/>
                <w:szCs w:val="16"/>
                <w:color w:val="auto"/>
              </w:rPr>
              <w:t>Queens, NY</w:t>
            </w:r>
          </w:p>
        </w:tc>
        <w:tc>
          <w:tcPr>
            <w:tcW w:w="272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84"/>
        </w:trPr>
        <w:tc>
          <w:tcPr>
            <w:tcW w:w="218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Barracks Road</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Charlottesville,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Graham Park Plaza</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Falls Church, VA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Pr>
          <w:p>
            <w:pPr>
              <w:ind w:left="10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24"/>
        </w:trPr>
        <w:tc>
          <w:tcPr>
            <w:tcW w:w="2820" w:type="dxa"/>
            <w:vAlign w:val="bottom"/>
            <w:gridSpan w:val="4"/>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Assembly Row (1)</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Somerville, MA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San Antonio Center</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Mountain View,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00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7 Plaza</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Vienna,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site</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Pike &amp; Rose (2)</w:t>
            </w:r>
          </w:p>
        </w:tc>
        <w:tc>
          <w:tcPr>
            <w:tcW w:w="1900" w:type="dxa"/>
            <w:vAlign w:val="bottom"/>
          </w:tcPr>
          <w:p>
            <w:pPr>
              <w:ind w:left="80"/>
              <w:spacing w:after="0"/>
              <w:rPr>
                <w:sz w:val="20"/>
                <w:szCs w:val="20"/>
                <w:color w:val="auto"/>
              </w:rPr>
            </w:pPr>
            <w:r>
              <w:rPr>
                <w:rFonts w:ascii="Arial" w:cs="Arial" w:eastAsia="Arial" w:hAnsi="Arial"/>
                <w:sz w:val="16"/>
                <w:szCs w:val="16"/>
                <w:color w:val="auto"/>
              </w:rPr>
              <w:t>North Bethesda, MD</w:t>
            </w:r>
          </w:p>
        </w:tc>
        <w:tc>
          <w:tcPr>
            <w:tcW w:w="30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30"/>
        </w:trPr>
        <w:tc>
          <w:tcPr>
            <w:tcW w:w="2820" w:type="dxa"/>
            <w:vAlign w:val="bottom"/>
            <w:gridSpan w:val="4"/>
          </w:tcPr>
          <w:p>
            <w:pPr>
              <w:ind w:left="40"/>
              <w:spacing w:after="0"/>
              <w:rPr>
                <w:sz w:val="20"/>
                <w:szCs w:val="20"/>
                <w:color w:val="auto"/>
              </w:rPr>
            </w:pPr>
            <w:r>
              <w:rPr>
                <w:rFonts w:ascii="Arial" w:cs="Arial" w:eastAsia="Arial" w:hAnsi="Arial"/>
                <w:sz w:val="14"/>
                <w:szCs w:val="14"/>
                <w:color w:val="auto"/>
              </w:rPr>
              <w:t>Notes: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03"/>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Assembly Row</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826 residential units.</w:t>
            </w:r>
          </w:p>
        </w:tc>
      </w:tr>
      <w:tr>
        <w:trPr>
          <w:trHeight w:val="19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after Phase II include 1 million square feet of commercial-use buildings and 741 residential units.</w:t>
            </w:r>
          </w:p>
        </w:tc>
      </w:tr>
      <w:tr>
        <w:trPr>
          <w:trHeight w:val="209"/>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Santana Row</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include approximately 321,000 square feet of commercial space and 395 residential units.</w:t>
            </w:r>
          </w:p>
        </w:tc>
      </w:tr>
      <w:tr>
        <w:trPr>
          <w:trHeight w:val="45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Arial" w:cs="Arial" w:eastAsia="Arial" w:hAnsi="Arial"/>
                <w:sz w:val="18"/>
                <w:szCs w:val="18"/>
                <w:color w:val="auto"/>
              </w:rPr>
              <w:t>19</w:t>
            </w:r>
          </w:p>
        </w:tc>
        <w:tc>
          <w:tcPr>
            <w:tcW w:w="370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2017 Significant Acquisitions and Dispositions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2017 Significant Acquisitions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Property</w:t>
            </w:r>
          </w:p>
        </w:tc>
        <w:tc>
          <w:tcPr>
            <w:tcW w:w="2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City/State</w:t>
            </w:r>
          </w:p>
        </w:tc>
        <w:tc>
          <w:tcPr>
            <w:tcW w:w="144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b w:val="1"/>
                <w:bCs w:val="1"/>
                <w:color w:val="auto"/>
              </w:rPr>
              <w:t>GLA</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4"/>
              </w:rPr>
              <w:t>Purchase Price</w:t>
            </w:r>
          </w:p>
        </w:tc>
        <w:tc>
          <w:tcPr>
            <w:tcW w:w="23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Principal Tenants</w:t>
            </w:r>
          </w:p>
        </w:tc>
        <w:tc>
          <w:tcPr>
            <w:tcW w:w="400" w:type="dxa"/>
            <w:vAlign w:val="bottom"/>
            <w:tcBorders>
              <w:bottom w:val="single" w:sz="8" w:color="auto"/>
            </w:tcBorders>
          </w:tcPr>
          <w:p>
            <w:pPr>
              <w:spacing w:after="0"/>
              <w:rPr>
                <w:sz w:val="16"/>
                <w:szCs w:val="16"/>
                <w:color w:val="auto"/>
              </w:rPr>
            </w:pPr>
          </w:p>
        </w:tc>
      </w:tr>
      <w:tr>
        <w:trPr>
          <w:trHeight w:val="217"/>
        </w:trPr>
        <w:tc>
          <w:tcPr>
            <w:tcW w:w="1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40" w:type="dxa"/>
            <w:vAlign w:val="bottom"/>
          </w:tcPr>
          <w:p>
            <w:pPr>
              <w:jc w:val="center"/>
              <w:ind w:left="143"/>
              <w:spacing w:after="0"/>
              <w:rPr>
                <w:sz w:val="20"/>
                <w:szCs w:val="20"/>
                <w:color w:val="auto"/>
              </w:rPr>
            </w:pPr>
            <w:r>
              <w:rPr>
                <w:rFonts w:ascii="Arial" w:cs="Arial" w:eastAsia="Arial" w:hAnsi="Arial"/>
                <w:sz w:val="14"/>
                <w:szCs w:val="14"/>
                <w:b w:val="1"/>
                <w:bCs w:val="1"/>
                <w:color w:val="auto"/>
                <w:w w:val="93"/>
              </w:rPr>
              <w:t>(in square feet)</w:t>
            </w:r>
          </w:p>
        </w:tc>
        <w:tc>
          <w:tcPr>
            <w:tcW w:w="280" w:type="dxa"/>
            <w:vAlign w:val="bottom"/>
          </w:tcPr>
          <w:p>
            <w:pPr>
              <w:spacing w:after="0"/>
              <w:rPr>
                <w:sz w:val="18"/>
                <w:szCs w:val="18"/>
                <w:color w:val="auto"/>
              </w:rPr>
            </w:pPr>
          </w:p>
        </w:tc>
        <w:tc>
          <w:tcPr>
            <w:tcW w:w="1200" w:type="dxa"/>
            <w:vAlign w:val="bottom"/>
          </w:tcPr>
          <w:p>
            <w:pPr>
              <w:jc w:val="right"/>
              <w:ind w:right="243"/>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53"/>
        </w:trPr>
        <w:tc>
          <w:tcPr>
            <w:tcW w:w="18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February 1, 2017</w:t>
            </w:r>
          </w:p>
        </w:tc>
        <w:tc>
          <w:tcPr>
            <w:tcW w:w="1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Hastings Ranch Plaza</w:t>
            </w:r>
          </w:p>
        </w:tc>
        <w:tc>
          <w:tcPr>
            <w:tcW w:w="2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Pasadena, California</w:t>
            </w:r>
          </w:p>
        </w:tc>
        <w:tc>
          <w:tcPr>
            <w:tcW w:w="144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w w:val="93"/>
              </w:rPr>
              <w:t>274,000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29.5</w:t>
            </w:r>
          </w:p>
        </w:tc>
        <w:tc>
          <w:tcPr>
            <w:tcW w:w="23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Marshalls / HomeGoods / CVS /</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r>
      <w:tr>
        <w:trPr>
          <w:trHeight w:val="219"/>
        </w:trPr>
        <w:tc>
          <w:tcPr>
            <w:tcW w:w="18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Sears</w:t>
            </w:r>
          </w:p>
        </w:tc>
        <w:tc>
          <w:tcPr>
            <w:tcW w:w="400" w:type="dxa"/>
            <w:vAlign w:val="bottom"/>
            <w:tcBorders>
              <w:bottom w:val="single" w:sz="8" w:color="CCEEFF"/>
            </w:tcBorders>
            <w:shd w:val="clear" w:color="auto" w:fill="CCEEFF"/>
          </w:tcPr>
          <w:p>
            <w:pPr>
              <w:spacing w:after="0"/>
              <w:rPr>
                <w:sz w:val="19"/>
                <w:szCs w:val="19"/>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March 31, 2017</w:t>
            </w:r>
          </w:p>
        </w:tc>
        <w:tc>
          <w:tcPr>
            <w:tcW w:w="1900" w:type="dxa"/>
            <w:vAlign w:val="bottom"/>
          </w:tcPr>
          <w:p>
            <w:pPr>
              <w:ind w:left="160"/>
              <w:spacing w:after="0"/>
              <w:rPr>
                <w:sz w:val="20"/>
                <w:szCs w:val="20"/>
                <w:color w:val="auto"/>
              </w:rPr>
            </w:pPr>
            <w:r>
              <w:rPr>
                <w:rFonts w:ascii="Arial" w:cs="Arial" w:eastAsia="Arial" w:hAnsi="Arial"/>
                <w:sz w:val="16"/>
                <w:szCs w:val="16"/>
                <w:color w:val="auto"/>
              </w:rPr>
              <w:t>Riverpoint Center</w:t>
            </w:r>
          </w:p>
        </w:tc>
        <w:tc>
          <w:tcPr>
            <w:tcW w:w="2040" w:type="dxa"/>
            <w:vAlign w:val="bottom"/>
          </w:tcPr>
          <w:p>
            <w:pPr>
              <w:ind w:left="320"/>
              <w:spacing w:after="0"/>
              <w:rPr>
                <w:sz w:val="20"/>
                <w:szCs w:val="20"/>
                <w:color w:val="auto"/>
              </w:rPr>
            </w:pPr>
            <w:r>
              <w:rPr>
                <w:rFonts w:ascii="Arial" w:cs="Arial" w:eastAsia="Arial" w:hAnsi="Arial"/>
                <w:sz w:val="16"/>
                <w:szCs w:val="16"/>
                <w:color w:val="auto"/>
              </w:rPr>
              <w:t>Chicago, Illinois</w:t>
            </w:r>
          </w:p>
        </w:tc>
        <w:tc>
          <w:tcPr>
            <w:tcW w:w="1440" w:type="dxa"/>
            <w:vAlign w:val="bottom"/>
          </w:tcPr>
          <w:p>
            <w:pPr>
              <w:jc w:val="center"/>
              <w:ind w:left="163"/>
              <w:spacing w:after="0"/>
              <w:rPr>
                <w:sz w:val="20"/>
                <w:szCs w:val="20"/>
                <w:color w:val="auto"/>
              </w:rPr>
            </w:pPr>
            <w:r>
              <w:rPr>
                <w:rFonts w:ascii="Arial" w:cs="Arial" w:eastAsia="Arial" w:hAnsi="Arial"/>
                <w:sz w:val="16"/>
                <w:szCs w:val="16"/>
                <w:color w:val="auto"/>
                <w:w w:val="89"/>
              </w:rPr>
              <w:t>211,000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107.0</w:t>
            </w:r>
          </w:p>
        </w:tc>
        <w:tc>
          <w:tcPr>
            <w:tcW w:w="2320" w:type="dxa"/>
            <w:vAlign w:val="bottom"/>
          </w:tcPr>
          <w:p>
            <w:pPr>
              <w:ind w:left="120"/>
              <w:spacing w:after="0"/>
              <w:rPr>
                <w:sz w:val="20"/>
                <w:szCs w:val="20"/>
                <w:color w:val="auto"/>
              </w:rPr>
            </w:pPr>
            <w:r>
              <w:rPr>
                <w:rFonts w:ascii="Arial" w:cs="Arial" w:eastAsia="Arial" w:hAnsi="Arial"/>
                <w:sz w:val="16"/>
                <w:szCs w:val="16"/>
                <w:color w:val="auto"/>
              </w:rPr>
              <w:t>Jewel Osco / Marshalls / Old</w:t>
            </w:r>
          </w:p>
        </w:tc>
        <w:tc>
          <w:tcPr>
            <w:tcW w:w="400" w:type="dxa"/>
            <w:vAlign w:val="bottom"/>
          </w:tcPr>
          <w:p>
            <w:pPr>
              <w:spacing w:after="0"/>
              <w:rPr>
                <w:sz w:val="19"/>
                <w:szCs w:val="19"/>
                <w:color w:val="auto"/>
              </w:rPr>
            </w:pPr>
          </w:p>
        </w:tc>
      </w:tr>
      <w:tr>
        <w:trPr>
          <w:trHeight w:val="206"/>
        </w:trPr>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Navy</w:t>
            </w:r>
          </w:p>
        </w:tc>
        <w:tc>
          <w:tcPr>
            <w:tcW w:w="400" w:type="dxa"/>
            <w:vAlign w:val="bottom"/>
          </w:tcPr>
          <w:p>
            <w:pPr>
              <w:spacing w:after="0"/>
              <w:rPr>
                <w:sz w:val="17"/>
                <w:szCs w:val="17"/>
                <w:color w:val="auto"/>
              </w:rPr>
            </w:pPr>
          </w:p>
        </w:tc>
      </w:tr>
      <w:tr>
        <w:trPr>
          <w:trHeight w:val="33"/>
        </w:trPr>
        <w:tc>
          <w:tcPr>
            <w:tcW w:w="1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19, 2017</w:t>
            </w:r>
          </w:p>
        </w:tc>
        <w:tc>
          <w:tcPr>
            <w:tcW w:w="1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Fourth Street</w:t>
            </w:r>
          </w:p>
        </w:tc>
        <w:tc>
          <w:tcPr>
            <w:tcW w:w="2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Berkeley, California</w:t>
            </w:r>
          </w:p>
        </w:tc>
        <w:tc>
          <w:tcPr>
            <w:tcW w:w="1440" w:type="dxa"/>
            <w:vAlign w:val="bottom"/>
            <w:tcBorders>
              <w:bottom w:val="single" w:sz="8" w:color="CCEEFF"/>
            </w:tcBorders>
            <w:shd w:val="clear" w:color="auto" w:fill="CCEEFF"/>
          </w:tcPr>
          <w:p>
            <w:pPr>
              <w:jc w:val="center"/>
              <w:ind w:left="143"/>
              <w:spacing w:after="0"/>
              <w:rPr>
                <w:sz w:val="20"/>
                <w:szCs w:val="20"/>
                <w:color w:val="auto"/>
              </w:rPr>
            </w:pPr>
            <w:r>
              <w:rPr>
                <w:rFonts w:ascii="Arial" w:cs="Arial" w:eastAsia="Arial" w:hAnsi="Arial"/>
                <w:sz w:val="16"/>
                <w:szCs w:val="16"/>
                <w:color w:val="auto"/>
                <w:w w:val="93"/>
              </w:rPr>
              <w:t>71,000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23.9</w:t>
            </w:r>
          </w:p>
        </w:tc>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CB2 / Ingram Book Group</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r>
      <w:tr>
        <w:trPr>
          <w:trHeight w:val="20"/>
        </w:trPr>
        <w:tc>
          <w:tcPr>
            <w:tcW w:w="18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40"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acquired the leasehold interest in Hastings Ranch Plaza. The land is controlled under a long-term ground lease that expires on April 30, 2054.</w:t>
      </w:r>
    </w:p>
    <w:p>
      <w:pPr>
        <w:spacing w:after="0" w:line="74" w:lineRule="exact"/>
        <w:rPr>
          <w:rFonts w:ascii="Arial" w:cs="Arial" w:eastAsia="Arial" w:hAnsi="Arial"/>
          <w:sz w:val="17"/>
          <w:szCs w:val="17"/>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was completed through a newly formed entity for which we own a 90% interest.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Significant Dispositions</w:t>
      </w:r>
    </w:p>
    <w:p>
      <w:pPr>
        <w:spacing w:after="0" w:line="2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April 4, 2017 and June 28, 2017, the sale transactions at our Assembly Row property in Somerville, Massachusetts related to the purchase options on our Partners HealthCare and AvalonBay ground lease parcels, respectively, closed. The total sales price was $53.3 million, which resulted in a gain of $15.4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00" w:type="dxa"/>
            <w:vAlign w:val="bottom"/>
          </w:tcPr>
          <w:p>
            <w:pPr>
              <w:spacing w:after="0"/>
              <w:rPr>
                <w:sz w:val="11"/>
                <w:szCs w:val="11"/>
                <w:color w:val="auto"/>
              </w:rPr>
            </w:pPr>
          </w:p>
        </w:tc>
      </w:tr>
      <w:tr>
        <w:trPr>
          <w:trHeight w:val="174"/>
        </w:trPr>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0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Barcroft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   43,215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115,000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46,000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Bethesda Row</w:t>
            </w:r>
          </w:p>
        </w:tc>
        <w:tc>
          <w:tcPr>
            <w:tcW w:w="32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227,229</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534,000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180</w:t>
            </w: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40,000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shd w:val="clear" w:color="auto" w:fill="CCEEFF"/>
              </w:rPr>
              <w:t>Apple / Equinox / Barnes &amp; Noble /</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Multiple Restaurants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Congressional Plaza</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101,583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194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1"/>
              </w:rPr>
              <w:t>Buy Buy Baby / Saks Fifth Avenue Off 5th</w:t>
            </w: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Market</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 Container Store / Last Call Studio by</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Neiman Marcus</w:t>
            </w: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Courthouse Center</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4,923</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3"/>
              </w:rPr>
              <w:t>Falls Plaza/Falls Plaza-</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13,977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51,000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CVS / Staples</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East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Federal Plaza</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68,767</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shd w:val="clear" w:color="auto" w:fill="CCEEFF"/>
              </w:rPr>
              <w:t>TJ Maxx / Micro Center / Ross Dress For</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Less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Free State Shopping</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64,383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TJ Maxx / Ross Dress For Less / Office</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Center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Depot</w:t>
            </w: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Friendship Center</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37,570</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Marshalls / Nordstrom Rack / DSW /</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Maggiano's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Gaithersburg Square</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27,219</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88"/>
              </w:rPr>
              <w:t>Bed, Bath &amp; Beyond / Ross Dress For Less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 Ashley Furniture HomeStore</w:t>
            </w:r>
          </w:p>
        </w:tc>
      </w:tr>
      <w:tr>
        <w:trPr>
          <w:trHeight w:val="170"/>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Graham Park Plaza</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34,923</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260,000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Stein Mart</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Idylwood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16,795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30,000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Laurel</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56,334</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389,000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Marshalls / L.A. Fitness</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Leesburg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36,209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92%</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55,000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rPr>
                <w:sz w:val="20"/>
                <w:szCs w:val="20"/>
                <w:color w:val="auto"/>
              </w:rPr>
            </w:pPr>
            <w:r>
              <w:rPr>
                <w:rFonts w:ascii="Arial" w:cs="Arial" w:eastAsia="Arial" w:hAnsi="Arial"/>
                <w:sz w:val="13"/>
                <w:szCs w:val="13"/>
                <w:color w:val="auto"/>
              </w:rPr>
              <w:t>Petsmart / Gold's Gym / Office Depot</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Montrose Crossing</w:t>
            </w:r>
          </w:p>
        </w:tc>
        <w:tc>
          <w:tcPr>
            <w:tcW w:w="3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155,371</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71,898</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364,000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shd w:val="clear" w:color="auto" w:fill="CCEEFF"/>
              </w:rPr>
              <w:t>Giant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shd w:val="clear" w:color="auto" w:fill="CCEEFF"/>
              </w:rPr>
              <w:t>Marshalls / Old Navy / Barnes &amp; Noble /</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Bob's Discount Furniture</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Mount Vernon/South</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84,303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569,000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62,000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TJ Maxx / Home Depot / Bed, Bath &amp;</w:t>
            </w:r>
          </w:p>
        </w:tc>
      </w:tr>
      <w:tr>
        <w:trPr>
          <w:trHeight w:val="135"/>
        </w:trPr>
        <w:tc>
          <w:tcPr>
            <w:tcW w:w="130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6"/>
              </w:rPr>
              <w:t>Valley/7770 Richmond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Beyond / Gold's Gym</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Hwy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0"/>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Old Keene Mill</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7,343</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Walgreens / Planet Fitness</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Pan Am</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29,215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227,000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65,000</w:t>
            </w:r>
          </w:p>
        </w:tc>
        <w:tc>
          <w:tcPr>
            <w:tcW w:w="900" w:type="dxa"/>
            <w:vAlign w:val="bottom"/>
          </w:tcPr>
          <w:p>
            <w:pPr>
              <w:ind w:left="80"/>
              <w:spacing w:after="0"/>
              <w:rPr>
                <w:sz w:val="20"/>
                <w:szCs w:val="20"/>
                <w:color w:val="auto"/>
              </w:rPr>
            </w:pPr>
            <w:r>
              <w:rPr>
                <w:rFonts w:ascii="Arial" w:cs="Arial" w:eastAsia="Arial" w:hAnsi="Arial"/>
                <w:sz w:val="13"/>
                <w:szCs w:val="13"/>
                <w:color w:val="auto"/>
              </w:rPr>
              <w:t>Safeway</w:t>
            </w:r>
          </w:p>
        </w:tc>
        <w:tc>
          <w:tcPr>
            <w:tcW w:w="2300" w:type="dxa"/>
            <w:vAlign w:val="bottom"/>
          </w:tcPr>
          <w:p>
            <w:pPr>
              <w:ind w:left="80"/>
              <w:spacing w:after="0"/>
              <w:rPr>
                <w:sz w:val="20"/>
                <w:szCs w:val="20"/>
                <w:color w:val="auto"/>
              </w:rPr>
            </w:pPr>
            <w:r>
              <w:rPr>
                <w:rFonts w:ascii="Arial" w:cs="Arial" w:eastAsia="Arial" w:hAnsi="Arial"/>
                <w:sz w:val="13"/>
                <w:szCs w:val="13"/>
                <w:color w:val="auto"/>
              </w:rPr>
              <w:t>Micro Center / CVS / Michaels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Pentagon Row</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99,119</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298,000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TJ Maxx / Bed, Bath &amp; Beyond / DSW</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Pike &amp; Rose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537,922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493</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iPic Theater / Sport &amp; Health / Nike /</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Multiple Restaurants</w:t>
            </w:r>
          </w:p>
        </w:tc>
      </w:tr>
      <w:tr>
        <w:trPr>
          <w:trHeight w:val="170"/>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Pike 7 Plaza</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42,979</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shd w:val="clear" w:color="auto" w:fill="CCEEFF"/>
              </w:rPr>
              <w:t>TJ Maxx / DSW / Crunch Fitness / Staples</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Plaza del Mercado</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46,121</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117,000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92%</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18,000</w:t>
            </w:r>
          </w:p>
        </w:tc>
        <w:tc>
          <w:tcPr>
            <w:tcW w:w="900" w:type="dxa"/>
            <w:vAlign w:val="bottom"/>
          </w:tcPr>
          <w:p>
            <w:pPr>
              <w:ind w:left="80"/>
              <w:spacing w:after="0"/>
              <w:rPr>
                <w:sz w:val="20"/>
                <w:szCs w:val="20"/>
                <w:color w:val="auto"/>
              </w:rPr>
            </w:pPr>
            <w:r>
              <w:rPr>
                <w:rFonts w:ascii="Arial" w:cs="Arial" w:eastAsia="Arial" w:hAnsi="Arial"/>
                <w:sz w:val="13"/>
                <w:szCs w:val="13"/>
                <w:color w:val="auto"/>
              </w:rPr>
              <w:t>Aldi</w:t>
            </w:r>
          </w:p>
        </w:tc>
        <w:tc>
          <w:tcPr>
            <w:tcW w:w="2300" w:type="dxa"/>
            <w:vAlign w:val="bottom"/>
          </w:tcPr>
          <w:p>
            <w:pPr>
              <w:ind w:left="80"/>
              <w:spacing w:after="0"/>
              <w:rPr>
                <w:sz w:val="20"/>
                <w:szCs w:val="20"/>
                <w:color w:val="auto"/>
              </w:rPr>
            </w:pPr>
            <w:r>
              <w:rPr>
                <w:rFonts w:ascii="Arial" w:cs="Arial" w:eastAsia="Arial" w:hAnsi="Arial"/>
                <w:sz w:val="13"/>
                <w:szCs w:val="13"/>
                <w:color w:val="auto"/>
              </w:rPr>
              <w:t>CVS / L.A. Fitness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Quince Orchard</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38,451</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19,000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HomeGoods / L.A. Fitness / Staples</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4"/>
              </w:rPr>
              <w:t>Rockville Town Square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50,275</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4,465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Dawson's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3"/>
              </w:rPr>
              <w:t>CVS / Gold's Gym / Multiple Restaurants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Market</w:t>
            </w: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Rollingwood</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10,646</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21,053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Apartments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Sam's Park &amp; Shop</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12,743</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49,000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83%</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Petco</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Tower Shopping</w:t>
            </w:r>
          </w:p>
        </w:tc>
        <w:tc>
          <w:tcPr>
            <w:tcW w:w="32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22,001</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112,000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26,000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L.A. Mart</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shd w:val="clear" w:color="auto" w:fill="CCEEFF"/>
              </w:rPr>
              <w:t>Talbots / Total Wine &amp; More</w:t>
            </w: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Tyson's Station</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4,632</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95%</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11,000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Village at Shirlington</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64,085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6,618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266,000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AMC / Carlyle Grand Café</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Wildwood</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20,159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20,000</w:t>
            </w:r>
          </w:p>
        </w:tc>
        <w:tc>
          <w:tcPr>
            <w:tcW w:w="900" w:type="dxa"/>
            <w:vAlign w:val="bottom"/>
          </w:tcPr>
          <w:p>
            <w:pPr>
              <w:ind w:left="80"/>
              <w:spacing w:after="0"/>
              <w:rPr>
                <w:sz w:val="20"/>
                <w:szCs w:val="20"/>
                <w:color w:val="auto"/>
              </w:rPr>
            </w:pPr>
            <w:r>
              <w:rPr>
                <w:rFonts w:ascii="Arial" w:cs="Arial" w:eastAsia="Arial" w:hAnsi="Arial"/>
                <w:sz w:val="13"/>
                <w:szCs w:val="13"/>
                <w:color w:val="auto"/>
              </w:rPr>
              <w:t>Balducci's</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8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2300" w:type="dxa"/>
            <w:vAlign w:val="bottom"/>
            <w:tcBorders>
              <w:bottom w:val="single" w:sz="8" w:color="CCEEFF"/>
            </w:tcBorders>
          </w:tcPr>
          <w:p>
            <w:pPr>
              <w:spacing w:after="0"/>
              <w:rPr>
                <w:sz w:val="8"/>
                <w:szCs w:val="8"/>
                <w:color w:val="auto"/>
              </w:rPr>
            </w:pPr>
          </w:p>
        </w:tc>
      </w:tr>
      <w:tr>
        <w:trPr>
          <w:trHeight w:val="129"/>
        </w:trPr>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w w:val="98"/>
              </w:rPr>
              <w:t>Total Washington Metropolitan</w:t>
            </w:r>
          </w:p>
        </w:tc>
        <w:tc>
          <w:tcPr>
            <w:tcW w:w="70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96"/>
              </w:rPr>
              <w:t>1,958,492</w:t>
            </w: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451</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9"/>
              </w:rPr>
              <w:t>6,083,000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Area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Colorado Blvd</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19,517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Crow Canyon</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San Ramon,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90,142</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Orchard Supply Hardware / Rite Aid</w:t>
            </w: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Commons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East Bay Bridge</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7"/>
              </w:rPr>
              <w:t>San Francisco-Oakland-Fremont,</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178,832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59,000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Home Depot / Target / Nordstrom Rack</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5"/>
                <w:shd w:val="clear" w:color="auto" w:fill="CCEEFF"/>
              </w:rPr>
              <w:t>Escondido Promenade</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shd w:val="clear" w:color="auto" w:fill="CCEEFF"/>
              </w:rPr>
              <w:t>San Diego,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48,797</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shd w:val="clear" w:color="auto" w:fill="CCEEFF"/>
              </w:rPr>
              <w:t>TJ Maxx / Dick’s Sporting Goods / Ross</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Dress For Less / Toys R Us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Fourth Street</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4"/>
              </w:rPr>
              <w:t>San Francisco-Oakland-San Jose,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23,836</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CB2 / Ingram Book Group</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8"/>
              </w:rPr>
              <w:t>Hastings Ranch Plaza</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22,393</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Marshalls / HomeGoods / CVS / Sears</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80"/>
          </w:cols>
          <w:pgMar w:left="320" w:top="747" w:right="29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80" w:type="dxa"/>
            <w:vAlign w:val="bottom"/>
          </w:tcPr>
          <w:p>
            <w:pPr>
              <w:spacing w:after="0"/>
              <w:rPr>
                <w:sz w:val="11"/>
                <w:szCs w:val="11"/>
                <w:color w:val="auto"/>
              </w:rPr>
            </w:pPr>
          </w:p>
        </w:tc>
      </w:tr>
      <w:tr>
        <w:trPr>
          <w:trHeight w:val="174"/>
        </w:trPr>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70"/>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Hermosa Avenue</w:t>
            </w:r>
          </w:p>
        </w:tc>
        <w:tc>
          <w:tcPr>
            <w:tcW w:w="4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6,021</w:t>
            </w:r>
          </w:p>
        </w:tc>
        <w:tc>
          <w:tcPr>
            <w:tcW w:w="6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&lt; 1</w:t>
            </w: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87%</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Hollywood Blvd</w:t>
            </w:r>
          </w:p>
        </w:tc>
        <w:tc>
          <w:tcPr>
            <w:tcW w:w="44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46,722</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DSW / L.A. Fitness / La La</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Land</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Kings Court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11,667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31,000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w w:val="90"/>
              </w:rPr>
              <w:t>Lunardi's Super</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Market</w:t>
            </w:r>
          </w:p>
        </w:tc>
        <w:tc>
          <w:tcPr>
            <w:tcW w:w="2280" w:type="dxa"/>
            <w:vAlign w:val="bottom"/>
          </w:tcPr>
          <w:p>
            <w:pPr>
              <w:spacing w:after="0"/>
              <w:rPr>
                <w:sz w:val="14"/>
                <w:szCs w:val="14"/>
                <w:color w:val="auto"/>
              </w:rPr>
            </w:pP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Old Town Center</w:t>
            </w: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37,206</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Anthropologie / Banana Republic / Gap</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w w:val="87"/>
              </w:rPr>
              <w:t>Plaza El Segundo / The</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280,219</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125,000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66,000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Whole Foods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Anthropologie / HomeGoods / Dick's</w:t>
            </w:r>
          </w:p>
        </w:tc>
      </w:tr>
      <w:tr>
        <w:trPr>
          <w:trHeight w:val="168"/>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Point</w:t>
            </w:r>
          </w:p>
        </w:tc>
        <w:tc>
          <w:tcPr>
            <w:tcW w:w="4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Sporting Goods / Multiple Restaurants</w:t>
            </w: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Santana Row</w:t>
            </w:r>
          </w:p>
        </w:tc>
        <w:tc>
          <w:tcPr>
            <w:tcW w:w="44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823,160</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885,000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662</w:t>
            </w: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Crate &amp; Barrel / H&amp;M / Container Store /</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Multiple Restaurants</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San Antonio Center</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San Francisco-Oakland-San Jose,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73,555</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376,000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11,000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Walmart / Kohl's / 24 Hour Fitness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Third Street</w:t>
            </w:r>
          </w:p>
        </w:tc>
        <w:tc>
          <w:tcPr>
            <w:tcW w:w="44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78,291</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Banana Republic / Old Navy / J. Crew /</w:t>
            </w:r>
          </w:p>
        </w:tc>
      </w:tr>
      <w:tr>
        <w:trPr>
          <w:trHeight w:val="17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Promenade</w:t>
            </w: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Abercrombie &amp; Fitch</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Westgate Center</w:t>
            </w:r>
          </w:p>
        </w:tc>
        <w:tc>
          <w:tcPr>
            <w:tcW w:w="44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151,695</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38,000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4"/>
              </w:rPr>
              <w:t>Target / Nordstrom Rack / Nike Factory /</w:t>
            </w: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ind w:left="80"/>
              <w:spacing w:after="0" w:line="135" w:lineRule="exact"/>
              <w:rPr>
                <w:sz w:val="20"/>
                <w:szCs w:val="20"/>
                <w:color w:val="auto"/>
              </w:rPr>
            </w:pPr>
            <w:r>
              <w:rPr>
                <w:rFonts w:ascii="Arial" w:cs="Arial" w:eastAsia="Arial" w:hAnsi="Arial"/>
                <w:sz w:val="13"/>
                <w:szCs w:val="13"/>
                <w:color w:val="auto"/>
              </w:rPr>
              <w:t>Neighborhood</w:t>
            </w:r>
          </w:p>
        </w:tc>
        <w:tc>
          <w:tcPr>
            <w:tcW w:w="2280" w:type="dxa"/>
            <w:vAlign w:val="bottom"/>
          </w:tcPr>
          <w:p>
            <w:pPr>
              <w:ind w:left="60"/>
              <w:spacing w:after="0" w:line="135" w:lineRule="exact"/>
              <w:rPr>
                <w:sz w:val="20"/>
                <w:szCs w:val="20"/>
                <w:color w:val="auto"/>
              </w:rPr>
            </w:pPr>
            <w:r>
              <w:rPr>
                <w:rFonts w:ascii="Arial" w:cs="Arial" w:eastAsia="Arial" w:hAnsi="Arial"/>
                <w:sz w:val="13"/>
                <w:szCs w:val="13"/>
                <w:color w:val="auto"/>
              </w:rPr>
              <w:t>Burlington</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Market</w:t>
            </w:r>
          </w:p>
        </w:tc>
        <w:tc>
          <w:tcPr>
            <w:tcW w:w="2280" w:type="dxa"/>
            <w:vAlign w:val="bottom"/>
          </w:tcPr>
          <w:p>
            <w:pPr>
              <w:spacing w:after="0"/>
              <w:rPr>
                <w:sz w:val="14"/>
                <w:szCs w:val="14"/>
                <w:color w:val="auto"/>
              </w:rPr>
            </w:pP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150 Post Street</w:t>
            </w: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Francisco,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36,618</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&lt; 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Shreve &amp; Co.</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California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1,928,671</w:t>
            </w:r>
          </w:p>
        </w:tc>
        <w:tc>
          <w:tcPr>
            <w:tcW w:w="6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4,489,000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8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1220" w:type="dxa"/>
            <w:vAlign w:val="bottom"/>
            <w:gridSpan w:val="3"/>
          </w:tcPr>
          <w:p>
            <w:pPr>
              <w:ind w:left="60"/>
              <w:spacing w:after="0"/>
              <w:rPr>
                <w:sz w:val="20"/>
                <w:szCs w:val="20"/>
                <w:color w:val="auto"/>
              </w:rPr>
            </w:pPr>
            <w:r>
              <w:rPr>
                <w:rFonts w:ascii="Arial" w:cs="Arial" w:eastAsia="Arial" w:hAnsi="Arial"/>
                <w:sz w:val="13"/>
                <w:szCs w:val="13"/>
                <w:b w:val="1"/>
                <w:bCs w:val="1"/>
                <w:color w:val="auto"/>
              </w:rPr>
              <w:t>NY Metro/New</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Jersey</w:t>
            </w: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3"/>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Brick Plaza</w:t>
            </w: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Monmouth-Ocean, 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73,144</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422,000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 Barnes &amp; Noble / Ulta / DSW</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Brook 35</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New York-Northern New Jersey-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47,232</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11,500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89"/>
              </w:rPr>
              <w:t>Banana Republic / Gap / Coach / Williams-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Long Island, NY-NJ-PA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Sonoma</w:t>
            </w: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Darien</w:t>
            </w:r>
          </w:p>
        </w:tc>
        <w:tc>
          <w:tcPr>
            <w:tcW w:w="44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New Haven-Bridgeport-Stamford-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49,526</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Equinox</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Waterbury</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Fresh Meadows</w:t>
            </w:r>
          </w:p>
        </w:tc>
        <w:tc>
          <w:tcPr>
            <w:tcW w:w="44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New York, NY</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87,505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404,000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15,000</w:t>
            </w:r>
          </w:p>
        </w:tc>
        <w:tc>
          <w:tcPr>
            <w:tcW w:w="920" w:type="dxa"/>
            <w:vAlign w:val="bottom"/>
          </w:tcPr>
          <w:p>
            <w:pPr>
              <w:ind w:left="80"/>
              <w:spacing w:after="0"/>
              <w:rPr>
                <w:sz w:val="20"/>
                <w:szCs w:val="20"/>
                <w:color w:val="auto"/>
              </w:rPr>
            </w:pPr>
            <w:r>
              <w:rPr>
                <w:rFonts w:ascii="Arial" w:cs="Arial" w:eastAsia="Arial" w:hAnsi="Arial"/>
                <w:sz w:val="13"/>
                <w:szCs w:val="13"/>
                <w:color w:val="auto"/>
              </w:rPr>
              <w:t>Island of Gold</w:t>
            </w:r>
          </w:p>
        </w:tc>
        <w:tc>
          <w:tcPr>
            <w:tcW w:w="2280" w:type="dxa"/>
            <w:vAlign w:val="bottom"/>
          </w:tcPr>
          <w:p>
            <w:pPr>
              <w:ind w:left="60"/>
              <w:spacing w:after="0"/>
              <w:rPr>
                <w:sz w:val="20"/>
                <w:szCs w:val="20"/>
                <w:color w:val="auto"/>
              </w:rPr>
            </w:pPr>
            <w:r>
              <w:rPr>
                <w:rFonts w:ascii="Arial" w:cs="Arial" w:eastAsia="Arial" w:hAnsi="Arial"/>
                <w:sz w:val="13"/>
                <w:szCs w:val="13"/>
                <w:color w:val="auto"/>
              </w:rPr>
              <w:t>AMC / Kohl's / Michaels</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Greenlawn Plaza</w:t>
            </w:r>
          </w:p>
        </w:tc>
        <w:tc>
          <w:tcPr>
            <w:tcW w:w="44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31,692</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106,000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9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Greenlawn</w:t>
            </w: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Tuesday Morning</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Farms</w:t>
            </w: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Greenwich Avenue</w:t>
            </w:r>
          </w:p>
        </w:tc>
        <w:tc>
          <w:tcPr>
            <w:tcW w:w="44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7"/>
              </w:rPr>
              <w:t>New Haven-Bridgeport-Stamford-</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14,127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Waterbury</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Hauppauge</w:t>
            </w: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28,872</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 Moore</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Huntington</w:t>
            </w:r>
          </w:p>
        </w:tc>
        <w:tc>
          <w:tcPr>
            <w:tcW w:w="44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47,051</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6"/>
              </w:rPr>
              <w:t>Nordstrom Rack / Bed, Bath &amp; Beyond /</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Buy Buy Baby / Michaels</w:t>
            </w: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Huntington Square</w:t>
            </w: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12,178</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Barnes &amp; Noble</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Melville Mall</w:t>
            </w:r>
          </w:p>
        </w:tc>
        <w:tc>
          <w:tcPr>
            <w:tcW w:w="44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86,118</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4"/>
              </w:rPr>
              <w:t>Marshalls / Dick's Sporting Goods / Field</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&amp; Stream / Macy's Backstage</w:t>
            </w: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Mercer Mall</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w:t>
            </w: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Trenton, 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125,513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55,583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TJ Maxx / Nordstrom Rack / Bed, Bath &amp;</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Beyond / REI</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The Grove at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New York-Northern New Jersey-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124,113</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52,674</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1"/>
              </w:rPr>
              <w:t>Lululemon / Anthropologie / Pottery Barn /</w:t>
            </w:r>
          </w:p>
        </w:tc>
      </w:tr>
      <w:tr>
        <w:trPr>
          <w:trHeight w:val="168"/>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Shrewsbury</w:t>
            </w:r>
          </w:p>
        </w:tc>
        <w:tc>
          <w:tcPr>
            <w:tcW w:w="4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Long Island, NY-NJ-PA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Williams-Sonoma</w:t>
            </w: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Troy</w:t>
            </w: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Newark, 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35,210</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Michaels</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762,281</w:t>
            </w:r>
          </w:p>
        </w:tc>
        <w:tc>
          <w:tcPr>
            <w:tcW w:w="6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2,832,000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gridSpan w:val="3"/>
          </w:tcPr>
          <w:p>
            <w:pPr>
              <w:spacing w:after="0"/>
              <w:rPr>
                <w:sz w:val="7"/>
                <w:szCs w:val="7"/>
                <w:color w:val="auto"/>
              </w:rPr>
            </w:pPr>
          </w:p>
        </w:tc>
        <w:tc>
          <w:tcPr>
            <w:tcW w:w="1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8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gridSpan w:val="3"/>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3600" w:type="dxa"/>
            <w:vAlign w:val="bottom"/>
            <w:gridSpan w:val="6"/>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73"/>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Andorra</w:t>
            </w: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25,793</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24,000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Acme Markets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Kohl's / L.A. Fitness / Staples</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Bala Cynwyd</w:t>
            </w:r>
          </w:p>
        </w:tc>
        <w:tc>
          <w:tcPr>
            <w:tcW w:w="44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40,613</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295,000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45,000</w:t>
            </w:r>
          </w:p>
        </w:tc>
        <w:tc>
          <w:tcPr>
            <w:tcW w:w="920" w:type="dxa"/>
            <w:vAlign w:val="bottom"/>
          </w:tcPr>
          <w:p>
            <w:pPr>
              <w:ind w:left="80"/>
              <w:spacing w:after="0"/>
              <w:rPr>
                <w:sz w:val="20"/>
                <w:szCs w:val="20"/>
                <w:color w:val="auto"/>
              </w:rPr>
            </w:pPr>
            <w:r>
              <w:rPr>
                <w:rFonts w:ascii="Arial" w:cs="Arial" w:eastAsia="Arial" w:hAnsi="Arial"/>
                <w:sz w:val="13"/>
                <w:szCs w:val="13"/>
                <w:color w:val="auto"/>
                <w:w w:val="98"/>
              </w:rPr>
              <w:t>Acme Markets</w:t>
            </w:r>
          </w:p>
        </w:tc>
        <w:tc>
          <w:tcPr>
            <w:tcW w:w="2280" w:type="dxa"/>
            <w:vAlign w:val="bottom"/>
          </w:tcPr>
          <w:p>
            <w:pPr>
              <w:ind w:left="60"/>
              <w:spacing w:after="0"/>
              <w:rPr>
                <w:sz w:val="20"/>
                <w:szCs w:val="20"/>
                <w:color w:val="auto"/>
              </w:rPr>
            </w:pPr>
            <w:r>
              <w:rPr>
                <w:rFonts w:ascii="Arial" w:cs="Arial" w:eastAsia="Arial" w:hAnsi="Arial"/>
                <w:sz w:val="13"/>
                <w:szCs w:val="13"/>
                <w:color w:val="auto"/>
              </w:rPr>
              <w:t>Lord &amp; Taylor / Michaels / L.A. Fitness</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73"/>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Ellisburg</w:t>
            </w:r>
          </w:p>
        </w:tc>
        <w:tc>
          <w:tcPr>
            <w:tcW w:w="4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34,422</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47,000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Flourtown</w:t>
            </w:r>
          </w:p>
        </w:tc>
        <w:tc>
          <w:tcPr>
            <w:tcW w:w="44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16,941</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75,000</w:t>
            </w:r>
          </w:p>
        </w:tc>
        <w:tc>
          <w:tcPr>
            <w:tcW w:w="9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280" w:type="dxa"/>
            <w:vAlign w:val="bottom"/>
          </w:tcPr>
          <w:p>
            <w:pPr>
              <w:ind w:left="60"/>
              <w:spacing w:after="0"/>
              <w:rPr>
                <w:sz w:val="20"/>
                <w:szCs w:val="20"/>
                <w:color w:val="auto"/>
              </w:rPr>
            </w:pPr>
            <w:r>
              <w:rPr>
                <w:rFonts w:ascii="Arial" w:cs="Arial" w:eastAsia="Arial" w:hAnsi="Arial"/>
                <w:sz w:val="13"/>
                <w:szCs w:val="13"/>
                <w:color w:val="auto"/>
              </w:rPr>
              <w:t>Movie Tavern</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Langhorne Square</w:t>
            </w:r>
          </w:p>
        </w:tc>
        <w:tc>
          <w:tcPr>
            <w:tcW w:w="44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21,955</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227,000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9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Redner's</w:t>
            </w: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Marshalls / Planet Fitness</w:t>
            </w:r>
          </w:p>
        </w:tc>
      </w:tr>
      <w:tr>
        <w:trPr>
          <w:trHeight w:val="135"/>
        </w:trPr>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228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Mkts.</w:t>
            </w:r>
          </w:p>
        </w:tc>
        <w:tc>
          <w:tcPr>
            <w:tcW w:w="228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80"/>
          </w:cols>
          <w:pgMar w:left="320" w:top="747" w:right="29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00" w:type="dxa"/>
            <w:vAlign w:val="bottom"/>
          </w:tcPr>
          <w:p>
            <w:pPr>
              <w:spacing w:after="0"/>
              <w:rPr>
                <w:sz w:val="11"/>
                <w:szCs w:val="11"/>
                <w:color w:val="auto"/>
              </w:rPr>
            </w:pPr>
          </w:p>
        </w:tc>
      </w:tr>
      <w:tr>
        <w:trPr>
          <w:trHeight w:val="174"/>
        </w:trPr>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Property Name</w:t>
            </w:r>
          </w:p>
        </w:tc>
        <w:tc>
          <w:tcPr>
            <w:tcW w:w="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95"/>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Lawrence Park</w:t>
            </w:r>
          </w:p>
        </w:tc>
        <w:tc>
          <w:tcPr>
            <w:tcW w:w="50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35,118</w:t>
            </w:r>
          </w:p>
        </w:tc>
        <w:tc>
          <w:tcPr>
            <w:tcW w:w="660" w:type="dxa"/>
            <w:vAlign w:val="bottom"/>
          </w:tcPr>
          <w:p>
            <w:pPr>
              <w:spacing w:after="0"/>
              <w:rPr>
                <w:sz w:val="16"/>
                <w:szCs w:val="16"/>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6"/>
                <w:szCs w:val="16"/>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373,000</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6"/>
                <w:szCs w:val="16"/>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53,000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tcPr>
          <w:p>
            <w:pPr>
              <w:ind w:left="80"/>
              <w:spacing w:after="0"/>
              <w:rPr>
                <w:sz w:val="20"/>
                <w:szCs w:val="20"/>
                <w:color w:val="auto"/>
              </w:rPr>
            </w:pPr>
            <w:r>
              <w:rPr>
                <w:rFonts w:ascii="Arial" w:cs="Arial" w:eastAsia="Arial" w:hAnsi="Arial"/>
                <w:sz w:val="13"/>
                <w:szCs w:val="13"/>
                <w:color w:val="auto"/>
                <w:w w:val="93"/>
              </w:rPr>
              <w:t>TJ Maxx / HomeGoods / Barnes &amp; Noble</w:t>
            </w: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Northeast</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29,812</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Marshalls / Burlington / A.C. Moore</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180" w:type="dxa"/>
            <w:vAlign w:val="bottom"/>
            <w:gridSpan w:val="6"/>
          </w:tcPr>
          <w:p>
            <w:pPr>
              <w:ind w:left="20"/>
              <w:spacing w:after="0" w:line="148" w:lineRule="exact"/>
              <w:rPr>
                <w:sz w:val="20"/>
                <w:szCs w:val="20"/>
                <w:color w:val="auto"/>
              </w:rPr>
            </w:pPr>
            <w:r>
              <w:rPr>
                <w:rFonts w:ascii="Arial" w:cs="Arial" w:eastAsia="Arial" w:hAnsi="Arial"/>
                <w:sz w:val="13"/>
                <w:szCs w:val="13"/>
                <w:color w:val="auto"/>
                <w:w w:val="96"/>
              </w:rPr>
              <w:t>Town Center of New</w:t>
            </w:r>
          </w:p>
        </w:tc>
        <w:tc>
          <w:tcPr>
            <w:tcW w:w="50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15,164</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36,000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Rite Aid / Dollar Tree</w:t>
            </w:r>
          </w:p>
        </w:tc>
      </w:tr>
      <w:tr>
        <w:trPr>
          <w:trHeight w:val="168"/>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Britain</w:t>
            </w: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81"/>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Willow Grove</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30,141</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1"/>
              </w:rPr>
              <w:t>Marshalls / HomeGoods / Barnes &amp; Noble</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Wynnewood</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42,827</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251,000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98,000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rPr>
                <w:sz w:val="20"/>
                <w:szCs w:val="20"/>
                <w:color w:val="auto"/>
              </w:rPr>
            </w:pPr>
            <w:r>
              <w:rPr>
                <w:rFonts w:ascii="Arial" w:cs="Arial" w:eastAsia="Arial" w:hAnsi="Arial"/>
                <w:sz w:val="13"/>
                <w:szCs w:val="13"/>
                <w:color w:val="auto"/>
                <w:w w:val="98"/>
              </w:rPr>
              <w:t>Bed, Bath &amp; Beyond / Old Navy / DSW</w:t>
            </w:r>
          </w:p>
        </w:tc>
      </w:tr>
      <w:tr>
        <w:trPr>
          <w:trHeight w:val="97"/>
        </w:trPr>
        <w:tc>
          <w:tcPr>
            <w:tcW w:w="20" w:type="dxa"/>
            <w:vAlign w:val="bottom"/>
            <w:tcBorders>
              <w:bottom w:val="single" w:sz="8" w:color="CCEEFF"/>
            </w:tcBorders>
          </w:tcPr>
          <w:p>
            <w:pPr>
              <w:spacing w:after="0"/>
              <w:rPr>
                <w:sz w:val="8"/>
                <w:szCs w:val="8"/>
                <w:color w:val="auto"/>
              </w:rPr>
            </w:pPr>
          </w:p>
        </w:tc>
        <w:tc>
          <w:tcPr>
            <w:tcW w:w="5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500" w:type="dxa"/>
            <w:vAlign w:val="bottom"/>
            <w:tcBorders>
              <w:bottom w:val="single" w:sz="8" w:color="CCEEFF"/>
            </w:tcBorders>
          </w:tcPr>
          <w:p>
            <w:pPr>
              <w:spacing w:after="0"/>
              <w:rPr>
                <w:sz w:val="8"/>
                <w:szCs w:val="8"/>
                <w:color w:val="auto"/>
              </w:rPr>
            </w:pPr>
          </w:p>
        </w:tc>
        <w:tc>
          <w:tcPr>
            <w:tcW w:w="194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2300" w:type="dxa"/>
            <w:vAlign w:val="bottom"/>
            <w:tcBorders>
              <w:bottom w:val="single" w:sz="8" w:color="CCEEFF"/>
            </w:tcBorders>
          </w:tcPr>
          <w:p>
            <w:pPr>
              <w:spacing w:after="0"/>
              <w:rPr>
                <w:sz w:val="8"/>
                <w:szCs w:val="8"/>
                <w:color w:val="auto"/>
              </w:rPr>
            </w:pPr>
          </w:p>
        </w:tc>
      </w:tr>
      <w:tr>
        <w:trPr>
          <w:trHeight w:val="129"/>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w w:val="97"/>
              </w:rPr>
              <w:t>Total Philadelphia Metropolitan</w:t>
            </w:r>
          </w:p>
        </w:tc>
        <w:tc>
          <w:tcPr>
            <w:tcW w:w="70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292,786</w:t>
            </w: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210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9"/>
              </w:rPr>
              <w:t>2,457,000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Area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149"/>
        </w:trPr>
        <w:tc>
          <w:tcPr>
            <w:tcW w:w="2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5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48"/>
        </w:trPr>
        <w:tc>
          <w:tcPr>
            <w:tcW w:w="118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Assembly Row /</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rPr>
              <w:t>(4)</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642,609</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65</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779,000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5"/>
              </w:rPr>
              <w:t>TJ Maxx / AMC / LEGOLAND Discovery</w:t>
            </w:r>
          </w:p>
        </w:tc>
      </w:tr>
      <w:tr>
        <w:trPr>
          <w:trHeight w:val="135"/>
        </w:trPr>
        <w:tc>
          <w:tcPr>
            <w:tcW w:w="1180" w:type="dxa"/>
            <w:vAlign w:val="bottom"/>
            <w:gridSpan w:val="6"/>
          </w:tcPr>
          <w:p>
            <w:pPr>
              <w:ind w:left="20"/>
              <w:spacing w:after="0" w:line="135" w:lineRule="exact"/>
              <w:rPr>
                <w:sz w:val="20"/>
                <w:szCs w:val="20"/>
                <w:color w:val="auto"/>
              </w:rPr>
            </w:pPr>
            <w:r>
              <w:rPr>
                <w:rFonts w:ascii="Arial" w:cs="Arial" w:eastAsia="Arial" w:hAnsi="Arial"/>
                <w:sz w:val="13"/>
                <w:szCs w:val="13"/>
                <w:color w:val="auto"/>
              </w:rPr>
              <w:t>Assembly Square</w:t>
            </w:r>
          </w:p>
        </w:tc>
        <w:tc>
          <w:tcPr>
            <w:tcW w:w="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w w:val="97"/>
              </w:rPr>
              <w:t>Center / Multiple Restaurants &amp; Outlets</w:t>
            </w:r>
          </w:p>
        </w:tc>
      </w:tr>
      <w:tr>
        <w:trPr>
          <w:trHeight w:val="168"/>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Marketplace</w:t>
            </w: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Atlantic Plaza</w:t>
            </w:r>
          </w:p>
        </w:tc>
        <w:tc>
          <w:tcPr>
            <w:tcW w:w="50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Boston-Worcester-Lawrence-</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25,597</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2300" w:type="dxa"/>
            <w:vAlign w:val="bottom"/>
            <w:shd w:val="clear" w:color="auto" w:fill="CCEEFF"/>
          </w:tcPr>
          <w:p>
            <w:pPr>
              <w:spacing w:after="0"/>
              <w:rPr>
                <w:sz w:val="13"/>
                <w:szCs w:val="13"/>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Lowell-Brockton, MA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118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Campus Plaza</w:t>
            </w:r>
          </w:p>
        </w:tc>
        <w:tc>
          <w:tcPr>
            <w:tcW w:w="50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Boston-Worcester-Lawrence-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30,506</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Burlington</w:t>
            </w: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Lowell-Brockton, MA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81"/>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Chelsea Commons</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42,856</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6,423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16,000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Home Depot / Planet Fitness</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Dedham Plaza</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38,915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241,000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80,000</w:t>
            </w:r>
          </w:p>
        </w:tc>
        <w:tc>
          <w:tcPr>
            <w:tcW w:w="900" w:type="dxa"/>
            <w:vAlign w:val="bottom"/>
          </w:tcPr>
          <w:p>
            <w:pPr>
              <w:ind w:left="80"/>
              <w:spacing w:after="0"/>
              <w:rPr>
                <w:sz w:val="20"/>
                <w:szCs w:val="20"/>
                <w:color w:val="auto"/>
              </w:rPr>
            </w:pPr>
            <w:r>
              <w:rPr>
                <w:rFonts w:ascii="Arial" w:cs="Arial" w:eastAsia="Arial" w:hAnsi="Arial"/>
                <w:sz w:val="13"/>
                <w:szCs w:val="13"/>
                <w:color w:val="auto"/>
              </w:rPr>
              <w:t>Star Market</w:t>
            </w:r>
          </w:p>
        </w:tc>
        <w:tc>
          <w:tcPr>
            <w:tcW w:w="2300" w:type="dxa"/>
            <w:vAlign w:val="bottom"/>
          </w:tcPr>
          <w:p>
            <w:pPr>
              <w:ind w:left="80"/>
              <w:spacing w:after="0"/>
              <w:rPr>
                <w:sz w:val="20"/>
                <w:szCs w:val="20"/>
                <w:color w:val="auto"/>
              </w:rPr>
            </w:pPr>
            <w:r>
              <w:rPr>
                <w:rFonts w:ascii="Arial" w:cs="Arial" w:eastAsia="Arial" w:hAnsi="Arial"/>
                <w:sz w:val="13"/>
                <w:szCs w:val="13"/>
                <w:color w:val="auto"/>
              </w:rPr>
              <w:t>Planet Fitness</w:t>
            </w: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Linden Square</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148,043</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North Dartmouth</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9,368</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48,000</w:t>
            </w:r>
          </w:p>
        </w:tc>
        <w:tc>
          <w:tcPr>
            <w:tcW w:w="900" w:type="dxa"/>
            <w:vAlign w:val="bottom"/>
          </w:tcPr>
          <w:p>
            <w:pPr>
              <w:ind w:left="80"/>
              <w:spacing w:after="0"/>
              <w:rPr>
                <w:sz w:val="20"/>
                <w:szCs w:val="20"/>
                <w:color w:val="auto"/>
              </w:rPr>
            </w:pPr>
            <w:r>
              <w:rPr>
                <w:rFonts w:ascii="Arial" w:cs="Arial" w:eastAsia="Arial" w:hAnsi="Arial"/>
                <w:sz w:val="13"/>
                <w:szCs w:val="13"/>
                <w:color w:val="auto"/>
              </w:rPr>
              <w:t>Stop &amp; Shop</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Queen Anne Plaza</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18,294</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Big Y Foods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TJ Maxx / HomeGoods</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18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Saugus Plaza</w:t>
            </w:r>
          </w:p>
        </w:tc>
        <w:tc>
          <w:tcPr>
            <w:tcW w:w="50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15,259</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Super Stop &amp;</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Kmart</w:t>
            </w:r>
          </w:p>
        </w:tc>
      </w:tr>
      <w:tr>
        <w:trPr>
          <w:trHeight w:val="170"/>
        </w:trPr>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2300" w:type="dxa"/>
            <w:vAlign w:val="bottom"/>
            <w:tcBorders>
              <w:bottom w:val="single" w:sz="8" w:color="CCEEFF"/>
            </w:tcBorders>
          </w:tcPr>
          <w:p>
            <w:pPr>
              <w:spacing w:after="0"/>
              <w:rPr>
                <w:sz w:val="14"/>
                <w:szCs w:val="14"/>
                <w:color w:val="auto"/>
              </w:rPr>
            </w:pPr>
          </w:p>
        </w:tc>
      </w:tr>
      <w:tr>
        <w:trPr>
          <w:trHeight w:val="17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New England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971,447</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2,070,000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South Florida</w:t>
            </w:r>
          </w:p>
        </w:tc>
        <w:tc>
          <w:tcPr>
            <w:tcW w:w="5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48"/>
        </w:trPr>
        <w:tc>
          <w:tcPr>
            <w:tcW w:w="118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Cocowalk</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w w:val="90"/>
              </w:rPr>
              <w:t>(3) (7)</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109,308</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75%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6"/>
              </w:rPr>
              <w:t>Gap / Cinepolis Theaters / Youfit Health</w:t>
            </w: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Club</w:t>
            </w:r>
          </w:p>
        </w:tc>
      </w:tr>
      <w:tr>
        <w:trPr>
          <w:trHeight w:val="181"/>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Del Mar Village</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64,129</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196,000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180" w:type="dxa"/>
            <w:vAlign w:val="bottom"/>
            <w:gridSpan w:val="6"/>
          </w:tcPr>
          <w:p>
            <w:pPr>
              <w:ind w:left="20"/>
              <w:spacing w:after="0" w:line="148" w:lineRule="exact"/>
              <w:rPr>
                <w:sz w:val="20"/>
                <w:szCs w:val="20"/>
                <w:color w:val="auto"/>
              </w:rPr>
            </w:pPr>
            <w:r>
              <w:rPr>
                <w:rFonts w:ascii="Arial" w:cs="Arial" w:eastAsia="Arial" w:hAnsi="Arial"/>
                <w:sz w:val="13"/>
                <w:szCs w:val="13"/>
                <w:color w:val="auto"/>
                <w:w w:val="93"/>
              </w:rPr>
              <w:t>The Shops at Sunset</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121,683</w:t>
            </w:r>
          </w:p>
        </w:tc>
        <w:tc>
          <w:tcPr>
            <w:tcW w:w="660" w:type="dxa"/>
            <w:vAlign w:val="bottom"/>
          </w:tcPr>
          <w:p>
            <w:pPr>
              <w:jc w:val="right"/>
              <w:ind w:right="59"/>
              <w:spacing w:after="0" w:line="148" w:lineRule="exact"/>
              <w:rPr>
                <w:sz w:val="20"/>
                <w:szCs w:val="20"/>
                <w:color w:val="auto"/>
              </w:rPr>
            </w:pPr>
            <w:r>
              <w:rPr>
                <w:rFonts w:ascii="Arial" w:cs="Arial" w:eastAsia="Arial" w:hAnsi="Arial"/>
                <w:sz w:val="13"/>
                <w:szCs w:val="13"/>
                <w:color w:val="auto"/>
              </w:rPr>
              <w:t>67,628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523,000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79%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AMC / L.A. Fitness / Barnes &amp; Noble /</w:t>
            </w:r>
          </w:p>
        </w:tc>
      </w:tr>
      <w:tr>
        <w:trPr>
          <w:trHeight w:val="168"/>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Place</w:t>
            </w: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Restoration Hardware Outlet</w:t>
            </w:r>
          </w:p>
        </w:tc>
      </w:tr>
      <w:tr>
        <w:trPr>
          <w:trHeight w:val="156"/>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Tower Shops</w:t>
            </w:r>
          </w:p>
        </w:tc>
        <w:tc>
          <w:tcPr>
            <w:tcW w:w="50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97,114</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rPr>
              <w:t>TJ Maxx / Ross Dress For Less / Best Buy</w:t>
            </w: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 DSW</w:t>
            </w: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392,234</w:t>
            </w:r>
          </w:p>
        </w:tc>
        <w:tc>
          <w:tcPr>
            <w:tcW w:w="6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1,351,000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87%</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30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1160" w:type="dxa"/>
            <w:vAlign w:val="bottom"/>
            <w:gridSpan w:val="5"/>
          </w:tcPr>
          <w:p>
            <w:pPr>
              <w:ind w:left="60"/>
              <w:spacing w:after="0"/>
              <w:rPr>
                <w:sz w:val="20"/>
                <w:szCs w:val="20"/>
                <w:color w:val="auto"/>
              </w:rPr>
            </w:pPr>
            <w:r>
              <w:rPr>
                <w:rFonts w:ascii="Arial" w:cs="Arial" w:eastAsia="Arial" w:hAnsi="Arial"/>
                <w:sz w:val="13"/>
                <w:szCs w:val="13"/>
                <w:b w:val="1"/>
                <w:bCs w:val="1"/>
                <w:color w:val="auto"/>
              </w:rPr>
              <w:t>Baltimore</w:t>
            </w:r>
          </w:p>
        </w:tc>
        <w:tc>
          <w:tcPr>
            <w:tcW w:w="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Governor Plaza</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27,385</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243,000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16,500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Dick's Sporting Goods / A.C. Moore</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18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Perring Plaza</w:t>
            </w:r>
          </w:p>
        </w:tc>
        <w:tc>
          <w:tcPr>
            <w:tcW w:w="50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30,959</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395,000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58,000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6"/>
              </w:rPr>
              <w:t>Home Depot / Micro Center / Burlington</w:t>
            </w: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Warehouse</w:t>
            </w:r>
          </w:p>
        </w:tc>
        <w:tc>
          <w:tcPr>
            <w:tcW w:w="2300" w:type="dxa"/>
            <w:vAlign w:val="bottom"/>
          </w:tcPr>
          <w:p>
            <w:pPr>
              <w:spacing w:after="0"/>
              <w:rPr>
                <w:sz w:val="14"/>
                <w:szCs w:val="14"/>
                <w:color w:val="auto"/>
              </w:rPr>
            </w:pPr>
          </w:p>
        </w:tc>
      </w:tr>
      <w:tr>
        <w:trPr>
          <w:trHeight w:val="156"/>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THE AVENUE at</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111,861</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52,705</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AMC / Ulta / Old Navy / Barnes &amp; Noble</w:t>
            </w:r>
          </w:p>
        </w:tc>
      </w:tr>
      <w:tr>
        <w:trPr>
          <w:trHeight w:val="176"/>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White Marsh</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118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The Shoppes at</w:t>
            </w:r>
          </w:p>
        </w:tc>
        <w:tc>
          <w:tcPr>
            <w:tcW w:w="50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17,472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68"/>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Nottingham Square</w:t>
            </w: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81"/>
        </w:trPr>
        <w:tc>
          <w:tcPr>
            <w:tcW w:w="1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White Marsh Plaza</w:t>
            </w:r>
          </w:p>
        </w:tc>
        <w:tc>
          <w:tcPr>
            <w:tcW w:w="50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25,419</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White Marsh Other</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53,198</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97"/>
        </w:trPr>
        <w:tc>
          <w:tcPr>
            <w:tcW w:w="20" w:type="dxa"/>
            <w:vAlign w:val="bottom"/>
            <w:tcBorders>
              <w:bottom w:val="single" w:sz="8" w:color="CCEEFF"/>
            </w:tcBorders>
          </w:tcPr>
          <w:p>
            <w:pPr>
              <w:spacing w:after="0"/>
              <w:rPr>
                <w:sz w:val="8"/>
                <w:szCs w:val="8"/>
                <w:color w:val="auto"/>
              </w:rPr>
            </w:pPr>
          </w:p>
        </w:tc>
        <w:tc>
          <w:tcPr>
            <w:tcW w:w="5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500" w:type="dxa"/>
            <w:vAlign w:val="bottom"/>
            <w:tcBorders>
              <w:bottom w:val="single" w:sz="8" w:color="CCEEFF"/>
            </w:tcBorders>
          </w:tcPr>
          <w:p>
            <w:pPr>
              <w:spacing w:after="0"/>
              <w:rPr>
                <w:sz w:val="8"/>
                <w:szCs w:val="8"/>
                <w:color w:val="auto"/>
              </w:rPr>
            </w:pPr>
          </w:p>
        </w:tc>
        <w:tc>
          <w:tcPr>
            <w:tcW w:w="194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230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Baltimore</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266,294</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1,134,000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5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180" w:type="dxa"/>
            <w:vAlign w:val="bottom"/>
            <w:gridSpan w:val="6"/>
          </w:tcPr>
          <w:p>
            <w:pPr>
              <w:ind w:left="20"/>
              <w:spacing w:after="0"/>
              <w:rPr>
                <w:sz w:val="20"/>
                <w:szCs w:val="20"/>
                <w:color w:val="auto"/>
              </w:rPr>
            </w:pPr>
            <w:r>
              <w:rPr>
                <w:rFonts w:ascii="Arial" w:cs="Arial" w:eastAsia="Arial" w:hAnsi="Arial"/>
                <w:sz w:val="13"/>
                <w:szCs w:val="13"/>
                <w:color w:val="auto"/>
              </w:rPr>
              <w:t>Crossroads</w:t>
            </w:r>
          </w:p>
        </w:tc>
        <w:tc>
          <w:tcPr>
            <w:tcW w:w="50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31,953</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83%</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L.A. Fitness / Binny's / Guitar Center</w:t>
            </w: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80"/>
          </w:cols>
          <w:pgMar w:left="320" w:top="747" w:right="299" w:bottom="1440"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9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260" w:type="dxa"/>
            <w:vAlign w:val="bottom"/>
          </w:tcPr>
          <w:p>
            <w:pPr>
              <w:spacing w:after="0"/>
              <w:rPr>
                <w:sz w:val="11"/>
                <w:szCs w:val="11"/>
                <w:color w:val="auto"/>
              </w:rPr>
            </w:pPr>
          </w:p>
        </w:tc>
      </w:tr>
      <w:tr>
        <w:trPr>
          <w:trHeight w:val="174"/>
        </w:trPr>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48"/>
        </w:trPr>
        <w:tc>
          <w:tcPr>
            <w:tcW w:w="124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Finley Square</w:t>
            </w:r>
          </w:p>
        </w:tc>
        <w:tc>
          <w:tcPr>
            <w:tcW w:w="230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37,217</w:t>
            </w: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279,000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Petsmart / Portillo's</w:t>
            </w:r>
          </w:p>
        </w:tc>
      </w:tr>
      <w:tr>
        <w:trPr>
          <w:trHeight w:val="148"/>
        </w:trPr>
        <w:tc>
          <w:tcPr>
            <w:tcW w:w="12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Garden Market</w:t>
            </w:r>
          </w:p>
        </w:tc>
        <w:tc>
          <w:tcPr>
            <w:tcW w:w="2300" w:type="dxa"/>
            <w:vAlign w:val="bottom"/>
          </w:tcPr>
          <w:p>
            <w:pPr>
              <w:ind w:left="420"/>
              <w:spacing w:after="0" w:line="148" w:lineRule="exact"/>
              <w:rPr>
                <w:sz w:val="20"/>
                <w:szCs w:val="20"/>
                <w:color w:val="auto"/>
              </w:rPr>
            </w:pPr>
            <w:r>
              <w:rPr>
                <w:rFonts w:ascii="Arial" w:cs="Arial" w:eastAsia="Arial" w:hAnsi="Arial"/>
                <w:sz w:val="13"/>
                <w:szCs w:val="13"/>
                <w:color w:val="auto"/>
              </w:rPr>
              <w:t>Chicago, IL</w:t>
            </w:r>
          </w:p>
        </w:tc>
        <w:tc>
          <w:tcPr>
            <w:tcW w:w="72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14,139</w:t>
            </w:r>
          </w:p>
        </w:tc>
        <w:tc>
          <w:tcPr>
            <w:tcW w:w="660" w:type="dxa"/>
            <w:vAlign w:val="bottom"/>
          </w:tcPr>
          <w:p>
            <w:pPr>
              <w:spacing w:after="0"/>
              <w:rPr>
                <w:sz w:val="12"/>
                <w:szCs w:val="12"/>
                <w:color w:val="auto"/>
              </w:rPr>
            </w:pP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63,000</w:t>
            </w:r>
          </w:p>
        </w:tc>
        <w:tc>
          <w:tcPr>
            <w:tcW w:w="940" w:type="dxa"/>
            <w:vAlign w:val="bottom"/>
          </w:tcPr>
          <w:p>
            <w:pPr>
              <w:ind w:left="100"/>
              <w:spacing w:after="0" w:line="148" w:lineRule="exact"/>
              <w:rPr>
                <w:sz w:val="20"/>
                <w:szCs w:val="20"/>
                <w:color w:val="auto"/>
              </w:rPr>
            </w:pPr>
            <w:r>
              <w:rPr>
                <w:rFonts w:ascii="Arial" w:cs="Arial" w:eastAsia="Arial" w:hAnsi="Arial"/>
                <w:sz w:val="13"/>
                <w:szCs w:val="13"/>
                <w:color w:val="auto"/>
                <w:w w:val="88"/>
              </w:rPr>
              <w:t>Mariano's Fresh</w:t>
            </w:r>
          </w:p>
        </w:tc>
        <w:tc>
          <w:tcPr>
            <w:tcW w:w="2260" w:type="dxa"/>
            <w:vAlign w:val="bottom"/>
          </w:tcPr>
          <w:p>
            <w:pPr>
              <w:ind w:left="4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Market</w:t>
            </w:r>
          </w:p>
        </w:tc>
        <w:tc>
          <w:tcPr>
            <w:tcW w:w="2260" w:type="dxa"/>
            <w:vAlign w:val="bottom"/>
          </w:tcPr>
          <w:p>
            <w:pPr>
              <w:spacing w:after="0"/>
              <w:rPr>
                <w:sz w:val="14"/>
                <w:szCs w:val="14"/>
                <w:color w:val="auto"/>
              </w:rPr>
            </w:pPr>
          </w:p>
        </w:tc>
      </w:tr>
      <w:tr>
        <w:trPr>
          <w:trHeight w:val="181"/>
        </w:trPr>
        <w:tc>
          <w:tcPr>
            <w:tcW w:w="12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4"/>
              </w:rPr>
              <w:t>North Lake Commons</w:t>
            </w:r>
          </w:p>
        </w:tc>
        <w:tc>
          <w:tcPr>
            <w:tcW w:w="23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17,834</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77,000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Jewel Osco</w:t>
            </w:r>
          </w:p>
        </w:tc>
        <w:tc>
          <w:tcPr>
            <w:tcW w:w="226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240" w:type="dxa"/>
            <w:vAlign w:val="bottom"/>
            <w:gridSpan w:val="3"/>
          </w:tcPr>
          <w:p>
            <w:pPr>
              <w:ind w:left="20"/>
              <w:spacing w:after="0"/>
              <w:rPr>
                <w:sz w:val="20"/>
                <w:szCs w:val="20"/>
                <w:color w:val="auto"/>
              </w:rPr>
            </w:pPr>
            <w:r>
              <w:rPr>
                <w:rFonts w:ascii="Arial" w:cs="Arial" w:eastAsia="Arial" w:hAnsi="Arial"/>
                <w:sz w:val="13"/>
                <w:szCs w:val="13"/>
                <w:color w:val="auto"/>
              </w:rPr>
              <w:t>Riverpoint Center</w:t>
            </w:r>
          </w:p>
        </w:tc>
        <w:tc>
          <w:tcPr>
            <w:tcW w:w="2300" w:type="dxa"/>
            <w:vAlign w:val="bottom"/>
          </w:tcPr>
          <w:p>
            <w:pPr>
              <w:ind w:left="420"/>
              <w:spacing w:after="0"/>
              <w:rPr>
                <w:sz w:val="20"/>
                <w:szCs w:val="20"/>
                <w:color w:val="auto"/>
              </w:rPr>
            </w:pPr>
            <w:r>
              <w:rPr>
                <w:rFonts w:ascii="Arial" w:cs="Arial" w:eastAsia="Arial" w:hAnsi="Arial"/>
                <w:sz w:val="13"/>
                <w:szCs w:val="13"/>
                <w:color w:val="auto"/>
              </w:rPr>
              <w:t>Chicago, IL</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119,951</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86,000</w:t>
            </w:r>
          </w:p>
        </w:tc>
        <w:tc>
          <w:tcPr>
            <w:tcW w:w="940" w:type="dxa"/>
            <w:vAlign w:val="bottom"/>
          </w:tcPr>
          <w:p>
            <w:pPr>
              <w:ind w:left="100"/>
              <w:spacing w:after="0"/>
              <w:rPr>
                <w:sz w:val="20"/>
                <w:szCs w:val="20"/>
                <w:color w:val="auto"/>
              </w:rPr>
            </w:pPr>
            <w:r>
              <w:rPr>
                <w:rFonts w:ascii="Arial" w:cs="Arial" w:eastAsia="Arial" w:hAnsi="Arial"/>
                <w:sz w:val="13"/>
                <w:szCs w:val="13"/>
                <w:color w:val="auto"/>
              </w:rPr>
              <w:t>Jewel Osco</w:t>
            </w:r>
          </w:p>
        </w:tc>
        <w:tc>
          <w:tcPr>
            <w:tcW w:w="2260" w:type="dxa"/>
            <w:vAlign w:val="bottom"/>
          </w:tcPr>
          <w:p>
            <w:pPr>
              <w:ind w:left="40"/>
              <w:spacing w:after="0"/>
              <w:rPr>
                <w:sz w:val="20"/>
                <w:szCs w:val="20"/>
                <w:color w:val="auto"/>
              </w:rPr>
            </w:pPr>
            <w:r>
              <w:rPr>
                <w:rFonts w:ascii="Arial" w:cs="Arial" w:eastAsia="Arial" w:hAnsi="Arial"/>
                <w:sz w:val="13"/>
                <w:szCs w:val="13"/>
                <w:color w:val="auto"/>
              </w:rPr>
              <w:t>Marshalls / Old Navy</w:t>
            </w:r>
          </w:p>
        </w:tc>
      </w:tr>
      <w:tr>
        <w:trPr>
          <w:trHeight w:val="97"/>
        </w:trPr>
        <w:tc>
          <w:tcPr>
            <w:tcW w:w="2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230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226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30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 Chicago</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221,094</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927,000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6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2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260" w:type="dxa"/>
            <w:vAlign w:val="bottom"/>
            <w:tcBorders>
              <w:top w:val="single" w:sz="8" w:color="CCEEFF"/>
            </w:tcBorders>
            <w:shd w:val="clear" w:color="auto" w:fill="CCEEFF"/>
          </w:tcPr>
          <w:p>
            <w:pPr>
              <w:spacing w:after="0"/>
              <w:rPr>
                <w:sz w:val="8"/>
                <w:szCs w:val="8"/>
                <w:color w:val="auto"/>
              </w:rPr>
            </w:pPr>
          </w:p>
        </w:tc>
      </w:tr>
      <w:tr>
        <w:trPr>
          <w:trHeight w:val="148"/>
        </w:trPr>
        <w:tc>
          <w:tcPr>
            <w:tcW w:w="12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Barracks Road</w:t>
            </w:r>
          </w:p>
        </w:tc>
        <w:tc>
          <w:tcPr>
            <w:tcW w:w="2300" w:type="dxa"/>
            <w:vAlign w:val="bottom"/>
          </w:tcPr>
          <w:p>
            <w:pPr>
              <w:ind w:left="420"/>
              <w:spacing w:after="0" w:line="148" w:lineRule="exact"/>
              <w:rPr>
                <w:sz w:val="20"/>
                <w:szCs w:val="20"/>
                <w:color w:val="auto"/>
              </w:rPr>
            </w:pPr>
            <w:r>
              <w:rPr>
                <w:rFonts w:ascii="Arial" w:cs="Arial" w:eastAsia="Arial" w:hAnsi="Arial"/>
                <w:sz w:val="13"/>
                <w:szCs w:val="13"/>
                <w:color w:val="auto"/>
              </w:rPr>
              <w:t>Charlottesville, VA</w:t>
            </w:r>
          </w:p>
        </w:tc>
        <w:tc>
          <w:tcPr>
            <w:tcW w:w="72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65,366</w:t>
            </w:r>
          </w:p>
        </w:tc>
        <w:tc>
          <w:tcPr>
            <w:tcW w:w="660" w:type="dxa"/>
            <w:vAlign w:val="bottom"/>
          </w:tcPr>
          <w:p>
            <w:pPr>
              <w:spacing w:after="0"/>
              <w:rPr>
                <w:sz w:val="12"/>
                <w:szCs w:val="12"/>
                <w:color w:val="auto"/>
              </w:rPr>
            </w:pP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498,000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99,000</w:t>
            </w:r>
          </w:p>
        </w:tc>
        <w:tc>
          <w:tcPr>
            <w:tcW w:w="940" w:type="dxa"/>
            <w:vAlign w:val="bottom"/>
          </w:tcPr>
          <w:p>
            <w:pPr>
              <w:ind w:left="100"/>
              <w:spacing w:after="0" w:line="148" w:lineRule="exact"/>
              <w:rPr>
                <w:sz w:val="20"/>
                <w:szCs w:val="20"/>
                <w:color w:val="auto"/>
              </w:rPr>
            </w:pPr>
            <w:r>
              <w:rPr>
                <w:rFonts w:ascii="Arial" w:cs="Arial" w:eastAsia="Arial" w:hAnsi="Arial"/>
                <w:sz w:val="13"/>
                <w:szCs w:val="13"/>
                <w:color w:val="auto"/>
                <w:w w:val="98"/>
              </w:rPr>
              <w:t>Harris Teeter /</w:t>
            </w:r>
          </w:p>
        </w:tc>
        <w:tc>
          <w:tcPr>
            <w:tcW w:w="2260" w:type="dxa"/>
            <w:vAlign w:val="bottom"/>
          </w:tcPr>
          <w:p>
            <w:pPr>
              <w:ind w:left="40"/>
              <w:spacing w:after="0" w:line="148" w:lineRule="exact"/>
              <w:rPr>
                <w:sz w:val="20"/>
                <w:szCs w:val="20"/>
                <w:color w:val="auto"/>
              </w:rPr>
            </w:pPr>
            <w:r>
              <w:rPr>
                <w:rFonts w:ascii="Arial" w:cs="Arial" w:eastAsia="Arial" w:hAnsi="Arial"/>
                <w:sz w:val="13"/>
                <w:szCs w:val="13"/>
                <w:color w:val="auto"/>
              </w:rPr>
              <w:t>Anthropologie / Nike / Bed, Bath &amp;</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Kroger</w:t>
            </w:r>
          </w:p>
        </w:tc>
        <w:tc>
          <w:tcPr>
            <w:tcW w:w="2260" w:type="dxa"/>
            <w:vAlign w:val="bottom"/>
          </w:tcPr>
          <w:p>
            <w:pPr>
              <w:ind w:left="40"/>
              <w:spacing w:after="0"/>
              <w:rPr>
                <w:sz w:val="20"/>
                <w:szCs w:val="20"/>
                <w:color w:val="auto"/>
              </w:rPr>
            </w:pPr>
            <w:r>
              <w:rPr>
                <w:rFonts w:ascii="Arial" w:cs="Arial" w:eastAsia="Arial" w:hAnsi="Arial"/>
                <w:sz w:val="13"/>
                <w:szCs w:val="13"/>
                <w:color w:val="auto"/>
              </w:rPr>
              <w:t>Beyond / Old Navy</w:t>
            </w:r>
          </w:p>
        </w:tc>
      </w:tr>
      <w:tr>
        <w:trPr>
          <w:trHeight w:val="181"/>
        </w:trPr>
        <w:tc>
          <w:tcPr>
            <w:tcW w:w="12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Bristol Plaza</w:t>
            </w:r>
          </w:p>
        </w:tc>
        <w:tc>
          <w:tcPr>
            <w:tcW w:w="23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Hartford, CT</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31,376</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266,000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74,000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Stop &amp; Shop</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240" w:type="dxa"/>
            <w:vAlign w:val="bottom"/>
            <w:gridSpan w:val="3"/>
          </w:tcPr>
          <w:p>
            <w:pPr>
              <w:ind w:left="20"/>
              <w:spacing w:after="0"/>
              <w:rPr>
                <w:sz w:val="20"/>
                <w:szCs w:val="20"/>
                <w:color w:val="auto"/>
              </w:rPr>
            </w:pPr>
            <w:r>
              <w:rPr>
                <w:rFonts w:ascii="Arial" w:cs="Arial" w:eastAsia="Arial" w:hAnsi="Arial"/>
                <w:sz w:val="13"/>
                <w:szCs w:val="13"/>
                <w:color w:val="auto"/>
              </w:rPr>
              <w:t>Eastgate Crossing</w:t>
            </w:r>
          </w:p>
        </w:tc>
        <w:tc>
          <w:tcPr>
            <w:tcW w:w="2300" w:type="dxa"/>
            <w:vAlign w:val="bottom"/>
          </w:tcPr>
          <w:p>
            <w:pPr>
              <w:ind w:left="420"/>
              <w:spacing w:after="0"/>
              <w:rPr>
                <w:sz w:val="20"/>
                <w:szCs w:val="20"/>
                <w:color w:val="auto"/>
              </w:rPr>
            </w:pPr>
            <w:r>
              <w:rPr>
                <w:rFonts w:ascii="Arial" w:cs="Arial" w:eastAsia="Arial" w:hAnsi="Arial"/>
                <w:sz w:val="13"/>
                <w:szCs w:val="13"/>
                <w:color w:val="auto"/>
                <w:w w:val="99"/>
              </w:rPr>
              <w:t>Raleigh-Durham-Chapel Hill, NC</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32,237</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158,000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13,000</w:t>
            </w:r>
          </w:p>
        </w:tc>
        <w:tc>
          <w:tcPr>
            <w:tcW w:w="940" w:type="dxa"/>
            <w:vAlign w:val="bottom"/>
          </w:tcPr>
          <w:p>
            <w:pPr>
              <w:ind w:left="100"/>
              <w:spacing w:after="0"/>
              <w:rPr>
                <w:sz w:val="20"/>
                <w:szCs w:val="20"/>
                <w:color w:val="auto"/>
              </w:rPr>
            </w:pPr>
            <w:r>
              <w:rPr>
                <w:rFonts w:ascii="Arial" w:cs="Arial" w:eastAsia="Arial" w:hAnsi="Arial"/>
                <w:sz w:val="13"/>
                <w:szCs w:val="13"/>
                <w:color w:val="auto"/>
              </w:rPr>
              <w:t>Trader Joe's</w:t>
            </w:r>
          </w:p>
        </w:tc>
        <w:tc>
          <w:tcPr>
            <w:tcW w:w="2260" w:type="dxa"/>
            <w:vAlign w:val="bottom"/>
          </w:tcPr>
          <w:p>
            <w:pPr>
              <w:ind w:left="40"/>
              <w:spacing w:after="0"/>
              <w:rPr>
                <w:sz w:val="20"/>
                <w:szCs w:val="20"/>
                <w:color w:val="auto"/>
              </w:rPr>
            </w:pPr>
            <w:r>
              <w:rPr>
                <w:rFonts w:ascii="Arial" w:cs="Arial" w:eastAsia="Arial" w:hAnsi="Arial"/>
                <w:sz w:val="13"/>
                <w:szCs w:val="13"/>
                <w:color w:val="auto"/>
              </w:rPr>
              <w:t>Ulta / Stein Mart / Petco</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73"/>
        </w:trPr>
        <w:tc>
          <w:tcPr>
            <w:tcW w:w="12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Gratiot Plaza</w:t>
            </w:r>
          </w:p>
        </w:tc>
        <w:tc>
          <w:tcPr>
            <w:tcW w:w="23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Detroit, MI</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19,820</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217,000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69,000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Kroger</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Bed, Bath &amp; Beyond / Best Buy / DSW</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240" w:type="dxa"/>
            <w:vAlign w:val="bottom"/>
            <w:gridSpan w:val="3"/>
          </w:tcPr>
          <w:p>
            <w:pPr>
              <w:ind w:left="20"/>
              <w:spacing w:after="0"/>
              <w:rPr>
                <w:sz w:val="20"/>
                <w:szCs w:val="20"/>
                <w:color w:val="auto"/>
              </w:rPr>
            </w:pPr>
            <w:r>
              <w:rPr>
                <w:rFonts w:ascii="Arial" w:cs="Arial" w:eastAsia="Arial" w:hAnsi="Arial"/>
                <w:sz w:val="13"/>
                <w:szCs w:val="13"/>
                <w:color w:val="auto"/>
              </w:rPr>
              <w:t>Lancaster</w:t>
            </w:r>
          </w:p>
        </w:tc>
        <w:tc>
          <w:tcPr>
            <w:tcW w:w="2300" w:type="dxa"/>
            <w:vAlign w:val="bottom"/>
          </w:tcPr>
          <w:p>
            <w:pPr>
              <w:ind w:left="100"/>
              <w:spacing w:after="0"/>
              <w:rPr>
                <w:sz w:val="20"/>
                <w:szCs w:val="20"/>
                <w:color w:val="auto"/>
              </w:rPr>
            </w:pPr>
            <w:r>
              <w:rPr>
                <w:rFonts w:ascii="Arial" w:cs="Arial" w:eastAsia="Arial" w:hAnsi="Arial"/>
                <w:sz w:val="13"/>
                <w:szCs w:val="13"/>
                <w:color w:val="auto"/>
              </w:rPr>
              <w:t>(6)   Lancaster, PA</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14,000</w:t>
            </w: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4,907</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127,000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75,000</w:t>
            </w:r>
          </w:p>
        </w:tc>
        <w:tc>
          <w:tcPr>
            <w:tcW w:w="94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2260" w:type="dxa"/>
            <w:vAlign w:val="bottom"/>
          </w:tcPr>
          <w:p>
            <w:pPr>
              <w:ind w:left="40"/>
              <w:spacing w:after="0"/>
              <w:rPr>
                <w:sz w:val="20"/>
                <w:szCs w:val="20"/>
                <w:color w:val="auto"/>
              </w:rPr>
            </w:pPr>
            <w:r>
              <w:rPr>
                <w:rFonts w:ascii="Arial" w:cs="Arial" w:eastAsia="Arial" w:hAnsi="Arial"/>
                <w:sz w:val="13"/>
                <w:szCs w:val="13"/>
                <w:color w:val="auto"/>
              </w:rPr>
              <w:t>Michaels</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73"/>
        </w:trPr>
        <w:tc>
          <w:tcPr>
            <w:tcW w:w="12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29th Place</w:t>
            </w:r>
          </w:p>
        </w:tc>
        <w:tc>
          <w:tcPr>
            <w:tcW w:w="23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Charlottesville, VA</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40,898</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4,449</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HomeGoods / DSW / Stein Mart / Staples</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48"/>
        </w:trPr>
        <w:tc>
          <w:tcPr>
            <w:tcW w:w="12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Willow Lawn</w:t>
            </w:r>
          </w:p>
        </w:tc>
        <w:tc>
          <w:tcPr>
            <w:tcW w:w="2300" w:type="dxa"/>
            <w:vAlign w:val="bottom"/>
          </w:tcPr>
          <w:p>
            <w:pPr>
              <w:ind w:left="420"/>
              <w:spacing w:after="0" w:line="148" w:lineRule="exact"/>
              <w:rPr>
                <w:sz w:val="20"/>
                <w:szCs w:val="20"/>
                <w:color w:val="auto"/>
              </w:rPr>
            </w:pPr>
            <w:r>
              <w:rPr>
                <w:rFonts w:ascii="Arial" w:cs="Arial" w:eastAsia="Arial" w:hAnsi="Arial"/>
                <w:sz w:val="13"/>
                <w:szCs w:val="13"/>
                <w:color w:val="auto"/>
              </w:rPr>
              <w:t>Richmond-Petersburg, VA</w:t>
            </w:r>
          </w:p>
        </w:tc>
        <w:tc>
          <w:tcPr>
            <w:tcW w:w="72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94,431</w:t>
            </w:r>
          </w:p>
        </w:tc>
        <w:tc>
          <w:tcPr>
            <w:tcW w:w="660" w:type="dxa"/>
            <w:vAlign w:val="bottom"/>
          </w:tcPr>
          <w:p>
            <w:pPr>
              <w:spacing w:after="0"/>
              <w:rPr>
                <w:sz w:val="12"/>
                <w:szCs w:val="12"/>
                <w:color w:val="auto"/>
              </w:rPr>
            </w:pP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462,000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66,000</w:t>
            </w:r>
          </w:p>
        </w:tc>
        <w:tc>
          <w:tcPr>
            <w:tcW w:w="940" w:type="dxa"/>
            <w:vAlign w:val="bottom"/>
          </w:tcPr>
          <w:p>
            <w:pPr>
              <w:ind w:left="100"/>
              <w:spacing w:after="0" w:line="148" w:lineRule="exact"/>
              <w:rPr>
                <w:sz w:val="20"/>
                <w:szCs w:val="20"/>
                <w:color w:val="auto"/>
              </w:rPr>
            </w:pPr>
            <w:r>
              <w:rPr>
                <w:rFonts w:ascii="Arial" w:cs="Arial" w:eastAsia="Arial" w:hAnsi="Arial"/>
                <w:sz w:val="13"/>
                <w:szCs w:val="13"/>
                <w:color w:val="auto"/>
              </w:rPr>
              <w:t>Kroger</w:t>
            </w:r>
          </w:p>
        </w:tc>
        <w:tc>
          <w:tcPr>
            <w:tcW w:w="2260" w:type="dxa"/>
            <w:vAlign w:val="bottom"/>
          </w:tcPr>
          <w:p>
            <w:pPr>
              <w:ind w:left="40"/>
              <w:spacing w:after="0" w:line="148" w:lineRule="exact"/>
              <w:rPr>
                <w:sz w:val="20"/>
                <w:szCs w:val="20"/>
                <w:color w:val="auto"/>
              </w:rPr>
            </w:pPr>
            <w:r>
              <w:rPr>
                <w:rFonts w:ascii="Arial" w:cs="Arial" w:eastAsia="Arial" w:hAnsi="Arial"/>
                <w:sz w:val="13"/>
                <w:szCs w:val="13"/>
                <w:color w:val="auto"/>
                <w:w w:val="94"/>
              </w:rPr>
              <w:t>Old Navy / Ross Dress For Less / Gold's</w:t>
            </w:r>
          </w:p>
        </w:tc>
      </w:tr>
      <w:tr>
        <w:trPr>
          <w:trHeight w:val="170"/>
        </w:trPr>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Gym / DSW</w:t>
            </w:r>
          </w:p>
        </w:tc>
      </w:tr>
      <w:tr>
        <w:trPr>
          <w:trHeight w:val="17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30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 Other</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298,128</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1,897,000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60" w:type="dxa"/>
            <w:vAlign w:val="bottom"/>
            <w:shd w:val="clear" w:color="auto" w:fill="CCEEFF"/>
          </w:tcPr>
          <w:p>
            <w:pPr>
              <w:spacing w:after="0"/>
              <w:rPr>
                <w:sz w:val="7"/>
                <w:szCs w:val="7"/>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r>
      <w:tr>
        <w:trPr>
          <w:trHeight w:val="167"/>
        </w:trPr>
        <w:tc>
          <w:tcPr>
            <w:tcW w:w="124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Grand Total</w:t>
            </w:r>
          </w:p>
        </w:tc>
        <w:tc>
          <w:tcPr>
            <w:tcW w:w="2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w w:val="84"/>
              </w:rPr>
              <w:t>$ 7,091,427</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w w:val="93"/>
              </w:rPr>
              <w:t>$ 484,903</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1,882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6"/>
              </w:rPr>
              <w:t>23,240,000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1,867</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r>
      <w:tr>
        <w:trPr>
          <w:trHeight w:val="97"/>
        </w:trPr>
        <w:tc>
          <w:tcPr>
            <w:tcW w:w="2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23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tcBorders>
            <w:shd w:val="clear" w:color="auto" w:fill="CCEEFF"/>
          </w:tcPr>
          <w:p>
            <w:pPr>
              <w:spacing w:after="0"/>
              <w:rPr>
                <w:sz w:val="8"/>
                <w:szCs w:val="8"/>
                <w:color w:val="auto"/>
              </w:rPr>
            </w:pPr>
          </w:p>
        </w:tc>
        <w:tc>
          <w:tcPr>
            <w:tcW w:w="2260" w:type="dxa"/>
            <w:vAlign w:val="bottom"/>
            <w:tcBorders>
              <w:bottom w:val="single" w:sz="8" w:color="auto"/>
            </w:tcBorders>
            <w:shd w:val="clear" w:color="auto" w:fill="CCEEFF"/>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20" w:right="200" w:hanging="1204"/>
        <w:spacing w:after="0" w:line="237" w:lineRule="auto"/>
        <w:tabs>
          <w:tab w:leader="none" w:pos="1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mortgage or capital lease obligations differ from the total reported on the consolidated balance sheet due to the unamortized discount, premium, and/or debt issuance costs on certain mortgage payables.</w:t>
      </w:r>
    </w:p>
    <w:p>
      <w:pPr>
        <w:spacing w:after="0" w:line="28" w:lineRule="exact"/>
        <w:rPr>
          <w:rFonts w:ascii="Arial" w:cs="Arial" w:eastAsia="Arial" w:hAnsi="Arial"/>
          <w:sz w:val="13"/>
          <w:szCs w:val="13"/>
          <w:color w:val="auto"/>
        </w:rPr>
      </w:pPr>
    </w:p>
    <w:p>
      <w:pPr>
        <w:ind w:left="1220" w:right="40" w:hanging="1204"/>
        <w:spacing w:after="0" w:line="237" w:lineRule="auto"/>
        <w:tabs>
          <w:tab w:leader="none" w:pos="1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28" w:lineRule="exact"/>
        <w:rPr>
          <w:rFonts w:ascii="Arial" w:cs="Arial" w:eastAsia="Arial" w:hAnsi="Arial"/>
          <w:sz w:val="13"/>
          <w:szCs w:val="13"/>
          <w:color w:val="auto"/>
        </w:rPr>
      </w:pPr>
    </w:p>
    <w:p>
      <w:pPr>
        <w:ind w:left="1220" w:hanging="1204"/>
        <w:spacing w:after="0"/>
        <w:tabs>
          <w:tab w:leader="none" w:pos="1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220" w:hanging="1204"/>
        <w:spacing w:after="0"/>
        <w:tabs>
          <w:tab w:leader="none" w:pos="1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Assembly Row and Pike &amp; Rose schedules.</w:t>
      </w:r>
    </w:p>
    <w:p>
      <w:pPr>
        <w:spacing w:after="0" w:line="39" w:lineRule="exact"/>
        <w:rPr>
          <w:rFonts w:ascii="Arial" w:cs="Arial" w:eastAsia="Arial" w:hAnsi="Arial"/>
          <w:sz w:val="13"/>
          <w:szCs w:val="13"/>
          <w:color w:val="auto"/>
        </w:rPr>
      </w:pPr>
    </w:p>
    <w:p>
      <w:pPr>
        <w:ind w:left="1220" w:right="480" w:hanging="1204"/>
        <w:spacing w:after="0" w:line="237" w:lineRule="auto"/>
        <w:tabs>
          <w:tab w:leader="none" w:pos="1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220" w:hanging="1204"/>
        <w:spacing w:after="0"/>
        <w:tabs>
          <w:tab w:leader="none" w:pos="1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or a portion of property subject to capital lease obligation.</w:t>
      </w:r>
    </w:p>
    <w:p>
      <w:pPr>
        <w:spacing w:after="0" w:line="39" w:lineRule="exact"/>
        <w:rPr>
          <w:rFonts w:ascii="Arial" w:cs="Arial" w:eastAsia="Arial" w:hAnsi="Arial"/>
          <w:sz w:val="13"/>
          <w:szCs w:val="13"/>
          <w:color w:val="auto"/>
        </w:rPr>
      </w:pPr>
    </w:p>
    <w:p>
      <w:pPr>
        <w:ind w:left="1220" w:hanging="1204"/>
        <w:spacing w:after="0"/>
        <w:tabs>
          <w:tab w:leader="none" w:pos="1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This property includes interests in five buildings in addition to our initial acquisition.</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320" w:top="747" w:right="299"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2017</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397,555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$ 40.16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2,144,347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18,524,282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46.60</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523,869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34.91</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$ 31.31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1,884,636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19,672,170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37.55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274,622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37.10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1,325,040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9,874,657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35.96</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2016</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427,021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31.25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$ 27.40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1,641,966</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15,287,078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35.80</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1,623,067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$ 32.61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6,995,989</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63,358,187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39.04</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161,605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$ 29.36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850,568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10,708,134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66.26</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288,388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35.45</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$ 30.21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1,509,806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19,226,044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66.67</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115,640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$ 34.45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1,278,167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9,592,450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82.95</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2016</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42%</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168,213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35.12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$ 28.99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1,030,672</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10,692,617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63.57</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733,846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36.78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$ 30.41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4,669,213</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50,219,245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68.43</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(9)</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235,950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53.04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$ 47.55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1,293,779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7,816,148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33.13</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235,481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34.24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$ 32.65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374,830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446,126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1.89</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158,982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46,873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282,207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1.78</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2016</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58%</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258,808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28.74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$ 26.37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611,294</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4,594,461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17.75</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889,221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37.04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2,326,776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13,138,942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14.78</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(10)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432,164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46.16</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19,131,023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44.27</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591,765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34.87</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24,718,054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41.77</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347,604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38.25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11,290,441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32.48</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2016</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452,836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32.06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17,575,645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38.81</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1,824,369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37.49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72,715,163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39.86</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1280" w:right="80" w:hanging="1251"/>
        <w:spacing w:after="0" w:line="307" w:lineRule="auto"/>
        <w:tabs>
          <w:tab w:leader="none" w:pos="12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Approximately $3.5 million ($2.28 per square foot) in 1st Quarter 2017 and $0.3 million ($0.74 per square foot) in 4th Quarter 2016 of the Tenant Improvements &amp; Incentives are for properties under active redevelopment (e.g. Montrose Crossing and Willow Lawn) and are included in the Projected Cost for those projects on the Summary of Redevelopment Opportunities.</w:t>
      </w:r>
    </w:p>
    <w:p>
      <w:pPr>
        <w:ind w:left="1280" w:right="120" w:hanging="1251"/>
        <w:spacing w:after="0" w:line="237"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Approximately $7.5 million of the Tenant Improvements &amp; Incentives is attributable to one 20 year anchor tenant renewal; total Tenant Improvements &amp; Incentives without this lease would be $1.58 per square foot.</w:t>
      </w:r>
    </w:p>
    <w:p>
      <w:pPr>
        <w:spacing w:after="0" w:line="28" w:lineRule="exact"/>
        <w:rPr>
          <w:rFonts w:ascii="Arial" w:cs="Arial" w:eastAsia="Arial" w:hAnsi="Arial"/>
          <w:sz w:val="13"/>
          <w:szCs w:val="13"/>
          <w:color w:val="auto"/>
        </w:rPr>
      </w:pPr>
    </w:p>
    <w:p>
      <w:pPr>
        <w:ind w:left="1280" w:hanging="125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60" w:hanging="1251"/>
        <w:spacing w:after="0" w:line="288" w:lineRule="auto"/>
        <w:tabs>
          <w:tab w:leader="none" w:pos="12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Assembly Row and Pike &amp; Rose schedule.</w:t>
      </w:r>
    </w:p>
    <w:p>
      <w:pPr>
        <w:sectPr>
          <w:pgSz w:w="11900" w:h="16838" w:orient="portrait"/>
          <w:cols w:equalWidth="0" w:num="1">
            <w:col w:w="11380"/>
          </w:cols>
          <w:pgMar w:left="260" w:top="760"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60" w:top="760" w:right="25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591,000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1,474,000</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18.56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890,000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38.63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2,364,000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1,407,000</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17.20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895,000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40.86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2,303,000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1,919,000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18.10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876,000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40.29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2,795,000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869,000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16.19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484,000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45.00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1,352,000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539,000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25.92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45.87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857,000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22.63</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14,573,000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19.93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7,002,000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41.47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21,575,000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485,000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20.40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39.92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1,035,000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259,000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18.31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577,000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40.10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837,000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343,000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24.18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571,000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38.95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33.41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501,000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20.86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361,000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43.85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862,000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30.49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403,000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27.32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390,000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42.15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793,000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34.62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10,824,000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13,181,000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23.58</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14,573,000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19.93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7,002,000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41.47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21,575,000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Anchor is defined as a tenant leasing 10,000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June 30, 2017.</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occupied square footage as of June 30, 2017.</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2017</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June 30, 2016</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1440" w:type="dxa"/>
            <w:vAlign w:val="bottom"/>
            <w:gridSpan w:val="3"/>
          </w:tcPr>
          <w:p>
            <w:pPr>
              <w:ind w:left="60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12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23,240,000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21,971,000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22,294,000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21,078,000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94.5%</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1,867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92.3%</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2017</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June 30, 2016</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1440" w:type="dxa"/>
            <w:vAlign w:val="bottom"/>
            <w:gridSpan w:val="3"/>
          </w:tcPr>
          <w:p>
            <w:pPr>
              <w:ind w:left="60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12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18,322,000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17,565,000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18,332,000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17,589,000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95.9%</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 (5)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96.2%</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June 30, 2017 leased percentage was 97.1% for anchor tenants and 89.6% for small shop tenants.</w:t>
      </w:r>
    </w:p>
    <w:p>
      <w:pPr>
        <w:spacing w:after="0" w:line="72" w:lineRule="exact"/>
        <w:rPr>
          <w:rFonts w:ascii="Arial" w:cs="Arial" w:eastAsia="Arial" w:hAnsi="Arial"/>
          <w:sz w:val="16"/>
          <w:szCs w:val="16"/>
          <w:color w:val="auto"/>
        </w:rPr>
      </w:pPr>
    </w:p>
    <w:p>
      <w:pPr>
        <w:ind w:left="840" w:right="40" w:hanging="805"/>
        <w:spacing w:after="0" w:line="293" w:lineRule="auto"/>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Occupied percentage was 93.0% and 92.9% at June 30, 2017 and 2016, respectively, and same center occupied percentage was 94.6% and 94.9% at June 30, 2017 and 2016, respectively.</w:t>
      </w:r>
    </w:p>
    <w:p>
      <w:pPr>
        <w:spacing w:after="0" w:line="9" w:lineRule="exact"/>
        <w:rPr>
          <w:rFonts w:ascii="Arial" w:cs="Arial" w:eastAsia="Arial" w:hAnsi="Arial"/>
          <w:sz w:val="16"/>
          <w:szCs w:val="16"/>
          <w:color w:val="auto"/>
        </w:rPr>
      </w:pPr>
    </w:p>
    <w:p>
      <w:pPr>
        <w:ind w:left="840" w:hanging="805"/>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40" w:type="dxa"/>
            <w:vAlign w:val="bottom"/>
            <w:vMerge w:val="restart"/>
          </w:tcPr>
          <w:p>
            <w:pPr>
              <w:jc w:val="center"/>
              <w:ind w:left="20"/>
              <w:spacing w:after="0"/>
              <w:rPr>
                <w:sz w:val="20"/>
                <w:szCs w:val="20"/>
                <w:color w:val="auto"/>
              </w:rPr>
            </w:pPr>
            <w:r>
              <w:rPr>
                <w:rFonts w:ascii="Arial" w:cs="Arial" w:eastAsia="Arial" w:hAnsi="Arial"/>
                <w:sz w:val="14"/>
                <w:szCs w:val="14"/>
                <w:b w:val="1"/>
                <w:bCs w:val="1"/>
                <w:color w:val="auto"/>
                <w:w w:val="94"/>
              </w:rPr>
              <w:t>Credit Ratings</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Annualized Base</w:t>
            </w:r>
          </w:p>
        </w:tc>
        <w:tc>
          <w:tcPr>
            <w:tcW w:w="1600" w:type="dxa"/>
            <w:vAlign w:val="bottom"/>
          </w:tcPr>
          <w:p>
            <w:pPr>
              <w:jc w:val="right"/>
              <w:ind w:right="120"/>
              <w:spacing w:after="0"/>
              <w:rPr>
                <w:sz w:val="20"/>
                <w:szCs w:val="20"/>
                <w:color w:val="auto"/>
              </w:rPr>
            </w:pPr>
            <w:r>
              <w:rPr>
                <w:rFonts w:ascii="Arial" w:cs="Arial" w:eastAsia="Arial" w:hAnsi="Arial"/>
                <w:sz w:val="14"/>
                <w:szCs w:val="14"/>
                <w:b w:val="1"/>
                <w:bCs w:val="1"/>
                <w:color w:val="auto"/>
              </w:rPr>
              <w:t>Percentage of Total</w:t>
            </w:r>
          </w:p>
        </w:tc>
        <w:tc>
          <w:tcPr>
            <w:tcW w:w="920" w:type="dxa"/>
            <w:vAlign w:val="bottom"/>
          </w:tcPr>
          <w:p>
            <w:pPr>
              <w:spacing w:after="0"/>
              <w:rPr>
                <w:sz w:val="14"/>
                <w:szCs w:val="14"/>
                <w:color w:val="auto"/>
              </w:rPr>
            </w:pPr>
          </w:p>
        </w:tc>
        <w:tc>
          <w:tcPr>
            <w:tcW w:w="11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Percentage of</w:t>
            </w:r>
          </w:p>
        </w:tc>
        <w:tc>
          <w:tcPr>
            <w:tcW w:w="72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Rank</w:t>
            </w:r>
          </w:p>
        </w:tc>
        <w:tc>
          <w:tcPr>
            <w:tcW w:w="32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Tenant Name</w:t>
            </w:r>
          </w:p>
        </w:tc>
        <w:tc>
          <w:tcPr>
            <w:tcW w:w="1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Annualized Base</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1180" w:type="dxa"/>
            <w:vAlign w:val="bottom"/>
            <w:vMerge w:val="continue"/>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of Stores</w:t>
            </w:r>
          </w:p>
        </w:tc>
        <w:tc>
          <w:tcPr>
            <w:tcW w:w="0" w:type="dxa"/>
            <w:vAlign w:val="bottom"/>
          </w:tcPr>
          <w:p>
            <w:pPr>
              <w:spacing w:after="0"/>
              <w:rPr>
                <w:sz w:val="1"/>
                <w:szCs w:val="1"/>
                <w:color w:val="auto"/>
              </w:rPr>
            </w:pPr>
          </w:p>
        </w:tc>
      </w:tr>
      <w:tr>
        <w:trPr>
          <w:trHeight w:val="192"/>
        </w:trPr>
        <w:tc>
          <w:tcPr>
            <w:tcW w:w="58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(S&amp;P/Moody's/Fitch) (1)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Rent (3)</w:t>
            </w:r>
          </w:p>
        </w:tc>
        <w:tc>
          <w:tcPr>
            <w:tcW w:w="9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 GLA (3)</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Ahold USA,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Baa2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17,440,000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28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A+ / A2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15,742,000</w:t>
            </w:r>
          </w:p>
        </w:tc>
        <w:tc>
          <w:tcPr>
            <w:tcW w:w="1600" w:type="dxa"/>
            <w:vAlign w:val="bottom"/>
          </w:tcPr>
          <w:p>
            <w:pPr>
              <w:jc w:val="right"/>
              <w:spacing w:after="0"/>
              <w:rPr>
                <w:sz w:val="20"/>
                <w:szCs w:val="20"/>
                <w:color w:val="auto"/>
              </w:rPr>
            </w:pPr>
            <w:r>
              <w:rPr>
                <w:rFonts w:ascii="Arial" w:cs="Arial" w:eastAsia="Arial" w:hAnsi="Arial"/>
                <w:sz w:val="16"/>
                <w:szCs w:val="16"/>
                <w:color w:val="auto"/>
              </w:rPr>
              <w:t>2.71%</w:t>
            </w:r>
          </w:p>
        </w:tc>
        <w:tc>
          <w:tcPr>
            <w:tcW w:w="920" w:type="dxa"/>
            <w:vAlign w:val="bottom"/>
          </w:tcPr>
          <w:p>
            <w:pPr>
              <w:jc w:val="right"/>
              <w:spacing w:after="0"/>
              <w:rPr>
                <w:sz w:val="20"/>
                <w:szCs w:val="20"/>
                <w:color w:val="auto"/>
              </w:rPr>
            </w:pPr>
            <w:r>
              <w:rPr>
                <w:rFonts w:ascii="Arial" w:cs="Arial" w:eastAsia="Arial" w:hAnsi="Arial"/>
                <w:sz w:val="16"/>
                <w:szCs w:val="16"/>
                <w:color w:val="auto"/>
              </w:rPr>
              <w:t>885,000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3.81%</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Gap, Inc., The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BB+ / Baa2 / 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13,258,000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328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Baa1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13,170,000</w:t>
            </w:r>
          </w:p>
        </w:tc>
        <w:tc>
          <w:tcPr>
            <w:tcW w:w="1600" w:type="dxa"/>
            <w:vAlign w:val="bottom"/>
          </w:tcPr>
          <w:p>
            <w:pPr>
              <w:jc w:val="right"/>
              <w:spacing w:after="0"/>
              <w:rPr>
                <w:sz w:val="20"/>
                <w:szCs w:val="20"/>
                <w:color w:val="auto"/>
              </w:rPr>
            </w:pPr>
            <w:r>
              <w:rPr>
                <w:rFonts w:ascii="Arial" w:cs="Arial" w:eastAsia="Arial" w:hAnsi="Arial"/>
                <w:sz w:val="16"/>
                <w:szCs w:val="16"/>
                <w:color w:val="auto"/>
              </w:rPr>
              <w:t>2.27%</w:t>
            </w:r>
          </w:p>
        </w:tc>
        <w:tc>
          <w:tcPr>
            <w:tcW w:w="920" w:type="dxa"/>
            <w:vAlign w:val="bottom"/>
          </w:tcPr>
          <w:p>
            <w:pPr>
              <w:jc w:val="right"/>
              <w:spacing w:after="0"/>
              <w:rPr>
                <w:sz w:val="20"/>
                <w:szCs w:val="20"/>
                <w:color w:val="auto"/>
              </w:rPr>
            </w:pPr>
            <w:r>
              <w:rPr>
                <w:rFonts w:ascii="Arial" w:cs="Arial" w:eastAsia="Arial" w:hAnsi="Arial"/>
                <w:sz w:val="16"/>
                <w:szCs w:val="16"/>
                <w:color w:val="auto"/>
              </w:rPr>
              <w:t>736,000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3.17%</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Splunk,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10,276,000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328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B+ / B2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9,833,000</w:t>
            </w:r>
          </w:p>
        </w:tc>
        <w:tc>
          <w:tcPr>
            <w:tcW w:w="1600" w:type="dxa"/>
            <w:vAlign w:val="bottom"/>
          </w:tcPr>
          <w:p>
            <w:pPr>
              <w:jc w:val="right"/>
              <w:spacing w:after="0"/>
              <w:rPr>
                <w:sz w:val="20"/>
                <w:szCs w:val="20"/>
                <w:color w:val="auto"/>
              </w:rPr>
            </w:pPr>
            <w:r>
              <w:rPr>
                <w:rFonts w:ascii="Arial" w:cs="Arial" w:eastAsia="Arial" w:hAnsi="Arial"/>
                <w:sz w:val="16"/>
                <w:szCs w:val="16"/>
                <w:color w:val="auto"/>
              </w:rPr>
              <w:t>1.69%</w:t>
            </w:r>
          </w:p>
        </w:tc>
        <w:tc>
          <w:tcPr>
            <w:tcW w:w="920" w:type="dxa"/>
            <w:vAlign w:val="bottom"/>
          </w:tcPr>
          <w:p>
            <w:pPr>
              <w:jc w:val="right"/>
              <w:spacing w:after="0"/>
              <w:rPr>
                <w:sz w:val="20"/>
                <w:szCs w:val="20"/>
                <w:color w:val="auto"/>
              </w:rPr>
            </w:pPr>
            <w:r>
              <w:rPr>
                <w:rFonts w:ascii="Arial" w:cs="Arial" w:eastAsia="Arial" w:hAnsi="Arial"/>
                <w:sz w:val="16"/>
                <w:szCs w:val="16"/>
                <w:color w:val="auto"/>
              </w:rPr>
              <w:t>426,000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1.83%</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CVS Corporation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Baa1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0.89%</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28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B+ / B2 / B</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6,850,000</w:t>
            </w:r>
          </w:p>
        </w:tc>
        <w:tc>
          <w:tcPr>
            <w:tcW w:w="1600" w:type="dxa"/>
            <w:vAlign w:val="bottom"/>
          </w:tcPr>
          <w:p>
            <w:pPr>
              <w:jc w:val="right"/>
              <w:spacing w:after="0"/>
              <w:rPr>
                <w:sz w:val="20"/>
                <w:szCs w:val="20"/>
                <w:color w:val="auto"/>
              </w:rPr>
            </w:pPr>
            <w:r>
              <w:rPr>
                <w:rFonts w:ascii="Arial" w:cs="Arial" w:eastAsia="Arial" w:hAnsi="Arial"/>
                <w:sz w:val="16"/>
                <w:szCs w:val="16"/>
                <w:color w:val="auto"/>
              </w:rPr>
              <w:t>1.18%</w:t>
            </w:r>
          </w:p>
        </w:tc>
        <w:tc>
          <w:tcPr>
            <w:tcW w:w="920" w:type="dxa"/>
            <w:vAlign w:val="bottom"/>
          </w:tcPr>
          <w:p>
            <w:pPr>
              <w:jc w:val="right"/>
              <w:spacing w:after="0"/>
              <w:rPr>
                <w:sz w:val="20"/>
                <w:szCs w:val="20"/>
                <w:color w:val="auto"/>
              </w:rPr>
            </w:pPr>
            <w:r>
              <w:rPr>
                <w:rFonts w:ascii="Arial" w:cs="Arial" w:eastAsia="Arial" w:hAnsi="Arial"/>
                <w:sz w:val="16"/>
                <w:szCs w:val="16"/>
                <w:color w:val="auto"/>
              </w:rPr>
              <w:t>317,000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Ascena Retail Group, Inc. (Dress Barn, Loft,</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BB- / Ba3 / NR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6,330,000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0.87%</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580" w:type="dxa"/>
            <w:vAlign w:val="bottom"/>
            <w:shd w:val="clear" w:color="auto" w:fill="CCEEFF"/>
          </w:tcPr>
          <w:p>
            <w:pPr>
              <w:spacing w:after="0"/>
              <w:rPr>
                <w:sz w:val="17"/>
                <w:szCs w:val="17"/>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Lou &amp; Grey, Ann Taylor, Catherine's, Justice,</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0" w:type="dxa"/>
            <w:vAlign w:val="bottom"/>
            <w:tcBorders>
              <w:bottom w:val="single" w:sz="8" w:color="CCEEFF"/>
            </w:tcBorders>
            <w:shd w:val="clear" w:color="auto" w:fill="CCEEFF"/>
          </w:tcPr>
          <w:p>
            <w:pPr>
              <w:spacing w:after="0"/>
              <w:rPr>
                <w:sz w:val="19"/>
                <w:szCs w:val="19"/>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Lane Bryant)</w:t>
            </w:r>
          </w:p>
        </w:tc>
        <w:tc>
          <w:tcPr>
            <w:tcW w:w="1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28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6,208,000</w:t>
            </w:r>
          </w:p>
        </w:tc>
        <w:tc>
          <w:tcPr>
            <w:tcW w:w="1600" w:type="dxa"/>
            <w:vAlign w:val="bottom"/>
          </w:tcPr>
          <w:p>
            <w:pPr>
              <w:jc w:val="right"/>
              <w:spacing w:after="0"/>
              <w:rPr>
                <w:sz w:val="20"/>
                <w:szCs w:val="20"/>
                <w:color w:val="auto"/>
              </w:rPr>
            </w:pPr>
            <w:r>
              <w:rPr>
                <w:rFonts w:ascii="Arial" w:cs="Arial" w:eastAsia="Arial" w:hAnsi="Arial"/>
                <w:sz w:val="16"/>
                <w:szCs w:val="16"/>
                <w:color w:val="auto"/>
              </w:rPr>
              <w:t>1.07%</w:t>
            </w:r>
          </w:p>
        </w:tc>
        <w:tc>
          <w:tcPr>
            <w:tcW w:w="920" w:type="dxa"/>
            <w:vAlign w:val="bottom"/>
          </w:tcPr>
          <w:p>
            <w:pPr>
              <w:jc w:val="right"/>
              <w:spacing w:after="0"/>
              <w:rPr>
                <w:sz w:val="20"/>
                <w:szCs w:val="20"/>
                <w:color w:val="auto"/>
              </w:rPr>
            </w:pPr>
            <w:r>
              <w:rPr>
                <w:rFonts w:ascii="Arial" w:cs="Arial" w:eastAsia="Arial" w:hAnsi="Arial"/>
                <w:sz w:val="16"/>
                <w:szCs w:val="16"/>
                <w:color w:val="auto"/>
              </w:rPr>
              <w:t>257,000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DSW,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5,908,000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328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840" w:type="dxa"/>
            <w:vAlign w:val="bottom"/>
          </w:tcPr>
          <w:p>
            <w:pPr>
              <w:jc w:val="center"/>
              <w:spacing w:after="0"/>
              <w:rPr>
                <w:sz w:val="20"/>
                <w:szCs w:val="20"/>
                <w:color w:val="auto"/>
              </w:rPr>
            </w:pPr>
            <w:r>
              <w:rPr>
                <w:rFonts w:ascii="Arial" w:cs="Arial" w:eastAsia="Arial" w:hAnsi="Arial"/>
                <w:sz w:val="16"/>
                <w:szCs w:val="16"/>
                <w:color w:val="auto"/>
              </w:rPr>
              <w:t>A / A2 / 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5,674,000</w:t>
            </w:r>
          </w:p>
        </w:tc>
        <w:tc>
          <w:tcPr>
            <w:tcW w:w="1600" w:type="dxa"/>
            <w:vAlign w:val="bottom"/>
          </w:tcPr>
          <w:p>
            <w:pPr>
              <w:jc w:val="right"/>
              <w:spacing w:after="0"/>
              <w:rPr>
                <w:sz w:val="20"/>
                <w:szCs w:val="20"/>
                <w:color w:val="auto"/>
              </w:rPr>
            </w:pPr>
            <w:r>
              <w:rPr>
                <w:rFonts w:ascii="Arial" w:cs="Arial" w:eastAsia="Arial" w:hAnsi="Arial"/>
                <w:sz w:val="16"/>
                <w:szCs w:val="16"/>
                <w:color w:val="auto"/>
              </w:rPr>
              <w:t>0.98%</w:t>
            </w:r>
          </w:p>
        </w:tc>
        <w:tc>
          <w:tcPr>
            <w:tcW w:w="920" w:type="dxa"/>
            <w:vAlign w:val="bottom"/>
          </w:tcPr>
          <w:p>
            <w:pPr>
              <w:jc w:val="right"/>
              <w:spacing w:after="0"/>
              <w:rPr>
                <w:sz w:val="20"/>
                <w:szCs w:val="20"/>
                <w:color w:val="auto"/>
              </w:rPr>
            </w:pPr>
            <w:r>
              <w:rPr>
                <w:rFonts w:ascii="Arial" w:cs="Arial" w:eastAsia="Arial" w:hAnsi="Arial"/>
                <w:sz w:val="16"/>
                <w:szCs w:val="16"/>
                <w:color w:val="auto"/>
              </w:rPr>
              <w:t>438,000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1.88%</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Best Buy Co., Inc.</w:t>
            </w:r>
          </w:p>
        </w:tc>
        <w:tc>
          <w:tcPr>
            <w:tcW w:w="18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w w:val="96"/>
              </w:rPr>
              <w:t>BBB- / Baa1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5,610,000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0.80%</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328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5,535,000</w:t>
            </w:r>
          </w:p>
        </w:tc>
        <w:tc>
          <w:tcPr>
            <w:tcW w:w="1600" w:type="dxa"/>
            <w:vAlign w:val="bottom"/>
          </w:tcPr>
          <w:p>
            <w:pPr>
              <w:jc w:val="right"/>
              <w:spacing w:after="0"/>
              <w:rPr>
                <w:sz w:val="20"/>
                <w:szCs w:val="20"/>
                <w:color w:val="auto"/>
              </w:rPr>
            </w:pPr>
            <w:r>
              <w:rPr>
                <w:rFonts w:ascii="Arial" w:cs="Arial" w:eastAsia="Arial" w:hAnsi="Arial"/>
                <w:sz w:val="16"/>
                <w:szCs w:val="16"/>
                <w:color w:val="auto"/>
              </w:rPr>
              <w:t>0.95%</w:t>
            </w:r>
          </w:p>
        </w:tc>
        <w:tc>
          <w:tcPr>
            <w:tcW w:w="920" w:type="dxa"/>
            <w:vAlign w:val="bottom"/>
          </w:tcPr>
          <w:p>
            <w:pPr>
              <w:jc w:val="right"/>
              <w:spacing w:after="0"/>
              <w:rPr>
                <w:sz w:val="20"/>
                <w:szCs w:val="20"/>
                <w:color w:val="auto"/>
              </w:rPr>
            </w:pPr>
            <w:r>
              <w:rPr>
                <w:rFonts w:ascii="Arial" w:cs="Arial" w:eastAsia="Arial" w:hAnsi="Arial"/>
                <w:sz w:val="16"/>
                <w:szCs w:val="16"/>
                <w:color w:val="auto"/>
              </w:rPr>
              <w:t>244,000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Michaels Stores,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BB- / Ba2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5,331,000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328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Baa1 / 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5,245,000</w:t>
            </w:r>
          </w:p>
        </w:tc>
        <w:tc>
          <w:tcPr>
            <w:tcW w:w="1600" w:type="dxa"/>
            <w:vAlign w:val="bottom"/>
          </w:tcPr>
          <w:p>
            <w:pPr>
              <w:jc w:val="right"/>
              <w:spacing w:after="0"/>
              <w:rPr>
                <w:sz w:val="20"/>
                <w:szCs w:val="20"/>
                <w:color w:val="auto"/>
              </w:rPr>
            </w:pPr>
            <w:r>
              <w:rPr>
                <w:rFonts w:ascii="Arial" w:cs="Arial" w:eastAsia="Arial" w:hAnsi="Arial"/>
                <w:sz w:val="16"/>
                <w:szCs w:val="16"/>
                <w:color w:val="auto"/>
              </w:rPr>
              <w:t>0.90%</w:t>
            </w:r>
          </w:p>
        </w:tc>
        <w:tc>
          <w:tcPr>
            <w:tcW w:w="920" w:type="dxa"/>
            <w:vAlign w:val="bottom"/>
          </w:tcPr>
          <w:p>
            <w:pPr>
              <w:jc w:val="right"/>
              <w:spacing w:after="0"/>
              <w:rPr>
                <w:sz w:val="20"/>
                <w:szCs w:val="20"/>
                <w:color w:val="auto"/>
              </w:rPr>
            </w:pPr>
            <w:r>
              <w:rPr>
                <w:rFonts w:ascii="Arial" w:cs="Arial" w:eastAsia="Arial" w:hAnsi="Arial"/>
                <w:sz w:val="16"/>
                <w:szCs w:val="16"/>
                <w:color w:val="auto"/>
              </w:rPr>
              <w:t>97,000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0.42%</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Nordstrom, Inc.</w:t>
            </w:r>
          </w:p>
        </w:tc>
        <w:tc>
          <w:tcPr>
            <w:tcW w:w="18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w w:val="96"/>
              </w:rPr>
              <w:t>BBB+ / Baa1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4,913,000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0.84%</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328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NR / B1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4,786,000</w:t>
            </w:r>
          </w:p>
        </w:tc>
        <w:tc>
          <w:tcPr>
            <w:tcW w:w="1600" w:type="dxa"/>
            <w:vAlign w:val="bottom"/>
          </w:tcPr>
          <w:p>
            <w:pPr>
              <w:jc w:val="right"/>
              <w:spacing w:after="0"/>
              <w:rPr>
                <w:sz w:val="20"/>
                <w:szCs w:val="20"/>
                <w:color w:val="auto"/>
              </w:rPr>
            </w:pPr>
            <w:r>
              <w:rPr>
                <w:rFonts w:ascii="Arial" w:cs="Arial" w:eastAsia="Arial" w:hAnsi="Arial"/>
                <w:sz w:val="16"/>
                <w:szCs w:val="16"/>
                <w:color w:val="auto"/>
              </w:rPr>
              <w:t>0.82%</w:t>
            </w:r>
          </w:p>
        </w:tc>
        <w:tc>
          <w:tcPr>
            <w:tcW w:w="920" w:type="dxa"/>
            <w:vAlign w:val="bottom"/>
          </w:tcPr>
          <w:p>
            <w:pPr>
              <w:jc w:val="right"/>
              <w:spacing w:after="0"/>
              <w:rPr>
                <w:sz w:val="20"/>
                <w:szCs w:val="20"/>
                <w:color w:val="auto"/>
              </w:rPr>
            </w:pPr>
            <w:r>
              <w:rPr>
                <w:rFonts w:ascii="Arial" w:cs="Arial" w:eastAsia="Arial" w:hAnsi="Arial"/>
                <w:sz w:val="16"/>
                <w:szCs w:val="16"/>
                <w:color w:val="auto"/>
              </w:rPr>
              <w:t>489,000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2.10%</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Kroger Co., The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Baa1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328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Baa3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4,642,000</w:t>
            </w:r>
          </w:p>
        </w:tc>
        <w:tc>
          <w:tcPr>
            <w:tcW w:w="1600" w:type="dxa"/>
            <w:vAlign w:val="bottom"/>
          </w:tcPr>
          <w:p>
            <w:pPr>
              <w:jc w:val="right"/>
              <w:spacing w:after="0"/>
              <w:rPr>
                <w:sz w:val="20"/>
                <w:szCs w:val="20"/>
                <w:color w:val="auto"/>
              </w:rPr>
            </w:pPr>
            <w:r>
              <w:rPr>
                <w:rFonts w:ascii="Arial" w:cs="Arial" w:eastAsia="Arial" w:hAnsi="Arial"/>
                <w:sz w:val="16"/>
                <w:szCs w:val="16"/>
                <w:color w:val="auto"/>
              </w:rPr>
              <w:t>0.80%</w:t>
            </w:r>
          </w:p>
        </w:tc>
        <w:tc>
          <w:tcPr>
            <w:tcW w:w="920" w:type="dxa"/>
            <w:vAlign w:val="bottom"/>
          </w:tcPr>
          <w:p>
            <w:pPr>
              <w:jc w:val="right"/>
              <w:spacing w:after="0"/>
              <w:rPr>
                <w:sz w:val="20"/>
                <w:szCs w:val="20"/>
                <w:color w:val="auto"/>
              </w:rPr>
            </w:pPr>
            <w:r>
              <w:rPr>
                <w:rFonts w:ascii="Arial" w:cs="Arial" w:eastAsia="Arial" w:hAnsi="Arial"/>
                <w:sz w:val="16"/>
                <w:szCs w:val="16"/>
                <w:color w:val="auto"/>
              </w:rPr>
              <w:t>167,000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0.72%</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Ross Stores,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A- / A3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4,245,000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3280" w:type="dxa"/>
            <w:vAlign w:val="bottom"/>
          </w:tcPr>
          <w:p>
            <w:pPr>
              <w:ind w:left="120"/>
              <w:spacing w:after="0"/>
              <w:rPr>
                <w:sz w:val="20"/>
                <w:szCs w:val="20"/>
                <w:color w:val="auto"/>
              </w:rPr>
            </w:pPr>
            <w:r>
              <w:rPr>
                <w:rFonts w:ascii="Arial" w:cs="Arial" w:eastAsia="Arial" w:hAnsi="Arial"/>
                <w:sz w:val="16"/>
                <w:szCs w:val="16"/>
                <w:color w:val="auto"/>
              </w:rPr>
              <w:t>Saks &amp; Company</w:t>
            </w:r>
          </w:p>
        </w:tc>
        <w:tc>
          <w:tcPr>
            <w:tcW w:w="1840" w:type="dxa"/>
            <w:vAlign w:val="bottom"/>
          </w:tcPr>
          <w:p>
            <w:pPr>
              <w:jc w:val="center"/>
              <w:ind w:left="20"/>
              <w:spacing w:after="0"/>
              <w:rPr>
                <w:sz w:val="20"/>
                <w:szCs w:val="20"/>
                <w:color w:val="auto"/>
              </w:rPr>
            </w:pPr>
            <w:r>
              <w:rPr>
                <w:rFonts w:ascii="Arial" w:cs="Arial" w:eastAsia="Arial" w:hAnsi="Arial"/>
                <w:sz w:val="16"/>
                <w:szCs w:val="16"/>
                <w:color w:val="auto"/>
                <w:w w:val="97"/>
              </w:rPr>
              <w:t>B / B2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4,090,000</w:t>
            </w:r>
          </w:p>
        </w:tc>
        <w:tc>
          <w:tcPr>
            <w:tcW w:w="1600" w:type="dxa"/>
            <w:vAlign w:val="bottom"/>
          </w:tcPr>
          <w:p>
            <w:pPr>
              <w:jc w:val="right"/>
              <w:spacing w:after="0"/>
              <w:rPr>
                <w:sz w:val="20"/>
                <w:szCs w:val="20"/>
                <w:color w:val="auto"/>
              </w:rPr>
            </w:pPr>
            <w:r>
              <w:rPr>
                <w:rFonts w:ascii="Arial" w:cs="Arial" w:eastAsia="Arial" w:hAnsi="Arial"/>
                <w:sz w:val="16"/>
                <w:szCs w:val="16"/>
                <w:color w:val="auto"/>
              </w:rPr>
              <w:t>0.70%</w:t>
            </w: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0.43%</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Starbucks Corporation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A / A2 /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3,998,000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0.28%</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3280" w:type="dxa"/>
            <w:vAlign w:val="bottom"/>
          </w:tcPr>
          <w:p>
            <w:pPr>
              <w:ind w:left="120"/>
              <w:spacing w:after="0"/>
              <w:rPr>
                <w:sz w:val="20"/>
                <w:szCs w:val="20"/>
                <w:color w:val="auto"/>
              </w:rPr>
            </w:pPr>
            <w:r>
              <w:rPr>
                <w:rFonts w:ascii="Arial" w:cs="Arial" w:eastAsia="Arial" w:hAnsi="Arial"/>
                <w:sz w:val="16"/>
                <w:szCs w:val="16"/>
                <w:color w:val="auto"/>
              </w:rPr>
              <w:t>Staples,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Baa2 / BB+</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3,884,000</w:t>
            </w:r>
          </w:p>
        </w:tc>
        <w:tc>
          <w:tcPr>
            <w:tcW w:w="1600" w:type="dxa"/>
            <w:vAlign w:val="bottom"/>
          </w:tcPr>
          <w:p>
            <w:pPr>
              <w:jc w:val="right"/>
              <w:spacing w:after="0"/>
              <w:rPr>
                <w:sz w:val="20"/>
                <w:szCs w:val="20"/>
                <w:color w:val="auto"/>
              </w:rPr>
            </w:pPr>
            <w:r>
              <w:rPr>
                <w:rFonts w:ascii="Arial" w:cs="Arial" w:eastAsia="Arial" w:hAnsi="Arial"/>
                <w:sz w:val="16"/>
                <w:szCs w:val="16"/>
                <w:color w:val="auto"/>
              </w:rPr>
              <w:t>0.67%</w:t>
            </w:r>
          </w:p>
        </w:tc>
        <w:tc>
          <w:tcPr>
            <w:tcW w:w="920" w:type="dxa"/>
            <w:vAlign w:val="bottom"/>
          </w:tcPr>
          <w:p>
            <w:pPr>
              <w:jc w:val="right"/>
              <w:spacing w:after="0"/>
              <w:rPr>
                <w:sz w:val="20"/>
                <w:szCs w:val="20"/>
                <w:color w:val="auto"/>
              </w:rPr>
            </w:pPr>
            <w:r>
              <w:rPr>
                <w:rFonts w:ascii="Arial" w:cs="Arial" w:eastAsia="Arial" w:hAnsi="Arial"/>
                <w:sz w:val="16"/>
                <w:szCs w:val="16"/>
                <w:color w:val="auto"/>
              </w:rPr>
              <w:t>171,000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0.74%</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Wells Fargo Bank, N.A.</w:t>
            </w:r>
          </w:p>
        </w:tc>
        <w:tc>
          <w:tcPr>
            <w:tcW w:w="18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rPr>
              <w:t>A / A2 / 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3,822,000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0.21%</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97"/>
        </w:trPr>
        <w:tc>
          <w:tcPr>
            <w:tcW w:w="580" w:type="dxa"/>
            <w:vAlign w:val="bottom"/>
            <w:tcBorders>
              <w:bottom w:val="single" w:sz="8" w:color="CCEEFF"/>
            </w:tcBorders>
          </w:tcPr>
          <w:p>
            <w:pPr>
              <w:spacing w:after="0"/>
              <w:rPr>
                <w:sz w:val="24"/>
                <w:szCs w:val="24"/>
                <w:color w:val="auto"/>
              </w:rPr>
            </w:pPr>
          </w:p>
        </w:tc>
        <w:tc>
          <w:tcPr>
            <w:tcW w:w="3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Totals - Top 25 Tenants</w:t>
            </w:r>
          </w:p>
        </w:tc>
        <w:tc>
          <w:tcPr>
            <w:tcW w:w="18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179,975,000</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8,055,000</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34.66%</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57"/>
        </w:trPr>
        <w:tc>
          <w:tcPr>
            <w:tcW w:w="58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581,130,000</w:t>
            </w:r>
          </w:p>
        </w:tc>
        <w:tc>
          <w:tcPr>
            <w:tcW w:w="1600" w:type="dxa"/>
            <w:vAlign w:val="bottom"/>
          </w:tcPr>
          <w:p>
            <w:pPr>
              <w:jc w:val="right"/>
              <w:ind w:right="1280"/>
              <w:spacing w:after="0"/>
              <w:rPr>
                <w:sz w:val="20"/>
                <w:szCs w:val="20"/>
                <w:color w:val="auto"/>
              </w:rPr>
            </w:pPr>
            <w:r>
              <w:rPr>
                <w:rFonts w:ascii="Arial" w:cs="Arial" w:eastAsia="Arial" w:hAnsi="Arial"/>
                <w:sz w:val="16"/>
                <w:szCs w:val="16"/>
                <w:color w:val="auto"/>
              </w:rPr>
              <w:t>(2)</w:t>
            </w:r>
          </w:p>
        </w:tc>
        <w:tc>
          <w:tcPr>
            <w:tcW w:w="920" w:type="dxa"/>
            <w:vAlign w:val="bottom"/>
          </w:tcPr>
          <w:p>
            <w:pPr>
              <w:jc w:val="right"/>
              <w:spacing w:after="0"/>
              <w:rPr>
                <w:sz w:val="20"/>
                <w:szCs w:val="20"/>
                <w:color w:val="auto"/>
              </w:rPr>
            </w:pPr>
            <w:r>
              <w:rPr>
                <w:rFonts w:ascii="Arial" w:cs="Arial" w:eastAsia="Arial" w:hAnsi="Arial"/>
                <w:sz w:val="16"/>
                <w:szCs w:val="16"/>
                <w:color w:val="auto"/>
              </w:rPr>
              <w:t>23,240,000</w:t>
            </w:r>
          </w:p>
        </w:tc>
        <w:tc>
          <w:tcPr>
            <w:tcW w:w="1180" w:type="dxa"/>
            <w:vAlign w:val="bottom"/>
          </w:tcPr>
          <w:p>
            <w:pPr>
              <w:jc w:val="right"/>
              <w:ind w:right="840"/>
              <w:spacing w:after="0"/>
              <w:rPr>
                <w:sz w:val="20"/>
                <w:szCs w:val="20"/>
                <w:color w:val="auto"/>
              </w:rPr>
            </w:pPr>
            <w:r>
              <w:rPr>
                <w:rFonts w:ascii="Arial" w:cs="Arial" w:eastAsia="Arial" w:hAnsi="Arial"/>
                <w:sz w:val="16"/>
                <w:szCs w:val="16"/>
                <w:color w:val="auto"/>
              </w:rPr>
              <w:t>(4)</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2,888</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Credit ratings are as of June 30, 2017. Subsequent rating changes have not been reflected.</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aggregate, annualized in-place contractual (defined as cash-basis excluding rent abatements) minimum rent for all occupied spaces as of June 30, 2017.</w:t>
      </w:r>
    </w:p>
    <w:p>
      <w:pPr>
        <w:spacing w:after="0" w:line="122" w:lineRule="exact"/>
        <w:rPr>
          <w:rFonts w:ascii="Arial" w:cs="Arial" w:eastAsia="Arial" w:hAnsi="Arial"/>
          <w:sz w:val="14"/>
          <w:szCs w:val="14"/>
          <w:color w:val="auto"/>
        </w:rPr>
      </w:pPr>
    </w:p>
    <w:p>
      <w:pPr>
        <w:ind w:left="700" w:hanging="665"/>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351" w:lineRule="exact"/>
        <w:rPr>
          <w:sz w:val="20"/>
          <w:szCs w:val="20"/>
          <w:color w:val="auto"/>
        </w:rPr>
      </w:pPr>
    </w:p>
    <w:p>
      <w:pPr>
        <w:ind w:left="40" w:right="240"/>
        <w:spacing w:after="0" w:line="264" w:lineRule="auto"/>
        <w:rPr>
          <w:sz w:val="20"/>
          <w:szCs w:val="20"/>
          <w:color w:val="auto"/>
        </w:rPr>
      </w:pPr>
      <w:r>
        <w:rPr>
          <w:rFonts w:ascii="Arial" w:cs="Arial" w:eastAsia="Arial" w:hAnsi="Arial"/>
          <w:sz w:val="18"/>
          <w:szCs w:val="18"/>
          <w:color w:val="auto"/>
        </w:rPr>
        <w:t>The following table provides a reconciliation of the range of estimated earnings per diluted share to estimated FFO per diluted share for the full year 2017. Estimates include the impact of the pending acquisition announced on August 1, 2017, but do not include the impact from potential acquisitions or dispositions which have not closed as of August 2, 2017.</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Full Year 2017 Guidance Range</w:t>
            </w: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8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gain on sale of real estate,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 of real estate</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of initial direct costs of leases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Estimated FFO per diluted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six months ended June 30, 2017 and 2016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180" w:type="dxa"/>
            <w:vAlign w:val="bottom"/>
            <w:gridSpan w:val="4"/>
          </w:tcPr>
          <w:p>
            <w:pPr>
              <w:jc w:val="center"/>
              <w:ind w:right="31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78,133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136,203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137,961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52,666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48,435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104,045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96,234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Provision for income tax </w:t>
            </w:r>
            <w:r>
              <w:rPr>
                <w:rFonts w:ascii="Arial" w:cs="Arial" w:eastAsia="Arial" w:hAnsi="Arial"/>
                <w:sz w:val="16"/>
                <w:szCs w:val="16"/>
                <w:color w:val="auto"/>
              </w:rPr>
              <w:t>(1)</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156,336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130,357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289,437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280,845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135,642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128,570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268,565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253,332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(1) Provision for income tax related to condominium sales gains.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and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operated, and consolidated for the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of both periods being compared, excludes properties that were redeveloped, expanded or under development and properties purchased or sold at any time during the periods being compared. Same center growth statistics are calculated on a GAAP basis.</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2019-12-29T05:42:28Z</dcterms:created>
  <dcterms:modified xsi:type="dcterms:W3CDTF">2019-12-29T05:42:28Z</dcterms:modified>
</cp:coreProperties>
</file>