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8, 2012</w:t>
      </w:r>
    </w:p>
    <w:p>
      <w:pPr>
        <w:spacing w:after="0" w:line="28"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4"/>
          <w:szCs w:val="24"/>
          <w:color w:val="auto"/>
        </w:rPr>
      </w:pPr>
    </w:p>
    <w:p>
      <w:pPr>
        <w:ind w:left="5420"/>
        <w:spacing w:after="0"/>
        <w:rPr>
          <w:sz w:val="20"/>
          <w:szCs w:val="20"/>
          <w:color w:val="auto"/>
        </w:rPr>
      </w:pPr>
      <w:r>
        <w:rPr>
          <w:rFonts w:ascii="Arial" w:cs="Arial" w:eastAsia="Arial" w:hAnsi="Arial"/>
          <w:sz w:val="14"/>
          <w:szCs w:val="14"/>
          <w:b w:val="1"/>
          <w:bCs w:val="1"/>
          <w:color w:val="auto"/>
        </w:rPr>
        <w:t>Maryland</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15" w:lineRule="exact"/>
        <w:rPr>
          <w:sz w:val="24"/>
          <w:szCs w:val="24"/>
          <w:color w:val="auto"/>
        </w:rPr>
      </w:pPr>
    </w:p>
    <w:p>
      <w:pPr>
        <w:ind w:left="5380"/>
        <w:spacing w:after="0"/>
        <w:rPr>
          <w:sz w:val="20"/>
          <w:szCs w:val="20"/>
          <w:color w:val="auto"/>
        </w:rPr>
      </w:pPr>
      <w:r>
        <w:rPr>
          <w:rFonts w:ascii="Arial" w:cs="Arial" w:eastAsia="Arial" w:hAnsi="Arial"/>
          <w:sz w:val="14"/>
          <w:szCs w:val="14"/>
          <w:b w:val="1"/>
          <w:bCs w:val="1"/>
          <w:color w:val="auto"/>
        </w:rPr>
        <w:t>52-0782497</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(I.R.S. Employer Identification No.)</w:t>
      </w:r>
    </w:p>
    <w:p>
      <w:pPr>
        <w:spacing w:after="0" w:line="15"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1626 East Jefferson Street</w:t>
      </w:r>
    </w:p>
    <w:p>
      <w:pPr>
        <w:jc w:val="center"/>
        <w:spacing w:after="0" w:line="223" w:lineRule="auto"/>
        <w:rPr>
          <w:sz w:val="20"/>
          <w:szCs w:val="20"/>
          <w:color w:val="auto"/>
        </w:rPr>
      </w:pPr>
      <w:r>
        <w:rPr>
          <w:rFonts w:ascii="Arial" w:cs="Arial" w:eastAsia="Arial" w:hAnsi="Arial"/>
          <w:sz w:val="14"/>
          <w:szCs w:val="14"/>
          <w:b w:val="1"/>
          <w:bCs w:val="1"/>
          <w:color w:val="auto"/>
        </w:rPr>
        <w:t>Rockville, Maryland 20852</w:t>
      </w:r>
    </w:p>
    <w:p>
      <w:pPr>
        <w:jc w:val="center"/>
        <w:spacing w:after="0" w:line="222" w:lineRule="auto"/>
        <w:rPr>
          <w:sz w:val="20"/>
          <w:szCs w:val="20"/>
          <w:color w:val="auto"/>
        </w:rPr>
      </w:pPr>
      <w:r>
        <w:rPr>
          <w:rFonts w:ascii="Arial" w:cs="Arial" w:eastAsia="Arial" w:hAnsi="Arial"/>
          <w:sz w:val="14"/>
          <w:szCs w:val="14"/>
          <w:b w:val="1"/>
          <w:bCs w:val="1"/>
          <w:color w:val="auto"/>
        </w:rPr>
        <w:t>Telephone: (301) 998-8100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Dawn M. Becker, Executive Vice President, General Counsel and Secretary</w:t>
      </w:r>
    </w:p>
    <w:p>
      <w:pPr>
        <w:jc w:val="center"/>
        <w:spacing w:after="0" w:line="223" w:lineRule="auto"/>
        <w:rPr>
          <w:sz w:val="20"/>
          <w:szCs w:val="20"/>
          <w:color w:val="auto"/>
        </w:rPr>
      </w:pPr>
      <w:r>
        <w:rPr>
          <w:rFonts w:ascii="Arial" w:cs="Arial" w:eastAsia="Arial" w:hAnsi="Arial"/>
          <w:sz w:val="14"/>
          <w:szCs w:val="14"/>
          <w:b w:val="1"/>
          <w:bCs w:val="1"/>
          <w:color w:val="auto"/>
        </w:rPr>
        <w:t>Federal Realty Investment Trust</w:t>
      </w:r>
    </w:p>
    <w:p>
      <w:pPr>
        <w:jc w:val="center"/>
        <w:spacing w:after="0" w:line="222" w:lineRule="auto"/>
        <w:rPr>
          <w:sz w:val="20"/>
          <w:szCs w:val="20"/>
          <w:color w:val="auto"/>
        </w:rPr>
      </w:pPr>
      <w:r>
        <w:rPr>
          <w:rFonts w:ascii="Arial" w:cs="Arial" w:eastAsia="Arial" w:hAnsi="Arial"/>
          <w:sz w:val="14"/>
          <w:szCs w:val="14"/>
          <w:b w:val="1"/>
          <w:bCs w:val="1"/>
          <w:color w:val="auto"/>
        </w:rPr>
        <w:t>1626 East Jefferson Street</w:t>
      </w:r>
    </w:p>
    <w:p>
      <w:pPr>
        <w:jc w:val="center"/>
        <w:spacing w:after="0" w:line="221" w:lineRule="auto"/>
        <w:rPr>
          <w:sz w:val="20"/>
          <w:szCs w:val="20"/>
          <w:color w:val="auto"/>
        </w:rPr>
      </w:pPr>
      <w:r>
        <w:rPr>
          <w:rFonts w:ascii="Arial" w:cs="Arial" w:eastAsia="Arial" w:hAnsi="Arial"/>
          <w:sz w:val="14"/>
          <w:szCs w:val="14"/>
          <w:b w:val="1"/>
          <w:bCs w:val="1"/>
          <w:color w:val="auto"/>
        </w:rPr>
        <w:t>Rockville, Maryland 20852</w:t>
      </w:r>
    </w:p>
    <w:p>
      <w:pPr>
        <w:jc w:val="center"/>
        <w:spacing w:after="0" w:line="222" w:lineRule="auto"/>
        <w:rPr>
          <w:sz w:val="20"/>
          <w:szCs w:val="20"/>
          <w:color w:val="auto"/>
        </w:rPr>
      </w:pPr>
      <w:r>
        <w:rPr>
          <w:rFonts w:ascii="Arial" w:cs="Arial" w:eastAsia="Arial" w:hAnsi="Arial"/>
          <w:sz w:val="14"/>
          <w:szCs w:val="14"/>
          <w:b w:val="1"/>
          <w:bCs w:val="1"/>
          <w:color w:val="auto"/>
        </w:rPr>
        <w:t>Telephone: (301) 998-8100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to:</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Jeffrey B. Grill, Esq.</w:t>
      </w:r>
    </w:p>
    <w:p>
      <w:pPr>
        <w:jc w:val="center"/>
        <w:spacing w:after="0" w:line="223" w:lineRule="auto"/>
        <w:rPr>
          <w:sz w:val="20"/>
          <w:szCs w:val="20"/>
          <w:color w:val="auto"/>
        </w:rPr>
      </w:pPr>
      <w:r>
        <w:rPr>
          <w:rFonts w:ascii="Arial" w:cs="Arial" w:eastAsia="Arial" w:hAnsi="Arial"/>
          <w:sz w:val="14"/>
          <w:szCs w:val="14"/>
          <w:b w:val="1"/>
          <w:bCs w:val="1"/>
          <w:color w:val="auto"/>
        </w:rPr>
        <w:t>Eric M. Green, Esq.</w:t>
      </w:r>
    </w:p>
    <w:p>
      <w:pPr>
        <w:jc w:val="center"/>
        <w:spacing w:after="0" w:line="222" w:lineRule="auto"/>
        <w:rPr>
          <w:sz w:val="20"/>
          <w:szCs w:val="20"/>
          <w:color w:val="auto"/>
        </w:rPr>
      </w:pPr>
      <w:r>
        <w:rPr>
          <w:rFonts w:ascii="Arial" w:cs="Arial" w:eastAsia="Arial" w:hAnsi="Arial"/>
          <w:sz w:val="14"/>
          <w:szCs w:val="14"/>
          <w:b w:val="1"/>
          <w:bCs w:val="1"/>
          <w:color w:val="auto"/>
        </w:rPr>
        <w:t>Pillsbury Winthrop Shaw Pittman LLP</w:t>
      </w:r>
    </w:p>
    <w:p>
      <w:pPr>
        <w:jc w:val="center"/>
        <w:spacing w:after="0" w:line="221" w:lineRule="auto"/>
        <w:rPr>
          <w:sz w:val="20"/>
          <w:szCs w:val="20"/>
          <w:color w:val="auto"/>
        </w:rPr>
      </w:pPr>
      <w:r>
        <w:rPr>
          <w:rFonts w:ascii="Arial" w:cs="Arial" w:eastAsia="Arial" w:hAnsi="Arial"/>
          <w:sz w:val="14"/>
          <w:szCs w:val="14"/>
          <w:b w:val="1"/>
          <w:bCs w:val="1"/>
          <w:color w:val="auto"/>
        </w:rPr>
        <w:t>2300 N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20037</w:t>
      </w:r>
    </w:p>
    <w:p>
      <w:pPr>
        <w:jc w:val="center"/>
        <w:spacing w:after="0"/>
        <w:rPr>
          <w:sz w:val="20"/>
          <w:szCs w:val="20"/>
          <w:color w:val="auto"/>
        </w:rPr>
      </w:pPr>
      <w:r>
        <w:rPr>
          <w:rFonts w:ascii="Arial" w:cs="Arial" w:eastAsia="Arial" w:hAnsi="Arial"/>
          <w:sz w:val="14"/>
          <w:szCs w:val="14"/>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ind w:left="360"/>
        <w:spacing w:after="0" w:line="138" w:lineRule="exact"/>
        <w:tabs>
          <w:tab w:leader="none" w:pos="87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2"/>
          <w:szCs w:val="12"/>
          <w:color w:val="auto"/>
        </w:rPr>
        <w:t>☐</w:t>
      </w:r>
    </w:p>
    <w:p>
      <w:pPr>
        <w:spacing w:after="0" w:line="76" w:lineRule="exact"/>
        <w:rPr>
          <w:sz w:val="24"/>
          <w:szCs w:val="24"/>
          <w:color w:val="auto"/>
        </w:rPr>
      </w:pPr>
    </w:p>
    <w:p>
      <w:pPr>
        <w:ind w:right="58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38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gridSpan w:val="2"/>
          </w:tcPr>
          <w:p>
            <w:pPr>
              <w:ind w:left="1000"/>
              <w:spacing w:after="0"/>
              <w:rPr>
                <w:sz w:val="20"/>
                <w:szCs w:val="20"/>
                <w:color w:val="auto"/>
              </w:rPr>
            </w:pPr>
            <w:r>
              <w:rPr>
                <w:rFonts w:ascii="Arial" w:cs="Arial" w:eastAsia="Arial" w:hAnsi="Arial"/>
                <w:sz w:val="14"/>
                <w:szCs w:val="14"/>
                <w:color w:val="auto"/>
                <w:w w:val="95"/>
              </w:rPr>
              <w:t>Accelerated filer</w:t>
            </w:r>
          </w:p>
        </w:tc>
        <w:tc>
          <w:tcPr>
            <w:tcW w:w="920" w:type="dxa"/>
            <w:vAlign w:val="bottom"/>
          </w:tcPr>
          <w:p>
            <w:pPr>
              <w:spacing w:after="0"/>
              <w:rPr>
                <w:sz w:val="14"/>
                <w:szCs w:val="14"/>
                <w:color w:val="auto"/>
              </w:rPr>
            </w:pP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4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5620" w:type="dxa"/>
            <w:vAlign w:val="bottom"/>
            <w:gridSpan w:val="4"/>
          </w:tcPr>
          <w:p>
            <w:pPr>
              <w:ind w:left="3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1200" w:type="dxa"/>
            <w:vAlign w:val="bottom"/>
          </w:tcPr>
          <w:p>
            <w:pPr>
              <w:spacing w:after="0"/>
              <w:rPr>
                <w:sz w:val="17"/>
                <w:szCs w:val="17"/>
                <w:color w:val="auto"/>
              </w:rPr>
            </w:pPr>
          </w:p>
        </w:tc>
        <w:tc>
          <w:tcPr>
            <w:tcW w:w="2900" w:type="dxa"/>
            <w:vAlign w:val="bottom"/>
            <w:gridSpan w:val="3"/>
          </w:tcPr>
          <w:p>
            <w:pPr>
              <w:ind w:left="100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4"/>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18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CALCULATION OF REGISTRATION FEE</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68"/>
        </w:trPr>
        <w:tc>
          <w:tcPr>
            <w:tcW w:w="2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Borders>
              <w:right w:val="single" w:sz="8" w:color="auto"/>
            </w:tcBorders>
          </w:tcPr>
          <w:p>
            <w:pPr>
              <w:jc w:val="center"/>
              <w:ind w:right="234"/>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3"/>
              <w:spacing w:after="0" w:line="117" w:lineRule="exact"/>
              <w:rPr>
                <w:sz w:val="20"/>
                <w:szCs w:val="20"/>
                <w:color w:val="auto"/>
              </w:rPr>
            </w:pPr>
            <w:r>
              <w:rPr>
                <w:rFonts w:ascii="Arial" w:cs="Arial" w:eastAsia="Arial" w:hAnsi="Arial"/>
                <w:sz w:val="12"/>
                <w:szCs w:val="12"/>
                <w:b w:val="1"/>
                <w:bCs w:val="1"/>
                <w:color w:val="auto"/>
                <w:w w:val="97"/>
              </w:rPr>
              <w:t>Proposed</w:t>
            </w: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2"/>
                <w:szCs w:val="12"/>
                <w:color w:val="auto"/>
              </w:rPr>
            </w:pPr>
          </w:p>
        </w:tc>
        <w:tc>
          <w:tcPr>
            <w:tcW w:w="1200" w:type="dxa"/>
            <w:vAlign w:val="bottom"/>
            <w:tcBorders>
              <w:right w:val="single" w:sz="8" w:color="auto"/>
            </w:tcBorders>
          </w:tcPr>
          <w:p>
            <w:pPr>
              <w:jc w:val="center"/>
              <w:ind w:right="254"/>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92"/>
              </w:rPr>
              <w:t>Maximum</w:t>
            </w:r>
          </w:p>
        </w:tc>
        <w:tc>
          <w:tcPr>
            <w:tcW w:w="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4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1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to be</w:t>
            </w:r>
          </w:p>
        </w:tc>
        <w:tc>
          <w:tcPr>
            <w:tcW w:w="400" w:type="dxa"/>
            <w:vAlign w:val="bottom"/>
          </w:tcPr>
          <w:p>
            <w:pPr>
              <w:spacing w:after="0"/>
              <w:rPr>
                <w:sz w:val="12"/>
                <w:szCs w:val="12"/>
                <w:color w:val="auto"/>
              </w:rPr>
            </w:pPr>
          </w:p>
        </w:tc>
        <w:tc>
          <w:tcPr>
            <w:tcW w:w="1200" w:type="dxa"/>
            <w:vAlign w:val="bottom"/>
            <w:tcBorders>
              <w:right w:val="single" w:sz="8" w:color="auto"/>
            </w:tcBorders>
          </w:tcPr>
          <w:p>
            <w:pPr>
              <w:jc w:val="center"/>
              <w:ind w:right="234"/>
              <w:spacing w:after="0" w:line="149" w:lineRule="exact"/>
              <w:rPr>
                <w:sz w:val="20"/>
                <w:szCs w:val="20"/>
                <w:color w:val="auto"/>
              </w:rPr>
            </w:pPr>
            <w:r>
              <w:rPr>
                <w:rFonts w:ascii="Arial" w:cs="Arial" w:eastAsia="Arial" w:hAnsi="Arial"/>
                <w:sz w:val="14"/>
                <w:szCs w:val="14"/>
                <w:b w:val="1"/>
                <w:bCs w:val="1"/>
                <w:color w:val="auto"/>
                <w:w w:val="91"/>
              </w:rPr>
              <w:t>Offering</w:t>
            </w:r>
          </w:p>
        </w:tc>
        <w:tc>
          <w:tcPr>
            <w:tcW w:w="160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3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2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4"/>
              </w:rPr>
              <w:t>Securities to be Registered(2)</w:t>
            </w:r>
          </w:p>
        </w:tc>
        <w:tc>
          <w:tcPr>
            <w:tcW w:w="118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Price Per Unit</w:t>
            </w:r>
          </w:p>
        </w:tc>
        <w:tc>
          <w:tcPr>
            <w:tcW w:w="160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7"/>
              </w:rPr>
              <w:t>Price</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c>
          <w:tcPr>
            <w:tcW w:w="260" w:type="dxa"/>
            <w:vAlign w:val="bottom"/>
            <w:tcBorders>
              <w:bottom w:val="single" w:sz="8" w:color="auto"/>
            </w:tcBorders>
          </w:tcPr>
          <w:p>
            <w:pPr>
              <w:spacing w:after="0"/>
              <w:rPr>
                <w:sz w:val="15"/>
                <w:szCs w:val="15"/>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Debt Securities</w:t>
            </w:r>
          </w:p>
        </w:tc>
        <w:tc>
          <w:tcPr>
            <w:tcW w:w="244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r>
      <w:tr>
        <w:trPr>
          <w:trHeight w:val="142"/>
        </w:trPr>
        <w:tc>
          <w:tcPr>
            <w:tcW w:w="38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Preferred Shares, $0.01 par value</w:t>
            </w:r>
          </w:p>
        </w:tc>
        <w:tc>
          <w:tcPr>
            <w:tcW w:w="11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r>
      <w:tr>
        <w:trPr>
          <w:trHeight w:val="142"/>
        </w:trPr>
        <w:tc>
          <w:tcPr>
            <w:tcW w:w="14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Depositary Shares(3)</w:t>
            </w:r>
          </w:p>
        </w:tc>
        <w:tc>
          <w:tcPr>
            <w:tcW w:w="244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3"/>
              </w:rPr>
              <w:t>(1)</w:t>
            </w: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jc w:val="center"/>
              <w:ind w:right="254"/>
              <w:spacing w:after="0" w:line="142" w:lineRule="exact"/>
              <w:rPr>
                <w:sz w:val="20"/>
                <w:szCs w:val="20"/>
                <w:color w:val="auto"/>
              </w:rPr>
            </w:pPr>
            <w:r>
              <w:rPr>
                <w:rFonts w:ascii="Arial" w:cs="Arial" w:eastAsia="Arial" w:hAnsi="Arial"/>
                <w:sz w:val="14"/>
                <w:szCs w:val="14"/>
                <w:color w:val="auto"/>
                <w:w w:val="93"/>
              </w:rPr>
              <w:t>(1)</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3"/>
              </w:rPr>
              <w:t>(1)</w:t>
            </w: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260" w:type="dxa"/>
            <w:vAlign w:val="bottom"/>
            <w:tcBorders>
              <w:bottom w:val="single" w:sz="8" w:color="auto"/>
            </w:tcBorders>
          </w:tcPr>
          <w:p>
            <w:pPr>
              <w:spacing w:after="0"/>
              <w:rPr>
                <w:sz w:val="12"/>
                <w:szCs w:val="12"/>
                <w:color w:val="auto"/>
              </w:rPr>
            </w:pPr>
          </w:p>
        </w:tc>
      </w:tr>
      <w:tr>
        <w:trPr>
          <w:trHeight w:val="142"/>
        </w:trPr>
        <w:tc>
          <w:tcPr>
            <w:tcW w:w="38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Common Shares, $0.01 par value</w:t>
            </w:r>
          </w:p>
        </w:tc>
        <w:tc>
          <w:tcPr>
            <w:tcW w:w="11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r>
      <w:tr>
        <w:trPr>
          <w:trHeight w:val="142"/>
        </w:trPr>
        <w:tc>
          <w:tcPr>
            <w:tcW w:w="14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244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43" w:lineRule="exact"/>
        <w:rPr>
          <w:sz w:val="24"/>
          <w:szCs w:val="24"/>
          <w:color w:val="auto"/>
        </w:rPr>
      </w:pPr>
    </w:p>
    <w:p>
      <w:pPr>
        <w:ind w:left="340" w:hanging="332"/>
        <w:spacing w:after="0" w:line="22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under the Securities Act, the registrant is deferring payment of the entire registration fee.</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Offered securities registered hereunder may be sold separately, together or as units with other offered securities registered hereunder.</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Each depositary share will be issued under a deposit agreement and will be evidenced by a depositary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5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Printing and Mailing Costs</w:t>
            </w:r>
          </w:p>
        </w:tc>
        <w:tc>
          <w:tcPr>
            <w:tcW w:w="43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3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Miscellaneous</w:t>
            </w:r>
          </w:p>
        </w:tc>
        <w:tc>
          <w:tcPr>
            <w:tcW w:w="39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61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w:t>
            </w:r>
          </w:p>
        </w:tc>
      </w:tr>
      <w:tr>
        <w:trPr>
          <w:trHeight w:val="20"/>
        </w:trPr>
        <w:tc>
          <w:tcPr>
            <w:tcW w:w="6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the registration fee for the securities offered by this prospectus.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amounts of such fees and expenses are based on the securities offered and the number of issuances and accordingly are presently unknown.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2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980" w:type="dxa"/>
            <w:vAlign w:val="bottom"/>
          </w:tcPr>
          <w:p>
            <w:pPr>
              <w:spacing w:after="0"/>
              <w:rPr>
                <w:sz w:val="14"/>
                <w:szCs w:val="14"/>
                <w:color w:val="auto"/>
              </w:rPr>
            </w:pPr>
          </w:p>
        </w:tc>
        <w:tc>
          <w:tcPr>
            <w:tcW w:w="972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Underwriting Agreement for Equity Securities*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Trust of Federal Realty Investment Trust dated May 6, 2009 (previously filed as Exhibit 3.1 to the Trust’s Registration Statement on Form</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S-3 (File No. 333-160009)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160009)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Articles Supplementary relating to the 5.417% Series 1 Cumulative Convertible Preferred Shares of Beneficial Interest (previously filed</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as Exhibit 4.1 to the Trust’s Current Report on Form 8-K filed on March 13, 2007, (File No. 1-07533) and incorporated herein by</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August 1, 2027; (previously filed as Exhibit 4(a) to the Trust’s Registration Statement on Form S-3 (File No. 33-51029), and amended on</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Indenture dated September 1, 1998 related to the Trust’s 5.65% Notes due 2016; 6.00% Notes due 2012; 6.20% Notes due 2017; 5.40%</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Notes due 2013; 5.95% Notes due 2014; and 5.90% Notes due 2020 (previously filed as Exhibit 4(a) to the Trust’s Registration Statement</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on Form S-3 (File No. 333-63619) filed on September 17, 1998 and incorporated herein 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Certificate for Preferred Shares*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Deposit Agreement and Depositary Receipt*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certain federal income tax matters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Statement of Computation of Ratios of Earnings to Fixed Charges and Preferred Share Dividends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 of Attorney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Statement of Eligibility of Trustee on Form T-1 (filed herewith)</w:t>
            </w:r>
          </w:p>
        </w:tc>
      </w:tr>
      <w:tr>
        <w:trPr>
          <w:trHeight w:val="365"/>
        </w:trPr>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20" w:type="dxa"/>
            <w:vAlign w:val="bottom"/>
          </w:tcPr>
          <w:p>
            <w:pPr>
              <w:ind w:left="388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incorporated by reference in connection with the offering of the offered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6" w:lineRule="exact"/>
        <w:rPr>
          <w:sz w:val="20"/>
          <w:szCs w:val="20"/>
          <w:color w:val="auto"/>
        </w:rPr>
      </w:pPr>
    </w:p>
    <w:p>
      <w:pPr>
        <w:ind w:left="700" w:hanging="23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32" w:lineRule="exact"/>
        <w:rPr>
          <w:sz w:val="20"/>
          <w:szCs w:val="20"/>
          <w:color w:val="auto"/>
        </w:rPr>
      </w:pPr>
    </w:p>
    <w:p>
      <w:pPr>
        <w:ind w:left="460" w:right="60" w:firstLine="443"/>
        <w:spacing w:after="0" w:line="259"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90" w:lineRule="exact"/>
        <w:rPr>
          <w:rFonts w:ascii="Arial" w:cs="Arial" w:eastAsia="Arial" w:hAnsi="Arial"/>
          <w:sz w:val="18"/>
          <w:szCs w:val="18"/>
          <w:color w:val="auto"/>
        </w:rPr>
      </w:pPr>
    </w:p>
    <w:p>
      <w:pPr>
        <w:ind w:left="920" w:right="140" w:firstLine="421"/>
        <w:spacing w:after="0" w:line="268" w:lineRule="auto"/>
        <w:tabs>
          <w:tab w:leader="none" w:pos="1549"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right="40" w:firstLine="421"/>
        <w:spacing w:after="0" w:line="291" w:lineRule="auto"/>
        <w:tabs>
          <w:tab w:leader="none" w:pos="1598" w:val="left"/>
        </w:tabs>
        <w:numPr>
          <w:ilvl w:val="1"/>
          <w:numId w:val="8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18" w:lineRule="auto"/>
        <w:rPr>
          <w:sz w:val="20"/>
          <w:szCs w:val="20"/>
          <w:color w:val="auto"/>
        </w:rPr>
      </w:pPr>
      <w:r>
        <w:rPr>
          <w:rFonts w:ascii="Arial" w:cs="Arial" w:eastAsia="Arial" w:hAnsi="Arial"/>
          <w:sz w:val="15"/>
          <w:szCs w:val="15"/>
          <w:color w:val="auto"/>
        </w:rPr>
        <w:t xml:space="preserve">the registration statement to which the prospectus relates,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 w:lineRule="exact"/>
        <w:rPr>
          <w:sz w:val="20"/>
          <w:szCs w:val="20"/>
          <w:color w:val="auto"/>
        </w:rPr>
      </w:pPr>
    </w:p>
    <w:p>
      <w:pPr>
        <w:ind w:left="460" w:right="60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6" w:lineRule="exact"/>
        <w:rPr>
          <w:sz w:val="20"/>
          <w:szCs w:val="20"/>
          <w:color w:val="auto"/>
        </w:rPr>
      </w:pPr>
    </w:p>
    <w:p>
      <w:pPr>
        <w:ind w:left="1120" w:hanging="217"/>
        <w:spacing w:after="0"/>
        <w:tabs>
          <w:tab w:leader="none" w:pos="11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880" w:firstLine="443"/>
        <w:spacing w:after="0" w:line="268" w:lineRule="auto"/>
        <w:tabs>
          <w:tab w:leader="none" w:pos="1157"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2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firstLine="464"/>
        <w:spacing w:after="0" w:line="255"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right="60" w:firstLine="464"/>
        <w:spacing w:after="0" w:line="289"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subsection (a) of Section 310 of the Trust Indenture Act in accordance with the rules and regulations prescribed by the Securities and Exchange Commission under Section 305(b)(2) of the Trust Indenture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8, 2012.</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00" w:lineRule="exact"/>
        <w:rPr>
          <w:sz w:val="20"/>
          <w:szCs w:val="20"/>
          <w:color w:val="auto"/>
        </w:rPr>
      </w:pP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8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ectPr>
          <w:pgSz w:w="11900" w:h="16838" w:orient="portrait"/>
          <w:cols w:equalWidth="0" w:num="1">
            <w:col w:w="11400"/>
          </w:cols>
          <w:pgMar w:left="240" w:top="459" w:right="25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Donald C. Wood</w:t>
            </w:r>
          </w:p>
        </w:tc>
      </w:tr>
      <w:tr>
        <w:trPr>
          <w:trHeight w:val="217"/>
        </w:trPr>
        <w:tc>
          <w:tcPr>
            <w:tcW w:w="5040" w:type="dxa"/>
            <w:vAlign w:val="bottom"/>
            <w:gridSpan w:val="2"/>
          </w:tcPr>
          <w:p>
            <w:pPr>
              <w:spacing w:after="0"/>
              <w:rPr>
                <w:sz w:val="20"/>
                <w:szCs w:val="20"/>
                <w:color w:val="auto"/>
              </w:rPr>
            </w:pPr>
            <w:r>
              <w:rPr>
                <w:rFonts w:ascii="Arial" w:cs="Arial" w:eastAsia="Arial" w:hAnsi="Arial"/>
                <w:sz w:val="18"/>
                <w:szCs w:val="18"/>
                <w:color w:val="auto"/>
              </w:rPr>
              <w:t>Donald C. Wood</w:t>
            </w:r>
          </w:p>
        </w:tc>
      </w:tr>
      <w:tr>
        <w:trPr>
          <w:trHeight w:val="437"/>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780" w:type="dxa"/>
            <w:vAlign w:val="bottom"/>
          </w:tcPr>
          <w:p>
            <w:pPr>
              <w:ind w:left="80"/>
              <w:spacing w:after="0"/>
              <w:rPr>
                <w:sz w:val="20"/>
                <w:szCs w:val="20"/>
                <w:color w:val="auto"/>
              </w:rPr>
            </w:pPr>
            <w:r>
              <w:rPr>
                <w:rFonts w:ascii="Arial" w:cs="Arial" w:eastAsia="Arial" w:hAnsi="Arial"/>
                <w:sz w:val="18"/>
                <w:szCs w:val="18"/>
                <w:color w:val="auto"/>
              </w:rPr>
              <w:t>Andrew P. Blocher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1902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Andrew P. Blocher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902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902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902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902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902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902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 Dawn M. Becker</w:t>
            </w:r>
          </w:p>
        </w:tc>
      </w:tr>
      <w:tr>
        <w:trPr>
          <w:trHeight w:val="21"/>
        </w:trPr>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01"/>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Dawn M. Becker</w:t>
            </w:r>
          </w:p>
        </w:tc>
      </w:tr>
      <w:tr>
        <w:trPr>
          <w:trHeight w:val="222"/>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Attorney-in-fact</w:t>
            </w: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TITLE</w:t>
      </w:r>
    </w:p>
    <w:p>
      <w:pPr>
        <w:spacing w:after="0" w:line="208" w:lineRule="exact"/>
        <w:rPr>
          <w:sz w:val="20"/>
          <w:szCs w:val="20"/>
          <w:color w:val="auto"/>
        </w:rPr>
      </w:pPr>
    </w:p>
    <w:p>
      <w:pPr>
        <w:ind w:left="220" w:right="680" w:hanging="215"/>
        <w:spacing w:after="0" w:line="268" w:lineRule="auto"/>
        <w:rPr>
          <w:sz w:val="20"/>
          <w:szCs w:val="20"/>
          <w:color w:val="auto"/>
        </w:rPr>
      </w:pPr>
      <w:r>
        <w:rPr>
          <w:rFonts w:ascii="Arial" w:cs="Arial" w:eastAsia="Arial" w:hAnsi="Arial"/>
          <w:sz w:val="18"/>
          <w:szCs w:val="18"/>
          <w:color w:val="auto"/>
        </w:rPr>
        <w:t>President, Chief Executive Officer and Trustee (principal executive officer)</w:t>
      </w:r>
    </w:p>
    <w:p>
      <w:pPr>
        <w:spacing w:after="0" w:line="213" w:lineRule="exact"/>
        <w:rPr>
          <w:sz w:val="20"/>
          <w:szCs w:val="20"/>
          <w:color w:val="auto"/>
        </w:rPr>
      </w:pPr>
    </w:p>
    <w:p>
      <w:pPr>
        <w:ind w:left="220" w:right="440" w:hanging="215"/>
        <w:spacing w:after="0" w:line="259" w:lineRule="auto"/>
        <w:rPr>
          <w:sz w:val="20"/>
          <w:szCs w:val="20"/>
          <w:color w:val="auto"/>
        </w:rPr>
      </w:pPr>
      <w:r>
        <w:rPr>
          <w:rFonts w:ascii="Arial" w:cs="Arial" w:eastAsia="Arial" w:hAnsi="Arial"/>
          <w:sz w:val="18"/>
          <w:szCs w:val="18"/>
          <w:color w:val="auto"/>
        </w:rPr>
        <w:t>Senior Vice President-Chief Financial Officer and Treasurer (principal financial and accounting officer)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Non-Executive Chairman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DATE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May 8, 2012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May 8, 2012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May 8, 2012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8, 2012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8, 2012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8, 2012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8, 2012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8, 2012</w:t>
      </w:r>
    </w:p>
    <w:p>
      <w:pPr>
        <w:sectPr>
          <w:pgSz w:w="11900" w:h="16838" w:orient="portrait"/>
          <w:cols w:equalWidth="0" w:num="3">
            <w:col w:w="5040" w:space="220"/>
            <w:col w:w="3960" w:space="720"/>
            <w:col w:w="146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980" w:type="dxa"/>
            <w:vAlign w:val="bottom"/>
          </w:tcPr>
          <w:p>
            <w:pPr>
              <w:spacing w:after="0"/>
              <w:rPr>
                <w:sz w:val="24"/>
                <w:szCs w:val="24"/>
                <w:color w:val="auto"/>
              </w:rPr>
            </w:pPr>
          </w:p>
        </w:tc>
        <w:tc>
          <w:tcPr>
            <w:tcW w:w="972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Underwriting Agreement for Equity Securities*</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Declaration of Trust of Federal Realty Investment Trust dated June 17, 2004, as amended by the Articles of Amendment of Declaration of</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Trust of Federal Realty Investment Trust dated May 6, 2009 (previously filed as Exhibit 3.1 to the Trust’s Registration Statement on Form</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S-3 (File No. 333-160009)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160009)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Articles Supplementary relating to the 5.417% Series 1 Cumulative Convertible Preferred Shares of Beneficial Interest (previously filed</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as Exhibit 4.1 to the Trust’s Current Report on Form 8-K filed on March 13, 2007, (File No. 1-07533) and incorporated herein by</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August 1, 2027; (previously filed as Exhibit 4(a) to the Trust’s Registration Statement on Form S-3 (File No. 33-51029), and amended on</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Indenture dated September 1, 1998 related to the Trust’s 5.65% Notes due 2016; 6.00% Notes due 2012; 6.20% Notes due 2017; 5.40%</w:t>
            </w:r>
          </w:p>
        </w:tc>
      </w:tr>
      <w:tr>
        <w:trPr>
          <w:trHeight w:val="216"/>
        </w:trPr>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8"/>
              </w:rPr>
              <w:t>Notes due 2013; 5.95% Notes due 2014; and 5.90% Notes due 2020 (previously filed as Exhibit 4(a) to the Trust’s Registration Statement</w:t>
            </w:r>
          </w:p>
        </w:tc>
      </w:tr>
      <w:tr>
        <w:trPr>
          <w:trHeight w:val="222"/>
        </w:trPr>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on Form S-3 (File No. 333-63619) filed on September 17, 1998 and incorporated herein by reference)</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Certificate for Preferred Shares*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4.8</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Deposit Agreement and Depositary Receipt*</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8.1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Pillsbury Winthrop Shaw Pittman LLP regarding certain federal income tax matters (filed herewith)</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12.1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Statement of Computation of Ratios of Earnings to Fixed Charges and Preferred Share Dividends (filed herewith)</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23.2</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24.1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 of Attorney (filed herewith)</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25.1</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Statement of Eligibility of Trustee on Form T-1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incorporated by reference in connection with the offering of the offered securities.</w:t>
      </w:r>
    </w:p>
    <w:p>
      <w:pPr>
        <w:sectPr>
          <w:pgSz w:w="11900" w:h="16838" w:orient="portrait"/>
          <w:cols w:equalWidth="0" w:num="1">
            <w:col w:w="11420"/>
          </w:cols>
          <w:pgMar w:left="240" w:top="459"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848995" cy="5060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89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 N Street, NW | Washington, DC 20037-1122 | tel 202.663.8000 | fax 202.663.8007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Registration Statement on Form S-3 (the “Registration Statement”) relating to the registration under the Securities Act of 1933 (the “Act”) of an indeterminate initial offering amount of the following securities of the Company: (a) common shares of beneficial interest, par value $.01 per share (“Common Shares”), (b) preferred shares of beneficial interest, par value $.01 per share (“Preferred Shares”), in one or more series, (c) depositary shares evidenced by depositary receipts (“Depositary Receipts”), each representing fractional interests in Preferred Shares (“Depositary Shares”), (d) senior or subordinated debt securities (“Debt Securities”) or</w:t>
      </w:r>
    </w:p>
    <w:p>
      <w:pPr>
        <w:spacing w:after="0" w:line="2" w:lineRule="exact"/>
        <w:rPr>
          <w:sz w:val="20"/>
          <w:szCs w:val="20"/>
          <w:color w:val="auto"/>
        </w:rPr>
      </w:pPr>
    </w:p>
    <w:p>
      <w:pPr>
        <w:ind w:right="140" w:firstLine="8"/>
        <w:spacing w:after="0" w:line="261" w:lineRule="auto"/>
        <w:tabs>
          <w:tab w:leader="none" w:pos="239"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warrants to purchase shares of Common Shares or Preferred Shares (“Warrants”). The Common Shares, Preferred Shares, Depositary Shares, Debt Securities and Warrants are collectively referred to herein as the “Securities.”</w:t>
      </w:r>
    </w:p>
    <w:p>
      <w:pPr>
        <w:spacing w:after="0" w:line="13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Debt Securities will be issued pursuant to one or more indentures, including the Senior Indenture dated as of September 1, 1998 between the Company and U.S. Bank National Association (successor to Wachovia Bank National Association (formerly First Union National Bank), as Trustee (the “Senior Debt Indenture”), filed as Exhibit 4.5 to the Registration Statement, and any additional indentures entered into from time to time (the “Indentures”). The Preferred Shares may be offered in any class or series and to the extent required will be offered and sold pursuant to articles supplementary and/or amendments to the Declaration of Trust (as defined below), which are to be filed with the Maryland State Department of Assessments and Taxation (“SDAT”). Any Depositary Shares will be issued under one or more deposit agreements (each, a “Deposit Agreement”), each between the Company and a financial institution identified therein as the depositary (each, a “Depositary”). Any Warrants will be issued under one or more warrant agreements (each, a “Warrant Agreement”), each between the Company and a financial institution identified therein as a warrant agent (each, a “Warrant Agent”).</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In rendering this opinion, we have assumed that the Senior Debt Indenture has been and the Indentures, other than the Senior Debt Indenture, will be duly authorized, executed and delivered by the respective Trustee, where applicable, the Securities will be properly authenticated by the manual signature of an authorized representative of the applicable Trustee, Warrant Agent, Depositary or transfer agent, and the signatures on all documents examined by us are genuine, which assumptions we have not independently verified.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are of the opinion that</w:t>
      </w:r>
    </w:p>
    <w:p>
      <w:pPr>
        <w:spacing w:after="0" w:line="90" w:lineRule="exact"/>
        <w:rPr>
          <w:sz w:val="20"/>
          <w:szCs w:val="20"/>
          <w:color w:val="auto"/>
        </w:rPr>
      </w:pPr>
    </w:p>
    <w:p>
      <w:pPr>
        <w:ind w:right="140" w:firstLine="464"/>
        <w:spacing w:after="0" w:line="291" w:lineRule="auto"/>
        <w:tabs>
          <w:tab w:leader="none" w:pos="936" w:val="left"/>
        </w:tabs>
        <w:numPr>
          <w:ilvl w:val="0"/>
          <w:numId w:val="86"/>
        </w:numPr>
        <w:rPr>
          <w:rFonts w:ascii="Arial" w:cs="Arial" w:eastAsia="Arial" w:hAnsi="Arial"/>
          <w:sz w:val="16"/>
          <w:szCs w:val="16"/>
          <w:color w:val="auto"/>
        </w:rPr>
      </w:pPr>
      <w:r>
        <w:rPr>
          <w:rFonts w:ascii="Arial" w:cs="Arial" w:eastAsia="Arial" w:hAnsi="Arial"/>
          <w:sz w:val="16"/>
          <w:szCs w:val="16"/>
          <w:color w:val="auto"/>
        </w:rPr>
        <w:t>With respect to the Common Shares, when the Board of Trustees of the Company or a duly authorized committee of such Board (such Board of Trustees or committee being referred to herein as the “Board”) has taken all necessary corporate action to approve the issuance and establish the terms of the offering of Common Shares and related matters and when such Common Shares have been issued and sold by the Company in the manner contemplated by the Registration Statement and in accordance with such Board action, such Common Shares (including any Common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ectPr>
          <w:pgSz w:w="11900" w:h="16838" w:orient="portrait"/>
          <w:cols w:equalWidth="0" w:num="1">
            <w:col w:w="11420"/>
          </w:cols>
          <w:pgMar w:left="240" w:top="125" w:right="239" w:bottom="1440" w:gutter="0" w:footer="0" w:header="0"/>
        </w:sectPr>
      </w:pPr>
    </w:p>
    <w:bookmarkStart w:id="65" w:name="page66"/>
    <w:bookmarkEnd w:id="65"/>
    <w:p>
      <w:pPr>
        <w:ind w:left="-8" w:right="100" w:firstLine="464"/>
        <w:spacing w:after="0" w:line="314" w:lineRule="auto"/>
        <w:tabs>
          <w:tab w:leader="none" w:pos="928" w:val="left"/>
        </w:tabs>
        <w:numPr>
          <w:ilvl w:val="1"/>
          <w:numId w:val="8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Preferred Shares, when the Board has taken all necessary corporate action to approve the issuance and establish the terms of any particular series of Preferred Shares, the offering thereof and related matters, including the filing of articles supplementary conforming to the law of the State of Maryland regarding the Preferred Shares with SDAT, and when such series of Preferred Shares have been issued and sold by the Company in the manner contemplated by the Registration Statement and in accordance with such Board action, such series of Preferred Shares (including any Preferred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pacing w:after="0" w:line="104" w:lineRule="exact"/>
        <w:rPr>
          <w:rFonts w:ascii="Arial" w:cs="Arial" w:eastAsia="Arial" w:hAnsi="Arial"/>
          <w:sz w:val="15"/>
          <w:szCs w:val="15"/>
          <w:color w:val="auto"/>
        </w:rPr>
      </w:pPr>
    </w:p>
    <w:p>
      <w:pPr>
        <w:ind w:left="-8" w:right="40" w:firstLine="464"/>
        <w:spacing w:after="0" w:line="302" w:lineRule="auto"/>
        <w:tabs>
          <w:tab w:leader="none" w:pos="928" w:val="left"/>
        </w:tabs>
        <w:numPr>
          <w:ilvl w:val="1"/>
          <w:numId w:val="87"/>
        </w:numPr>
        <w:rPr>
          <w:rFonts w:ascii="Arial" w:cs="Arial" w:eastAsia="Arial" w:hAnsi="Arial"/>
          <w:sz w:val="15"/>
          <w:szCs w:val="15"/>
          <w:color w:val="auto"/>
        </w:rPr>
      </w:pPr>
      <w:r>
        <w:rPr>
          <w:rFonts w:ascii="Arial" w:cs="Arial" w:eastAsia="Arial" w:hAnsi="Arial"/>
          <w:sz w:val="15"/>
          <w:szCs w:val="15"/>
          <w:color w:val="auto"/>
        </w:rPr>
        <w:t>With respect to the Depositary Shares, when (a) the Board has taken all necessary corporate action to approve the issuance and establish the terms of the series of Preferred Shares to be issued in connection therewith, the offering of such Depositary Shares in such series of Preferred Shares, and related matters, including the filing of articles supplementary conforming to the State of Maryland regarding the Preferred Shares with SDAT, (b) a Deposit Agreement has been duly authorized, executed and delivered by the Company and a Depositary, which Deposit Agreement establishes the terms of the Depositary Shares and their issuance and sale, (c) such series of Preferred Shares have been deposited with such Depositary in accordance with the applicable Deposit Agreement, (d) such series of Preferred Shares have been issued and sold in the manner contemplated by the Registration Statement and in accordance with such Board action, and</w:t>
      </w:r>
    </w:p>
    <w:p>
      <w:pPr>
        <w:ind w:left="-8" w:firstLine="8"/>
        <w:spacing w:after="0" w:line="292" w:lineRule="auto"/>
        <w:tabs>
          <w:tab w:leader="none" w:pos="231"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Depositary Receipts evidencing Depositary Shares are duly issued against the deposit of such series of Preferred Shares in accordance with the Deposit Agreement, such Depositary Shares will be duly authorized, validly issued, fully paid and nonassessable and such Depositary Receipts will be duly authorized and validly issued and entitle the holders thereof to the rights specified in the Deposit Agreement,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pacing w:after="0" w:line="116" w:lineRule="exact"/>
        <w:rPr>
          <w:rFonts w:ascii="Arial" w:cs="Arial" w:eastAsia="Arial" w:hAnsi="Arial"/>
          <w:sz w:val="16"/>
          <w:szCs w:val="16"/>
          <w:color w:val="auto"/>
        </w:rPr>
      </w:pPr>
    </w:p>
    <w:p>
      <w:pPr>
        <w:ind w:left="-8" w:right="20" w:firstLine="464"/>
        <w:spacing w:after="0" w:line="309" w:lineRule="auto"/>
        <w:tabs>
          <w:tab w:leader="none" w:pos="928" w:val="left"/>
        </w:tabs>
        <w:numPr>
          <w:ilvl w:val="1"/>
          <w:numId w:val="88"/>
        </w:numPr>
        <w:rPr>
          <w:rFonts w:ascii="Arial" w:cs="Arial" w:eastAsia="Arial" w:hAnsi="Arial"/>
          <w:sz w:val="15"/>
          <w:szCs w:val="15"/>
          <w:color w:val="auto"/>
        </w:rPr>
      </w:pPr>
      <w:r>
        <w:rPr>
          <w:rFonts w:ascii="Arial" w:cs="Arial" w:eastAsia="Arial" w:hAnsi="Arial"/>
          <w:sz w:val="15"/>
          <w:szCs w:val="15"/>
          <w:color w:val="auto"/>
        </w:rPr>
        <w:t>With respect to the Debt Securities to be issued under the Senior Debt Indenture, when (a) the Senior Debt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Senior Debt Indenture, and (d) such Debt Securities have been issued and sold in the manner contemplated by the Registration Statement and in accordance with the Senior Debt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be valid and legally binding obligations of the Company, enforceable against the Company in accordance with their terms,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pacing w:after="0" w:line="108" w:lineRule="exact"/>
        <w:rPr>
          <w:rFonts w:ascii="Arial" w:cs="Arial" w:eastAsia="Arial" w:hAnsi="Arial"/>
          <w:sz w:val="15"/>
          <w:szCs w:val="15"/>
          <w:color w:val="auto"/>
        </w:rPr>
      </w:pPr>
    </w:p>
    <w:p>
      <w:pPr>
        <w:ind w:left="-8" w:right="100" w:firstLine="464"/>
        <w:spacing w:after="0" w:line="287" w:lineRule="auto"/>
        <w:tabs>
          <w:tab w:leader="none" w:pos="928" w:val="left"/>
        </w:tabs>
        <w:numPr>
          <w:ilvl w:val="1"/>
          <w:numId w:val="88"/>
        </w:numPr>
        <w:rPr>
          <w:rFonts w:ascii="Arial" w:cs="Arial" w:eastAsia="Arial" w:hAnsi="Arial"/>
          <w:sz w:val="16"/>
          <w:szCs w:val="16"/>
          <w:color w:val="auto"/>
        </w:rPr>
      </w:pPr>
      <w:r>
        <w:rPr>
          <w:rFonts w:ascii="Arial" w:cs="Arial" w:eastAsia="Arial" w:hAnsi="Arial"/>
          <w:sz w:val="16"/>
          <w:szCs w:val="16"/>
          <w:color w:val="auto"/>
        </w:rPr>
        <w:t>With respect to any Debt Securities to be issued under the Indentures, other than the Senior Debt Indenture, when (a) any such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applicable Indenture, and (d) such Debt Securities have been issued and sold in the manner contemplated by the Registration Statement and in accordance with the applicable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be valid and legally binding obligations of the Company, enforceable against the Company in accordance with their terms,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pacing w:after="0" w:line="109" w:lineRule="exact"/>
        <w:rPr>
          <w:rFonts w:ascii="Arial" w:cs="Arial" w:eastAsia="Arial" w:hAnsi="Arial"/>
          <w:sz w:val="16"/>
          <w:szCs w:val="16"/>
          <w:color w:val="auto"/>
        </w:rPr>
      </w:pPr>
    </w:p>
    <w:p>
      <w:pPr>
        <w:ind w:left="5672" w:hanging="112"/>
        <w:spacing w:after="0"/>
        <w:tabs>
          <w:tab w:leader="none" w:pos="5672" w:val="left"/>
        </w:tabs>
        <w:numPr>
          <w:ilvl w:val="2"/>
          <w:numId w:val="8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12"/>
          </w:cols>
          <w:pgMar w:left="248" w:top="280" w:right="239" w:bottom="1440" w:gutter="0" w:footer="0" w:header="0"/>
        </w:sectPr>
      </w:pPr>
    </w:p>
    <w:bookmarkStart w:id="66" w:name="page67"/>
    <w:bookmarkEnd w:id="66"/>
    <w:p>
      <w:pPr>
        <w:ind w:firstLine="464"/>
        <w:spacing w:after="0" w:line="289" w:lineRule="auto"/>
        <w:tabs>
          <w:tab w:leader="none" w:pos="936"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Warrants, when (a) one or more Warrant Agreements incorporating the terms and other provisions thereof has been duly executed and delivered by the Company and a Warrant Agent, (b) the Board has taken all necessary corporate action to approve the issuance and establish the terms of the Warrants, the terms of the offering of such Warrants, and related matters, (c) the Warrant certificates have been duly executed and authenticated or countersigned in accordance with the terms of the appropriate Warrant Agreement, and (d) the Warrants have been issued and sold in the manner contemplated by the Registration Statement and in accordance with the applicable Warrant Agreement, the Warrants will be valid and legally binding obligations of the Company, enforceable against the Company in accordance with their terms,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the Registration Statement, and any amendments thereto (including post-effective amendments) will be effective under the Act, a Prospectus Supplement to the Prospectus forming a part of the Registration Statement will have been prepared and filed with the Securities and Exchange Commission (the “Commission”) describing the Securities offered thereby, the authorization of such Security will not have been modified or rescinded by the Board, and there will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with the terms of such Security, will violate any applicable federal or state law or will result in a violation of any provision of any instrument or agreement then binding upon the Company or any restriction imposed by any court or governmental body having jurisdiction over the Company.</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opinion is limited to matters governed by Title 8 of the Corporations and Associations Article of the Annotated Code of Maryland and the law of the State of New York, in each case as in effect on the date hereof.</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Commission promulgated thereunder.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848995" cy="5060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89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 N Street, NW | Washington, DC 20037-1122 | tel 202.663.8000 | fax 202.663.8007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preparation of a prospectus (the “Base Prospectus”) filed as part of a shelf registration statement on Form S-3 on May 8, 2012 (the “Registration Statement,” which term includes the Base Prospectus and all documents incorporated and deemed to be incorporated by reference therein) with the Securities and Exchange Commission.</w:t>
      </w: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w:t>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2012;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(2012) taxable year and for future taxable years, and (iii) the discussions in (x) the Base Prospectus under the caption “Material Federal Income Tax Considerations,” and (y) the Company’s Annual Report on Form 10-K for the year ended December 31, 2011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27"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380"/>
          </w:cols>
          <w:pgMar w:left="240" w:top="280"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www.pillsburylaw.com</w:t>
      </w:r>
    </w:p>
    <w:p>
      <w:pPr>
        <w:sectPr>
          <w:pgSz w:w="11900" w:h="16838" w:orient="portrait"/>
          <w:cols w:equalWidth="0" w:num="1">
            <w:col w:w="11340"/>
          </w:cols>
          <w:pgMar w:left="240" w:top="280" w:right="319" w:bottom="1440" w:gutter="0" w:footer="0" w:header="0"/>
        </w:sectPr>
      </w:pPr>
    </w:p>
    <w:bookmarkStart w:id="70" w:name="page71"/>
    <w:bookmarkEnd w:id="70"/>
    <w:p>
      <w:pPr>
        <w:ind w:left="10520"/>
        <w:spacing w:after="0"/>
        <w:rPr>
          <w:sz w:val="20"/>
          <w:szCs w:val="20"/>
          <w:color w:val="auto"/>
        </w:rPr>
      </w:pPr>
      <w:r>
        <w:rPr>
          <w:rFonts w:ascii="Arial" w:cs="Arial" w:eastAsia="Arial" w:hAnsi="Arial"/>
          <w:sz w:val="16"/>
          <w:szCs w:val="16"/>
          <w:b w:val="1"/>
          <w:bCs w:val="1"/>
          <w:color w:val="auto"/>
        </w:rPr>
        <w:t>Exhibit 12.1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right="492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auto"/>
                <w:w w:val="99"/>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6"/>
          </w:tcPr>
          <w:p>
            <w:pPr>
              <w:jc w:val="center"/>
              <w:ind w:left="495"/>
              <w:spacing w:after="0" w:line="159" w:lineRule="exact"/>
              <w:rPr>
                <w:sz w:val="20"/>
                <w:szCs w:val="20"/>
                <w:color w:val="auto"/>
              </w:rPr>
            </w:pPr>
            <w:r>
              <w:rPr>
                <w:rFonts w:ascii="Arial" w:cs="Arial" w:eastAsia="Arial" w:hAnsi="Arial"/>
                <w:sz w:val="14"/>
                <w:szCs w:val="14"/>
                <w:color w:val="auto"/>
                <w:w w:val="85"/>
              </w:rPr>
              <w:t>Year Ended December 31,</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w w:val="93"/>
              </w:rPr>
              <w:t>Income from continuing operations before income or loss from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640"/>
              <w:spacing w:after="0"/>
              <w:rPr>
                <w:sz w:val="20"/>
                <w:szCs w:val="20"/>
                <w:color w:val="auto"/>
              </w:rPr>
            </w:pPr>
            <w:r>
              <w:rPr>
                <w:rFonts w:ascii="Arial" w:cs="Arial" w:eastAsia="Arial" w:hAnsi="Arial"/>
                <w:sz w:val="18"/>
                <w:szCs w:val="18"/>
                <w:color w:val="auto"/>
              </w:rPr>
              <w:t>equity investees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31,511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127,950</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$123,509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99,162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118,389</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94,756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98,851</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105,700</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112,906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101,143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113,462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Noncontrolling interests in income of subsidiaries with no fixed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(3,633)</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60,291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226,899</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228,326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211,147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218,417</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208,224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28,793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98,169</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$104,683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111,420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99,163</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106,948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$ 111,985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118,455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106,444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420"/>
              <w:spacing w:after="0"/>
              <w:rPr>
                <w:sz w:val="20"/>
                <w:szCs w:val="20"/>
                <w:color w:val="auto"/>
              </w:rPr>
            </w:pPr>
            <w:r>
              <w:rPr>
                <w:rFonts w:ascii="Arial" w:cs="Arial" w:eastAsia="Arial" w:hAnsi="Arial"/>
                <w:sz w:val="18"/>
                <w:szCs w:val="18"/>
                <w:color w:val="auto"/>
              </w:rPr>
              <w:t>Preferred stock dividends</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and preferred stock</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(C)</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107,489</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$ 112,526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118,996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106,985</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121,769</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(A divided by B)</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Ratio of earnings to combined fixed charges and preferred stock</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(A divided by C)</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issued our reports dated February 15, 2012, with respect to the consolidated financial statements, schedules and internal control over financial reporting included in the Annual Report of Federal Realty Investment Trust on Form 10-K for the year ended December 31, 2011, which are incorporated by reference in this Registration Statement and Prospectus. We consent to the incorporation by reference of the aforementioned reports in this Registration Statement and Prospectus on Form S-3 of Federal Realty Investment Trust, and to the use of our name as it appears under the caption “Experts.”</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8, 2012</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Andrew P. Blocher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240" w:type="dxa"/>
            <w:vAlign w:val="bottom"/>
          </w:tcPr>
          <w:p>
            <w:pPr>
              <w:spacing w:after="0"/>
              <w:rPr>
                <w:sz w:val="14"/>
                <w:szCs w:val="14"/>
                <w:color w:val="auto"/>
              </w:rPr>
            </w:pPr>
          </w:p>
        </w:tc>
      </w:tr>
      <w:tr>
        <w:trPr>
          <w:trHeight w:val="424"/>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190"/>
        </w:trPr>
        <w:tc>
          <w:tcPr>
            <w:tcW w:w="2540" w:type="dxa"/>
            <w:vAlign w:val="bottom"/>
            <w:gridSpan w:val="2"/>
          </w:tcPr>
          <w:p>
            <w:pPr>
              <w:spacing w:after="0" w:line="190" w:lineRule="exact"/>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6"/>
                <w:szCs w:val="16"/>
                <w:color w:val="auto"/>
              </w:rPr>
            </w:pPr>
          </w:p>
        </w:tc>
        <w:tc>
          <w:tcPr>
            <w:tcW w:w="456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Officer and Trustee (principal</w:t>
            </w: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2"/>
        </w:trPr>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executive officer)</w:t>
            </w: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6"/>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P. Blocher</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190"/>
        </w:trPr>
        <w:tc>
          <w:tcPr>
            <w:tcW w:w="2540" w:type="dxa"/>
            <w:vAlign w:val="bottom"/>
            <w:gridSpan w:val="2"/>
          </w:tcPr>
          <w:p>
            <w:pPr>
              <w:spacing w:after="0" w:line="190" w:lineRule="exact"/>
              <w:rPr>
                <w:sz w:val="20"/>
                <w:szCs w:val="20"/>
                <w:color w:val="auto"/>
              </w:rPr>
            </w:pPr>
            <w:r>
              <w:rPr>
                <w:rFonts w:ascii="Arial" w:cs="Arial" w:eastAsia="Arial" w:hAnsi="Arial"/>
                <w:sz w:val="18"/>
                <w:szCs w:val="18"/>
                <w:color w:val="auto"/>
              </w:rPr>
              <w:t>Andrew P. Blocher</w:t>
            </w:r>
          </w:p>
        </w:tc>
        <w:tc>
          <w:tcPr>
            <w:tcW w:w="1700" w:type="dxa"/>
            <w:vAlign w:val="bottom"/>
          </w:tcPr>
          <w:p>
            <w:pPr>
              <w:spacing w:after="0"/>
              <w:rPr>
                <w:sz w:val="16"/>
                <w:szCs w:val="16"/>
                <w:color w:val="auto"/>
              </w:rPr>
            </w:pPr>
          </w:p>
        </w:tc>
        <w:tc>
          <w:tcPr>
            <w:tcW w:w="456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Financial Officer and Treasurer</w:t>
            </w: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2"/>
        </w:trPr>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Non-Executive Chairman</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M. Thompson</w:t>
            </w:r>
          </w:p>
        </w:tc>
        <w:tc>
          <w:tcPr>
            <w:tcW w:w="1700" w:type="dxa"/>
            <w:vAlign w:val="bottom"/>
            <w:tcBorders>
              <w:bottom w:val="single" w:sz="8" w:color="auto"/>
            </w:tcBorders>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1232"/>
              <w:spacing w:after="0"/>
              <w:rPr>
                <w:sz w:val="20"/>
                <w:szCs w:val="20"/>
                <w:color w:val="auto"/>
              </w:rPr>
            </w:pPr>
            <w:r>
              <w:rPr>
                <w:rFonts w:ascii="Arial" w:cs="Arial" w:eastAsia="Arial" w:hAnsi="Arial"/>
                <w:sz w:val="18"/>
                <w:szCs w:val="18"/>
                <w:color w:val="auto"/>
                <w:w w:val="90"/>
              </w:rPr>
              <w:t>May 8, 2012</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right="1580" w:hanging="452"/>
        <w:spacing w:after="0" w:line="256" w:lineRule="auto"/>
        <w:tabs>
          <w:tab w:leader="none" w:pos="460" w:val="left"/>
        </w:tabs>
        <w:numPr>
          <w:ilvl w:val="0"/>
          <w:numId w:val="9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1"/>
              </w:rPr>
              <w:t>800 Nicollet Mall</w:t>
            </w:r>
          </w:p>
        </w:tc>
        <w:tc>
          <w:tcPr>
            <w:tcW w:w="3640" w:type="dxa"/>
            <w:vAlign w:val="bottom"/>
          </w:tcPr>
          <w:p>
            <w:pPr>
              <w:spacing w:after="0"/>
              <w:rPr>
                <w:sz w:val="18"/>
                <w:szCs w:val="18"/>
                <w:color w:val="auto"/>
              </w:rPr>
            </w:pPr>
          </w:p>
        </w:tc>
      </w:tr>
      <w:tr>
        <w:trPr>
          <w:trHeight w:val="231"/>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Minneapolis, Minnesota</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55402</w:t>
            </w:r>
          </w:p>
        </w:tc>
      </w:tr>
      <w:tr>
        <w:trPr>
          <w:trHeight w:val="174"/>
        </w:trPr>
        <w:tc>
          <w:tcPr>
            <w:tcW w:w="77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(Zip Code)</w:t>
            </w:r>
          </w:p>
        </w:tc>
      </w:tr>
      <w:tr>
        <w:trPr>
          <w:trHeight w:val="351"/>
        </w:trPr>
        <w:tc>
          <w:tcPr>
            <w:tcW w:w="452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Lisa L. Moorehead</w:t>
            </w:r>
          </w:p>
        </w:tc>
        <w:tc>
          <w:tcPr>
            <w:tcW w:w="364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U.S. Bank National Association</w:t>
            </w:r>
          </w:p>
        </w:tc>
        <w:tc>
          <w:tcPr>
            <w:tcW w:w="3640" w:type="dxa"/>
            <w:vAlign w:val="bottom"/>
          </w:tcPr>
          <w:p>
            <w:pPr>
              <w:spacing w:after="0"/>
              <w:rPr>
                <w:sz w:val="18"/>
                <w:szCs w:val="18"/>
                <w:color w:val="auto"/>
              </w:rPr>
            </w:pPr>
          </w:p>
        </w:tc>
      </w:tr>
      <w:tr>
        <w:trPr>
          <w:trHeight w:val="216"/>
        </w:trPr>
        <w:tc>
          <w:tcPr>
            <w:tcW w:w="7780" w:type="dxa"/>
            <w:vAlign w:val="bottom"/>
            <w:gridSpan w:val="3"/>
          </w:tcPr>
          <w:p>
            <w:pPr>
              <w:jc w:val="center"/>
              <w:ind w:left="3579"/>
              <w:spacing w:after="0"/>
              <w:rPr>
                <w:sz w:val="20"/>
                <w:szCs w:val="20"/>
                <w:color w:val="auto"/>
              </w:rPr>
            </w:pPr>
            <w:r>
              <w:rPr>
                <w:rFonts w:ascii="Arial" w:cs="Arial" w:eastAsia="Arial" w:hAnsi="Arial"/>
                <w:sz w:val="18"/>
                <w:szCs w:val="18"/>
                <w:b w:val="1"/>
                <w:bCs w:val="1"/>
                <w:color w:val="auto"/>
                <w:w w:val="88"/>
              </w:rPr>
              <w:t>214 North Tryon Street, Suite 2700</w:t>
            </w:r>
          </w:p>
        </w:tc>
        <w:tc>
          <w:tcPr>
            <w:tcW w:w="36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Charlotte, NC 28202</w:t>
            </w:r>
          </w:p>
        </w:tc>
        <w:tc>
          <w:tcPr>
            <w:tcW w:w="3640" w:type="dxa"/>
            <w:vAlign w:val="bottom"/>
          </w:tcPr>
          <w:p>
            <w:pPr>
              <w:spacing w:after="0"/>
              <w:rPr>
                <w:sz w:val="18"/>
                <w:szCs w:val="18"/>
                <w:color w:val="auto"/>
              </w:rPr>
            </w:pPr>
          </w:p>
        </w:tc>
      </w:tr>
      <w:tr>
        <w:trPr>
          <w:trHeight w:val="218"/>
        </w:trPr>
        <w:tc>
          <w:tcPr>
            <w:tcW w:w="6900" w:type="dxa"/>
            <w:vAlign w:val="bottom"/>
            <w:gridSpan w:val="2"/>
          </w:tcPr>
          <w:p>
            <w:pPr>
              <w:jc w:val="center"/>
              <w:ind w:left="4459"/>
              <w:spacing w:after="0"/>
              <w:rPr>
                <w:sz w:val="20"/>
                <w:szCs w:val="20"/>
                <w:color w:val="auto"/>
              </w:rPr>
            </w:pPr>
            <w:r>
              <w:rPr>
                <w:rFonts w:ascii="Arial" w:cs="Arial" w:eastAsia="Arial" w:hAnsi="Arial"/>
                <w:sz w:val="18"/>
                <w:szCs w:val="18"/>
                <w:b w:val="1"/>
                <w:bCs w:val="1"/>
                <w:color w:val="auto"/>
                <w:w w:val="87"/>
              </w:rPr>
              <w:t>704.335.4597</w:t>
            </w:r>
          </w:p>
        </w:tc>
        <w:tc>
          <w:tcPr>
            <w:tcW w:w="8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174"/>
        </w:trPr>
        <w:tc>
          <w:tcPr>
            <w:tcW w:w="7780" w:type="dxa"/>
            <w:vAlign w:val="bottom"/>
            <w:gridSpan w:val="3"/>
          </w:tcPr>
          <w:p>
            <w:pPr>
              <w:jc w:val="center"/>
              <w:ind w:left="3579"/>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364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278"/>
        </w:trPr>
        <w:tc>
          <w:tcPr>
            <w:tcW w:w="7780" w:type="dxa"/>
            <w:vAlign w:val="bottom"/>
            <w:gridSpan w:val="3"/>
          </w:tcPr>
          <w:p>
            <w:pPr>
              <w:jc w:val="center"/>
              <w:ind w:left="3579"/>
              <w:spacing w:after="0"/>
              <w:rPr>
                <w:sz w:val="20"/>
                <w:szCs w:val="20"/>
                <w:color w:val="auto"/>
              </w:rPr>
            </w:pPr>
            <w:r>
              <w:rPr>
                <w:rFonts w:ascii="Arial" w:cs="Arial" w:eastAsia="Arial" w:hAnsi="Arial"/>
                <w:sz w:val="18"/>
                <w:szCs w:val="18"/>
                <w:b w:val="1"/>
                <w:bCs w:val="1"/>
                <w:color w:val="auto"/>
                <w:w w:val="89"/>
              </w:rPr>
              <w:t>Federal Realty Investment Trust</w:t>
            </w:r>
          </w:p>
        </w:tc>
        <w:tc>
          <w:tcPr>
            <w:tcW w:w="364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364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305"/>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6"/>
              </w:rPr>
              <w:t>Maryland</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778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4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7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8"/>
              </w:rPr>
              <w:t>incorporation or organization)</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7"/>
              </w:rPr>
              <w:t>1626 East Jefferson Street</w:t>
            </w:r>
          </w:p>
        </w:tc>
        <w:tc>
          <w:tcPr>
            <w:tcW w:w="3640" w:type="dxa"/>
            <w:vAlign w:val="bottom"/>
          </w:tcPr>
          <w:p>
            <w:pPr>
              <w:spacing w:after="0"/>
              <w:rPr>
                <w:sz w:val="24"/>
                <w:szCs w:val="24"/>
                <w:color w:val="auto"/>
              </w:rPr>
            </w:pPr>
          </w:p>
        </w:tc>
      </w:tr>
      <w:tr>
        <w:trPr>
          <w:trHeight w:val="216"/>
        </w:trPr>
        <w:tc>
          <w:tcPr>
            <w:tcW w:w="77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1"/>
              </w:rPr>
              <w:t>Rockville, Maryland</w:t>
            </w:r>
          </w:p>
        </w:tc>
        <w:tc>
          <w:tcPr>
            <w:tcW w:w="3640" w:type="dxa"/>
            <w:vAlign w:val="bottom"/>
          </w:tcPr>
          <w:p>
            <w:pPr>
              <w:spacing w:after="0"/>
              <w:rPr>
                <w:sz w:val="18"/>
                <w:szCs w:val="18"/>
                <w:color w:val="auto"/>
              </w:rPr>
            </w:pPr>
          </w:p>
        </w:tc>
      </w:tr>
      <w:tr>
        <w:trPr>
          <w:trHeight w:val="231"/>
        </w:trPr>
        <w:tc>
          <w:tcPr>
            <w:tcW w:w="77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7"/>
              </w:rPr>
              <w:t>Telephone: (301) 998-8100</w:t>
            </w:r>
          </w:p>
        </w:tc>
        <w:tc>
          <w:tcPr>
            <w:tcW w:w="3640" w:type="dxa"/>
            <w:vAlign w:val="bottom"/>
          </w:tcPr>
          <w:p>
            <w:pPr>
              <w:jc w:val="center"/>
              <w:ind w:right="1764"/>
              <w:spacing w:after="0"/>
              <w:rPr>
                <w:sz w:val="20"/>
                <w:szCs w:val="20"/>
                <w:color w:val="auto"/>
              </w:rPr>
            </w:pPr>
            <w:r>
              <w:rPr>
                <w:rFonts w:ascii="Arial" w:cs="Arial" w:eastAsia="Arial" w:hAnsi="Arial"/>
                <w:sz w:val="18"/>
                <w:szCs w:val="18"/>
                <w:b w:val="1"/>
                <w:bCs w:val="1"/>
                <w:color w:val="auto"/>
                <w:w w:val="87"/>
              </w:rPr>
              <w:t>20852</w:t>
            </w:r>
          </w:p>
        </w:tc>
      </w:tr>
      <w:tr>
        <w:trPr>
          <w:trHeight w:val="174"/>
        </w:trPr>
        <w:tc>
          <w:tcPr>
            <w:tcW w:w="77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40" w:type="dxa"/>
            <w:vAlign w:val="bottom"/>
          </w:tcPr>
          <w:p>
            <w:pPr>
              <w:jc w:val="center"/>
              <w:ind w:right="1744"/>
              <w:spacing w:after="0"/>
              <w:rPr>
                <w:sz w:val="20"/>
                <w:szCs w:val="20"/>
                <w:color w:val="auto"/>
              </w:rPr>
            </w:pPr>
            <w:r>
              <w:rPr>
                <w:rFonts w:ascii="Arial" w:cs="Arial" w:eastAsia="Arial" w:hAnsi="Arial"/>
                <w:sz w:val="14"/>
                <w:szCs w:val="14"/>
                <w:b w:val="1"/>
                <w:bCs w:val="1"/>
                <w:color w:val="auto"/>
                <w:w w:val="89"/>
              </w:rPr>
              <w:t>(Zip Code)</w:t>
            </w:r>
          </w:p>
        </w:tc>
      </w:tr>
      <w:tr>
        <w:trPr>
          <w:trHeight w:val="163"/>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278"/>
        </w:trPr>
        <w:tc>
          <w:tcPr>
            <w:tcW w:w="452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6"/>
              </w:rPr>
              <w:t>Debt Securities</w:t>
            </w:r>
          </w:p>
        </w:tc>
        <w:tc>
          <w:tcPr>
            <w:tcW w:w="364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3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(Title of the Indenture Securities)</w:t>
            </w:r>
          </w:p>
        </w:tc>
        <w:tc>
          <w:tcPr>
            <w:tcW w:w="3640" w:type="dxa"/>
            <w:vAlign w:val="bottom"/>
          </w:tcPr>
          <w:p>
            <w:pPr>
              <w:spacing w:after="0"/>
              <w:rPr>
                <w:sz w:val="15"/>
                <w:szCs w:val="15"/>
                <w:color w:val="auto"/>
              </w:rPr>
            </w:pPr>
          </w:p>
        </w:tc>
      </w:tr>
      <w:tr>
        <w:trPr>
          <w:trHeight w:val="109"/>
        </w:trPr>
        <w:tc>
          <w:tcPr>
            <w:tcW w:w="452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jc w:val="center"/>
        <w:ind w:right="-2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Furnish the following information as to the Trustee.</w:t>
      </w:r>
    </w:p>
    <w:p>
      <w:pPr>
        <w:spacing w:after="0" w:line="96" w:lineRule="exact"/>
        <w:rPr>
          <w:sz w:val="20"/>
          <w:szCs w:val="20"/>
          <w:color w:val="auto"/>
        </w:rPr>
      </w:pPr>
    </w:p>
    <w:p>
      <w:pPr>
        <w:ind w:left="1480" w:hanging="567"/>
        <w:spacing w:after="0"/>
        <w:tabs>
          <w:tab w:leader="none" w:pos="1480" w:val="left"/>
        </w:tabs>
        <w:numPr>
          <w:ilvl w:val="0"/>
          <w:numId w:val="91"/>
        </w:numPr>
        <w:rPr>
          <w:rFonts w:ascii="Arial" w:cs="Arial" w:eastAsia="Arial" w:hAnsi="Arial"/>
          <w:sz w:val="15"/>
          <w:szCs w:val="15"/>
          <w:color w:val="auto"/>
        </w:rPr>
      </w:pPr>
      <w:r>
        <w:rPr>
          <w:rFonts w:ascii="Arial" w:cs="Arial" w:eastAsia="Arial" w:hAnsi="Arial"/>
          <w:sz w:val="15"/>
          <w:szCs w:val="15"/>
          <w:i w:val="1"/>
          <w:iCs w:val="1"/>
          <w:color w:val="auto"/>
        </w:rPr>
        <w:t>Name and address of each examining or supervising authority to which it is subject.</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Washington, D.C.</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i w:val="1"/>
          <w:iCs w:val="1"/>
          <w:color w:val="auto"/>
        </w:rPr>
        <w:t>Whether it is authorized to exercise corporate trust powers.</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Yes</w:t>
      </w:r>
    </w:p>
    <w:p>
      <w:pPr>
        <w:sectPr>
          <w:pgSz w:w="11900" w:h="16838" w:orient="portrait"/>
          <w:cols w:equalWidth="0" w:num="1">
            <w:col w:w="11160"/>
          </w:cols>
          <w:pgMar w:left="240" w:top="274" w:right="49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119" w:lineRule="exact"/>
        <w:rPr>
          <w:sz w:val="20"/>
          <w:szCs w:val="20"/>
          <w:color w:val="auto"/>
        </w:rPr>
      </w:pPr>
    </w:p>
    <w:p>
      <w:pPr>
        <w:sectPr>
          <w:pgSz w:w="11900" w:h="16838" w:orient="portrait"/>
          <w:cols w:equalWidth="0" w:num="2">
            <w:col w:w="540" w:space="380"/>
            <w:col w:w="10240"/>
          </w:cols>
          <w:pgMar w:left="240" w:top="274" w:right="4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160"/>
          </w:cols>
          <w:pgMar w:left="240" w:top="274" w:right="49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Items 3-15</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00" w:lineRule="exact"/>
        <w:rPr>
          <w:sz w:val="20"/>
          <w:szCs w:val="20"/>
          <w:color w:val="auto"/>
        </w:rPr>
      </w:pPr>
    </w:p>
    <w:p>
      <w:pPr>
        <w:sectPr>
          <w:pgSz w:w="11900" w:h="16838" w:orient="portrait"/>
          <w:cols w:equalWidth="0" w:num="2">
            <w:col w:w="800" w:space="580"/>
            <w:col w:w="9780"/>
          </w:cols>
          <w:pgMar w:left="240" w:top="274" w:right="499" w:bottom="1440" w:gutter="0" w:footer="0" w:header="0"/>
          <w:type w:val="continuous"/>
        </w:sectPr>
      </w:pPr>
    </w:p>
    <w:p>
      <w:pPr>
        <w:spacing w:after="0" w:line="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1700" w:hanging="558"/>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1700" w:right="520" w:hanging="558"/>
        <w:spacing w:after="0" w:line="268" w:lineRule="auto"/>
        <w:tabs>
          <w:tab w:leader="none" w:pos="17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2011 published pursuant to law or the requirements of its supervising or examining authority, attached as Exhibit 7.</w:t>
      </w:r>
    </w:p>
    <w:p>
      <w:pPr>
        <w:spacing w:after="0" w:line="172" w:lineRule="exact"/>
        <w:rPr>
          <w:rFonts w:ascii="Arial" w:cs="Arial" w:eastAsia="Arial" w:hAnsi="Arial"/>
          <w:sz w:val="18"/>
          <w:szCs w:val="18"/>
          <w:color w:val="auto"/>
        </w:rPr>
      </w:pPr>
    </w:p>
    <w:p>
      <w:pPr>
        <w:ind w:left="220" w:right="160" w:hanging="216"/>
        <w:spacing w:after="0" w:line="268"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274" w:right="499" w:bottom="1440" w:gutter="0" w:footer="0" w:header="0"/>
          <w:type w:val="continuous"/>
        </w:sectPr>
      </w:pPr>
    </w:p>
    <w:bookmarkStart w:id="75" w:name="page76"/>
    <w:bookmarkEnd w:id="75"/>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Charlotte, State of North Carolina as of the 8</w:t>
      </w:r>
      <w:r>
        <w:rPr>
          <w:rFonts w:ascii="Arial" w:cs="Arial" w:eastAsia="Arial" w:hAnsi="Arial"/>
          <w:sz w:val="10"/>
          <w:szCs w:val="10"/>
          <w:color w:val="auto"/>
        </w:rPr>
        <w:t>th</w:t>
      </w:r>
      <w:r>
        <w:rPr>
          <w:rFonts w:ascii="Arial" w:cs="Arial" w:eastAsia="Arial" w:hAnsi="Arial"/>
          <w:sz w:val="16"/>
          <w:szCs w:val="16"/>
          <w:color w:val="auto"/>
        </w:rPr>
        <w:t xml:space="preserve"> day of May, 2012.</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Lisa L.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Lisa L. Moorehead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Vice President</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76" w:name="page77"/>
    <w:bookmarkEnd w:id="76"/>
    <w:p>
      <w:pPr>
        <w:jc w:val="center"/>
        <w:ind w:right="3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666750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246380</wp:posOffset>
            </wp:positionV>
            <wp:extent cx="325755" cy="3600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7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Comptroller of the Currency</w:t>
      </w:r>
    </w:p>
    <w:p>
      <w:pPr>
        <w:spacing w:after="0"/>
        <w:rPr>
          <w:sz w:val="20"/>
          <w:szCs w:val="20"/>
          <w:color w:val="auto"/>
        </w:rPr>
      </w:pPr>
      <w:r>
        <w:rPr>
          <w:rFonts w:ascii="Arial" w:cs="Arial" w:eastAsia="Arial" w:hAnsi="Arial"/>
          <w:sz w:val="14"/>
          <w:szCs w:val="14"/>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51435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20219</w:t>
      </w:r>
    </w:p>
    <w:p>
      <w:pPr>
        <w:spacing w:after="0" w:line="146" w:lineRule="exact"/>
        <w:rPr>
          <w:sz w:val="20"/>
          <w:szCs w:val="20"/>
          <w:color w:val="auto"/>
        </w:rPr>
      </w:pPr>
    </w:p>
    <w:p>
      <w:pPr>
        <w:ind w:left="100" w:right="3860" w:firstLine="3400"/>
        <w:spacing w:after="0" w:line="441" w:lineRule="auto"/>
        <w:rPr>
          <w:sz w:val="20"/>
          <w:szCs w:val="20"/>
          <w:color w:val="auto"/>
        </w:rPr>
      </w:pPr>
      <w:r>
        <w:rPr>
          <w:rFonts w:ascii="Arial" w:cs="Arial" w:eastAsia="Arial" w:hAnsi="Arial"/>
          <w:sz w:val="18"/>
          <w:szCs w:val="18"/>
          <w:b w:val="1"/>
          <w:bCs w:val="1"/>
          <w:color w:val="auto"/>
        </w:rPr>
        <w:t xml:space="preserve">CERTIFICATE OF CORPORATE EXISTENCE </w:t>
      </w:r>
      <w:r>
        <w:rPr>
          <w:rFonts w:ascii="Arial" w:cs="Arial" w:eastAsia="Arial" w:hAnsi="Arial"/>
          <w:sz w:val="18"/>
          <w:szCs w:val="18"/>
          <w:color w:val="auto"/>
        </w:rPr>
        <w:t>I, John Walsh, Acting Comptroller of the Currency, do hereby certify that:</w:t>
      </w:r>
    </w:p>
    <w:p>
      <w:pPr>
        <w:spacing w:after="0" w:line="2" w:lineRule="exact"/>
        <w:rPr>
          <w:sz w:val="20"/>
          <w:szCs w:val="20"/>
          <w:color w:val="auto"/>
        </w:rPr>
      </w:pPr>
    </w:p>
    <w:p>
      <w:pPr>
        <w:ind w:left="100" w:right="220" w:firstLine="4"/>
        <w:spacing w:after="0" w:line="332" w:lineRule="auto"/>
        <w:tabs>
          <w:tab w:leader="none" w:pos="27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Comptroller of the Currency, pursuant to Revised Statutes 324, et seq., as amended, 12 U.S.C. 1, et seq., as amended, has possession, custody and control of all records pertaining to the chartering, regulation and supervision of all National Banking Associations.</w:t>
      </w:r>
    </w:p>
    <w:p>
      <w:pPr>
        <w:spacing w:after="0" w:line="85" w:lineRule="exact"/>
        <w:rPr>
          <w:rFonts w:ascii="Arial" w:cs="Arial" w:eastAsia="Arial" w:hAnsi="Arial"/>
          <w:sz w:val="16"/>
          <w:szCs w:val="16"/>
          <w:color w:val="auto"/>
        </w:rPr>
      </w:pPr>
    </w:p>
    <w:p>
      <w:pPr>
        <w:ind w:left="100" w:right="20" w:firstLine="4"/>
        <w:spacing w:after="0" w:line="268" w:lineRule="auto"/>
        <w:tabs>
          <w:tab w:leader="none" w:pos="2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72" w:lineRule="exact"/>
        <w:rPr>
          <w:sz w:val="20"/>
          <w:szCs w:val="20"/>
          <w:color w:val="auto"/>
        </w:rPr>
      </w:pPr>
    </w:p>
    <w:p>
      <w:pPr>
        <w:ind w:left="8040"/>
        <w:spacing w:after="0" w:line="442" w:lineRule="auto"/>
        <w:rPr>
          <w:sz w:val="20"/>
          <w:szCs w:val="20"/>
          <w:color w:val="auto"/>
        </w:rPr>
      </w:pPr>
      <w:r>
        <w:rPr>
          <w:rFonts w:ascii="Arial" w:cs="Arial" w:eastAsia="Arial" w:hAnsi="Arial"/>
          <w:sz w:val="15"/>
          <w:szCs w:val="15"/>
          <w:color w:val="auto"/>
        </w:rPr>
        <w:t>IN TESTIMONY WHERE OF, I have hereunto subscribed my name and caused my seal of office to be affixed to these presents at the Treasury Department, in the City of Washington and District of Columbia, this 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-389255</wp:posOffset>
            </wp:positionV>
            <wp:extent cx="3181350" cy="1071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8135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Acting Comptroller of the Currency</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600" w:top="274" w:right="239" w:bottom="1440" w:gutter="0" w:footer="0" w:header="0"/>
        </w:sectPr>
      </w:pPr>
    </w:p>
    <w:bookmarkStart w:id="77" w:name="page78"/>
    <w:bookmarkEnd w:id="77"/>
    <w:p>
      <w:pPr>
        <w:jc w:val="center"/>
        <w:ind w:right="3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666750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246380</wp:posOffset>
            </wp:positionV>
            <wp:extent cx="325755" cy="3600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7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Comptroller of the Currency</w:t>
      </w:r>
    </w:p>
    <w:p>
      <w:pPr>
        <w:spacing w:after="0"/>
        <w:rPr>
          <w:sz w:val="20"/>
          <w:szCs w:val="20"/>
          <w:color w:val="auto"/>
        </w:rPr>
      </w:pPr>
      <w:r>
        <w:rPr>
          <w:rFonts w:ascii="Arial" w:cs="Arial" w:eastAsia="Arial" w:hAnsi="Arial"/>
          <w:sz w:val="14"/>
          <w:szCs w:val="14"/>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51435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20219</w:t>
      </w:r>
    </w:p>
    <w:p>
      <w:pPr>
        <w:spacing w:after="0" w:line="152"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CERTIFICATE OF FIDUCIARY POWERS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John Walsh, Acting Comptroller of the Currency, do hereby certify that:</w:t>
      </w:r>
    </w:p>
    <w:p>
      <w:pPr>
        <w:spacing w:after="0" w:line="171" w:lineRule="exact"/>
        <w:rPr>
          <w:sz w:val="20"/>
          <w:szCs w:val="20"/>
          <w:color w:val="auto"/>
        </w:rPr>
      </w:pPr>
    </w:p>
    <w:p>
      <w:pPr>
        <w:ind w:left="100" w:right="220" w:firstLine="4"/>
        <w:spacing w:after="0" w:line="332" w:lineRule="auto"/>
        <w:tabs>
          <w:tab w:leader="none" w:pos="27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Comptroller of the Currency, pursuant to Revised Statutes 324, et seq., as amended, 12 U.S.C. 1, et seq., as amended, has possession, custody and control of all records pertaining to the chartering, regulation and supervision of all National Banking Associations.</w:t>
      </w:r>
    </w:p>
    <w:p>
      <w:pPr>
        <w:spacing w:after="0" w:line="85" w:lineRule="exact"/>
        <w:rPr>
          <w:rFonts w:ascii="Arial" w:cs="Arial" w:eastAsia="Arial" w:hAnsi="Arial"/>
          <w:sz w:val="16"/>
          <w:szCs w:val="16"/>
          <w:color w:val="auto"/>
        </w:rPr>
      </w:pPr>
    </w:p>
    <w:p>
      <w:pPr>
        <w:ind w:left="100" w:right="340" w:firstLine="4"/>
        <w:spacing w:after="0" w:line="259" w:lineRule="auto"/>
        <w:tabs>
          <w:tab w:leader="none" w:pos="2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Stat.668, 12 U.S.C. 92 a, and that the authority so granted remains in full force and effect on the date of this Certificate.</w:t>
      </w:r>
    </w:p>
    <w:p>
      <w:pPr>
        <w:spacing w:after="0" w:line="181" w:lineRule="exact"/>
        <w:rPr>
          <w:sz w:val="20"/>
          <w:szCs w:val="20"/>
          <w:color w:val="auto"/>
        </w:rPr>
      </w:pPr>
    </w:p>
    <w:p>
      <w:pPr>
        <w:ind w:left="8040"/>
        <w:spacing w:after="0" w:line="540" w:lineRule="auto"/>
        <w:rPr>
          <w:sz w:val="20"/>
          <w:szCs w:val="20"/>
          <w:color w:val="auto"/>
        </w:rPr>
      </w:pPr>
      <w:r>
        <w:rPr>
          <w:rFonts w:ascii="Arial" w:cs="Arial" w:eastAsia="Arial" w:hAnsi="Arial"/>
          <w:sz w:val="15"/>
          <w:szCs w:val="15"/>
          <w:color w:val="auto"/>
        </w:rPr>
        <w:t>IN TESTIMONY WHERE OF, I have hereunto subscribed my name and caused my seal of office to be affixed to these presents at the Treasury Department, in the City of Washington and District of Columbia, this September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-649605</wp:posOffset>
            </wp:positionV>
            <wp:extent cx="3155950" cy="1071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55950" cy="107188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Acting Comptroller of the Currency</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600" w:top="274" w:right="23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as of May 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Lisa L.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Lisa L. Moorehead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Vice President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Exhibit 7</w:t>
            </w:r>
          </w:p>
        </w:tc>
        <w:tc>
          <w:tcPr>
            <w:tcW w:w="4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4"/>
        </w:trPr>
        <w:tc>
          <w:tcPr>
            <w:tcW w:w="4320" w:type="dxa"/>
            <w:vAlign w:val="bottom"/>
          </w:tcPr>
          <w:p>
            <w:pPr>
              <w:spacing w:after="0"/>
              <w:rPr>
                <w:sz w:val="24"/>
                <w:szCs w:val="24"/>
                <w:color w:val="auto"/>
              </w:rPr>
            </w:pPr>
          </w:p>
        </w:tc>
        <w:tc>
          <w:tcPr>
            <w:tcW w:w="612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87"/>
              </w:rPr>
              <w:t>U.S. Bank National Association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tcPr>
          <w:p>
            <w:pPr>
              <w:spacing w:after="0"/>
              <w:rPr>
                <w:sz w:val="18"/>
                <w:szCs w:val="18"/>
                <w:color w:val="auto"/>
              </w:rPr>
            </w:pPr>
          </w:p>
        </w:tc>
        <w:tc>
          <w:tcPr>
            <w:tcW w:w="612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88"/>
              </w:rPr>
              <w:t>Statement of Financial Condition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320" w:type="dxa"/>
            <w:vAlign w:val="bottom"/>
          </w:tcPr>
          <w:p>
            <w:pPr>
              <w:spacing w:after="0"/>
              <w:rPr>
                <w:sz w:val="19"/>
                <w:szCs w:val="19"/>
                <w:color w:val="auto"/>
              </w:rPr>
            </w:pPr>
          </w:p>
        </w:tc>
        <w:tc>
          <w:tcPr>
            <w:tcW w:w="612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87"/>
              </w:rPr>
              <w:t>As of 3/31/2012</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4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60" w:type="dxa"/>
            <w:vAlign w:val="bottom"/>
            <w:gridSpan w:val="3"/>
          </w:tcPr>
          <w:p>
            <w:pPr>
              <w:jc w:val="center"/>
              <w:ind w:right="4400"/>
              <w:spacing w:after="0"/>
              <w:rPr>
                <w:sz w:val="20"/>
                <w:szCs w:val="20"/>
                <w:color w:val="auto"/>
              </w:rPr>
            </w:pPr>
            <w:r>
              <w:rPr>
                <w:rFonts w:ascii="Arial" w:cs="Arial" w:eastAsia="Arial" w:hAnsi="Arial"/>
                <w:sz w:val="18"/>
                <w:szCs w:val="18"/>
                <w:b w:val="1"/>
                <w:bCs w:val="1"/>
                <w:color w:val="auto"/>
                <w:w w:val="86"/>
              </w:rPr>
              <w:t>($000’s)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3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3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3/31/2012</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w w:val="91"/>
              </w:rPr>
              <w:t>Cash and Balances Due From Depository Institutions</w:t>
            </w:r>
          </w:p>
        </w:tc>
        <w:tc>
          <w:tcPr>
            <w:tcW w:w="6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9,560,436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72,930,403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33,777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204,146,986</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5,372,613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12,620,805</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25,562,406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330,227,426</w:t>
            </w:r>
          </w:p>
        </w:tc>
        <w:tc>
          <w:tcPr>
            <w:tcW w:w="100" w:type="dxa"/>
            <w:vAlign w:val="bottom"/>
            <w:shd w:val="clear" w:color="auto" w:fill="CCEEFF"/>
          </w:tcPr>
          <w:p>
            <w:pPr>
              <w:spacing w:after="0"/>
              <w:rPr>
                <w:sz w:val="18"/>
                <w:szCs w:val="18"/>
                <w:color w:val="auto"/>
              </w:rPr>
            </w:pPr>
          </w:p>
        </w:tc>
      </w:tr>
      <w:tr>
        <w:trPr>
          <w:trHeight w:val="431"/>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238,678,346</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6,937,931</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349,463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31,722,312</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5,929,362</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10,661,152</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294,278,566</w:t>
            </w:r>
          </w:p>
        </w:tc>
        <w:tc>
          <w:tcPr>
            <w:tcW w:w="100" w:type="dxa"/>
            <w:vAlign w:val="bottom"/>
            <w:shd w:val="clear" w:color="auto" w:fill="CCEEFF"/>
          </w:tcPr>
          <w:p>
            <w:pPr>
              <w:spacing w:after="0"/>
              <w:rPr>
                <w:sz w:val="18"/>
                <w:szCs w:val="18"/>
                <w:color w:val="auto"/>
              </w:rPr>
            </w:pPr>
          </w:p>
        </w:tc>
      </w:tr>
      <w:tr>
        <w:trPr>
          <w:trHeight w:val="431"/>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1,947,357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14,133,323</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18,849,980</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Equity Capital</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35,948,860</w:t>
            </w:r>
          </w:p>
        </w:tc>
        <w:tc>
          <w:tcPr>
            <w:tcW w:w="100" w:type="dxa"/>
            <w:vAlign w:val="bottom"/>
            <w:shd w:val="clear" w:color="auto" w:fill="CCEEFF"/>
          </w:tcPr>
          <w:p>
            <w:pPr>
              <w:spacing w:after="0"/>
              <w:rPr>
                <w:sz w:val="18"/>
                <w:szCs w:val="18"/>
                <w:color w:val="auto"/>
              </w:rPr>
            </w:pPr>
          </w:p>
        </w:tc>
      </w:tr>
      <w:tr>
        <w:trPr>
          <w:trHeight w:val="430"/>
        </w:trPr>
        <w:tc>
          <w:tcPr>
            <w:tcW w:w="4320" w:type="dxa"/>
            <w:vAlign w:val="bottom"/>
          </w:tcPr>
          <w:p>
            <w:pPr>
              <w:ind w:left="880"/>
              <w:spacing w:after="0"/>
              <w:rPr>
                <w:sz w:val="20"/>
                <w:szCs w:val="20"/>
                <w:color w:val="auto"/>
              </w:rPr>
            </w:pPr>
            <w:r>
              <w:rPr>
                <w:rFonts w:ascii="Arial" w:cs="Arial" w:eastAsia="Arial" w:hAnsi="Arial"/>
                <w:sz w:val="18"/>
                <w:szCs w:val="18"/>
                <w:b w:val="1"/>
                <w:bCs w:val="1"/>
                <w:color w:val="auto"/>
              </w:rPr>
              <w:t>Total Liabilities and Equity Capital</w:t>
            </w:r>
          </w:p>
        </w:tc>
        <w:tc>
          <w:tcPr>
            <w:tcW w:w="61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330,227,426</w:t>
            </w:r>
          </w:p>
        </w:tc>
        <w:tc>
          <w:tcPr>
            <w:tcW w:w="100" w:type="dxa"/>
            <w:vAlign w:val="bottom"/>
          </w:tcPr>
          <w:p>
            <w:pPr>
              <w:spacing w:after="0"/>
              <w:rPr>
                <w:sz w:val="24"/>
                <w:szCs w:val="24"/>
                <w:color w:val="auto"/>
              </w:rPr>
            </w:pP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2"/>
              <w:spacing w:after="0"/>
              <w:rPr>
                <w:sz w:val="20"/>
                <w:szCs w:val="20"/>
                <w:color w:val="auto"/>
              </w:rPr>
            </w:pPr>
            <w:r>
              <w:rPr>
                <w:rFonts w:ascii="Arial" w:cs="Arial" w:eastAsia="Arial" w:hAnsi="Arial"/>
                <w:sz w:val="18"/>
                <w:szCs w:val="18"/>
                <w:color w:val="auto"/>
              </w:rPr>
              <w:t>7</w:t>
            </w: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lowerLetter"/>
      <w:start w:val="1"/>
    </w:lvl>
  </w:abstractNum>
  <w:abstractNum w:abstractNumId="3">
    <w:nsid w:val="579478FE"/>
    <w:multiLevelType w:val="hybridMultilevel"/>
    <w:lvl w:ilvl="0">
      <w:lvlJc w:val="left"/>
      <w:lvlText w:val="(%1)"/>
      <w:numFmt w:val="lowerLetter"/>
      <w:start w:val="3"/>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lvl w:ilvl="1">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lvl w:ilvl="1">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decimal"/>
      <w:start w:val="1"/>
    </w:lvl>
    <w:lvl w:ilvl="1">
      <w:lvlJc w:val="left"/>
      <w:lvlText w:val="(%2)"/>
      <w:numFmt w:val="lowerLetter"/>
      <w:start w:val="1"/>
    </w:lvl>
  </w:abstractNum>
  <w:abstractNum w:abstractNumId="27">
    <w:nsid w:val="3F6AB60F"/>
    <w:multiLevelType w:val="hybridMultilevel"/>
    <w:lvl w:ilvl="0">
      <w:lvlJc w:val="left"/>
      <w:lvlText w:val="%1."/>
      <w:numFmt w:val="decimal"/>
      <w:start w:val="7"/>
    </w:lvl>
    <w:lvl w:ilvl="1">
      <w:lvlJc w:val="left"/>
      <w:lvlText w:val="(%2)"/>
      <w:numFmt w:val="lowerLetter"/>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lvl w:ilvl="1">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upperLetter"/>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lvl w:ilvl="1">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lvl w:ilvl="1">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1)"/>
      <w:numFmt w:val="lowerRoman"/>
      <w:start w:val="3"/>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lvl w:ilvl="1">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lowerRoman"/>
      <w:start w:val="2"/>
    </w:lvl>
  </w:abstractNum>
  <w:abstractNum w:abstractNumId="70">
    <w:nsid w:val="1A27709E"/>
    <w:multiLevelType w:val="hybridMultilevel"/>
    <w:lvl w:ilvl="0">
      <w:lvlJc w:val="left"/>
      <w:lvlText w:val="\emdash "/>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decimal"/>
      <w:start w:val="4"/>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0">
    <w:nsid w:val="1716703B"/>
    <w:multiLevelType w:val="hybridMultilevel"/>
    <w:lvl w:ilvl="0">
      <w:lvlJc w:val="left"/>
      <w:lvlText w:val="(%1)"/>
      <w:numFmt w:val="decimal"/>
      <w:start w:val="2"/>
    </w:lvl>
    <w:lvl w:ilvl="1">
      <w:lvlJc w:val="left"/>
      <w:lvlText w:val="(%2)"/>
      <w:numFmt w:val="lowerRoman"/>
      <w:start w:val="1"/>
    </w:lvl>
  </w:abstractNum>
  <w:abstractNum w:abstractNumId="81">
    <w:nsid w:val="14E17E33"/>
    <w:multiLevelType w:val="hybridMultilevel"/>
    <w:lvl w:ilvl="0">
      <w:lvlJc w:val="left"/>
      <w:lvlText w:val="(%1)"/>
      <w:numFmt w:val="decimal"/>
      <w:start w:val="5"/>
    </w:lvl>
  </w:abstractNum>
  <w:abstractNum w:abstractNumId="82">
    <w:nsid w:val="3222E7CD"/>
    <w:multiLevelType w:val="hybridMultilevel"/>
    <w:lvl w:ilvl="0">
      <w:lvlJc w:val="left"/>
      <w:lvlText w:val="%1"/>
      <w:numFmt w:val="lowerLetter"/>
      <w:start w:val="1"/>
    </w:lvl>
    <w:lvl w:ilvl="1">
      <w:lvlJc w:val="left"/>
      <w:lvlText w:val="(%2)"/>
      <w:numFmt w:val="lowerRoman"/>
      <w:start w:val="1"/>
    </w:lvl>
  </w:abstractNum>
  <w:abstractNum w:abstractNumId="83">
    <w:nsid w:val="74DE0EE3"/>
    <w:multiLevelType w:val="hybridMultilevel"/>
    <w:lvl w:ilvl="0">
      <w:lvlJc w:val="left"/>
      <w:lvlText w:val="(%1)"/>
      <w:numFmt w:val="lowerLetter"/>
      <w:start w:val="2"/>
    </w:lvl>
    <w:lvl w:ilvl="1">
      <w:lvlJc w:val="left"/>
      <w:lvlText w:val="%2"/>
      <w:numFmt w:val="lowerRoman"/>
      <w:start w:val="1"/>
    </w:lvl>
  </w:abstractNum>
  <w:abstractNum w:abstractNumId="84">
    <w:nsid w:val="68EBC550"/>
    <w:multiLevelType w:val="hybridMultilevel"/>
    <w:lvl w:ilvl="0">
      <w:lvlJc w:val="left"/>
      <w:lvlText w:val="(%1)"/>
      <w:numFmt w:val="lowerLetter"/>
      <w:start w:val="5"/>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87">
    <w:nsid w:val="4A2AC315"/>
    <w:multiLevelType w:val="hybridMultilevel"/>
    <w:lvl w:ilvl="0">
      <w:lvlJc w:val="left"/>
      <w:lvlText w:val="(%1)"/>
      <w:numFmt w:val="lowerLetter"/>
      <w:start w:val="5"/>
    </w:lvl>
    <w:lvl w:ilvl="1">
      <w:lvlJc w:val="left"/>
      <w:lvlText w:val="%2."/>
      <w:numFmt w:val="decimal"/>
      <w:start w:val="4"/>
    </w:lvl>
    <w:lvl w:ilvl="2">
      <w:lvlJc w:val="left"/>
      <w:lvlText w:val="-"/>
      <w:numFmt w:val="bullet"/>
      <w:start w:val="1"/>
    </w:lvl>
  </w:abstractNum>
  <w:abstractNum w:abstractNumId="88">
    <w:nsid w:val="39EE015C"/>
    <w:multiLevelType w:val="hybridMultilevel"/>
    <w:lvl w:ilvl="0">
      <w:lvlJc w:val="left"/>
      <w:lvlText w:val="%1."/>
      <w:numFmt w:val="decimal"/>
      <w:start w:val="6"/>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
      <w:numFmt w:val="bullet"/>
      <w:start w:val="1"/>
    </w:lvl>
    <w:lvl w:ilvl="1">
      <w:lvlJc w:val="left"/>
      <w:lvlText w:val="%2."/>
      <w:numFmt w:val="decimal"/>
      <w:start w:val="1"/>
    </w:lvl>
  </w:abstractNum>
  <w:abstractNum w:abstractNumId="92">
    <w:nsid w:val="60EF0119"/>
    <w:multiLevelType w:val="hybridMultilevel"/>
    <w:lvl w:ilvl="0">
      <w:lvlJc w:val="left"/>
      <w:lvlText w:val="**"/>
      <w:numFmt w:val="bullet"/>
      <w:start w:val="1"/>
    </w:lvl>
    <w:lvl w:ilvl="1">
      <w:lvlJc w:val="left"/>
      <w:lvlText w:val="%2"/>
      <w:numFmt w:val="decimal"/>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2019-12-09T07:05:03Z</dcterms:created>
  <dcterms:modified xsi:type="dcterms:W3CDTF">2019-12-09T07:05:03Z</dcterms:modified>
</cp:coreProperties>
</file>