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52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5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BECKER DAWN M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EVP-General Counsel &amp; Sec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09/07/2017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24,346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145,809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144,995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131.12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144,795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131.07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144,495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1,486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131.06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143,009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131.05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143,005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131.04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142,629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141,833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131.02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141,733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1,424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131.01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140,309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131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139,809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130.97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139,009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137,309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137,252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130.92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137,152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130.91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136,452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130.9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135,752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130.89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135,652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130.88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135,152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130.86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135,052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2,980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130.85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132,072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130.84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129,952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878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130.83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129,074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130.82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128,274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2,446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130.81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125,828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130.8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125,128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130.79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124,785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130.78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124,433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130.77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123,995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 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20" w:type="dxa"/>
            <w:vAlign w:val="bottom"/>
            <w:gridSpan w:val="17"/>
          </w:tcPr>
          <w:p>
            <w:pPr>
              <w:jc w:val="center"/>
              <w:ind w:right="62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5160" w:type="dxa"/>
            <w:vAlign w:val="bottom"/>
            <w:gridSpan w:val="1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 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(A) or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73.03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24,346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0"/>
              </w:rPr>
              <w:t>Expiration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  <w:w w:val="70"/>
              </w:rPr>
              <w:t>02/10/2018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02/10/2011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24,346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89"/>
              </w:rPr>
              <w:t>interest</w:t>
            </w: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This is one of two Form 4s being filed to report one transaction that occurred on September 7, 2017 because the transaction would not fit on one Form 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2,157 shares were exercisable on 2/10/2011; 8,875 shares were exercisable on 2/10/2012 and 13,314 shares were exercisable on 2/10/2013.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Dawn M. Becker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09/08/2017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183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7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2019-12-24T00:30:36Z</dcterms:created>
  <dcterms:modified xsi:type="dcterms:W3CDTF">2019-12-24T00:30:36Z</dcterms:modified>
</cp:coreProperties>
</file>