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20"/>
        <w:spacing w:after="0"/>
        <w:rPr>
          <w:sz w:val="20"/>
          <w:szCs w:val="20"/>
          <w:color w:val="auto"/>
        </w:rPr>
      </w:pPr>
      <w:r>
        <w:rPr>
          <w:rFonts w:ascii="Arial" w:cs="Arial" w:eastAsia="Arial" w:hAnsi="Arial"/>
          <w:sz w:val="22"/>
          <w:szCs w:val="22"/>
          <w:b w:val="1"/>
          <w:bCs w:val="1"/>
          <w:color w:val="auto"/>
        </w:rPr>
        <w:t>Date of Report (Date of earliest event reported): February 24,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93"/>
              </w:rPr>
              <w:t>Maryland</w:t>
            </w: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(301) 998-8100</w:t>
      </w:r>
    </w:p>
    <w:p>
      <w:pPr>
        <w:spacing w:after="0" w:line="9"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34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exhibits listed in the following index relate to an offering under the Registrant’s Registration Statement on Form S-3 (No. 333-160009), and each is filed herewith for incorporation by reference in such Registration Statement.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15"/>
                <w:szCs w:val="15"/>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1.1</w:t>
            </w:r>
          </w:p>
        </w:tc>
        <w:tc>
          <w:tcPr>
            <w:tcW w:w="760" w:type="dxa"/>
            <w:vAlign w:val="bottom"/>
          </w:tcPr>
          <w:p>
            <w:pPr>
              <w:spacing w:after="0"/>
              <w:rPr>
                <w:sz w:val="17"/>
                <w:szCs w:val="17"/>
                <w:color w:val="auto"/>
              </w:rPr>
            </w:pPr>
          </w:p>
        </w:tc>
        <w:tc>
          <w:tcPr>
            <w:tcW w:w="9940" w:type="dxa"/>
            <w:vAlign w:val="bottom"/>
          </w:tcPr>
          <w:p>
            <w:pPr>
              <w:spacing w:after="0" w:line="201" w:lineRule="exact"/>
              <w:rPr>
                <w:sz w:val="20"/>
                <w:szCs w:val="20"/>
                <w:color w:val="auto"/>
              </w:rPr>
            </w:pPr>
            <w:r>
              <w:rPr>
                <w:rFonts w:ascii="Arial" w:cs="Arial" w:eastAsia="Arial" w:hAnsi="Arial"/>
                <w:sz w:val="18"/>
                <w:szCs w:val="18"/>
                <w:color w:val="auto"/>
                <w:w w:val="92"/>
              </w:rPr>
              <w:t>Underwriting Agreement, dated February 24, 2010, by and among the Registrant and Wells Fargo Securities, LLC and Banc of America</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Securities LLC, as representatives of the underwriters named in Schedule I to the related pricing agreement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Pricing Agreement, dated February 24, 2010, by and between the Registrant and certain underwriters named therein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Form of 5.90% Note due 2020</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legality of the 5.90% Notes due 2020</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8.1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material tax matters relating to the Registrant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March 1, 2010</w:t>
      </w:r>
      <w:r>
        <w:rPr>
          <w:sz w:val="20"/>
          <w:szCs w:val="20"/>
          <w:color w:val="auto"/>
        </w:rPr>
        <w:tab/>
      </w:r>
      <w:r>
        <w:rPr>
          <w:rFonts w:ascii="Arial" w:cs="Arial" w:eastAsia="Arial" w:hAnsi="Arial"/>
          <w:sz w:val="16"/>
          <w:szCs w:val="16"/>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President-Chief Operating Officer</w:t>
      </w:r>
    </w:p>
    <w:p>
      <w:pPr>
        <w:sectPr>
          <w:pgSz w:w="11900" w:h="16838" w:orient="portrait"/>
          <w:cols w:equalWidth="0" w:num="1">
            <w:col w:w="11400"/>
          </w:cols>
          <w:pgMar w:left="240" w:top="280"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ind w:left="3580"/>
              <w:spacing w:after="0"/>
              <w:rPr>
                <w:sz w:val="20"/>
                <w:szCs w:val="20"/>
                <w:color w:val="auto"/>
              </w:rPr>
            </w:pPr>
            <w:r>
              <w:rPr>
                <w:rFonts w:ascii="Arial" w:cs="Arial" w:eastAsia="Arial" w:hAnsi="Arial"/>
                <w:sz w:val="18"/>
                <w:szCs w:val="18"/>
                <w:color w:val="auto"/>
              </w:rPr>
              <w:t>EXHIBIT INDEX</w:t>
            </w:r>
          </w:p>
        </w:tc>
      </w:tr>
      <w:tr>
        <w:trPr>
          <w:trHeight w:val="36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1.1</w:t>
            </w:r>
          </w:p>
        </w:tc>
        <w:tc>
          <w:tcPr>
            <w:tcW w:w="760" w:type="dxa"/>
            <w:vAlign w:val="bottom"/>
          </w:tcPr>
          <w:p>
            <w:pPr>
              <w:spacing w:after="0"/>
              <w:rPr>
                <w:sz w:val="17"/>
                <w:szCs w:val="17"/>
                <w:color w:val="auto"/>
              </w:rPr>
            </w:pPr>
          </w:p>
        </w:tc>
        <w:tc>
          <w:tcPr>
            <w:tcW w:w="9940" w:type="dxa"/>
            <w:vAlign w:val="bottom"/>
          </w:tcPr>
          <w:p>
            <w:pPr>
              <w:spacing w:after="0" w:line="201" w:lineRule="exact"/>
              <w:rPr>
                <w:sz w:val="20"/>
                <w:szCs w:val="20"/>
                <w:color w:val="auto"/>
              </w:rPr>
            </w:pPr>
            <w:r>
              <w:rPr>
                <w:rFonts w:ascii="Arial" w:cs="Arial" w:eastAsia="Arial" w:hAnsi="Arial"/>
                <w:sz w:val="18"/>
                <w:szCs w:val="18"/>
                <w:color w:val="auto"/>
                <w:w w:val="92"/>
              </w:rPr>
              <w:t>Underwriting Agreement, dated February 24, 2010, by and among the Registrant and Wells Fargo Securities, LLC and Banc of America</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Securities LLC, as representatives of the underwriters named in Schedule I to the related pricing agreement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Pricing Agreement, dated February 24, 2010, by and between the Registrant and certain underwriters named therein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Form of 5.90% Note due 2020</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legality of the 5.90% Notes due 2020</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8.1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material tax matters relating to the Registrant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71" w:lineRule="exact"/>
        <w:rPr>
          <w:sz w:val="20"/>
          <w:szCs w:val="20"/>
          <w:color w:val="auto"/>
        </w:rPr>
      </w:pPr>
    </w:p>
    <w:p>
      <w:pPr>
        <w:ind w:left="10120"/>
        <w:spacing w:after="0"/>
        <w:rPr>
          <w:sz w:val="20"/>
          <w:szCs w:val="20"/>
          <w:color w:val="auto"/>
        </w:rPr>
      </w:pPr>
      <w:r>
        <w:rPr>
          <w:rFonts w:ascii="Arial" w:cs="Arial" w:eastAsia="Arial" w:hAnsi="Arial"/>
          <w:sz w:val="15"/>
          <w:szCs w:val="15"/>
          <w:color w:val="auto"/>
        </w:rPr>
        <w:t>February 24, 2010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ANC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MERICA</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ELLS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ARGO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LLC</w:t>
      </w:r>
    </w:p>
    <w:p>
      <w:pPr>
        <w:spacing w:after="0" w:line="20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c/o</w:t>
        <w:tab/>
        <w:t>Banc of America Securities LLC</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New York 10036</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301 S. College Street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Charlotte, North Carolina 28288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debt securities (the “Securities”) specified in Schedule II to such Pricing Agreement (with respect to the Securities specified in such Schedule II, the “Designated Securities”).</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terms and rights of any particular issuance of Designated Securities shall be as specified in the Pricing Agreement relating thereto and in or pursuant to the indenture (the “Indenture”) identified in such Pricing Agreement and resolutions of the board of trustees of the Company or a duly appointed committee thereof.</w:t>
      </w:r>
    </w:p>
    <w:p>
      <w:pPr>
        <w:spacing w:after="0" w:line="140" w:lineRule="exact"/>
        <w:rPr>
          <w:sz w:val="20"/>
          <w:szCs w:val="20"/>
          <w:color w:val="auto"/>
        </w:rPr>
      </w:pPr>
    </w:p>
    <w:p>
      <w:pPr>
        <w:jc w:val="both"/>
        <w:ind w:firstLine="464"/>
        <w:spacing w:after="0" w:line="259" w:lineRule="auto"/>
        <w:tabs>
          <w:tab w:leader="none" w:pos="663"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Particular sales of Designated Securities may be made from time to time to the Underwriters of such Designated Securities, for whom the firms designated as representatives of the Underwriters of such Designated Securities in the Pricing Agreement relating thereto will act as representatives (the “Representatives”). The term</w:t>
      </w:r>
    </w:p>
    <w:p>
      <w:pPr>
        <w:sectPr>
          <w:pgSz w:w="11900" w:h="16838" w:orient="portrait"/>
          <w:cols w:equalWidth="0" w:num="1">
            <w:col w:w="11420"/>
          </w:cols>
          <w:pgMar w:left="240" w:top="125" w:right="23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any of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124" w:lineRule="exact"/>
        <w:rPr>
          <w:sz w:val="20"/>
          <w:szCs w:val="20"/>
          <w:color w:val="auto"/>
        </w:rPr>
      </w:pPr>
    </w:p>
    <w:p>
      <w:pPr>
        <w:ind w:firstLine="464"/>
        <w:spacing w:after="0" w:line="268" w:lineRule="auto"/>
        <w:tabs>
          <w:tab w:leader="none" w:pos="63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as of the date hereof, the Applicable Time referred to in Section 2(c) hereof and the Time of Delivery referred to in Section 4 hereof that:</w:t>
      </w:r>
    </w:p>
    <w:p>
      <w:pPr>
        <w:spacing w:after="0" w:line="50" w:lineRule="exact"/>
        <w:rPr>
          <w:rFonts w:ascii="Arial" w:cs="Arial" w:eastAsia="Arial" w:hAnsi="Arial"/>
          <w:sz w:val="18"/>
          <w:szCs w:val="18"/>
          <w:color w:val="auto"/>
        </w:rPr>
      </w:pPr>
    </w:p>
    <w:p>
      <w:pPr>
        <w:jc w:val="both"/>
        <w:ind w:left="460" w:firstLine="443"/>
        <w:spacing w:after="0" w:line="286" w:lineRule="auto"/>
        <w:tabs>
          <w:tab w:leader="none" w:pos="1138"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Company has filed with the Securities and Exchange Commission (the “Commission”) an automatic shelf registration statement on Form S-3 (No. 333-160009), including the related preliminary prospectus, which registration statement became effective upon filing under Rule 462(e) of the rules and regulations of the Commission under the Securities Act of 1933, as amended (the “Act”). Such registration statement covers the registration of the Securities under the Act. Promptly after execution and delivery of a Pricing Agreement with respect to the Designated Securities specified therein, the Company will prepare and file a prospectus in accordance with the provisions of Rule 430B under the Act (“Rule 430B”) and paragraph (b) of Rule 424 under the Act (“Rule 424(b)”) (without reliance on Rule 424(b)(8)). Any information included in such prospectus that was omitted from such registration statement at the time it became effective but that is deemed to be part of and included in such registration statement pursuant to Rule 430B is referred to herein as “Rule 430B Information.” Each prospectus used in connection with the offering of Designated Securities that omitted Rule 430B Information is herein called a “preliminary prospectus.” Such registration statement, at any given time, including the amendments thereto at such time, the exhibits and any schedules thereto at such time, the documents incorporated by reference therein pursuant to Item 12 of Form S-3 under the Act at such time and the documents otherwise deemed to be a part thereof or included therein by the rules and regulations under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Act at such time, is herein called the “Registration Statement.” The Registration Statement at the time it originally became effective is herein called the “Original Registration Statement.” The final prospectus in the form first furnished to the Underwriters for use in connection with an offering of Designated Securities,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39" w:lineRule="exact"/>
        <w:rPr>
          <w:sz w:val="20"/>
          <w:szCs w:val="20"/>
          <w:color w:val="auto"/>
        </w:rPr>
      </w:pPr>
    </w:p>
    <w:p>
      <w:pPr>
        <w:jc w:val="both"/>
        <w:ind w:firstLine="438"/>
        <w:spacing w:after="0" w:line="289" w:lineRule="auto"/>
        <w:rPr>
          <w:sz w:val="20"/>
          <w:szCs w:val="20"/>
          <w:color w:val="auto"/>
        </w:rPr>
      </w:pPr>
      <w:r>
        <w:rPr>
          <w:rFonts w:ascii="Arial" w:cs="Arial" w:eastAsia="Arial" w:hAnsi="Arial"/>
          <w:sz w:val="16"/>
          <w:szCs w:val="16"/>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37" w:lineRule="exact"/>
        <w:rPr>
          <w:sz w:val="20"/>
          <w:szCs w:val="20"/>
          <w:color w:val="auto"/>
        </w:rPr>
      </w:pPr>
    </w:p>
    <w:p>
      <w:pPr>
        <w:jc w:val="both"/>
        <w:ind w:firstLine="443"/>
        <w:spacing w:after="0" w:line="287" w:lineRule="auto"/>
        <w:tabs>
          <w:tab w:leader="none" w:pos="689" w:val="left"/>
        </w:tabs>
        <w:numPr>
          <w:ilvl w:val="0"/>
          <w:numId w:val="5"/>
        </w:numPr>
        <w:rPr>
          <w:rFonts w:ascii="Arial" w:cs="Arial" w:eastAsia="Arial" w:hAnsi="Arial"/>
          <w:sz w:val="16"/>
          <w:szCs w:val="16"/>
          <w:color w:val="auto"/>
        </w:rPr>
      </w:pPr>
      <w:r>
        <w:rPr>
          <w:rFonts w:ascii="Arial" w:cs="Arial" w:eastAsia="Arial" w:hAnsi="Arial"/>
          <w:sz w:val="16"/>
          <w:szCs w:val="16"/>
          <w:color w:val="auto"/>
        </w:rPr>
        <w:t>(A)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Securities in reliance on the exemption of Rule 163 under the Act (“Rule 163”), (D) at the earliest time that the Company or another offering participant made a bona fide offer (within the meaning of Rule 164(h)(2) under the Act) of the Designated Securities, (E) at the date hereof and (F) at the date of each Pricing Agreement the Company was, is and will be a “well-known seasoned issuer” as defined in Rule 405 under the Act (“Rule 405”),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Rule 401(g)(2) under the Act objecting to the use of the automatic shelf registration statement form.</w:t>
      </w:r>
    </w:p>
    <w:p>
      <w:pPr>
        <w:spacing w:after="0" w:line="90" w:lineRule="exact"/>
        <w:rPr>
          <w:sz w:val="20"/>
          <w:szCs w:val="20"/>
          <w:color w:val="auto"/>
        </w:rPr>
      </w:pPr>
    </w:p>
    <w:p>
      <w:pPr>
        <w:jc w:val="both"/>
        <w:ind w:firstLine="443"/>
        <w:spacing w:after="0" w:line="298" w:lineRule="auto"/>
        <w:tabs>
          <w:tab w:leader="none" w:pos="69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Original Registration Statement became effective upon filing under Rule 462(e) under the Act (“Rule 462(e)”) on June 16, 2009,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32"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Any offer that is a written communication relating to the Securities made prior to the filing of the Original Registration Statement by the Company or any person acting on its behalf (within the meaning, for this paragraph only, of Rule 163(c)) has been filed (unless exempt from filing pursuant to Rule</w:t>
      </w:r>
    </w:p>
    <w:p>
      <w:pPr>
        <w:ind w:firstLine="4"/>
        <w:spacing w:after="0" w:line="323" w:lineRule="auto"/>
        <w:tabs>
          <w:tab w:leader="none" w:pos="374" w:val="left"/>
        </w:tabs>
        <w:numPr>
          <w:ilvl w:val="0"/>
          <w:numId w:val="7"/>
        </w:numPr>
        <w:rPr>
          <w:rFonts w:ascii="Arial" w:cs="Arial" w:eastAsia="Arial" w:hAnsi="Arial"/>
          <w:sz w:val="16"/>
          <w:szCs w:val="16"/>
          <w:color w:val="auto"/>
        </w:rPr>
      </w:pPr>
      <w:r>
        <w:rPr>
          <w:rFonts w:ascii="Arial" w:cs="Arial" w:eastAsia="Arial" w:hAnsi="Arial"/>
          <w:sz w:val="16"/>
          <w:szCs w:val="16"/>
          <w:color w:val="auto"/>
        </w:rPr>
        <w:t>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11" w:lineRule="exact"/>
        <w:rPr>
          <w:rFonts w:ascii="Arial" w:cs="Arial" w:eastAsia="Arial" w:hAnsi="Arial"/>
          <w:sz w:val="16"/>
          <w:szCs w:val="16"/>
          <w:color w:val="auto"/>
        </w:rPr>
      </w:pPr>
    </w:p>
    <w:p>
      <w:pPr>
        <w:jc w:val="both"/>
        <w:ind w:firstLine="443"/>
        <w:spacing w:after="0" w:line="294" w:lineRule="auto"/>
        <w:tabs>
          <w:tab w:leader="none" w:pos="743" w:val="left"/>
        </w:tabs>
        <w:numPr>
          <w:ilvl w:val="1"/>
          <w:numId w:val="7"/>
        </w:numPr>
        <w:rPr>
          <w:rFonts w:ascii="Arial" w:cs="Arial" w:eastAsia="Arial" w:hAnsi="Arial"/>
          <w:sz w:val="16"/>
          <w:szCs w:val="16"/>
          <w:color w:val="auto"/>
        </w:rPr>
      </w:pPr>
      <w:r>
        <w:rPr>
          <w:rFonts w:ascii="Arial" w:cs="Arial" w:eastAsia="Arial" w:hAnsi="Arial"/>
          <w:sz w:val="16"/>
          <w:szCs w:val="16"/>
          <w:color w:val="auto"/>
        </w:rPr>
        <w:t>At the respective times the Original Registration Statement and each amendment thereto became effective, (B) at each deemed effective date with respect to the Underwriters pursuant to Rule 430B(f)(2) under the Act and (C) at the Time of Delivery, the Registration Statement complied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35" w:lineRule="exact"/>
        <w:rPr>
          <w:sz w:val="20"/>
          <w:szCs w:val="20"/>
          <w:color w:val="auto"/>
        </w:rPr>
      </w:pPr>
    </w:p>
    <w:p>
      <w:pPr>
        <w:jc w:val="both"/>
        <w:ind w:firstLine="438"/>
        <w:spacing w:after="0" w:line="306" w:lineRule="auto"/>
        <w:rPr>
          <w:sz w:val="20"/>
          <w:szCs w:val="20"/>
          <w:color w:val="auto"/>
        </w:rPr>
      </w:pPr>
      <w:r>
        <w:rPr>
          <w:rFonts w:ascii="Arial" w:cs="Arial" w:eastAsia="Arial" w:hAnsi="Arial"/>
          <w:sz w:val="16"/>
          <w:szCs w:val="16"/>
          <w:color w:val="auto"/>
        </w:rPr>
        <w:t>Neither the Prospectus nor any amendments or supplements thereto, at the time the Prospectus or any such amendment or supplement was issued and at the Time of Delivery, included or will include an untrue statement of a material fact or omitted or will omit to state a material fact necessary in order to make the statements therein, in the light of the circumstances under which they were made, not misleading.</w:t>
      </w:r>
    </w:p>
    <w:p>
      <w:pPr>
        <w:spacing w:after="0" w:line="26" w:lineRule="exact"/>
        <w:rPr>
          <w:sz w:val="20"/>
          <w:szCs w:val="20"/>
          <w:color w:val="auto"/>
        </w:rPr>
      </w:pPr>
    </w:p>
    <w:p>
      <w:pPr>
        <w:jc w:val="both"/>
        <w:ind w:firstLine="438"/>
        <w:spacing w:after="0" w:line="255" w:lineRule="auto"/>
        <w:rPr>
          <w:sz w:val="20"/>
          <w:szCs w:val="20"/>
          <w:color w:val="auto"/>
        </w:rPr>
      </w:pPr>
      <w:r>
        <w:rPr>
          <w:rFonts w:ascii="Arial" w:cs="Arial" w:eastAsia="Arial" w:hAnsi="Arial"/>
          <w:sz w:val="18"/>
          <w:szCs w:val="18"/>
          <w:color w:val="auto"/>
        </w:rPr>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 Statutory Prospectus and the Prospectus delivered to the Underwriters for use in connection with each offering of Designated Securities will be identical to the electronically transmitted copies thereof filed with the Commission pursuant to EDGAR, except to the extent permitted by Regulation S-T.</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8" w:name="page9"/>
    <w:bookmarkEnd w:id="8"/>
    <w:p>
      <w:pPr>
        <w:jc w:val="both"/>
        <w:ind w:firstLine="43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the Applicable Time (as defined below), the Statutory Prospectus, when considered together with the Issuer Free Writing Prospectus(es) (as defined below) issued at or prior to the Applicable Time, will not include any untrue statement of a material fact or omit to state any material fact necessary in order to make the statements therein, in the light of the circumstances under which they were made, not misleading. The Statutory Prospectus and the Issuer Free Writing Prospectus(es) are collectively referred to herein as the “General Disclosure Package.”</w:t>
      </w:r>
    </w:p>
    <w:p>
      <w:pPr>
        <w:spacing w:after="0" w:line="32" w:lineRule="exact"/>
        <w:rPr>
          <w:sz w:val="20"/>
          <w:szCs w:val="20"/>
          <w:color w:val="auto"/>
        </w:rPr>
      </w:pPr>
    </w:p>
    <w:p>
      <w:pPr>
        <w:jc w:val="both"/>
        <w:ind w:firstLine="438"/>
        <w:spacing w:after="0" w:line="298" w:lineRule="auto"/>
        <w:rPr>
          <w:sz w:val="20"/>
          <w:szCs w:val="20"/>
          <w:color w:val="auto"/>
        </w:rPr>
      </w:pPr>
      <w:r>
        <w:rPr>
          <w:rFonts w:ascii="Arial" w:cs="Arial" w:eastAsia="Arial" w:hAnsi="Arial"/>
          <w:sz w:val="16"/>
          <w:szCs w:val="16"/>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subsection and elsewhere in this Underwriting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“Applicable Time” shall have the meaning set forth in the Pricing Agreement with respect to the Designated Securities specified therein.</w:t>
      </w:r>
    </w:p>
    <w:p>
      <w:pPr>
        <w:spacing w:after="0" w:line="113" w:lineRule="exact"/>
        <w:rPr>
          <w:sz w:val="20"/>
          <w:szCs w:val="20"/>
          <w:color w:val="auto"/>
        </w:rPr>
      </w:pPr>
    </w:p>
    <w:p>
      <w:pPr>
        <w:jc w:val="both"/>
        <w:ind w:firstLine="438"/>
        <w:spacing w:after="0" w:line="291" w:lineRule="auto"/>
        <w:rPr>
          <w:sz w:val="20"/>
          <w:szCs w:val="20"/>
          <w:color w:val="auto"/>
        </w:rPr>
      </w:pPr>
      <w:r>
        <w:rPr>
          <w:rFonts w:ascii="Arial" w:cs="Arial" w:eastAsia="Arial" w:hAnsi="Arial"/>
          <w:sz w:val="16"/>
          <w:szCs w:val="16"/>
          <w:color w:val="auto"/>
        </w:rPr>
        <w:t>“Issuer Free Writing Prospectus” means any “issuer free writing prospectus,” as defined in Rule 433 under the Act (“Rule 433”), relating to any particular issuance of Designated Securities (including any identified on Exhibit B hereto)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a particular issuance of Designated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39" w:lineRule="exact"/>
        <w:rPr>
          <w:sz w:val="20"/>
          <w:szCs w:val="20"/>
          <w:color w:val="auto"/>
        </w:rPr>
      </w:pPr>
    </w:p>
    <w:p>
      <w:pPr>
        <w:jc w:val="both"/>
        <w:ind w:firstLine="438"/>
        <w:spacing w:after="0" w:line="306" w:lineRule="auto"/>
        <w:rPr>
          <w:sz w:val="20"/>
          <w:szCs w:val="20"/>
          <w:color w:val="auto"/>
        </w:rPr>
      </w:pPr>
      <w:r>
        <w:rPr>
          <w:rFonts w:ascii="Arial" w:cs="Arial" w:eastAsia="Arial" w:hAnsi="Arial"/>
          <w:sz w:val="16"/>
          <w:szCs w:val="16"/>
          <w:color w:val="auto"/>
        </w:rPr>
        <w:t>“Statutory Prospectus” as of any time means the prospectus that is included in the Registration Statement immediately prior to that time and the preliminary prospectus supplement relating to a particular issuance of Designated Securities set forth in the Pricing Agreement, including the documents incorporated by reference therein and any other preliminary or other prospectus deemed to be a part thereof.</w:t>
      </w:r>
    </w:p>
    <w:p>
      <w:pPr>
        <w:spacing w:after="0" w:line="26" w:lineRule="exact"/>
        <w:rPr>
          <w:sz w:val="20"/>
          <w:szCs w:val="20"/>
          <w:color w:val="auto"/>
        </w:rPr>
      </w:pPr>
    </w:p>
    <w:p>
      <w:pPr>
        <w:ind w:firstLine="443"/>
        <w:spacing w:after="0" w:line="370" w:lineRule="auto"/>
        <w:tabs>
          <w:tab w:leader="none" w:pos="696"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w:t>
      </w:r>
    </w:p>
    <w:p>
      <w:pPr>
        <w:spacing w:after="0" w:line="4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requirements of the Act or the Exchange Act, as applicable, and the rules and regulations of the Commission thereunder.</w:t>
      </w:r>
    </w:p>
    <w:p>
      <w:pPr>
        <w:spacing w:after="0" w:line="90" w:lineRule="exact"/>
        <w:rPr>
          <w:sz w:val="20"/>
          <w:szCs w:val="20"/>
          <w:color w:val="auto"/>
        </w:rPr>
      </w:pPr>
    </w:p>
    <w:p>
      <w:pPr>
        <w:jc w:val="both"/>
        <w:ind w:firstLine="443"/>
        <w:spacing w:after="0" w:line="291" w:lineRule="auto"/>
        <w:tabs>
          <w:tab w:leader="none" w:pos="683" w:val="left"/>
        </w:tabs>
        <w:numPr>
          <w:ilvl w:val="0"/>
          <w:numId w:val="9"/>
        </w:numPr>
        <w:rPr>
          <w:rFonts w:ascii="Arial" w:cs="Arial" w:eastAsia="Arial" w:hAnsi="Arial"/>
          <w:sz w:val="16"/>
          <w:szCs w:val="16"/>
          <w:color w:val="auto"/>
        </w:rPr>
      </w:pPr>
      <w:r>
        <w:rPr>
          <w:rFonts w:ascii="Arial" w:cs="Arial" w:eastAsia="Arial" w:hAnsi="Arial"/>
          <w:sz w:val="16"/>
          <w:szCs w:val="16"/>
          <w:color w:val="auto"/>
        </w:rPr>
        <w:t>Each Issuer Free Writing Prospectus identified on Exhibit B hereto, as of its issue date and at all subsequent times through the completion of the public offer and sale of the Designated Securities or until any earlier date that the Company notified or notifies the Underwriters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39" w:lineRule="exact"/>
        <w:rPr>
          <w:rFonts w:ascii="Arial" w:cs="Arial" w:eastAsia="Arial" w:hAnsi="Arial"/>
          <w:sz w:val="16"/>
          <w:szCs w:val="16"/>
          <w:color w:val="auto"/>
        </w:rPr>
      </w:pPr>
    </w:p>
    <w:p>
      <w:pPr>
        <w:jc w:val="both"/>
        <w:ind w:firstLine="443"/>
        <w:spacing w:after="0" w:line="285" w:lineRule="auto"/>
        <w:tabs>
          <w:tab w:leader="none" w:pos="66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and in good standing as a real estate investment trust under the laws of the State of Maryland, with full power and authority to own, lease and operate its properties and conduct its business as described in the Registration Statement, the General Disclosure Package and the Prospectus; the Company has interests in a number of entities (collectively, the “Entities”), identified on Exhibit D, which have been duly organized and are validly existing as corporations, partnerships, limited liability companies, trusts or joint ventures, as the case may be, in good standing under the laws of the jurisdiction of their organization (except for joint ventures, which have no good standing certificate requirements), with full power and authority to own, lease and operate their properties and conduct their business as described in the Registration Statement, the General Disclosure Package and the Prospectus; except as otherwise denoted in Exhibit D hereto, all of the equity interests in the Entities are owned by the Company free and clear of all pledges, liens, encumbrances, claims, security interests and defects; all of the issued and outstanding stock of each Entity that is a corporation has been duly authorized and validly issued and is fully paid and non-assessable; no options, warrants or other rights to convert any obligations into partnership or other ownership interests in the Entities are outstanding other than contractual rights existing on the date of the applicable Pricing Agreement by the current and former holders of partnership or other interests in certain of the “DownREIT” and other Entities listed in Exhibit D hereto which may result in the issuance of common shares of beneficial interest of the Company (“Common Shares”); and the Company and the Entities are duly qualified to transact business in all jurisdictions in which the Company and the Entities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the Entities considered as one enterprise.</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10" w:name="page11"/>
    <w:bookmarkEnd w:id="10"/>
    <w:p>
      <w:pPr>
        <w:jc w:val="both"/>
        <w:ind w:firstLine="443"/>
        <w:spacing w:after="0" w:line="285"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of the Entities has sustained since the date of the latest audited financial statements included or incorporated by reference in the Registration Statement, the General Disclosure Package and the Prospectus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 shares of the Company (except for subsequent issuances, if any, of Common Shares pursuant to (x) the Company’s Dividend Reinvestment and Share Purchase Plan as in effect on the date of the applicable Pricing Agreement, (y) any of the Company’s employee or trustee benefits plans or employee inducement awards, including upon exercise of share options granted pursuant thereto, as such plans are in effect on the date of the applicable Pricing Agreement or consistent with past practice, or (z) the exercise of contractual rights existing on the date of the applicable Pricing Agreement by the current and former holders of partnership or other interests in certain of the “DownREIT” and other Entities listed in Exhibit D hereto which may result in the issuance of Common Shares of the Company) or any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the Entities taken as a whole, otherwise than as set forth or contemplated in the General Disclosure Package and the Prospectus.</w:t>
      </w:r>
    </w:p>
    <w:p>
      <w:pPr>
        <w:spacing w:after="0" w:line="47" w:lineRule="exact"/>
        <w:rPr>
          <w:rFonts w:ascii="Arial" w:cs="Arial" w:eastAsia="Arial" w:hAnsi="Arial"/>
          <w:sz w:val="16"/>
          <w:szCs w:val="16"/>
          <w:color w:val="auto"/>
        </w:rPr>
      </w:pPr>
    </w:p>
    <w:p>
      <w:pPr>
        <w:jc w:val="both"/>
        <w:ind w:firstLine="443"/>
        <w:spacing w:after="0" w:line="256" w:lineRule="auto"/>
        <w:tabs>
          <w:tab w:leader="none" w:pos="6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Company’s consolidated balance sheet as of December 31, 2009 set forth in the Company’s Annual Report on Form 10-K for the year ended December 31, 2009, all of the issued capital shares of the Company have been duly and validly authorized and issued and are fully paid and non-assessable, and none of the outstanding capital shares of the Company was issued in violation of any preemptive or other similar rights of any securityholder of the Company.</w:t>
      </w:r>
    </w:p>
    <w:p>
      <w:pPr>
        <w:spacing w:after="0" w:line="62" w:lineRule="exact"/>
        <w:rPr>
          <w:rFonts w:ascii="Arial" w:cs="Arial" w:eastAsia="Arial" w:hAnsi="Arial"/>
          <w:sz w:val="18"/>
          <w:szCs w:val="18"/>
          <w:color w:val="auto"/>
        </w:rPr>
      </w:pPr>
    </w:p>
    <w:p>
      <w:pPr>
        <w:jc w:val="both"/>
        <w:ind w:firstLine="443"/>
        <w:spacing w:after="0" w:line="290" w:lineRule="auto"/>
        <w:tabs>
          <w:tab w:leader="none" w:pos="65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Designated Securities have been duly and validly authorized, and, when such Designated Securities are issued and delivered pursuant to this Underwriting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the Indenture will constitute a valid and legally binding instrument, enforceable in accordance with its terms, subject, as to enforcement, to bankruptcy, insolvency, reorganization and other laws of general applicability relating to or affecting</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creditors’ rights and to general equity principles; and the Indenture conforms, and the Designated Securities will conform, to the descriptions thereof contained in the Registration Statement, the General Disclosure Package and the Prospectus, as amended or supplemented, with respect to such Designated Securities.</w:t>
      </w:r>
    </w:p>
    <w:p>
      <w:pPr>
        <w:spacing w:after="0" w:line="59" w:lineRule="exact"/>
        <w:rPr>
          <w:sz w:val="20"/>
          <w:szCs w:val="20"/>
          <w:color w:val="auto"/>
        </w:rPr>
      </w:pPr>
    </w:p>
    <w:p>
      <w:pPr>
        <w:jc w:val="both"/>
        <w:ind w:firstLine="443"/>
        <w:spacing w:after="0" w:line="289" w:lineRule="auto"/>
        <w:tabs>
          <w:tab w:leader="none" w:pos="65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37" w:lineRule="exact"/>
        <w:rPr>
          <w:rFonts w:ascii="Arial" w:cs="Arial" w:eastAsia="Arial" w:hAnsi="Arial"/>
          <w:sz w:val="16"/>
          <w:szCs w:val="16"/>
          <w:color w:val="auto"/>
        </w:rPr>
      </w:pPr>
    </w:p>
    <w:p>
      <w:pPr>
        <w:jc w:val="both"/>
        <w:ind w:firstLine="443"/>
        <w:spacing w:after="0" w:line="286" w:lineRule="auto"/>
        <w:tabs>
          <w:tab w:leader="none" w:pos="6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issue and sale of the Designated Securities and the compliance by the Company with all of the provisions of the Designated Securities, this Underwriting Agreement and the Pricing Agreement with respect to such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the Entities is a party or by which the Company or any of the Entities is bound or to which any of the property or assets of the Company or any of the Entities is subject, nor will such action result in any violation of the provisions of the declaration of trust (“Declaration of Trust”) or bylaws (“Bylaws”) of the Company or any statute or any order, rule or regulation of any court or governmental agency or body having jurisdiction over the Company or any of the Entities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Underwriting Agreement or any Pricing Agreement or the Indenture, except such as have been, or will have been prior to the Time of Delivery, obtained under the Act, the Exchange Act and the Trust Indenture Act and except for the rules of the New York Stock Exchange, Inc. (the “NYSE”) and such consents, approvals, authorizations, registrations or qualifications as may be required under state securities or “Blue Sky” laws in connection with the purchase and distribution of the Designated Securities by the Underwriters.</w:t>
      </w:r>
    </w:p>
    <w:p>
      <w:pPr>
        <w:spacing w:after="0" w:line="39" w:lineRule="exact"/>
        <w:rPr>
          <w:rFonts w:ascii="Arial" w:cs="Arial" w:eastAsia="Arial" w:hAnsi="Arial"/>
          <w:sz w:val="16"/>
          <w:szCs w:val="16"/>
          <w:color w:val="auto"/>
        </w:rPr>
      </w:pPr>
    </w:p>
    <w:p>
      <w:pPr>
        <w:ind w:left="660" w:hanging="217"/>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than as set forth in the Registration Statement, the General Disclosure Package and the Prospectus, there are no legal or governmental</w:t>
      </w:r>
    </w:p>
    <w:p>
      <w:pPr>
        <w:spacing w:after="0" w:line="18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2" w:name="page13"/>
    <w:bookmarkEnd w:id="12"/>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proceedings pending to which the Company or any of the Entities is a party or of which any property of the Company or any of the Entities is the subject which, if determined adversely to the Company or any of the Entities, would individually or in the aggregate have a material adverse effect on the consolidated financial position, shareholders’ equity or results of operations of the Company and the Entities considered as one enterprise; and, to the best of the Company’s knowledge, no such proceedings are threatened or contemplated by governmental authorities or threatened by others.</w:t>
      </w:r>
    </w:p>
    <w:p>
      <w:pPr>
        <w:spacing w:after="0" w:line="32" w:lineRule="exact"/>
        <w:rPr>
          <w:sz w:val="20"/>
          <w:szCs w:val="20"/>
          <w:color w:val="auto"/>
        </w:rPr>
      </w:pPr>
    </w:p>
    <w:p>
      <w:pPr>
        <w:jc w:val="both"/>
        <w:ind w:firstLine="443"/>
        <w:spacing w:after="0" w:line="291" w:lineRule="auto"/>
        <w:tabs>
          <w:tab w:leader="none" w:pos="74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and the Entities, together with related notes and schedules as set forth or incorporated by reference in the Registration Statement, the General Disclosure Package and the Prospectus present fairly the financial position and the results of operations of the Company and the Entities at the indicated dates and for the indicated periods. Such consolidated financial statements have been prepared in accordance with generally accepted accounting principles, consistently applied throughout the periods involved, and all adjustments necessary for a fair presentation of results for such periods have been made. The summary financial and statistical data contained in the Prospectus present fairly the information shown therein and have been compiled on a basis consistent with the consolidated financial statements incorporated by reference therein.</w:t>
      </w:r>
    </w:p>
    <w:p>
      <w:pPr>
        <w:spacing w:after="0" w:line="39" w:lineRule="exact"/>
        <w:rPr>
          <w:rFonts w:ascii="Arial" w:cs="Arial" w:eastAsia="Arial" w:hAnsi="Arial"/>
          <w:sz w:val="16"/>
          <w:szCs w:val="16"/>
          <w:color w:val="auto"/>
        </w:rPr>
      </w:pPr>
    </w:p>
    <w:p>
      <w:pPr>
        <w:jc w:val="both"/>
        <w:ind w:firstLine="443"/>
        <w:spacing w:after="0" w:line="256"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and the Entities have good and marketable title to, or valid and enforceable leasehold estates in, all items of real and personal property referred to in the Registration Statement, the General Disclosure Package and the Prospectus as owned or leased by the Company or any of the Entities, in each case free and clear of all pledges, liens, encumbrances, claims, security interests and defects, other than those referred to in the Prospectus or which are not material in amount.</w:t>
      </w:r>
    </w:p>
    <w:p>
      <w:pPr>
        <w:spacing w:after="0" w:line="62" w:lineRule="exact"/>
        <w:rPr>
          <w:rFonts w:ascii="Arial" w:cs="Arial" w:eastAsia="Arial" w:hAnsi="Arial"/>
          <w:sz w:val="18"/>
          <w:szCs w:val="18"/>
          <w:color w:val="auto"/>
        </w:rPr>
      </w:pPr>
    </w:p>
    <w:p>
      <w:pPr>
        <w:jc w:val="both"/>
        <w:ind w:firstLine="443"/>
        <w:spacing w:after="0" w:line="259" w:lineRule="auto"/>
        <w:tabs>
          <w:tab w:leader="none" w:pos="7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and the Entities have filed all federal, state, local and foreign income tax returns which have been required to be filed, or appropriate extensions for such filings have been obtained as required by law, and all federal, state, local and foreign taxes of the Company and the Entities have been paid except such taxes as are not yet due or are being contested in good faith.</w:t>
      </w:r>
    </w:p>
    <w:p>
      <w:pPr>
        <w:spacing w:after="0" w:line="59" w:lineRule="exact"/>
        <w:rPr>
          <w:rFonts w:ascii="Arial" w:cs="Arial" w:eastAsia="Arial" w:hAnsi="Arial"/>
          <w:sz w:val="18"/>
          <w:szCs w:val="18"/>
          <w:color w:val="auto"/>
        </w:rPr>
      </w:pPr>
    </w:p>
    <w:p>
      <w:pPr>
        <w:jc w:val="both"/>
        <w:ind w:firstLine="443"/>
        <w:spacing w:after="0" w:line="259" w:lineRule="auto"/>
        <w:tabs>
          <w:tab w:leader="none" w:pos="6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and each of the Entities hold all material licenses, certificates and permits from governmental authorities which are necessary to the conduct of their respective businesses; and neither the Company nor any of the Entities has infringed any patents, patent rights, trade names, trademarks or copyrights, which infringement is material to the business of the Company.</w:t>
      </w:r>
    </w:p>
    <w:p>
      <w:pPr>
        <w:spacing w:after="0" w:line="59" w:lineRule="exact"/>
        <w:rPr>
          <w:rFonts w:ascii="Arial" w:cs="Arial" w:eastAsia="Arial" w:hAnsi="Arial"/>
          <w:sz w:val="18"/>
          <w:szCs w:val="18"/>
          <w:color w:val="auto"/>
        </w:rPr>
      </w:pPr>
    </w:p>
    <w:p>
      <w:pPr>
        <w:jc w:val="both"/>
        <w:ind w:firstLine="443"/>
        <w:spacing w:after="0" w:line="259" w:lineRule="auto"/>
        <w:tabs>
          <w:tab w:leader="none" w:pos="7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 Thornton LLP, which audited the consolidated balance sheets of the Company and subsidiaries as of December 31, 2009 and the consolidated statements of operations, consolidated statements of shareholders’ equity and consolidated statements of cash flows for the year ended December 31,</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2009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59" w:lineRule="exact"/>
        <w:rPr>
          <w:sz w:val="20"/>
          <w:szCs w:val="20"/>
          <w:color w:val="auto"/>
        </w:rPr>
      </w:pPr>
    </w:p>
    <w:p>
      <w:pPr>
        <w:jc w:val="both"/>
        <w:ind w:firstLine="443"/>
        <w:spacing w:after="0" w:line="282" w:lineRule="auto"/>
        <w:tabs>
          <w:tab w:leader="none" w:pos="668"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U.S. generally accepted accounting principles.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w:t>
      </w:r>
    </w:p>
    <w:p>
      <w:pPr>
        <w:spacing w:after="0" w:line="5" w:lineRule="exact"/>
        <w:rPr>
          <w:rFonts w:ascii="Arial" w:cs="Arial" w:eastAsia="Arial" w:hAnsi="Arial"/>
          <w:sz w:val="16"/>
          <w:szCs w:val="16"/>
          <w:color w:val="auto"/>
        </w:rPr>
      </w:pPr>
    </w:p>
    <w:p>
      <w:pPr>
        <w:ind w:firstLine="4"/>
        <w:spacing w:after="0" w:line="261" w:lineRule="auto"/>
        <w:tabs>
          <w:tab w:leader="none" w:pos="2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controls over financial reporting.</w:t>
      </w:r>
    </w:p>
    <w:p>
      <w:pPr>
        <w:spacing w:after="0" w:line="56" w:lineRule="exact"/>
        <w:rPr>
          <w:rFonts w:ascii="Arial" w:cs="Arial" w:eastAsia="Arial" w:hAnsi="Arial"/>
          <w:sz w:val="18"/>
          <w:szCs w:val="18"/>
          <w:color w:val="auto"/>
        </w:rPr>
      </w:pPr>
    </w:p>
    <w:p>
      <w:pPr>
        <w:ind w:firstLine="443"/>
        <w:spacing w:after="0" w:line="332" w:lineRule="auto"/>
        <w:tabs>
          <w:tab w:leader="none" w:pos="69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4" w:lineRule="exact"/>
        <w:rPr>
          <w:rFonts w:ascii="Arial" w:cs="Arial" w:eastAsia="Arial" w:hAnsi="Arial"/>
          <w:sz w:val="16"/>
          <w:szCs w:val="16"/>
          <w:color w:val="auto"/>
        </w:rPr>
      </w:pPr>
    </w:p>
    <w:p>
      <w:pPr>
        <w:jc w:val="both"/>
        <w:ind w:firstLine="443"/>
        <w:spacing w:after="0" w:line="298" w:lineRule="auto"/>
        <w:tabs>
          <w:tab w:leader="none" w:pos="659"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4" w:name="page15"/>
    <w:bookmarkEnd w:id="14"/>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or the Entities, the Company represents that, as of the date of this Underwriting Agreement, it has no knowledge of any material failure by the Company or the Entities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26" w:lineRule="exact"/>
        <w:rPr>
          <w:sz w:val="20"/>
          <w:szCs w:val="20"/>
          <w:color w:val="auto"/>
        </w:rPr>
      </w:pPr>
    </w:p>
    <w:p>
      <w:pPr>
        <w:jc w:val="both"/>
        <w:ind w:firstLine="443"/>
        <w:spacing w:after="0" w:line="255" w:lineRule="auto"/>
        <w:tabs>
          <w:tab w:leader="none" w:pos="6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With respect to all tax periods regarding which the Internal Revenue Service is or will be entitled to assert any claim, the Company has met the requirements for qualification as a real estate investment trust under Sections 856 through 860 of the Internal Revenue Code of 1986, as amended (the “Code”),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w:t>
      </w:r>
    </w:p>
    <w:p>
      <w:pPr>
        <w:spacing w:after="0" w:line="61" w:lineRule="exact"/>
        <w:rPr>
          <w:rFonts w:ascii="Arial" w:cs="Arial" w:eastAsia="Arial" w:hAnsi="Arial"/>
          <w:sz w:val="18"/>
          <w:szCs w:val="18"/>
          <w:color w:val="auto"/>
        </w:rPr>
      </w:pPr>
    </w:p>
    <w:p>
      <w:pPr>
        <w:jc w:val="both"/>
        <w:ind w:firstLine="443"/>
        <w:spacing w:after="0" w:line="291" w:lineRule="auto"/>
        <w:tabs>
          <w:tab w:leader="none" w:pos="709"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39" w:lineRule="exact"/>
        <w:rPr>
          <w:rFonts w:ascii="Arial" w:cs="Arial" w:eastAsia="Arial" w:hAnsi="Arial"/>
          <w:sz w:val="16"/>
          <w:szCs w:val="16"/>
          <w:color w:val="auto"/>
        </w:rPr>
      </w:pPr>
    </w:p>
    <w:p>
      <w:pPr>
        <w:jc w:val="both"/>
        <w:ind w:firstLine="443"/>
        <w:spacing w:after="0" w:line="283" w:lineRule="auto"/>
        <w:tabs>
          <w:tab w:leader="none" w:pos="729" w:val="left"/>
        </w:tabs>
        <w:numPr>
          <w:ilvl w:val="1"/>
          <w:numId w:val="15"/>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best knowledge of the Company, any trustee, officer, agent, employee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or</w:t>
      </w:r>
    </w:p>
    <w:p>
      <w:pPr>
        <w:spacing w:after="0" w:line="2" w:lineRule="exact"/>
        <w:rPr>
          <w:rFonts w:ascii="Arial" w:cs="Arial" w:eastAsia="Arial" w:hAnsi="Arial"/>
          <w:sz w:val="16"/>
          <w:szCs w:val="16"/>
          <w:color w:val="auto"/>
        </w:rPr>
      </w:pPr>
    </w:p>
    <w:p>
      <w:pPr>
        <w:ind w:left="300" w:hanging="296"/>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made any bribe, rebate, payoff, influence payment, kickback or other unlawful payment.</w:t>
      </w:r>
    </w:p>
    <w:p>
      <w:pPr>
        <w:spacing w:after="0" w:line="83" w:lineRule="exact"/>
        <w:rPr>
          <w:rFonts w:ascii="Arial" w:cs="Arial" w:eastAsia="Arial" w:hAnsi="Arial"/>
          <w:sz w:val="18"/>
          <w:szCs w:val="18"/>
          <w:color w:val="auto"/>
        </w:rPr>
      </w:pPr>
    </w:p>
    <w:p>
      <w:pPr>
        <w:jc w:val="both"/>
        <w:ind w:firstLine="443"/>
        <w:spacing w:after="0" w:line="255" w:lineRule="auto"/>
        <w:tabs>
          <w:tab w:leader="none" w:pos="732"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15" w:name="page16"/>
    <w:bookmarkEnd w:id="15"/>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involving the Company or any of its subsidiaries with respect to the Money Laundering Laws is pending or, to the best knowledge of the Company, threatened.</w:t>
      </w:r>
    </w:p>
    <w:p>
      <w:pPr>
        <w:spacing w:after="0" w:line="51" w:lineRule="exact"/>
        <w:rPr>
          <w:sz w:val="20"/>
          <w:szCs w:val="20"/>
          <w:color w:val="auto"/>
        </w:rPr>
      </w:pPr>
    </w:p>
    <w:p>
      <w:pPr>
        <w:jc w:val="both"/>
        <w:ind w:left="460" w:firstLine="443"/>
        <w:spacing w:after="0" w:line="255" w:lineRule="auto"/>
        <w:tabs>
          <w:tab w:leader="none" w:pos="1172"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trustee, officer, agent, employee or affiliate of the Company or any of its subsidiaries is currently subject to any U.S. sanctions administered by the Office of Foreign Assets Control of the U.S. Department of the Treasury (“OFAC”); and the Company will not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42" w:lineRule="exact"/>
        <w:rPr>
          <w:rFonts w:ascii="Arial" w:cs="Arial" w:eastAsia="Arial" w:hAnsi="Arial"/>
          <w:sz w:val="18"/>
          <w:szCs w:val="18"/>
          <w:color w:val="auto"/>
        </w:rPr>
      </w:pPr>
    </w:p>
    <w:p>
      <w:pPr>
        <w:jc w:val="both"/>
        <w:ind w:firstLine="464"/>
        <w:spacing w:after="0" w:line="259" w:lineRule="auto"/>
        <w:tabs>
          <w:tab w:leader="none" w:pos="6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40" w:lineRule="exact"/>
        <w:rPr>
          <w:rFonts w:ascii="Arial" w:cs="Arial" w:eastAsia="Arial" w:hAnsi="Arial"/>
          <w:sz w:val="18"/>
          <w:szCs w:val="18"/>
          <w:color w:val="auto"/>
        </w:rPr>
      </w:pPr>
    </w:p>
    <w:p>
      <w:pPr>
        <w:jc w:val="both"/>
        <w:ind w:firstLine="464"/>
        <w:spacing w:after="0" w:line="290" w:lineRule="auto"/>
        <w:tabs>
          <w:tab w:leader="none" w:pos="63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Designated Securities to be purchased by each Underwriter shall be delivered to the Representatives for the account of such Underwriter in the form of one or more global certificates in aggregate denomination equal to the aggregate principal amount of the Designated Securities upon original issuance and registered in the name of Cede &amp; Co., as nominee for The Depository Trust Company,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agrees with each of the Underwriters of any Designated Securities that:</w:t>
      </w:r>
    </w:p>
    <w:p>
      <w:pPr>
        <w:spacing w:after="0" w:line="90" w:lineRule="exact"/>
        <w:rPr>
          <w:rFonts w:ascii="Arial" w:cs="Arial" w:eastAsia="Arial" w:hAnsi="Arial"/>
          <w:sz w:val="18"/>
          <w:szCs w:val="18"/>
          <w:color w:val="auto"/>
        </w:rPr>
      </w:pPr>
    </w:p>
    <w:p>
      <w:pPr>
        <w:jc w:val="both"/>
        <w:ind w:left="460" w:firstLine="443"/>
        <w:spacing w:after="0" w:line="254" w:lineRule="auto"/>
        <w:tabs>
          <w:tab w:leader="none" w:pos="1155"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Securities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jc w:val="both"/>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Securities for offering or sale in any jurisdiction, or of the initiation or threatening of any proceedings for any of such purposes or of any examination pursuant to Section 8(e) of the Act concerning the Registration Statement and (v) if the Company becomes the subject of a proceeding under Section 8A of the Act in connection with the offering of the Designated Securities. The Company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Securities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43" w:lineRule="exact"/>
        <w:rPr>
          <w:sz w:val="20"/>
          <w:szCs w:val="20"/>
          <w:color w:val="auto"/>
        </w:rPr>
      </w:pPr>
    </w:p>
    <w:p>
      <w:pPr>
        <w:jc w:val="both"/>
        <w:ind w:firstLine="443"/>
        <w:spacing w:after="0" w:line="286" w:lineRule="auto"/>
        <w:tabs>
          <w:tab w:leader="none" w:pos="71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From the Applicable Time to the Time of Delivery, the Company will give the Representatives notice of its intention to file or prepare any amendment to the Registration Statement or new registration statement relating to the Designated Securities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Representatives notice of any filings made pursuant to the Exchange Act or the Commission’s regulations thereunder within forty-eight hours prior to the Applicable Time. The Company will prepare a final term sheet (the “Final Term Sheet”) reflecting the final terms of the Designated Securities, substantially in the form set forth on Schedule I of Exhibit B hereto, and shall file such Final Term Sheet as an “issuer free writing prospectus” pursuant to Rule 433 prior to the close of business two business days after the date hereof; provided that the Company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3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17" w:name="page18"/>
    <w:bookmarkEnd w:id="17"/>
    <w:p>
      <w:pPr>
        <w:jc w:val="both"/>
        <w:ind w:firstLine="443"/>
        <w:spacing w:after="0" w:line="287" w:lineRule="auto"/>
        <w:tabs>
          <w:tab w:leader="none" w:pos="694"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Securities that would constitute an “issuer free writing prospectus,” as defined in Rule 433, or that would otherwise constitute a “free writing prospectus,” as defined in Rule 405, in each case required to be filed with the Commission; provided, however, that prior to the preparation of the Final Term Sheet in accordance with Section 5(b) hereof, the Underwriters are authorized to use the information with respect to the final terms of the Designated Securities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41" w:lineRule="exact"/>
        <w:rPr>
          <w:rFonts w:ascii="Arial" w:cs="Arial" w:eastAsia="Arial" w:hAnsi="Arial"/>
          <w:sz w:val="16"/>
          <w:szCs w:val="16"/>
          <w:color w:val="auto"/>
        </w:rPr>
      </w:pPr>
    </w:p>
    <w:p>
      <w:pPr>
        <w:jc w:val="both"/>
        <w:ind w:firstLine="443"/>
        <w:spacing w:after="0" w:line="255" w:lineRule="auto"/>
        <w:tabs>
          <w:tab w:leader="none" w:pos="7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promptly from time to time will take such action as the Representatives may reasonably request to qualify such Designated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61" w:lineRule="exact"/>
        <w:rPr>
          <w:rFonts w:ascii="Arial" w:cs="Arial" w:eastAsia="Arial" w:hAnsi="Arial"/>
          <w:sz w:val="18"/>
          <w:szCs w:val="18"/>
          <w:color w:val="auto"/>
        </w:rPr>
      </w:pPr>
    </w:p>
    <w:p>
      <w:pPr>
        <w:jc w:val="both"/>
        <w:ind w:firstLine="443"/>
        <w:spacing w:after="0" w:line="253" w:lineRule="auto"/>
        <w:tabs>
          <w:tab w:leader="none" w:pos="67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66" w:lineRule="exact"/>
        <w:rPr>
          <w:rFonts w:ascii="Arial" w:cs="Arial" w:eastAsia="Arial" w:hAnsi="Arial"/>
          <w:sz w:val="18"/>
          <w:szCs w:val="18"/>
          <w:color w:val="auto"/>
        </w:rPr>
      </w:pPr>
    </w:p>
    <w:p>
      <w:pPr>
        <w:jc w:val="both"/>
        <w:ind w:firstLine="443"/>
        <w:spacing w:after="0" w:line="259" w:lineRule="auto"/>
        <w:tabs>
          <w:tab w:leader="none" w:pos="6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has delivered to each Underwriter, without charge, as many copies of each preliminary prospectus as such Underwriter reasonably requested, and the Company has delivered to each Underwriter, without charge, as many copies of each Issuer Free Writing Prospectus, if any, as such Underwriter reasonably requested, and the Company hereby consents to the use of such copies</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18" w:name="page19"/>
    <w:bookmarkEnd w:id="18"/>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each preliminary prospectus and each Issuer Free Writing Prospectus, if any, for purposes permitted by the Act. The Company will furnish to each Underwriter, without charge, during the period when the Prospectus is required to be delivered under the Act in connection with sales of the Designated Securities,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37" w:lineRule="exact"/>
        <w:rPr>
          <w:sz w:val="20"/>
          <w:szCs w:val="20"/>
          <w:color w:val="auto"/>
        </w:rPr>
      </w:pPr>
    </w:p>
    <w:p>
      <w:pPr>
        <w:jc w:val="both"/>
        <w:ind w:firstLine="443"/>
        <w:spacing w:after="0" w:line="305" w:lineRule="auto"/>
        <w:tabs>
          <w:tab w:leader="none" w:pos="716"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Securities as contemplated in this Underwriting Agreement, a related Pricing Agreement and in the Prospectus. If at any time when a prospectus is required by the Act to be delivered in connection with sales of the Designated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Securities)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Designated Securities) or the Statutory Prospectus or any preliminary prospectus or included or would include an untrue statement of a material fact or omitted or would omit to state a material fact necessary in order to make the statements</w:t>
      </w:r>
    </w:p>
    <w:p>
      <w:pPr>
        <w:spacing w:after="0" w:line="3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19" w:name="page20"/>
    <w:bookmarkEnd w:id="19"/>
    <w:p>
      <w:pPr>
        <w:jc w:val="both"/>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jc w:val="both"/>
        <w:ind w:right="20" w:firstLine="443"/>
        <w:spacing w:after="0" w:line="259" w:lineRule="auto"/>
        <w:tabs>
          <w:tab w:leader="none" w:pos="731"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59" w:lineRule="exact"/>
        <w:rPr>
          <w:rFonts w:ascii="Arial" w:cs="Arial" w:eastAsia="Arial" w:hAnsi="Arial"/>
          <w:sz w:val="18"/>
          <w:szCs w:val="18"/>
          <w:color w:val="auto"/>
        </w:rPr>
      </w:pPr>
    </w:p>
    <w:p>
      <w:pPr>
        <w:jc w:val="both"/>
        <w:ind w:firstLine="443"/>
        <w:spacing w:after="0" w:line="286" w:lineRule="auto"/>
        <w:tabs>
          <w:tab w:leader="none" w:pos="672" w:val="left"/>
        </w:tabs>
        <w:numPr>
          <w:ilvl w:val="1"/>
          <w:numId w:val="22"/>
        </w:numPr>
        <w:rPr>
          <w:rFonts w:ascii="Arial" w:cs="Arial" w:eastAsia="Arial" w:hAnsi="Arial"/>
          <w:sz w:val="16"/>
          <w:szCs w:val="16"/>
          <w:color w:val="auto"/>
        </w:rPr>
      </w:pPr>
      <w:r>
        <w:rPr>
          <w:rFonts w:ascii="Arial" w:cs="Arial" w:eastAsia="Arial" w:hAnsi="Arial"/>
          <w:sz w:val="16"/>
          <w:szCs w:val="16"/>
          <w:color w:val="auto"/>
        </w:rPr>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w:t>
      </w:r>
    </w:p>
    <w:p>
      <w:pPr>
        <w:jc w:val="both"/>
        <w:ind w:firstLine="4"/>
        <w:spacing w:after="0" w:line="302" w:lineRule="auto"/>
        <w:tabs>
          <w:tab w:leader="none" w:pos="2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Time of Delivery for such Designated Securities, but in no event later than 90 days from the date of the Pricing Agreement, the Company will not offer, sell, contract to sell, pledge or otherwise issue any debt securities of the Company which mature more than one year after such Time of Delivery and which are substantially similar to such Designated Securities, without the prior written consent of the Representatives;</w:t>
      </w:r>
    </w:p>
    <w:p>
      <w:pPr>
        <w:spacing w:after="0" w:line="28" w:lineRule="exact"/>
        <w:rPr>
          <w:rFonts w:ascii="Arial" w:cs="Arial" w:eastAsia="Arial" w:hAnsi="Arial"/>
          <w:sz w:val="16"/>
          <w:szCs w:val="16"/>
          <w:color w:val="auto"/>
        </w:rPr>
      </w:pPr>
    </w:p>
    <w:p>
      <w:pPr>
        <w:ind w:firstLine="443"/>
        <w:spacing w:after="0" w:line="268" w:lineRule="auto"/>
        <w:tabs>
          <w:tab w:leader="none" w:pos="6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will use the net proceeds received by it from the sale of the Designated Securities in the manner specified in the Prospectus under the caption “Use of Proceeds”;</w:t>
      </w:r>
    </w:p>
    <w:p>
      <w:pPr>
        <w:spacing w:after="0" w:line="50" w:lineRule="exact"/>
        <w:rPr>
          <w:rFonts w:ascii="Arial" w:cs="Arial" w:eastAsia="Arial" w:hAnsi="Arial"/>
          <w:sz w:val="18"/>
          <w:szCs w:val="18"/>
          <w:color w:val="auto"/>
        </w:rPr>
      </w:pPr>
    </w:p>
    <w:p>
      <w:pPr>
        <w:ind w:firstLine="443"/>
        <w:spacing w:after="0" w:line="268" w:lineRule="auto"/>
        <w:tabs>
          <w:tab w:leader="none" w:pos="692"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will qualify as a “real estate investment trust” under the Code, and will use its best efforts to continue to meet the requirements to qualify as a “real estate investment trust”; and</w:t>
      </w:r>
    </w:p>
    <w:p>
      <w:pPr>
        <w:spacing w:after="0" w:line="50" w:lineRule="exact"/>
        <w:rPr>
          <w:rFonts w:ascii="Arial" w:cs="Arial" w:eastAsia="Arial" w:hAnsi="Arial"/>
          <w:sz w:val="18"/>
          <w:szCs w:val="18"/>
          <w:color w:val="auto"/>
        </w:rPr>
      </w:pPr>
    </w:p>
    <w:p>
      <w:pPr>
        <w:jc w:val="both"/>
        <w:ind w:firstLine="443"/>
        <w:spacing w:after="0" w:line="288" w:lineRule="auto"/>
        <w:tabs>
          <w:tab w:leader="none" w:pos="658"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Company acknowledges and agrees that the Underwriters of such Designated Securities are acting solely in the capacity of an arm’s length contractual counterparty to the Company with respect to the offering of such Designated Securities (including in connection with determining the terms of the offering) and not as a financial advisor or a fiduciary to, or an agent of, the Company or any other person. The Company agrees that it will not claim that the Underwriters, or any of them, has rendered advisory services of any nature or respect, or owes a fiduciary or similar duty to the Company, in connection with such transaction or the process leading thereto.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transactions will be performed solely for the benefit of the Underwriters and shall not be on behalf of the Company.</w:t>
      </w:r>
    </w:p>
    <w:p>
      <w:pPr>
        <w:spacing w:after="0" w:line="171" w:lineRule="exact"/>
        <w:rPr>
          <w:sz w:val="20"/>
          <w:szCs w:val="20"/>
          <w:color w:val="auto"/>
        </w:rPr>
      </w:pPr>
    </w:p>
    <w:p>
      <w:pPr>
        <w:jc w:val="both"/>
        <w:ind w:firstLine="464"/>
        <w:spacing w:after="0" w:line="285" w:lineRule="auto"/>
        <w:tabs>
          <w:tab w:leader="none" w:pos="67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 (ii) the cost of printing or producing any Agreement Among Underwriters, this Underwriting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5(d) hereof, including the fees and disbursements of counsel for the Underwriters in connection with such qualification and in connection with the Blue Sky and legal investment surveys; (iv) any fees charged by securities rating services for rating the Securities; (v) any filing fees incident to any required review by the Financial Industry Regulatory Authority of the terms of the sale of the Securities; (vi) the fees and expenses of any Trustee and any agent of any Trustee and the fees and disbursements of counsel for any Trustee in connection with any Indenture and the Securities; (vii) all other costs and expenses incident to the performance of its obligations hereunder which are not otherwise specifically provided for in this Section 6; and (viii) the costs and expenses (including without limitation any damages or other amounts payable in connection with legal or contractual liability) associated with the reforming of any contracts for sale of the Designated Securities made by the Underwriters caused by a breach of the representation contained in the sixth paragraph of Section 2(c) hereof. It is understood, however, that, except as provided in this Section 6,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23" w:lineRule="exact"/>
        <w:rPr>
          <w:rFonts w:ascii="Arial" w:cs="Arial" w:eastAsia="Arial" w:hAnsi="Arial"/>
          <w:sz w:val="16"/>
          <w:szCs w:val="16"/>
          <w:color w:val="auto"/>
        </w:rPr>
      </w:pPr>
    </w:p>
    <w:p>
      <w:pPr>
        <w:jc w:val="both"/>
        <w:ind w:firstLine="464"/>
        <w:spacing w:after="0" w:line="255"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Underwriting Agreement into,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61" w:lineRule="exact"/>
        <w:rPr>
          <w:rFonts w:ascii="Arial" w:cs="Arial" w:eastAsia="Arial" w:hAnsi="Arial"/>
          <w:sz w:val="18"/>
          <w:szCs w:val="18"/>
          <w:color w:val="auto"/>
        </w:rPr>
      </w:pPr>
    </w:p>
    <w:p>
      <w:pPr>
        <w:jc w:val="both"/>
        <w:ind w:left="460" w:firstLine="443"/>
        <w:spacing w:after="0" w:line="259" w:lineRule="auto"/>
        <w:tabs>
          <w:tab w:leader="none" w:pos="1138"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Prospectus containing the 430B Information, as amended or supplemented, in relation to the applicable Designated Securities shall have been filed with the Commission in the manner and within the time period required by Rule 424(b) (without reliance on Rule 424(b)(8)) and in accordance with Section 5(a) hereof; no stop order suspending the effectiveness of the Registration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1" w:name="page22"/>
    <w:bookmarkEnd w:id="21"/>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 the Company shall have paid the required Commission filing fees relating to the Designated Securities within the time period required by Rule 456(b)(1)(i) under the Act without regard to the proviso therein and otherwise in accordance with Rules 456(b) and 457(r) under the Act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39" w:lineRule="exact"/>
        <w:rPr>
          <w:sz w:val="20"/>
          <w:szCs w:val="20"/>
          <w:color w:val="auto"/>
        </w:rPr>
      </w:pPr>
    </w:p>
    <w:p>
      <w:pPr>
        <w:jc w:val="both"/>
        <w:ind w:firstLine="443"/>
        <w:spacing w:after="0" w:line="294" w:lineRule="auto"/>
        <w:tabs>
          <w:tab w:leader="none" w:pos="687"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Sidley Austin </w:t>
      </w:r>
      <w:r>
        <w:rPr>
          <w:rFonts w:ascii="Arial" w:cs="Arial" w:eastAsia="Arial" w:hAnsi="Arial"/>
          <w:sz w:val="13"/>
          <w:szCs w:val="13"/>
          <w:color w:val="auto"/>
        </w:rPr>
        <w:t>LLP</w:t>
      </w:r>
      <w:r>
        <w:rPr>
          <w:rFonts w:ascii="Arial" w:cs="Arial" w:eastAsia="Arial" w:hAnsi="Arial"/>
          <w:sz w:val="16"/>
          <w:szCs w:val="16"/>
          <w:color w:val="auto"/>
        </w:rPr>
        <w:t xml:space="preserve">, counsel for the Underwriters, shall have furnished to the Representatives such opinion or opinions, dated the Time of Delivery for such Designated Securities, with respect to the organization of the Company, the validity of the Indenture,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Arial" w:cs="Arial" w:eastAsia="Arial" w:hAnsi="Arial"/>
          <w:sz w:val="13"/>
          <w:szCs w:val="13"/>
          <w:color w:val="auto"/>
        </w:rPr>
        <w:t>LLP</w:t>
      </w:r>
      <w:r>
        <w:rPr>
          <w:rFonts w:ascii="Arial" w:cs="Arial" w:eastAsia="Arial" w:hAnsi="Arial"/>
          <w:sz w:val="16"/>
          <w:szCs w:val="16"/>
          <w:color w:val="auto"/>
        </w:rPr>
        <w:t xml:space="preserve"> may rely, as to all matters arising under or governed by the laws of the State of Maryland, on the opinion of Pillsbury Winthrop Shaw Pittman LLP);</w:t>
      </w:r>
    </w:p>
    <w:p>
      <w:pPr>
        <w:spacing w:after="0" w:line="34" w:lineRule="exact"/>
        <w:rPr>
          <w:rFonts w:ascii="Arial" w:cs="Arial" w:eastAsia="Arial" w:hAnsi="Arial"/>
          <w:sz w:val="16"/>
          <w:szCs w:val="16"/>
          <w:color w:val="auto"/>
        </w:rPr>
      </w:pPr>
    </w:p>
    <w:p>
      <w:pPr>
        <w:ind w:firstLine="443"/>
        <w:spacing w:after="0" w:line="332" w:lineRule="auto"/>
        <w:tabs>
          <w:tab w:leader="none" w:pos="677" w:val="left"/>
        </w:tabs>
        <w:numPr>
          <w:ilvl w:val="1"/>
          <w:numId w:val="25"/>
        </w:numPr>
        <w:rPr>
          <w:rFonts w:ascii="Arial" w:cs="Arial" w:eastAsia="Arial" w:hAnsi="Arial"/>
          <w:sz w:val="16"/>
          <w:szCs w:val="16"/>
          <w:color w:val="auto"/>
        </w:rPr>
      </w:pPr>
      <w:r>
        <w:rPr>
          <w:rFonts w:ascii="Arial" w:cs="Arial" w:eastAsia="Arial" w:hAnsi="Arial"/>
          <w:sz w:val="16"/>
          <w:szCs w:val="16"/>
          <w:color w:val="auto"/>
        </w:rPr>
        <w:t>Pillsbury Winthrop Shaw Pittman LLP, counsel for the Company, shall have furnished to the Representatives their written opinion, dated the Time of Delivery for such Designated Securities, in form and substance satisfactory to the Representatives, to the effect set forth in Exhibit C hereto;</w:t>
      </w:r>
    </w:p>
    <w:p>
      <w:pPr>
        <w:spacing w:after="0" w:line="4" w:lineRule="exact"/>
        <w:rPr>
          <w:rFonts w:ascii="Arial" w:cs="Arial" w:eastAsia="Arial" w:hAnsi="Arial"/>
          <w:sz w:val="16"/>
          <w:szCs w:val="16"/>
          <w:color w:val="auto"/>
        </w:rPr>
      </w:pPr>
    </w:p>
    <w:p>
      <w:pPr>
        <w:jc w:val="both"/>
        <w:ind w:firstLine="443"/>
        <w:spacing w:after="0" w:line="283" w:lineRule="auto"/>
        <w:tabs>
          <w:tab w:leader="none" w:pos="696" w:val="left"/>
        </w:tabs>
        <w:numPr>
          <w:ilvl w:val="1"/>
          <w:numId w:val="25"/>
        </w:numPr>
        <w:rPr>
          <w:rFonts w:ascii="Arial" w:cs="Arial" w:eastAsia="Arial" w:hAnsi="Arial"/>
          <w:sz w:val="16"/>
          <w:szCs w:val="16"/>
          <w:color w:val="auto"/>
        </w:rPr>
      </w:pPr>
      <w:r>
        <w:rPr>
          <w:rFonts w:ascii="Arial" w:cs="Arial" w:eastAsia="Arial" w:hAnsi="Arial"/>
          <w:sz w:val="16"/>
          <w:szCs w:val="16"/>
          <w:color w:val="auto"/>
        </w:rPr>
        <w:t>In addition to the above opinion, the Representatives shall have received the opinion or opinions of Pillsbury Winthrop Shaw Pittman LLP, Tax Counsel to the Company, dated the Time of Delivery for such Designated Securities, in form and substance satisfactory to the Representatives, to the effect that, subject to customary representations, qualifications and exclusions, (1) the Company qualified as a real estate investment trust (“REIT”) under the Code for its taxable years ending through and including December 31 of the most recently preceding calendar year, (2) the Company is organized in conformity with the requirements for qualification as a REIT under the Code, and its current method of operation will enable it to meet the requirements for qualification as a REIT for the current taxable year and for future taxable years; and (3) the discussion in (x) the Prospectus under the caption “Material Federal Income Tax Considerations,” (y) the Prospectus Supplement under the caption “Additional Material U.S. Federal Income Tax Considerations” and</w:t>
      </w:r>
    </w:p>
    <w:p>
      <w:pPr>
        <w:jc w:val="both"/>
        <w:ind w:firstLine="4"/>
        <w:spacing w:after="0" w:line="302" w:lineRule="auto"/>
        <w:tabs>
          <w:tab w:leader="none" w:pos="24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Company’s Annual Report on Form 10-K for the year ended December 31, 2009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w:t>
      </w:r>
    </w:p>
    <w:p>
      <w:pPr>
        <w:spacing w:after="0" w:line="9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80" w:right="239" w:bottom="1440" w:gutter="0" w:footer="0" w:header="0"/>
        </w:sectPr>
      </w:pPr>
    </w:p>
    <w:bookmarkStart w:id="22" w:name="page23"/>
    <w:bookmarkEnd w:id="22"/>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REIT, we limit the amount of shares any one shareholder can own,” which is incorporated by reference into the Prospectus, to the extent that it discusses matters of law or legal conclusions or purports to describe certain provisions of the federal tax laws, is a correct summary of the matters discussed therein, and the opinions of such counsel appearing in the Prospectus under the caption “Material Federal Income Tax Considerations” are hereby confirmed;</w:t>
      </w:r>
    </w:p>
    <w:p>
      <w:pPr>
        <w:spacing w:after="0" w:line="26" w:lineRule="exact"/>
        <w:rPr>
          <w:sz w:val="20"/>
          <w:szCs w:val="20"/>
          <w:color w:val="auto"/>
        </w:rPr>
      </w:pPr>
    </w:p>
    <w:p>
      <w:pPr>
        <w:jc w:val="both"/>
        <w:ind w:firstLine="443"/>
        <w:spacing w:after="0" w:line="259" w:lineRule="auto"/>
        <w:tabs>
          <w:tab w:leader="none" w:pos="682"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Securities and at the Time of Delivery for such Designated Securities, Grant Thornton LLP, the independent accountants of the Company, shall have furnished to the Underwriters a “comfort letter” in form and substance satisfactory to the Representatives;</w:t>
      </w:r>
    </w:p>
    <w:p>
      <w:pPr>
        <w:spacing w:after="0" w:line="59" w:lineRule="exact"/>
        <w:rPr>
          <w:rFonts w:ascii="Arial" w:cs="Arial" w:eastAsia="Arial" w:hAnsi="Arial"/>
          <w:sz w:val="18"/>
          <w:szCs w:val="18"/>
          <w:color w:val="auto"/>
        </w:rPr>
      </w:pPr>
    </w:p>
    <w:p>
      <w:pPr>
        <w:jc w:val="both"/>
        <w:ind w:firstLine="443"/>
        <w:spacing w:after="0" w:line="306" w:lineRule="auto"/>
        <w:tabs>
          <w:tab w:leader="none" w:pos="662" w:val="left"/>
        </w:tabs>
        <w:numPr>
          <w:ilvl w:val="0"/>
          <w:numId w:val="27"/>
        </w:numPr>
        <w:rPr>
          <w:rFonts w:ascii="Arial" w:cs="Arial" w:eastAsia="Arial" w:hAnsi="Arial"/>
          <w:sz w:val="16"/>
          <w:szCs w:val="16"/>
          <w:color w:val="auto"/>
        </w:rPr>
      </w:pPr>
      <w:r>
        <w:rPr>
          <w:rFonts w:ascii="Arial" w:cs="Arial" w:eastAsia="Arial" w:hAnsi="Arial"/>
          <w:sz w:val="16"/>
          <w:szCs w:val="16"/>
          <w:color w:val="auto"/>
        </w:rPr>
        <w:t>At the Time of Delivery for such Designated Securities, the Designated Securities shall be rated at least Baa1 by Moody’s Investor’s Service Inc. and BBB+ by Standard &amp; Poor’s Ratings Services, and the Company shall have delivered to the Representatives a letter dated the Time of Delivery, from each such rating agency, or other evidence satisfactory to the Representatives, confirming that the Designated Securities have such ratings;</w:t>
      </w:r>
    </w:p>
    <w:p>
      <w:pPr>
        <w:spacing w:after="0" w:line="25" w:lineRule="exact"/>
        <w:rPr>
          <w:rFonts w:ascii="Arial" w:cs="Arial" w:eastAsia="Arial" w:hAnsi="Arial"/>
          <w:sz w:val="16"/>
          <w:szCs w:val="16"/>
          <w:color w:val="auto"/>
        </w:rPr>
      </w:pPr>
    </w:p>
    <w:p>
      <w:pPr>
        <w:jc w:val="both"/>
        <w:ind w:firstLine="443"/>
        <w:spacing w:after="0" w:line="285" w:lineRule="auto"/>
        <w:tabs>
          <w:tab w:leader="none" w:pos="721"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Neither the Company nor any of the Entities shall have sustained since the date of the latest audited financial statements included or incorporated by reference in the Prospectus, as amended or supplemented,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(ii) 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 (x) the Company’s Dividend Reinvestment and Share Purchase Plan as in effect on the date of the applicable Pricing Agreement, (y) any of the Company’s employee or trustee benefits plans, including upon exercise of share options granted pursuant thereto, as such plans are in effect on the date of the applicable Pricing Agreement or (z) the exercise of contractual rights existing on the date of the applicable Pricing Agreement by the current and former holders of partnership or other interests in certain of the “DownREIT” and other Entities listed in Exhibit D hereto which may require or permit (in lieu of a payment in cash) the issuance of Common Shares of the Company) or increase in long-term debt of the Company or any of the Entities or any change, or any development involving a prospective change, in or affecting the general affairs, management, financial position, shareholders’ equity or results of operations of the Company and the Entities, otherwise than as set forth or contemplated in the Prospectus and the General Disclosure Package, the effect of which, in any such case described in clause (i) or (ii), is in the judgment of the Representatives so material and adverse as to make it impracticable or inadvisable to proceed with the public offering, sale or the delivery of the Designated</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80" w:right="23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on the terms and in the manner contemplated in the Prospectus, as amended or supplemented;</w:t>
      </w:r>
    </w:p>
    <w:p>
      <w:pPr>
        <w:spacing w:after="0" w:line="90" w:lineRule="exact"/>
        <w:rPr>
          <w:sz w:val="20"/>
          <w:szCs w:val="20"/>
          <w:color w:val="auto"/>
        </w:rPr>
      </w:pPr>
    </w:p>
    <w:p>
      <w:pPr>
        <w:jc w:val="both"/>
        <w:ind w:left="460" w:firstLine="443"/>
        <w:spacing w:after="0" w:line="298" w:lineRule="auto"/>
        <w:tabs>
          <w:tab w:leader="none" w:pos="11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shares;</w:t>
      </w:r>
    </w:p>
    <w:p>
      <w:pPr>
        <w:spacing w:after="0" w:line="31" w:lineRule="exact"/>
        <w:rPr>
          <w:rFonts w:ascii="Arial" w:cs="Arial" w:eastAsia="Arial" w:hAnsi="Arial"/>
          <w:sz w:val="16"/>
          <w:szCs w:val="16"/>
          <w:color w:val="auto"/>
        </w:rPr>
      </w:pPr>
    </w:p>
    <w:p>
      <w:pPr>
        <w:jc w:val="both"/>
        <w:ind w:left="460" w:firstLine="443"/>
        <w:spacing w:after="0" w:line="290" w:lineRule="auto"/>
        <w:tabs>
          <w:tab w:leader="none" w:pos="1132"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Securities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sale or the delivery of the Designated Securities on the terms and in the manner contemplated in the Prospectus, as amended or supplemented;</w:t>
      </w:r>
    </w:p>
    <w:p>
      <w:pPr>
        <w:spacing w:after="0" w:line="37" w:lineRule="exact"/>
        <w:rPr>
          <w:rFonts w:ascii="Arial" w:cs="Arial" w:eastAsia="Arial" w:hAnsi="Arial"/>
          <w:sz w:val="16"/>
          <w:szCs w:val="16"/>
          <w:color w:val="auto"/>
        </w:rPr>
      </w:pPr>
    </w:p>
    <w:p>
      <w:pPr>
        <w:ind w:left="460" w:right="20" w:firstLine="443"/>
        <w:spacing w:after="0" w:line="268" w:lineRule="auto"/>
        <w:tabs>
          <w:tab w:leader="none" w:pos="113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5(f) hereof with respect to the furnishing of Prospectuses, as amended or supplemented; and</w:t>
      </w:r>
    </w:p>
    <w:p>
      <w:pPr>
        <w:spacing w:after="0" w:line="50" w:lineRule="exact"/>
        <w:rPr>
          <w:rFonts w:ascii="Arial" w:cs="Arial" w:eastAsia="Arial" w:hAnsi="Arial"/>
          <w:sz w:val="18"/>
          <w:szCs w:val="18"/>
          <w:color w:val="auto"/>
        </w:rPr>
      </w:pPr>
    </w:p>
    <w:p>
      <w:pPr>
        <w:jc w:val="both"/>
        <w:ind w:left="460" w:firstLine="443"/>
        <w:spacing w:after="0" w:line="255" w:lineRule="auto"/>
        <w:tabs>
          <w:tab w:leader="none" w:pos="116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(g) of this Section 7 and as to such other matters as the Representatives may reasonably request.</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8.(a) The Company will indemnify and hold harmless each Underwriter, its affiliates, its directors, its officers and each person, if any, who controls such Underwriter within the meaning of Section 15 of the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4" w:name="page25"/>
    <w:bookmarkEnd w:id="24"/>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any Underwriter of Designated Securities through the Representatives expressly for use in the Prospectus, as amended or supplemented, relating to such Securities.</w:t>
      </w:r>
    </w:p>
    <w:p>
      <w:pPr>
        <w:spacing w:after="0" w:line="123" w:lineRule="exact"/>
        <w:rPr>
          <w:sz w:val="20"/>
          <w:szCs w:val="20"/>
          <w:color w:val="auto"/>
        </w:rPr>
      </w:pPr>
    </w:p>
    <w:p>
      <w:pPr>
        <w:jc w:val="both"/>
        <w:ind w:firstLine="464"/>
        <w:spacing w:after="0" w:line="286" w:lineRule="auto"/>
        <w:tabs>
          <w:tab w:leader="none" w:pos="733" w:val="left"/>
        </w:tabs>
        <w:numPr>
          <w:ilvl w:val="0"/>
          <w:numId w:val="29"/>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and hold harmless the Company, its trustees, its officers who signed the Registration Statement and each person, if any, who controls the Company within the meaning of Section 15 of the Act or Section 20 of the Exchange Act to the same extent as the indemnity set forth in paragraph (a) above, but only with respect to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20" w:lineRule="exact"/>
        <w:rPr>
          <w:rFonts w:ascii="Arial" w:cs="Arial" w:eastAsia="Arial" w:hAnsi="Arial"/>
          <w:sz w:val="16"/>
          <w:szCs w:val="16"/>
          <w:color w:val="auto"/>
        </w:rPr>
      </w:pPr>
    </w:p>
    <w:p>
      <w:pPr>
        <w:ind w:right="20" w:firstLine="464"/>
        <w:spacing w:after="0" w:line="268" w:lineRule="auto"/>
        <w:tabs>
          <w:tab w:leader="none" w:pos="7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Promptly after receipt by an indemnified party under subsection (a) or (b) above of notice of the commencement of any action, such indemnified party shall, if a claim in respect thereof is to be made against the indemnifying party under such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5" w:name="page26"/>
    <w:bookmarkEnd w:id="25"/>
    <w:p>
      <w:pPr>
        <w:jc w:val="both"/>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24" w:lineRule="exact"/>
        <w:rPr>
          <w:sz w:val="20"/>
          <w:szCs w:val="20"/>
          <w:color w:val="auto"/>
        </w:rPr>
      </w:pPr>
    </w:p>
    <w:p>
      <w:pPr>
        <w:ind w:left="740" w:hanging="276"/>
        <w:spacing w:after="0"/>
        <w:tabs>
          <w:tab w:leader="none" w:pos="7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 (a) or</w:t>
      </w:r>
    </w:p>
    <w:p>
      <w:pPr>
        <w:spacing w:after="0" w:line="38" w:lineRule="exact"/>
        <w:rPr>
          <w:rFonts w:ascii="Arial" w:cs="Arial" w:eastAsia="Arial" w:hAnsi="Arial"/>
          <w:sz w:val="16"/>
          <w:szCs w:val="16"/>
          <w:color w:val="auto"/>
        </w:rPr>
      </w:pPr>
    </w:p>
    <w:p>
      <w:pPr>
        <w:jc w:val="both"/>
        <w:ind w:firstLine="8"/>
        <w:spacing w:after="0" w:line="285" w:lineRule="auto"/>
        <w:tabs>
          <w:tab w:leader="none" w:pos="25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6" w:name="page27"/>
    <w:bookmarkEnd w:id="26"/>
    <w:p>
      <w:pPr>
        <w:jc w:val="both"/>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w:t>
      </w:r>
    </w:p>
    <w:p>
      <w:pPr>
        <w:spacing w:after="0" w:line="2" w:lineRule="exact"/>
        <w:rPr>
          <w:sz w:val="20"/>
          <w:szCs w:val="20"/>
          <w:color w:val="auto"/>
        </w:rPr>
      </w:pPr>
    </w:p>
    <w:p>
      <w:pPr>
        <w:jc w:val="both"/>
        <w:ind w:firstLine="8"/>
        <w:spacing w:after="0" w:line="288" w:lineRule="auto"/>
        <w:tabs>
          <w:tab w:leader="none" w:pos="253"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22" w:lineRule="exact"/>
        <w:rPr>
          <w:rFonts w:ascii="Arial" w:cs="Arial" w:eastAsia="Arial" w:hAnsi="Arial"/>
          <w:sz w:val="16"/>
          <w:szCs w:val="16"/>
          <w:color w:val="auto"/>
        </w:rPr>
      </w:pPr>
    </w:p>
    <w:p>
      <w:pPr>
        <w:jc w:val="both"/>
        <w:ind w:firstLine="464"/>
        <w:spacing w:after="0" w:line="255" w:lineRule="auto"/>
        <w:tabs>
          <w:tab w:leader="none" w:pos="696"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trustee of the Company and to each person, if any, who controls the Company within the meaning of the Act.</w:t>
      </w:r>
    </w:p>
    <w:p>
      <w:pPr>
        <w:spacing w:after="0" w:line="14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9.(a) If any Underwriter shall default in its obligation to 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7" w:name="page28"/>
    <w:bookmarkEnd w:id="27"/>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9 with like effect as if such person had originally been a party to the Pricing Agreement with respect to such Designated Securities.</w:t>
      </w:r>
    </w:p>
    <w:p>
      <w:pPr>
        <w:spacing w:after="0" w:line="143" w:lineRule="exact"/>
        <w:rPr>
          <w:sz w:val="20"/>
          <w:szCs w:val="20"/>
          <w:color w:val="auto"/>
        </w:rPr>
      </w:pPr>
    </w:p>
    <w:p>
      <w:pPr>
        <w:jc w:val="both"/>
        <w:ind w:firstLine="464"/>
        <w:spacing w:after="0" w:line="289" w:lineRule="auto"/>
        <w:tabs>
          <w:tab w:leader="none" w:pos="7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to be purchased at the Time of Delivery, then the Company shall have the right to require each non-defaulting Underwriter to purchase the principal amount of Designated Securities which such Underwriter agreed to purchase at the Time of Delivery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18" w:lineRule="exact"/>
        <w:rPr>
          <w:rFonts w:ascii="Arial" w:cs="Arial" w:eastAsia="Arial" w:hAnsi="Arial"/>
          <w:sz w:val="16"/>
          <w:szCs w:val="16"/>
          <w:color w:val="auto"/>
        </w:rPr>
      </w:pPr>
    </w:p>
    <w:p>
      <w:pPr>
        <w:jc w:val="both"/>
        <w:ind w:firstLine="464"/>
        <w:spacing w:after="0" w:line="289" w:lineRule="auto"/>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 (b) 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18" w:lineRule="exact"/>
        <w:rPr>
          <w:sz w:val="20"/>
          <w:szCs w:val="20"/>
          <w:color w:val="auto"/>
        </w:rPr>
      </w:pPr>
    </w:p>
    <w:p>
      <w:pPr>
        <w:jc w:val="both"/>
        <w:ind w:firstLine="464"/>
        <w:spacing w:after="0" w:line="298" w:lineRule="auto"/>
        <w:tabs>
          <w:tab w:leader="none" w:pos="72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Underwriting Agreement or made by or on behalf of them, respectively, pursuant to this 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8" w:name="page29"/>
    <w:bookmarkEnd w:id="28"/>
    <w:p>
      <w:pPr>
        <w:jc w:val="both"/>
        <w:ind w:firstLine="464"/>
        <w:spacing w:after="0" w:line="253" w:lineRule="auto"/>
        <w:tabs>
          <w:tab w:leader="none" w:pos="721"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Pricing Agreement shall be terminated pursuant to Section 9 hereof, the Company shall not then be under any liability to any Underwriter with respect to the Designated Securities covered by such Pricing Agreement except as provided in Section 6 and Section 8 hereof. If this Underwriting Agreement shall be terminated as a result of any of the conditions set forth in Section 7 (other than clause (i), (iii) or (iv) of Section 7(i)) hereof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Securities, but the Company shall then be under no further liability to any Underwriter with respect to such Designated Securities except as provided in Section 6 and Section 8 hereof.</w:t>
      </w:r>
    </w:p>
    <w:p>
      <w:pPr>
        <w:spacing w:after="0" w:line="147" w:lineRule="exact"/>
        <w:rPr>
          <w:rFonts w:ascii="Arial" w:cs="Arial" w:eastAsia="Arial" w:hAnsi="Arial"/>
          <w:sz w:val="18"/>
          <w:szCs w:val="18"/>
          <w:color w:val="auto"/>
        </w:rPr>
      </w:pPr>
    </w:p>
    <w:p>
      <w:pPr>
        <w:jc w:val="both"/>
        <w:ind w:firstLine="464"/>
        <w:spacing w:after="0" w:line="306" w:lineRule="auto"/>
        <w:tabs>
          <w:tab w:leader="none" w:pos="733"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18" w:lineRule="exact"/>
        <w:rPr>
          <w:sz w:val="20"/>
          <w:szCs w:val="20"/>
          <w:color w:val="auto"/>
        </w:rPr>
      </w:pPr>
    </w:p>
    <w:p>
      <w:pPr>
        <w:jc w:val="both"/>
        <w:ind w:firstLine="464"/>
        <w:spacing w:after="0" w:line="294" w:lineRule="auto"/>
        <w:tabs>
          <w:tab w:leader="none" w:pos="733"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if any, who controls the Company or any Underwriter, and their respective heirs, executors, administrators, successors and assigns, and no other person shall acquire or have any right under or by virtue of this Underwriting Agreement or any such Pricing Agreement. No purchaser of any of the Securities from any Underwriter shall be deemed a successor or assign by reason merely of such purchase.</w:t>
      </w:r>
    </w:p>
    <w:p>
      <w:pPr>
        <w:spacing w:after="0" w:line="115" w:lineRule="exact"/>
        <w:rPr>
          <w:rFonts w:ascii="Arial" w:cs="Arial" w:eastAsia="Arial" w:hAnsi="Arial"/>
          <w:sz w:val="16"/>
          <w:szCs w:val="16"/>
          <w:color w:val="auto"/>
        </w:rPr>
      </w:pPr>
    </w:p>
    <w:p>
      <w:pPr>
        <w:ind w:firstLine="464"/>
        <w:spacing w:after="0" w:line="268" w:lineRule="auto"/>
        <w:tabs>
          <w:tab w:leader="none" w:pos="75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Time shall be of the essence of each Pricing Agreement. As used herein, “business day” shall mean any day when the Commission’s office in Washington, D.C. is open for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9" w:name="page30"/>
    <w:bookmarkEnd w:id="29"/>
    <w:p>
      <w:pPr>
        <w:ind w:left="700" w:hanging="256"/>
        <w:spacing w:after="0"/>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Underwriting Agreement and each Pricing Agreement shall be governed by and construed in accordance with the laws of the State of New York.</w:t>
      </w:r>
    </w:p>
    <w:p>
      <w:pPr>
        <w:spacing w:after="0" w:line="194" w:lineRule="exact"/>
        <w:rPr>
          <w:rFonts w:ascii="Arial" w:cs="Arial" w:eastAsia="Arial" w:hAnsi="Arial"/>
          <w:sz w:val="16"/>
          <w:szCs w:val="16"/>
          <w:color w:val="auto"/>
        </w:rPr>
      </w:pPr>
    </w:p>
    <w:p>
      <w:pPr>
        <w:ind w:left="-20" w:firstLine="464"/>
        <w:spacing w:after="0" w:line="332" w:lineRule="auto"/>
        <w:tabs>
          <w:tab w:leader="none" w:pos="714"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60" w:top="280" w:right="259"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Underwriting Agreement to us.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jc w:val="right"/>
        <w:ind w:right="16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 Blocher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Andrew P. Blocher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President-Chief Financial</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Officer and Treasurer</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ANC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MERICA</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ELLS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ARGO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LLC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Banc of America Securities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Horowitz</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Jeffrey Horowitz</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Wells Fargo Securities,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Carolyn C. Hurley</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Carolyn C. Hurley</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Underwriters named in Schedule I to the Pricing Agreement dated the date hereof.</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24,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ANC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MERICA</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ELLS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ARGO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LLC</w:t>
      </w:r>
    </w:p>
    <w:p>
      <w:pPr>
        <w:spacing w:after="0" w:line="20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c/o</w:t>
        <w:tab/>
        <w:t>Banc of America Securities LLC</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New York 10036</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301 S. College Street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Charlotte, North Carolina 28288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February 24, 2010 (the “Underwriting Agreement”), between the Company on the one hand and Banc of America Securities LLC and Wells Fargo Securities, LLC,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420"/>
          </w:cols>
          <w:pgMar w:left="240" w:top="274" w:right="239" w:bottom="1440" w:gutter="0" w:footer="0" w:header="0"/>
        </w:sectPr>
      </w:pPr>
    </w:p>
    <w:bookmarkStart w:id="32" w:name="page33"/>
    <w:bookmarkEnd w:id="32"/>
    <w:p>
      <w:pPr>
        <w:jc w:val="both"/>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supplement to the Prospectus relating to the Designated Securities, in the form heretofore delivered to you, is now proposed to be filed with the Commission.</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1420"/>
          </w:cols>
          <w:pgMar w:left="240" w:top="280" w:right="239" w:bottom="1440" w:gutter="0" w:footer="0" w:header="0"/>
        </w:sectPr>
      </w:pPr>
    </w:p>
    <w:bookmarkStart w:id="33" w:name="page34"/>
    <w:bookmarkEnd w:id="33"/>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ANC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MERICA</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ELLS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ARGO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LLC</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Banc of America Securities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1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Wells Fargo Securities,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1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Underwriters named in Schedule I to this Pricing Agreement.</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Ex. A-3</w:t>
      </w:r>
    </w:p>
    <w:p>
      <w:pPr>
        <w:sectPr>
          <w:pgSz w:w="11900" w:h="16838" w:orient="portrait"/>
          <w:cols w:equalWidth="0" w:num="1">
            <w:col w:w="11420"/>
          </w:cols>
          <w:pgMar w:left="240" w:top="280"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580" w:type="dxa"/>
            <w:vAlign w:val="bottom"/>
            <w:gridSpan w:val="2"/>
          </w:tcPr>
          <w:p>
            <w:pPr>
              <w:ind w:left="1340"/>
              <w:spacing w:after="0"/>
              <w:rPr>
                <w:sz w:val="20"/>
                <w:szCs w:val="20"/>
                <w:color w:val="auto"/>
              </w:rPr>
            </w:pPr>
            <w:r>
              <w:rPr>
                <w:rFonts w:ascii="Arial" w:cs="Arial" w:eastAsia="Arial" w:hAnsi="Arial"/>
                <w:sz w:val="18"/>
                <w:szCs w:val="18"/>
                <w:color w:val="auto"/>
              </w:rPr>
              <w:t>SCHEDULE I</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88"/>
              </w:rPr>
              <w:t>Principal Amount of</w:t>
            </w:r>
          </w:p>
        </w:tc>
        <w:tc>
          <w:tcPr>
            <w:tcW w:w="0" w:type="dxa"/>
            <w:vAlign w:val="bottom"/>
          </w:tcPr>
          <w:p>
            <w:pPr>
              <w:spacing w:after="0"/>
              <w:rPr>
                <w:sz w:val="1"/>
                <w:szCs w:val="1"/>
                <w:color w:val="auto"/>
              </w:rPr>
            </w:pPr>
          </w:p>
        </w:tc>
      </w:tr>
      <w:tr>
        <w:trPr>
          <w:trHeight w:val="161"/>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6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6580" w:type="dxa"/>
            <w:vAlign w:val="bottom"/>
            <w:gridSpan w:val="2"/>
            <w:shd w:val="clear" w:color="auto" w:fill="CCEEFF"/>
          </w:tcPr>
          <w:p>
            <w:pPr>
              <w:ind w:left="6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RBC Capital Markets Corporation</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One Southcoast, Inc.</w:t>
            </w: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Sandler O’Neill &amp; Partners, L.P.</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6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6580" w:type="dxa"/>
            <w:vAlign w:val="bottom"/>
            <w:gridSpan w:val="2"/>
          </w:tcPr>
          <w:p>
            <w:pPr>
              <w:ind w:left="6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150,000,000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 I to Exhibit A</w:t>
      </w:r>
    </w:p>
    <w:p>
      <w:pPr>
        <w:sectPr>
          <w:pgSz w:w="11900" w:h="16838" w:orient="portrait"/>
          <w:cols w:equalWidth="0" w:num="1">
            <w:col w:w="11420"/>
          </w:cols>
          <w:pgMar w:left="240" w:top="280"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5.90% Notes due 2020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$150,000,000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99.812% of the principal amount of the Designated Securities, plus accrued interest from March 1,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99.162% of the principal amount of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April 1, 2020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5.90% per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April 1 and October 1, commencing October 1,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 II to Exhibit A, Page 1</w:t>
      </w:r>
    </w:p>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Provisions: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a redemption price as described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p.m. (Eastern time) on February 24, 2010 or such other time as agreed by the Company and the Representatives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1,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Banc of America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NY1-100-18-03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704-264-2522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S. College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NC 28288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Transaction Management Department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704-383-9165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 II to Exhibit A, Page 2</w:t>
      </w:r>
    </w:p>
    <w:p>
      <w:pPr>
        <w:sectPr>
          <w:pgSz w:w="11900" w:h="16838" w:orient="portrait"/>
          <w:cols w:equalWidth="0" w:num="1">
            <w:col w:w="11400"/>
          </w:cols>
          <w:pgMar w:left="240" w:top="274" w:right="2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Issuer Free Writing Prospectuses Included in the General Disclosure Package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Final Term Sheet, attached hereto as Schedule I to this Exhibit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B-1</w:t>
      </w:r>
    </w:p>
    <w:p>
      <w:pPr>
        <w:sectPr>
          <w:pgSz w:w="11900" w:h="16838" w:orient="portrait"/>
          <w:cols w:equalWidth="0" w:num="1">
            <w:col w:w="11420"/>
          </w:cols>
          <w:pgMar w:left="240" w:top="274" w:right="239" w:bottom="1440" w:gutter="0" w:footer="0" w:header="0"/>
        </w:sectPr>
      </w:pPr>
    </w:p>
    <w:bookmarkStart w:id="38" w:name="page39"/>
    <w:bookmarkEnd w:id="38"/>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to Exhibit B</w:t>
      </w:r>
    </w:p>
    <w:p>
      <w:pPr>
        <w:spacing w:after="0" w:line="254" w:lineRule="exact"/>
        <w:rPr>
          <w:sz w:val="20"/>
          <w:szCs w:val="20"/>
          <w:color w:val="auto"/>
        </w:rPr>
      </w:pPr>
    </w:p>
    <w:p>
      <w:pPr>
        <w:ind w:left="9540"/>
        <w:spacing w:after="0"/>
        <w:rPr>
          <w:sz w:val="20"/>
          <w:szCs w:val="20"/>
          <w:color w:val="auto"/>
        </w:rPr>
      </w:pPr>
      <w:r>
        <w:rPr>
          <w:rFonts w:ascii="Arial" w:cs="Arial" w:eastAsia="Arial" w:hAnsi="Arial"/>
          <w:sz w:val="15"/>
          <w:szCs w:val="15"/>
          <w:color w:val="auto"/>
        </w:rPr>
        <w:t>Filed Pursuant to Rule 433</w:t>
      </w:r>
    </w:p>
    <w:p>
      <w:pPr>
        <w:spacing w:after="0" w:line="50" w:lineRule="exact"/>
        <w:rPr>
          <w:sz w:val="20"/>
          <w:szCs w:val="20"/>
          <w:color w:val="auto"/>
        </w:rPr>
      </w:pPr>
    </w:p>
    <w:p>
      <w:pPr>
        <w:ind w:left="9660"/>
        <w:spacing w:after="0"/>
        <w:rPr>
          <w:sz w:val="20"/>
          <w:szCs w:val="20"/>
          <w:color w:val="auto"/>
        </w:rPr>
      </w:pPr>
      <w:r>
        <w:rPr>
          <w:rFonts w:ascii="Arial" w:cs="Arial" w:eastAsia="Arial" w:hAnsi="Arial"/>
          <w:sz w:val="15"/>
          <w:szCs w:val="15"/>
          <w:color w:val="auto"/>
        </w:rPr>
        <w:t>Dated February 24, 2010</w:t>
      </w:r>
    </w:p>
    <w:p>
      <w:pPr>
        <w:spacing w:after="0" w:line="44" w:lineRule="exact"/>
        <w:rPr>
          <w:sz w:val="20"/>
          <w:szCs w:val="20"/>
          <w:color w:val="auto"/>
        </w:rPr>
      </w:pPr>
    </w:p>
    <w:p>
      <w:pPr>
        <w:ind w:left="8620"/>
        <w:spacing w:after="0"/>
        <w:rPr>
          <w:sz w:val="20"/>
          <w:szCs w:val="20"/>
          <w:color w:val="auto"/>
        </w:rPr>
      </w:pPr>
      <w:r>
        <w:rPr>
          <w:rFonts w:ascii="Arial" w:cs="Arial" w:eastAsia="Arial" w:hAnsi="Arial"/>
          <w:sz w:val="15"/>
          <w:szCs w:val="15"/>
          <w:color w:val="auto"/>
        </w:rPr>
        <w:t>Registration Statement No. 333-160009</w:t>
      </w:r>
    </w:p>
    <w:p>
      <w:pPr>
        <w:spacing w:after="0" w:line="44" w:lineRule="exact"/>
        <w:rPr>
          <w:sz w:val="20"/>
          <w:szCs w:val="20"/>
          <w:color w:val="auto"/>
        </w:rPr>
      </w:pPr>
    </w:p>
    <w:p>
      <w:pPr>
        <w:ind w:left="10640"/>
        <w:spacing w:after="0"/>
        <w:rPr>
          <w:sz w:val="20"/>
          <w:szCs w:val="20"/>
          <w:color w:val="auto"/>
        </w:rPr>
      </w:pPr>
      <w:r>
        <w:rPr>
          <w:rFonts w:ascii="Arial" w:cs="Arial" w:eastAsia="Arial" w:hAnsi="Arial"/>
          <w:sz w:val="16"/>
          <w:szCs w:val="16"/>
          <w:color w:val="auto"/>
        </w:rPr>
        <w:t>Relating to</w:t>
      </w:r>
    </w:p>
    <w:p>
      <w:pPr>
        <w:spacing w:after="0" w:line="32"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Preliminary Prospectus Supplement Dated February 24, 2010 to</w:t>
      </w:r>
    </w:p>
    <w:p>
      <w:pPr>
        <w:spacing w:after="0" w:line="44" w:lineRule="exact"/>
        <w:rPr>
          <w:sz w:val="20"/>
          <w:szCs w:val="20"/>
          <w:color w:val="auto"/>
        </w:rPr>
      </w:pPr>
    </w:p>
    <w:p>
      <w:pPr>
        <w:ind w:left="9220"/>
        <w:spacing w:after="0"/>
        <w:rPr>
          <w:sz w:val="20"/>
          <w:szCs w:val="20"/>
          <w:color w:val="auto"/>
        </w:rPr>
      </w:pPr>
      <w:r>
        <w:rPr>
          <w:rFonts w:ascii="Arial" w:cs="Arial" w:eastAsia="Arial" w:hAnsi="Arial"/>
          <w:sz w:val="15"/>
          <w:szCs w:val="15"/>
          <w:color w:val="auto"/>
        </w:rPr>
        <w:t>Prospectus dated June 16, 2009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Federal Realty Investment Trust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5.90% Notes due April 1, 2020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Term sheet dated February 24, 2010</w:t>
      </w:r>
    </w:p>
    <w:p>
      <w:pPr>
        <w:sectPr>
          <w:pgSz w:w="11900" w:h="16838" w:orient="portrait"/>
          <w:cols w:equalWidth="0" w:num="1">
            <w:col w:w="11420"/>
          </w:cols>
          <w:pgMar w:left="240" w:top="274" w:right="23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Federal Realty Investment Trust</w:t>
      </w:r>
    </w:p>
    <w:p>
      <w:pPr>
        <w:spacing w:after="0" w:line="152" w:lineRule="exact"/>
        <w:rPr>
          <w:sz w:val="20"/>
          <w:szCs w:val="20"/>
          <w:color w:val="auto"/>
        </w:rPr>
      </w:pPr>
    </w:p>
    <w:p>
      <w:pPr>
        <w:sectPr>
          <w:pgSz w:w="11900" w:h="16838" w:orient="portrait"/>
          <w:cols w:equalWidth="0" w:num="2">
            <w:col w:w="2820" w:space="720"/>
            <w:col w:w="78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5.90% notes due April 1, 2020</w:t>
      </w:r>
    </w:p>
    <w:p>
      <w:pPr>
        <w:spacing w:after="0" w:line="140" w:lineRule="exact"/>
        <w:rPr>
          <w:sz w:val="20"/>
          <w:szCs w:val="20"/>
          <w:color w:val="auto"/>
        </w:rPr>
      </w:pPr>
    </w:p>
    <w:p>
      <w:pPr>
        <w:sectPr>
          <w:pgSz w:w="11900" w:h="16838" w:orient="portrait"/>
          <w:cols w:equalWidth="0" w:num="2">
            <w:col w:w="2820" w:space="720"/>
            <w:col w:w="78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Size: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$150,000,000</w:t>
      </w:r>
    </w:p>
    <w:p>
      <w:pPr>
        <w:spacing w:after="0" w:line="140" w:lineRule="exact"/>
        <w:rPr>
          <w:sz w:val="20"/>
          <w:szCs w:val="20"/>
          <w:color w:val="auto"/>
        </w:rPr>
      </w:pPr>
    </w:p>
    <w:p>
      <w:pPr>
        <w:sectPr>
          <w:pgSz w:w="11900" w:h="16838" w:orient="portrait"/>
          <w:cols w:equalWidth="0" w:num="2">
            <w:col w:w="2820" w:space="720"/>
            <w:col w:w="78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April 1, 2020</w:t>
      </w:r>
    </w:p>
    <w:p>
      <w:pPr>
        <w:spacing w:after="0" w:line="140" w:lineRule="exact"/>
        <w:rPr>
          <w:sz w:val="20"/>
          <w:szCs w:val="20"/>
          <w:color w:val="auto"/>
        </w:rPr>
      </w:pPr>
    </w:p>
    <w:p>
      <w:pPr>
        <w:sectPr>
          <w:pgSz w:w="11900" w:h="16838" w:orient="portrait"/>
          <w:cols w:equalWidth="0" w:num="2">
            <w:col w:w="2820" w:space="720"/>
            <w:col w:w="78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April 1 and October 1, beginning October 1, 2010</w:t>
      </w:r>
    </w:p>
    <w:p>
      <w:pPr>
        <w:spacing w:after="0" w:line="140" w:lineRule="exact"/>
        <w:rPr>
          <w:sz w:val="20"/>
          <w:szCs w:val="20"/>
          <w:color w:val="auto"/>
        </w:rPr>
      </w:pPr>
    </w:p>
    <w:p>
      <w:pPr>
        <w:sectPr>
          <w:pgSz w:w="11900" w:h="16838" w:orient="portrait"/>
          <w:cols w:equalWidth="0" w:num="2">
            <w:col w:w="2820" w:space="720"/>
            <w:col w:w="78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3.625% UST due February 15, 2020</w:t>
      </w:r>
    </w:p>
    <w:p>
      <w:pPr>
        <w:spacing w:after="0" w:line="152" w:lineRule="exact"/>
        <w:rPr>
          <w:sz w:val="20"/>
          <w:szCs w:val="20"/>
          <w:color w:val="auto"/>
        </w:rPr>
      </w:pPr>
    </w:p>
    <w:p>
      <w:pPr>
        <w:sectPr>
          <w:pgSz w:w="11900" w:h="16838" w:orient="portrait"/>
          <w:cols w:equalWidth="0" w:num="2">
            <w:col w:w="2820" w:space="720"/>
            <w:col w:w="78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Benchmark Treasury Yield and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3.674%; 99-19</w:t>
      </w:r>
    </w:p>
    <w:p>
      <w:pPr>
        <w:spacing w:after="0" w:line="140" w:lineRule="exact"/>
        <w:rPr>
          <w:sz w:val="20"/>
          <w:szCs w:val="20"/>
          <w:color w:val="auto"/>
        </w:rPr>
      </w:pPr>
    </w:p>
    <w:p>
      <w:pPr>
        <w:sectPr>
          <w:pgSz w:w="11900" w:h="16838" w:orient="portrait"/>
          <w:cols w:equalWidth="0" w:num="2">
            <w:col w:w="2820" w:space="720"/>
            <w:col w:w="78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5.924%</w:t>
      </w:r>
    </w:p>
    <w:p>
      <w:pPr>
        <w:spacing w:after="0" w:line="151" w:lineRule="exact"/>
        <w:rPr>
          <w:sz w:val="20"/>
          <w:szCs w:val="20"/>
          <w:color w:val="auto"/>
        </w:rPr>
      </w:pPr>
    </w:p>
    <w:p>
      <w:pPr>
        <w:sectPr>
          <w:pgSz w:w="11900" w:h="16838" w:orient="portrait"/>
          <w:cols w:equalWidth="0" w:num="2">
            <w:col w:w="2820" w:space="720"/>
            <w:col w:w="78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+225 basis points</w:t>
      </w:r>
    </w:p>
    <w:p>
      <w:pPr>
        <w:spacing w:after="0" w:line="152" w:lineRule="exact"/>
        <w:rPr>
          <w:sz w:val="20"/>
          <w:szCs w:val="20"/>
          <w:color w:val="auto"/>
        </w:rPr>
      </w:pPr>
    </w:p>
    <w:p>
      <w:pPr>
        <w:sectPr>
          <w:pgSz w:w="11900" w:h="16838" w:orient="portrait"/>
          <w:cols w:equalWidth="0" w:num="2">
            <w:col w:w="2820" w:space="720"/>
            <w:col w:w="78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5.90% per year</w:t>
      </w:r>
    </w:p>
    <w:p>
      <w:pPr>
        <w:spacing w:after="0" w:line="152" w:lineRule="exact"/>
        <w:rPr>
          <w:sz w:val="20"/>
          <w:szCs w:val="20"/>
          <w:color w:val="auto"/>
        </w:rPr>
      </w:pPr>
    </w:p>
    <w:p>
      <w:pPr>
        <w:sectPr>
          <w:pgSz w:w="11900" w:h="16838" w:orient="portrait"/>
          <w:cols w:equalWidth="0" w:num="2">
            <w:col w:w="2820" w:space="720"/>
            <w:col w:w="78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99.812% of principal amount, plus accrued interest, if any, from the Settlement Date</w:t>
      </w:r>
    </w:p>
    <w:p>
      <w:pPr>
        <w:spacing w:after="0" w:line="140" w:lineRule="exact"/>
        <w:rPr>
          <w:sz w:val="20"/>
          <w:szCs w:val="20"/>
          <w:color w:val="auto"/>
        </w:rPr>
      </w:pPr>
    </w:p>
    <w:p>
      <w:pPr>
        <w:sectPr>
          <w:pgSz w:w="11900" w:h="16838" w:orient="portrait"/>
          <w:cols w:equalWidth="0" w:num="2">
            <w:col w:w="2820" w:space="720"/>
            <w:col w:w="78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February 24, 2010</w:t>
      </w:r>
    </w:p>
    <w:p>
      <w:pPr>
        <w:spacing w:after="0" w:line="152" w:lineRule="exact"/>
        <w:rPr>
          <w:sz w:val="20"/>
          <w:szCs w:val="20"/>
          <w:color w:val="auto"/>
        </w:rPr>
      </w:pPr>
    </w:p>
    <w:p>
      <w:pPr>
        <w:sectPr>
          <w:pgSz w:w="11900" w:h="16838" w:orient="portrait"/>
          <w:cols w:equalWidth="0" w:num="2">
            <w:col w:w="2820" w:space="720"/>
            <w:col w:w="78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T+3; March 1, 2010</w:t>
      </w:r>
    </w:p>
    <w:p>
      <w:pPr>
        <w:spacing w:after="0" w:line="140" w:lineRule="exact"/>
        <w:rPr>
          <w:sz w:val="20"/>
          <w:szCs w:val="20"/>
          <w:color w:val="auto"/>
        </w:rPr>
      </w:pPr>
    </w:p>
    <w:p>
      <w:pPr>
        <w:sectPr>
          <w:pgSz w:w="11900" w:h="16838" w:orient="portrait"/>
          <w:cols w:equalWidth="0" w:num="2">
            <w:col w:w="2820" w:space="720"/>
            <w:col w:w="78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Redemption Provision: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Make-whole call at any time based on U.S. Treasury plus 35 basis points (0.35%)</w:t>
      </w:r>
    </w:p>
    <w:p>
      <w:pPr>
        <w:spacing w:after="0" w:line="151" w:lineRule="exact"/>
        <w:rPr>
          <w:sz w:val="20"/>
          <w:szCs w:val="20"/>
          <w:color w:val="auto"/>
        </w:rPr>
      </w:pPr>
    </w:p>
    <w:p>
      <w:pPr>
        <w:sectPr>
          <w:pgSz w:w="11900" w:h="16838" w:orient="portrait"/>
          <w:cols w:equalWidth="0" w:num="2">
            <w:col w:w="2820" w:space="720"/>
            <w:col w:w="78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313747 AR8 / US313747AR87</w:t>
      </w:r>
    </w:p>
    <w:p>
      <w:pPr>
        <w:spacing w:after="0" w:line="181" w:lineRule="exact"/>
        <w:rPr>
          <w:sz w:val="20"/>
          <w:szCs w:val="20"/>
          <w:color w:val="auto"/>
        </w:rPr>
      </w:pPr>
    </w:p>
    <w:p>
      <w:pPr>
        <w:sectPr>
          <w:pgSz w:w="11900" w:h="16838" w:orient="portrait"/>
          <w:cols w:equalWidth="0" w:num="2">
            <w:col w:w="2820" w:space="720"/>
            <w:col w:w="788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Sch. 1 to Exhibit B, Page 1</w:t>
      </w:r>
    </w:p>
    <w:p>
      <w:pPr>
        <w:sectPr>
          <w:pgSz w:w="11900" w:h="16838" w:orient="portrait"/>
          <w:cols w:equalWidth="0" w:num="1">
            <w:col w:w="11420"/>
          </w:cols>
          <w:pgMar w:left="240" w:top="274"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-205105</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24" w:lineRule="exact"/>
        <w:rPr>
          <w:sz w:val="20"/>
          <w:szCs w:val="20"/>
          <w:color w:val="auto"/>
        </w:rPr>
      </w:pPr>
    </w:p>
    <w:p>
      <w:pPr>
        <w:sectPr>
          <w:pgSz w:w="11900" w:h="16838" w:orient="portrait"/>
          <w:cols w:equalWidth="0" w:num="2">
            <w:col w:w="2380" w:space="720"/>
            <w:col w:w="8260"/>
          </w:cols>
          <w:pgMar w:left="240" w:top="280" w:right="299" w:bottom="1440" w:gutter="0" w:footer="0" w:header="0"/>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RBC Capital Markets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 One Southcoast,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Sandler O’Neill &amp; Partners,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182" w:lineRule="exact"/>
        <w:rPr>
          <w:sz w:val="20"/>
          <w:szCs w:val="20"/>
          <w:color w:val="auto"/>
        </w:rPr>
      </w:pPr>
    </w:p>
    <w:p>
      <w:pPr>
        <w:sectPr>
          <w:pgSz w:w="11900" w:h="16838" w:orient="portrait"/>
          <w:cols w:equalWidth="0" w:num="2">
            <w:col w:w="2380" w:space="720"/>
            <w:col w:w="8260"/>
          </w:cols>
          <w:pgMar w:left="240" w:top="280" w:right="299" w:bottom="1440" w:gutter="0" w:footer="0" w:header="0"/>
          <w:type w:val="continuous"/>
        </w:sectPr>
      </w:pPr>
    </w:p>
    <w:p>
      <w:pPr>
        <w:spacing w:after="0" w:line="290" w:lineRule="auto"/>
        <w:rPr>
          <w:sz w:val="20"/>
          <w:szCs w:val="20"/>
          <w:color w:val="auto"/>
        </w:rPr>
      </w:pPr>
      <w:r>
        <w:rPr>
          <w:rFonts w:ascii="Arial" w:cs="Arial" w:eastAsia="Arial" w:hAnsi="Arial"/>
          <w:sz w:val="16"/>
          <w:szCs w:val="16"/>
          <w:b w:val="1"/>
          <w:bCs w:val="1"/>
          <w:color w:val="auto"/>
        </w:rPr>
        <w:t>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Alternatively, the issuer, any underwriter or any dealer participating in the offering will arrange to send you the preliminary prospectus supplement and the prospectus if you request it by calling Banc of America Securities LLC at 1-800-294-1322 or Wells Fargo Securities, LLC toll-free at 1-800-326-5897. 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 1 to Exhibit B, Page 2</w:t>
      </w:r>
    </w:p>
    <w:p>
      <w:pPr>
        <w:sectPr>
          <w:pgSz w:w="11900" w:h="16838" w:orient="portrait"/>
          <w:cols w:equalWidth="0" w:num="1">
            <w:col w:w="11360"/>
          </w:cols>
          <w:pgMar w:left="240" w:top="280" w:right="29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[Not Filed with this Current Report]</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 C-1</w:t>
      </w:r>
    </w:p>
    <w:p>
      <w:pPr>
        <w:sectPr>
          <w:pgSz w:w="11900" w:h="16838" w:orient="portrait"/>
          <w:cols w:equalWidth="0" w:num="1">
            <w:col w:w="10220"/>
          </w:cols>
          <w:pgMar w:left="1440" w:top="27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340" w:type="dxa"/>
            <w:vAlign w:val="bottom"/>
          </w:tcPr>
          <w:p>
            <w:pPr>
              <w:ind w:left="1100"/>
              <w:spacing w:after="0"/>
              <w:rPr>
                <w:sz w:val="20"/>
                <w:szCs w:val="20"/>
                <w:color w:val="auto"/>
              </w:rPr>
            </w:pPr>
            <w:r>
              <w:rPr>
                <w:rFonts w:ascii="Arial" w:cs="Arial" w:eastAsia="Arial" w:hAnsi="Arial"/>
                <w:sz w:val="14"/>
                <w:szCs w:val="14"/>
                <w:b w:val="1"/>
                <w:bCs w:val="1"/>
                <w:color w:val="auto"/>
              </w:rPr>
              <w:t>Company’s Direct or Indirect</w:t>
            </w:r>
          </w:p>
        </w:tc>
        <w:tc>
          <w:tcPr>
            <w:tcW w:w="0" w:type="dxa"/>
            <w:vAlign w:val="bottom"/>
          </w:tcPr>
          <w:p>
            <w:pPr>
              <w:spacing w:after="0"/>
              <w:rPr>
                <w:sz w:val="1"/>
                <w:szCs w:val="1"/>
                <w:color w:val="auto"/>
              </w:rPr>
            </w:pPr>
          </w:p>
        </w:tc>
      </w:tr>
      <w:tr>
        <w:trPr>
          <w:trHeight w:val="175"/>
        </w:trPr>
        <w:tc>
          <w:tcPr>
            <w:tcW w:w="6640" w:type="dxa"/>
            <w:vAlign w:val="bottom"/>
            <w:gridSpan w:val="3"/>
          </w:tcPr>
          <w:p>
            <w:pPr>
              <w:spacing w:after="0"/>
              <w:rPr>
                <w:sz w:val="20"/>
                <w:szCs w:val="20"/>
                <w:color w:val="auto"/>
              </w:rPr>
            </w:pPr>
            <w:r>
              <w:rPr>
                <w:rFonts w:ascii="Arial" w:cs="Arial" w:eastAsia="Arial" w:hAnsi="Arial"/>
                <w:sz w:val="14"/>
                <w:szCs w:val="14"/>
                <w:b w:val="1"/>
                <w:bCs w:val="1"/>
                <w:color w:val="auto"/>
              </w:rPr>
              <w:t>FEDERAL REALTY INVESTMENT TRUST</w:t>
            </w:r>
          </w:p>
        </w:tc>
        <w:tc>
          <w:tcPr>
            <w:tcW w:w="440" w:type="dxa"/>
            <w:vAlign w:val="bottom"/>
          </w:tcPr>
          <w:p>
            <w:pPr>
              <w:spacing w:after="0"/>
              <w:rPr>
                <w:sz w:val="15"/>
                <w:szCs w:val="15"/>
                <w:color w:val="auto"/>
              </w:rPr>
            </w:pPr>
          </w:p>
        </w:tc>
        <w:tc>
          <w:tcPr>
            <w:tcW w:w="4340" w:type="dxa"/>
            <w:vAlign w:val="bottom"/>
          </w:tcPr>
          <w:p>
            <w:pPr>
              <w:ind w:left="1400"/>
              <w:spacing w:after="0"/>
              <w:rPr>
                <w:sz w:val="20"/>
                <w:szCs w:val="20"/>
                <w:color w:val="auto"/>
              </w:rPr>
            </w:pPr>
            <w:r>
              <w:rPr>
                <w:rFonts w:ascii="Arial" w:cs="Arial" w:eastAsia="Arial" w:hAnsi="Arial"/>
                <w:sz w:val="14"/>
                <w:szCs w:val="14"/>
                <w:b w:val="1"/>
                <w:bCs w:val="1"/>
                <w:color w:val="auto"/>
              </w:rPr>
              <w:t>Ownership Interest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Associates Limited Partnership (“FR”)</w:t>
            </w: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98.97% (1.03% SRI)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Andorra Associates</w:t>
            </w:r>
          </w:p>
        </w:tc>
        <w:tc>
          <w:tcPr>
            <w:tcW w:w="4780" w:type="dxa"/>
            <w:vAlign w:val="bottom"/>
            <w:gridSpan w:val="2"/>
          </w:tcPr>
          <w:p>
            <w:pPr>
              <w:spacing w:after="0"/>
              <w:rPr>
                <w:sz w:val="20"/>
                <w:szCs w:val="20"/>
                <w:color w:val="auto"/>
              </w:rPr>
            </w:pPr>
            <w:r>
              <w:rPr>
                <w:rFonts w:ascii="Arial" w:cs="Arial" w:eastAsia="Arial" w:hAnsi="Arial"/>
                <w:sz w:val="18"/>
                <w:szCs w:val="18"/>
                <w:color w:val="auto"/>
              </w:rPr>
              <w:t>99% (1% FR)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Governor Plaza Associates</w:t>
            </w: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99% (1% FR)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Shopping Center Associates</w:t>
            </w:r>
          </w:p>
        </w:tc>
        <w:tc>
          <w:tcPr>
            <w:tcW w:w="4780" w:type="dxa"/>
            <w:vAlign w:val="bottom"/>
            <w:gridSpan w:val="2"/>
          </w:tcPr>
          <w:p>
            <w:pPr>
              <w:spacing w:after="0"/>
              <w:rPr>
                <w:sz w:val="20"/>
                <w:szCs w:val="20"/>
                <w:color w:val="auto"/>
              </w:rPr>
            </w:pPr>
            <w:r>
              <w:rPr>
                <w:rFonts w:ascii="Arial" w:cs="Arial" w:eastAsia="Arial" w:hAnsi="Arial"/>
                <w:sz w:val="18"/>
                <w:szCs w:val="18"/>
                <w:color w:val="auto"/>
              </w:rPr>
              <w:t>99% (1% FR)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Berman Enterprises II Limited Partnership</w:t>
            </w: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99% (1% FR)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FRIT Escondido Promenade, LLC</w:t>
            </w:r>
          </w:p>
        </w:tc>
        <w:tc>
          <w:tcPr>
            <w:tcW w:w="440" w:type="dxa"/>
            <w:vAlign w:val="bottom"/>
          </w:tcPr>
          <w:p>
            <w:pPr>
              <w:spacing w:after="0"/>
              <w:rPr>
                <w:sz w:val="20"/>
                <w:szCs w:val="20"/>
                <w:color w:val="auto"/>
              </w:rPr>
            </w:pPr>
            <w:r>
              <w:rPr>
                <w:rFonts w:ascii="Arial" w:cs="Arial" w:eastAsia="Arial" w:hAnsi="Arial"/>
                <w:sz w:val="18"/>
                <w:szCs w:val="18"/>
                <w:color w:val="auto"/>
              </w:rPr>
              <w:t>70%</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FRIT Leasing &amp; Development Services, Inc. (“FRIT L&amp;D”)</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FRIT Santana Row TRS, Inc.</w:t>
            </w:r>
          </w:p>
        </w:tc>
        <w:tc>
          <w:tcPr>
            <w:tcW w:w="440" w:type="dxa"/>
            <w:vAlign w:val="bottom"/>
          </w:tcPr>
          <w:p>
            <w:pPr>
              <w:spacing w:after="0"/>
              <w:rPr>
                <w:sz w:val="20"/>
                <w:szCs w:val="20"/>
                <w:color w:val="auto"/>
              </w:rPr>
            </w:pPr>
            <w:r>
              <w:rPr>
                <w:rFonts w:ascii="Arial" w:cs="Arial" w:eastAsia="Arial" w:hAnsi="Arial"/>
                <w:sz w:val="18"/>
                <w:szCs w:val="18"/>
                <w:color w:val="auto"/>
                <w:w w:val="91"/>
              </w:rPr>
              <w:t>100%</w:t>
            </w:r>
          </w:p>
        </w:tc>
        <w:tc>
          <w:tcPr>
            <w:tcW w:w="4340" w:type="dxa"/>
            <w:vAlign w:val="bottom"/>
          </w:tcPr>
          <w:p>
            <w:pPr>
              <w:ind w:left="20"/>
              <w:spacing w:after="0"/>
              <w:rPr>
                <w:sz w:val="20"/>
                <w:szCs w:val="20"/>
                <w:color w:val="auto"/>
              </w:rPr>
            </w:pPr>
            <w:r>
              <w:rPr>
                <w:rFonts w:ascii="Arial" w:cs="Arial" w:eastAsia="Arial" w:hAnsi="Arial"/>
                <w:sz w:val="18"/>
                <w:szCs w:val="18"/>
                <w:color w:val="auto"/>
              </w:rPr>
              <w:t>(FRIT L&amp;D)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Congressional Plaza Associates, LLC</w:t>
            </w: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64.1030%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FR Pike 7 Limited Partnership (DownREIT) – 12,393.71 units outstanding)</w:t>
            </w:r>
          </w:p>
        </w:tc>
        <w:tc>
          <w:tcPr>
            <w:tcW w:w="4780" w:type="dxa"/>
            <w:vAlign w:val="bottom"/>
            <w:gridSpan w:val="2"/>
          </w:tcPr>
          <w:p>
            <w:pPr>
              <w:spacing w:after="0"/>
              <w:rPr>
                <w:sz w:val="20"/>
                <w:szCs w:val="20"/>
                <w:color w:val="auto"/>
              </w:rPr>
            </w:pPr>
            <w:r>
              <w:rPr>
                <w:rFonts w:ascii="Arial" w:cs="Arial" w:eastAsia="Arial" w:hAnsi="Arial"/>
                <w:sz w:val="18"/>
                <w:szCs w:val="18"/>
                <w:color w:val="auto"/>
              </w:rPr>
              <w:t>99.3143%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Federal Realty Partners L. P. (Master DownREIT- 142,793 units outstanding – 718,755</w:t>
            </w: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 units (FedRP Inc.)</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units have been redeemed)</w:t>
            </w: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718,795 units (FRLP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Federal Realty Partners, Inc. (“FedRP Inc.”)</w:t>
            </w:r>
          </w:p>
        </w:tc>
        <w:tc>
          <w:tcPr>
            <w:tcW w:w="440" w:type="dxa"/>
            <w:vAlign w:val="bottom"/>
          </w:tcPr>
          <w:p>
            <w:pPr>
              <w:spacing w:after="0"/>
              <w:rPr>
                <w:sz w:val="20"/>
                <w:szCs w:val="20"/>
                <w:color w:val="auto"/>
              </w:rPr>
            </w:pPr>
            <w:r>
              <w:rPr>
                <w:rFonts w:ascii="Arial" w:cs="Arial" w:eastAsia="Arial" w:hAnsi="Arial"/>
                <w:sz w:val="18"/>
                <w:szCs w:val="18"/>
                <w:color w:val="auto"/>
                <w:w w:val="91"/>
              </w:rPr>
              <w:t>100%</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FRLP, Inc. (“FRLP Inc.”)</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FR Leesburg Plaza, LLC (“Leesburg LLC”)</w:t>
            </w:r>
          </w:p>
        </w:tc>
        <w:tc>
          <w:tcPr>
            <w:tcW w:w="440" w:type="dxa"/>
            <w:vAlign w:val="bottom"/>
          </w:tcPr>
          <w:p>
            <w:pPr>
              <w:spacing w:after="0"/>
              <w:rPr>
                <w:sz w:val="20"/>
                <w:szCs w:val="20"/>
                <w:color w:val="auto"/>
              </w:rPr>
            </w:pPr>
            <w:r>
              <w:rPr>
                <w:rFonts w:ascii="Arial" w:cs="Arial" w:eastAsia="Arial" w:hAnsi="Arial"/>
                <w:sz w:val="18"/>
                <w:szCs w:val="18"/>
                <w:color w:val="auto"/>
                <w:w w:val="91"/>
              </w:rPr>
              <w:t>100%</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FR Leesburg Plaza, LP (DownREIT– 33,267 units outstanding – 104,733 units have</w:t>
            </w:r>
          </w:p>
        </w:tc>
        <w:tc>
          <w:tcPr>
            <w:tcW w:w="4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been redeemed)</w:t>
            </w: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319,233 units (Leesburg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Federal Realty Management Services, Inc.</w:t>
            </w:r>
          </w:p>
        </w:tc>
        <w:tc>
          <w:tcPr>
            <w:tcW w:w="440" w:type="dxa"/>
            <w:vAlign w:val="bottom"/>
          </w:tcPr>
          <w:p>
            <w:pPr>
              <w:spacing w:after="0"/>
              <w:rPr>
                <w:sz w:val="20"/>
                <w:szCs w:val="20"/>
                <w:color w:val="auto"/>
              </w:rPr>
            </w:pPr>
            <w:r>
              <w:rPr>
                <w:rFonts w:ascii="Arial" w:cs="Arial" w:eastAsia="Arial" w:hAnsi="Arial"/>
                <w:sz w:val="18"/>
                <w:szCs w:val="18"/>
                <w:color w:val="auto"/>
                <w:w w:val="91"/>
              </w:rPr>
              <w:t>100%</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Federal Plaza, Inc. (“FedPlaza Inc.”)</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FR Federal Plaza, LLC</w:t>
            </w:r>
          </w:p>
        </w:tc>
        <w:tc>
          <w:tcPr>
            <w:tcW w:w="440" w:type="dxa"/>
            <w:vAlign w:val="bottom"/>
          </w:tcPr>
          <w:p>
            <w:pPr>
              <w:spacing w:after="0"/>
              <w:rPr>
                <w:sz w:val="20"/>
                <w:szCs w:val="20"/>
                <w:color w:val="auto"/>
              </w:rPr>
            </w:pPr>
            <w:r>
              <w:rPr>
                <w:rFonts w:ascii="Arial" w:cs="Arial" w:eastAsia="Arial" w:hAnsi="Arial"/>
                <w:sz w:val="18"/>
                <w:szCs w:val="18"/>
                <w:color w:val="auto"/>
                <w:w w:val="91"/>
              </w:rPr>
              <w:t>100%</w:t>
            </w:r>
          </w:p>
        </w:tc>
        <w:tc>
          <w:tcPr>
            <w:tcW w:w="4340" w:type="dxa"/>
            <w:vAlign w:val="bottom"/>
          </w:tcPr>
          <w:p>
            <w:pPr>
              <w:ind w:left="20"/>
              <w:spacing w:after="0"/>
              <w:rPr>
                <w:sz w:val="20"/>
                <w:szCs w:val="20"/>
                <w:color w:val="auto"/>
              </w:rPr>
            </w:pPr>
            <w:r>
              <w:rPr>
                <w:rFonts w:ascii="Arial" w:cs="Arial" w:eastAsia="Arial" w:hAnsi="Arial"/>
                <w:sz w:val="18"/>
                <w:szCs w:val="18"/>
                <w:color w:val="auto"/>
              </w:rPr>
              <w:t>(FedPlaza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Mercer Mall, Inc. (“Mercer Inc.”)</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FR Mercer Mall, LLC</w:t>
            </w:r>
          </w:p>
        </w:tc>
        <w:tc>
          <w:tcPr>
            <w:tcW w:w="440" w:type="dxa"/>
            <w:vAlign w:val="bottom"/>
          </w:tcPr>
          <w:p>
            <w:pPr>
              <w:spacing w:after="0"/>
              <w:rPr>
                <w:sz w:val="20"/>
                <w:szCs w:val="20"/>
                <w:color w:val="auto"/>
              </w:rPr>
            </w:pPr>
            <w:r>
              <w:rPr>
                <w:rFonts w:ascii="Arial" w:cs="Arial" w:eastAsia="Arial" w:hAnsi="Arial"/>
                <w:sz w:val="18"/>
                <w:szCs w:val="18"/>
                <w:color w:val="auto"/>
                <w:w w:val="91"/>
              </w:rPr>
              <w:t>100%</w:t>
            </w:r>
          </w:p>
        </w:tc>
        <w:tc>
          <w:tcPr>
            <w:tcW w:w="4340" w:type="dxa"/>
            <w:vAlign w:val="bottom"/>
          </w:tcPr>
          <w:p>
            <w:pPr>
              <w:ind w:left="20"/>
              <w:spacing w:after="0"/>
              <w:rPr>
                <w:sz w:val="20"/>
                <w:szCs w:val="20"/>
                <w:color w:val="auto"/>
              </w:rPr>
            </w:pPr>
            <w:r>
              <w:rPr>
                <w:rFonts w:ascii="Arial" w:cs="Arial" w:eastAsia="Arial" w:hAnsi="Arial"/>
                <w:sz w:val="18"/>
                <w:szCs w:val="18"/>
                <w:color w:val="auto"/>
              </w:rPr>
              <w:t>(Mercer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Federal/LPF GP, Inc. (“LPF”)</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Federal/Lion Venture LP (“Venture”)</w:t>
            </w:r>
          </w:p>
        </w:tc>
        <w:tc>
          <w:tcPr>
            <w:tcW w:w="4780" w:type="dxa"/>
            <w:vAlign w:val="bottom"/>
            <w:gridSpan w:val="2"/>
          </w:tcPr>
          <w:p>
            <w:pPr>
              <w:spacing w:after="0"/>
              <w:rPr>
                <w:sz w:val="20"/>
                <w:szCs w:val="20"/>
                <w:color w:val="auto"/>
              </w:rPr>
            </w:pPr>
            <w:r>
              <w:rPr>
                <w:rFonts w:ascii="Arial" w:cs="Arial" w:eastAsia="Arial" w:hAnsi="Arial"/>
                <w:sz w:val="18"/>
                <w:szCs w:val="18"/>
                <w:color w:val="auto"/>
              </w:rPr>
              <w:t>29.9% (.1% LPF)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FLV Plaza del Mercado, LLC (“Mercado”)</w:t>
            </w: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through Venture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860"/>
              <w:spacing w:after="0"/>
              <w:rPr>
                <w:sz w:val="20"/>
                <w:szCs w:val="20"/>
                <w:color w:val="auto"/>
              </w:rPr>
            </w:pPr>
            <w:r>
              <w:rPr>
                <w:rFonts w:ascii="Arial" w:cs="Arial" w:eastAsia="Arial" w:hAnsi="Arial"/>
                <w:sz w:val="18"/>
                <w:szCs w:val="18"/>
                <w:color w:val="auto"/>
              </w:rPr>
              <w:t>FLV Plaza del Mercado, LP</w:t>
            </w:r>
          </w:p>
        </w:tc>
        <w:tc>
          <w:tcPr>
            <w:tcW w:w="4780" w:type="dxa"/>
            <w:vAlign w:val="bottom"/>
            <w:gridSpan w:val="2"/>
          </w:tcPr>
          <w:p>
            <w:pPr>
              <w:spacing w:after="0"/>
              <w:rPr>
                <w:sz w:val="20"/>
                <w:szCs w:val="20"/>
                <w:color w:val="auto"/>
              </w:rPr>
            </w:pPr>
            <w:r>
              <w:rPr>
                <w:rFonts w:ascii="Arial" w:cs="Arial" w:eastAsia="Arial" w:hAnsi="Arial"/>
                <w:sz w:val="18"/>
                <w:szCs w:val="18"/>
                <w:color w:val="auto"/>
              </w:rPr>
              <w:t>30% through Mercado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FLV Campus Plaza GP, LLC (“Campus”)</w:t>
            </w: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through Venture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860"/>
              <w:spacing w:after="0"/>
              <w:rPr>
                <w:sz w:val="20"/>
                <w:szCs w:val="20"/>
                <w:color w:val="auto"/>
              </w:rPr>
            </w:pPr>
            <w:r>
              <w:rPr>
                <w:rFonts w:ascii="Arial" w:cs="Arial" w:eastAsia="Arial" w:hAnsi="Arial"/>
                <w:sz w:val="18"/>
                <w:szCs w:val="18"/>
                <w:color w:val="auto"/>
              </w:rPr>
              <w:t>FLV Campus Plaza Limited Partnership</w:t>
            </w:r>
          </w:p>
        </w:tc>
        <w:tc>
          <w:tcPr>
            <w:tcW w:w="4780" w:type="dxa"/>
            <w:vAlign w:val="bottom"/>
            <w:gridSpan w:val="2"/>
          </w:tcPr>
          <w:p>
            <w:pPr>
              <w:spacing w:after="0"/>
              <w:rPr>
                <w:sz w:val="20"/>
                <w:szCs w:val="20"/>
                <w:color w:val="auto"/>
              </w:rPr>
            </w:pPr>
            <w:r>
              <w:rPr>
                <w:rFonts w:ascii="Arial" w:cs="Arial" w:eastAsia="Arial" w:hAnsi="Arial"/>
                <w:sz w:val="18"/>
                <w:szCs w:val="18"/>
                <w:color w:val="auto"/>
              </w:rPr>
              <w:t>30% through Campus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FLV Pleasant Shops GP, LLC (“Pleasant”)</w:t>
            </w: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through Venture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860"/>
              <w:spacing w:after="0"/>
              <w:rPr>
                <w:sz w:val="20"/>
                <w:szCs w:val="20"/>
                <w:color w:val="auto"/>
              </w:rPr>
            </w:pPr>
            <w:r>
              <w:rPr>
                <w:rFonts w:ascii="Arial" w:cs="Arial" w:eastAsia="Arial" w:hAnsi="Arial"/>
                <w:sz w:val="18"/>
                <w:szCs w:val="18"/>
                <w:color w:val="auto"/>
              </w:rPr>
              <w:t>FLV Pleasant Shops Limited Partnership</w:t>
            </w:r>
          </w:p>
        </w:tc>
        <w:tc>
          <w:tcPr>
            <w:tcW w:w="4780" w:type="dxa"/>
            <w:vAlign w:val="bottom"/>
            <w:gridSpan w:val="2"/>
          </w:tcPr>
          <w:p>
            <w:pPr>
              <w:spacing w:after="0"/>
              <w:rPr>
                <w:sz w:val="20"/>
                <w:szCs w:val="20"/>
                <w:color w:val="auto"/>
              </w:rPr>
            </w:pPr>
            <w:r>
              <w:rPr>
                <w:rFonts w:ascii="Arial" w:cs="Arial" w:eastAsia="Arial" w:hAnsi="Arial"/>
                <w:sz w:val="18"/>
                <w:szCs w:val="18"/>
                <w:color w:val="auto"/>
              </w:rPr>
              <w:t>30% through Pleasant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FLV Atlantic Plaza GP, LLC (“Atlantic”)</w:t>
            </w: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through Venture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860"/>
              <w:spacing w:after="0"/>
              <w:rPr>
                <w:sz w:val="20"/>
                <w:szCs w:val="20"/>
                <w:color w:val="auto"/>
              </w:rPr>
            </w:pPr>
            <w:r>
              <w:rPr>
                <w:rFonts w:ascii="Arial" w:cs="Arial" w:eastAsia="Arial" w:hAnsi="Arial"/>
                <w:sz w:val="18"/>
                <w:szCs w:val="18"/>
                <w:color w:val="auto"/>
              </w:rPr>
              <w:t>FLV Atlantic Plaza Limited Partnership</w:t>
            </w:r>
          </w:p>
        </w:tc>
        <w:tc>
          <w:tcPr>
            <w:tcW w:w="4780" w:type="dxa"/>
            <w:vAlign w:val="bottom"/>
            <w:gridSpan w:val="2"/>
          </w:tcPr>
          <w:p>
            <w:pPr>
              <w:spacing w:after="0"/>
              <w:rPr>
                <w:sz w:val="20"/>
                <w:szCs w:val="20"/>
                <w:color w:val="auto"/>
              </w:rPr>
            </w:pPr>
            <w:r>
              <w:rPr>
                <w:rFonts w:ascii="Arial" w:cs="Arial" w:eastAsia="Arial" w:hAnsi="Arial"/>
                <w:sz w:val="18"/>
                <w:szCs w:val="18"/>
                <w:color w:val="auto"/>
              </w:rPr>
              <w:t>30% through Atlantic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FLV Greenlawn Plaza GP, LLC (“Greenlawn”)</w:t>
            </w: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through Venture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860"/>
              <w:spacing w:after="0"/>
              <w:rPr>
                <w:sz w:val="20"/>
                <w:szCs w:val="20"/>
                <w:color w:val="auto"/>
              </w:rPr>
            </w:pPr>
            <w:r>
              <w:rPr>
                <w:rFonts w:ascii="Arial" w:cs="Arial" w:eastAsia="Arial" w:hAnsi="Arial"/>
                <w:sz w:val="18"/>
                <w:szCs w:val="18"/>
                <w:color w:val="auto"/>
              </w:rPr>
              <w:t>FLV Greenlawn Plaza, LP</w:t>
            </w:r>
          </w:p>
        </w:tc>
        <w:tc>
          <w:tcPr>
            <w:tcW w:w="4780" w:type="dxa"/>
            <w:vAlign w:val="bottom"/>
            <w:gridSpan w:val="2"/>
          </w:tcPr>
          <w:p>
            <w:pPr>
              <w:spacing w:after="0"/>
              <w:rPr>
                <w:sz w:val="20"/>
                <w:szCs w:val="20"/>
                <w:color w:val="auto"/>
              </w:rPr>
            </w:pPr>
            <w:r>
              <w:rPr>
                <w:rFonts w:ascii="Arial" w:cs="Arial" w:eastAsia="Arial" w:hAnsi="Arial"/>
                <w:sz w:val="18"/>
                <w:szCs w:val="18"/>
                <w:color w:val="auto"/>
              </w:rPr>
              <w:t>30% through Greenlawn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FLV Barcroft Plaza GP, LLC (“Barcroft”)</w:t>
            </w: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through Venture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860"/>
              <w:spacing w:after="0"/>
              <w:rPr>
                <w:sz w:val="20"/>
                <w:szCs w:val="20"/>
                <w:color w:val="auto"/>
              </w:rPr>
            </w:pPr>
            <w:r>
              <w:rPr>
                <w:rFonts w:ascii="Arial" w:cs="Arial" w:eastAsia="Arial" w:hAnsi="Arial"/>
                <w:sz w:val="18"/>
                <w:szCs w:val="18"/>
                <w:color w:val="auto"/>
              </w:rPr>
              <w:t>FLV Barcroft Plaza, LP</w:t>
            </w:r>
          </w:p>
        </w:tc>
        <w:tc>
          <w:tcPr>
            <w:tcW w:w="4780" w:type="dxa"/>
            <w:vAlign w:val="bottom"/>
            <w:gridSpan w:val="2"/>
          </w:tcPr>
          <w:p>
            <w:pPr>
              <w:spacing w:after="0"/>
              <w:rPr>
                <w:sz w:val="20"/>
                <w:szCs w:val="20"/>
                <w:color w:val="auto"/>
              </w:rPr>
            </w:pPr>
            <w:r>
              <w:rPr>
                <w:rFonts w:ascii="Arial" w:cs="Arial" w:eastAsia="Arial" w:hAnsi="Arial"/>
                <w:sz w:val="18"/>
                <w:szCs w:val="18"/>
                <w:color w:val="auto"/>
              </w:rPr>
              <w:t>30% through Barcroft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FLV Free State GP, LLC (“Free State”)</w:t>
            </w: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through Venture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860"/>
              <w:spacing w:after="0"/>
              <w:rPr>
                <w:sz w:val="20"/>
                <w:szCs w:val="20"/>
                <w:color w:val="auto"/>
              </w:rPr>
            </w:pPr>
            <w:r>
              <w:rPr>
                <w:rFonts w:ascii="Arial" w:cs="Arial" w:eastAsia="Arial" w:hAnsi="Arial"/>
                <w:sz w:val="18"/>
                <w:szCs w:val="18"/>
                <w:color w:val="auto"/>
              </w:rPr>
              <w:t>FLV Free State Limited Partnership</w:t>
            </w:r>
          </w:p>
        </w:tc>
        <w:tc>
          <w:tcPr>
            <w:tcW w:w="4780" w:type="dxa"/>
            <w:vAlign w:val="bottom"/>
            <w:gridSpan w:val="2"/>
          </w:tcPr>
          <w:p>
            <w:pPr>
              <w:spacing w:after="0"/>
              <w:rPr>
                <w:sz w:val="20"/>
                <w:szCs w:val="20"/>
                <w:color w:val="auto"/>
              </w:rPr>
            </w:pPr>
            <w:r>
              <w:rPr>
                <w:rFonts w:ascii="Arial" w:cs="Arial" w:eastAsia="Arial" w:hAnsi="Arial"/>
                <w:sz w:val="18"/>
                <w:szCs w:val="18"/>
                <w:color w:val="auto"/>
              </w:rPr>
              <w:t>30% through Free State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Westgate Mall, Inc. (“Westgate Inc.”)</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FR Westgate Mall, LLC</w:t>
            </w:r>
          </w:p>
        </w:tc>
        <w:tc>
          <w:tcPr>
            <w:tcW w:w="440" w:type="dxa"/>
            <w:vAlign w:val="bottom"/>
          </w:tcPr>
          <w:p>
            <w:pPr>
              <w:spacing w:after="0"/>
              <w:rPr>
                <w:sz w:val="20"/>
                <w:szCs w:val="20"/>
                <w:color w:val="auto"/>
              </w:rPr>
            </w:pPr>
            <w:r>
              <w:rPr>
                <w:rFonts w:ascii="Arial" w:cs="Arial" w:eastAsia="Arial" w:hAnsi="Arial"/>
                <w:sz w:val="18"/>
                <w:szCs w:val="18"/>
                <w:color w:val="auto"/>
                <w:w w:val="91"/>
              </w:rPr>
              <w:t>100%</w:t>
            </w:r>
          </w:p>
        </w:tc>
        <w:tc>
          <w:tcPr>
            <w:tcW w:w="4340" w:type="dxa"/>
            <w:vAlign w:val="bottom"/>
          </w:tcPr>
          <w:p>
            <w:pPr>
              <w:ind w:left="20"/>
              <w:spacing w:after="0"/>
              <w:rPr>
                <w:sz w:val="20"/>
                <w:szCs w:val="20"/>
                <w:color w:val="auto"/>
              </w:rPr>
            </w:pPr>
            <w:r>
              <w:rPr>
                <w:rFonts w:ascii="Arial" w:cs="Arial" w:eastAsia="Arial" w:hAnsi="Arial"/>
                <w:sz w:val="18"/>
                <w:szCs w:val="18"/>
                <w:color w:val="auto"/>
              </w:rPr>
              <w:t>(Westgate Inc.)</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D-1</w:t>
      </w:r>
    </w:p>
    <w:p>
      <w:pPr>
        <w:sectPr>
          <w:pgSz w:w="11900" w:h="16838" w:orient="portrait"/>
          <w:cols w:equalWidth="0" w:num="1">
            <w:col w:w="11420"/>
          </w:cols>
          <w:pgMar w:left="240" w:top="274"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FR Assembly Square, LLC</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FR Sturtevant Street, Inc. (“Sturtevant Inc.”)</w:t>
            </w:r>
          </w:p>
        </w:tc>
        <w:tc>
          <w:tcPr>
            <w:tcW w:w="560" w:type="dxa"/>
            <w:vAlign w:val="bottom"/>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tcPr>
          <w:p>
            <w:pPr>
              <w:spacing w:after="0"/>
              <w:rPr>
                <w:sz w:val="18"/>
                <w:szCs w:val="18"/>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FR Sturtevant Street, LLC</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(Sturtevant Inc.)</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FR Crow Canyon, Inc. (f/k/a JS&amp;DB, Inc.) (“Crow Inc.”)</w:t>
            </w:r>
          </w:p>
        </w:tc>
        <w:tc>
          <w:tcPr>
            <w:tcW w:w="560" w:type="dxa"/>
            <w:vAlign w:val="bottom"/>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tcPr>
          <w:p>
            <w:pPr>
              <w:spacing w:after="0"/>
              <w:rPr>
                <w:sz w:val="18"/>
                <w:szCs w:val="18"/>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FR Crow Canyon, LLC</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(Crow Inc.)</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FR Key Road, Inc.</w:t>
            </w:r>
          </w:p>
        </w:tc>
        <w:tc>
          <w:tcPr>
            <w:tcW w:w="560" w:type="dxa"/>
            <w:vAlign w:val="bottom"/>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FR Riverside, Inc.</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FR Linden Square, Inc.</w:t>
            </w:r>
          </w:p>
        </w:tc>
        <w:tc>
          <w:tcPr>
            <w:tcW w:w="560" w:type="dxa"/>
            <w:vAlign w:val="bottom"/>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FR North Dartmouth, Inc. (“ND Inc.”)</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spacing w:after="0"/>
              <w:rPr>
                <w:sz w:val="18"/>
                <w:szCs w:val="18"/>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FR North Dartmouth, LLC</w:t>
            </w:r>
          </w:p>
        </w:tc>
        <w:tc>
          <w:tcPr>
            <w:tcW w:w="560" w:type="dxa"/>
            <w:vAlign w:val="bottom"/>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tcPr>
          <w:p>
            <w:pPr>
              <w:ind w:left="20"/>
              <w:spacing w:after="0"/>
              <w:rPr>
                <w:sz w:val="20"/>
                <w:szCs w:val="20"/>
                <w:color w:val="auto"/>
              </w:rPr>
            </w:pPr>
            <w:r>
              <w:rPr>
                <w:rFonts w:ascii="Arial" w:cs="Arial" w:eastAsia="Arial" w:hAnsi="Arial"/>
                <w:sz w:val="18"/>
                <w:szCs w:val="18"/>
                <w:color w:val="auto"/>
              </w:rPr>
              <w:t>(ND Inc.)</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FR Chelsea Commons I, Inc. (“Chelsea I Inc.”)</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spacing w:after="0"/>
              <w:rPr>
                <w:sz w:val="18"/>
                <w:szCs w:val="18"/>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FR Chelsea Commons I, LLC</w:t>
            </w:r>
          </w:p>
        </w:tc>
        <w:tc>
          <w:tcPr>
            <w:tcW w:w="560" w:type="dxa"/>
            <w:vAlign w:val="bottom"/>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tcPr>
          <w:p>
            <w:pPr>
              <w:ind w:left="20"/>
              <w:spacing w:after="0"/>
              <w:rPr>
                <w:sz w:val="20"/>
                <w:szCs w:val="20"/>
                <w:color w:val="auto"/>
              </w:rPr>
            </w:pPr>
            <w:r>
              <w:rPr>
                <w:rFonts w:ascii="Arial" w:cs="Arial" w:eastAsia="Arial" w:hAnsi="Arial"/>
                <w:sz w:val="18"/>
                <w:szCs w:val="18"/>
                <w:color w:val="auto"/>
              </w:rPr>
              <w:t>(Chelsea I Inc.)</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FR Chelsea Commons II, Inc. (“Chelsea II Inc.”)</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spacing w:after="0"/>
              <w:rPr>
                <w:sz w:val="18"/>
                <w:szCs w:val="18"/>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FR Chelsea Commons II, LLC</w:t>
            </w:r>
          </w:p>
        </w:tc>
        <w:tc>
          <w:tcPr>
            <w:tcW w:w="560" w:type="dxa"/>
            <w:vAlign w:val="bottom"/>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tcPr>
          <w:p>
            <w:pPr>
              <w:ind w:left="20"/>
              <w:spacing w:after="0"/>
              <w:rPr>
                <w:sz w:val="20"/>
                <w:szCs w:val="20"/>
                <w:color w:val="auto"/>
              </w:rPr>
            </w:pPr>
            <w:r>
              <w:rPr>
                <w:rFonts w:ascii="Arial" w:cs="Arial" w:eastAsia="Arial" w:hAnsi="Arial"/>
                <w:sz w:val="18"/>
                <w:szCs w:val="18"/>
                <w:color w:val="auto"/>
              </w:rPr>
              <w:t>(Chelsea II Inc.)</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FR Chelsea Commons III, LLC</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FR Shoppers World, Inc. (“Shoppers Inc.”)</w:t>
            </w:r>
          </w:p>
        </w:tc>
        <w:tc>
          <w:tcPr>
            <w:tcW w:w="560" w:type="dxa"/>
            <w:vAlign w:val="bottom"/>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tcPr>
          <w:p>
            <w:pPr>
              <w:spacing w:after="0"/>
              <w:rPr>
                <w:sz w:val="18"/>
                <w:szCs w:val="18"/>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FR Shoppers World, LLC</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(Shoppers Inc.)</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FR White Marsh, Inc. (“WM Inc.”)</w:t>
            </w:r>
          </w:p>
        </w:tc>
        <w:tc>
          <w:tcPr>
            <w:tcW w:w="560" w:type="dxa"/>
            <w:vAlign w:val="bottom"/>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tcPr>
          <w:p>
            <w:pPr>
              <w:spacing w:after="0"/>
              <w:rPr>
                <w:sz w:val="18"/>
                <w:szCs w:val="18"/>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Cordon Fairfield Business Trust</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Campbell-Philadelphia Business Trust</w:t>
            </w:r>
          </w:p>
        </w:tc>
        <w:tc>
          <w:tcPr>
            <w:tcW w:w="560" w:type="dxa"/>
            <w:vAlign w:val="bottom"/>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Shoppes at Nottingham Square Business Trust</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Nottingham Square Business Trust</w:t>
            </w:r>
          </w:p>
        </w:tc>
        <w:tc>
          <w:tcPr>
            <w:tcW w:w="560" w:type="dxa"/>
            <w:vAlign w:val="bottom"/>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Retail Properties Business Trust</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Byron Station, LLC (“Byron LLC”)</w:t>
            </w:r>
          </w:p>
        </w:tc>
        <w:tc>
          <w:tcPr>
            <w:tcW w:w="560" w:type="dxa"/>
            <w:vAlign w:val="bottom"/>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Byron Station Limited Partnership, LLLP</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 Byron LLC; 99% WM Inc.)</w:t>
            </w: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White Marsh Plaza, LLC (“WMP LLC”)</w:t>
            </w:r>
          </w:p>
        </w:tc>
        <w:tc>
          <w:tcPr>
            <w:tcW w:w="560" w:type="dxa"/>
            <w:vAlign w:val="bottom"/>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White Marsh Plaza Limited Partnership (“WMP LP”)</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 WMP LLC; 99% WM Inc.)</w:t>
            </w:r>
          </w:p>
        </w:tc>
      </w:tr>
      <w:tr>
        <w:trPr>
          <w:trHeight w:val="216"/>
        </w:trPr>
        <w:tc>
          <w:tcPr>
            <w:tcW w:w="6520" w:type="dxa"/>
            <w:vAlign w:val="bottom"/>
          </w:tcPr>
          <w:p>
            <w:pPr>
              <w:ind w:left="1300"/>
              <w:spacing w:after="0"/>
              <w:rPr>
                <w:sz w:val="20"/>
                <w:szCs w:val="20"/>
                <w:color w:val="auto"/>
              </w:rPr>
            </w:pPr>
            <w:r>
              <w:rPr>
                <w:rFonts w:ascii="Arial" w:cs="Arial" w:eastAsia="Arial" w:hAnsi="Arial"/>
                <w:sz w:val="18"/>
                <w:szCs w:val="18"/>
                <w:color w:val="auto"/>
              </w:rPr>
              <w:t>White Marsh Plaza Business Trust</w:t>
            </w:r>
          </w:p>
        </w:tc>
        <w:tc>
          <w:tcPr>
            <w:tcW w:w="560" w:type="dxa"/>
            <w:vAlign w:val="bottom"/>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tcPr>
          <w:p>
            <w:pPr>
              <w:ind w:left="20"/>
              <w:spacing w:after="0"/>
              <w:rPr>
                <w:sz w:val="20"/>
                <w:szCs w:val="20"/>
                <w:color w:val="auto"/>
              </w:rPr>
            </w:pPr>
            <w:r>
              <w:rPr>
                <w:rFonts w:ascii="Arial" w:cs="Arial" w:eastAsia="Arial" w:hAnsi="Arial"/>
                <w:sz w:val="18"/>
                <w:szCs w:val="18"/>
                <w:color w:val="auto"/>
              </w:rPr>
              <w:t>(WMP LP)</w:t>
            </w:r>
          </w:p>
        </w:tc>
      </w:tr>
      <w:tr>
        <w:trPr>
          <w:trHeight w:val="208"/>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NVI-Avenue, LLC (DownREIT – 182,806 units outstanding – 2,678 units have been</w:t>
            </w:r>
          </w:p>
        </w:tc>
        <w:tc>
          <w:tcPr>
            <w:tcW w:w="5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r>
      <w:tr>
        <w:trPr>
          <w:trHeight w:val="224"/>
        </w:trPr>
        <w:tc>
          <w:tcPr>
            <w:tcW w:w="6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redeemed) (“NVI LLC”)</w:t>
            </w:r>
          </w:p>
        </w:tc>
        <w:tc>
          <w:tcPr>
            <w:tcW w:w="4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2,698 units (WM Inc.)</w:t>
            </w: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The Avenue at White Marsh Business Trust (“Avenue BT”)</w:t>
            </w:r>
          </w:p>
        </w:tc>
        <w:tc>
          <w:tcPr>
            <w:tcW w:w="560" w:type="dxa"/>
            <w:vAlign w:val="bottom"/>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Retail Funding Affiliates, LLC</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 NVI LLC; 30% Avenue BT; 20% WM Inc.)</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FR Florida, Inc. (f/k/a FR Chelsea Commons III, Inc.) (“Florida, Inc.”)</w:t>
            </w:r>
          </w:p>
        </w:tc>
        <w:tc>
          <w:tcPr>
            <w:tcW w:w="560" w:type="dxa"/>
            <w:vAlign w:val="bottom"/>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tcPr>
          <w:p>
            <w:pPr>
              <w:spacing w:after="0"/>
              <w:rPr>
                <w:sz w:val="18"/>
                <w:szCs w:val="18"/>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FR Del Mar Village, LLC</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 Inc.)</w:t>
            </w: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FR Del Mar Village II, LLC</w:t>
            </w:r>
          </w:p>
        </w:tc>
        <w:tc>
          <w:tcPr>
            <w:tcW w:w="560" w:type="dxa"/>
            <w:vAlign w:val="bottom"/>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tcPr>
          <w:p>
            <w:pPr>
              <w:ind w:left="20"/>
              <w:spacing w:after="0"/>
              <w:rPr>
                <w:sz w:val="20"/>
                <w:szCs w:val="20"/>
                <w:color w:val="auto"/>
              </w:rPr>
            </w:pPr>
            <w:r>
              <w:rPr>
                <w:rFonts w:ascii="Arial" w:cs="Arial" w:eastAsia="Arial" w:hAnsi="Arial"/>
                <w:sz w:val="18"/>
                <w:szCs w:val="18"/>
                <w:color w:val="auto"/>
              </w:rPr>
              <w:t>(Florida Inc.)</w:t>
            </w: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FR Courtyard Shops, LLC</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 Inc.)</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FR Rollingwood, LLC (“Rollingwood LLC”)</w:t>
            </w:r>
          </w:p>
        </w:tc>
        <w:tc>
          <w:tcPr>
            <w:tcW w:w="560" w:type="dxa"/>
            <w:vAlign w:val="bottom"/>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tcPr>
          <w:p>
            <w:pPr>
              <w:spacing w:after="0"/>
              <w:rPr>
                <w:sz w:val="18"/>
                <w:szCs w:val="18"/>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FR Rollingwood, Inc.</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(Rollingwood LLC)</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Federal Realty Boston, Inc.</w:t>
            </w:r>
          </w:p>
        </w:tc>
        <w:tc>
          <w:tcPr>
            <w:tcW w:w="560" w:type="dxa"/>
            <w:vAlign w:val="bottom"/>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Street Retail, Inc.</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spacing w:after="0"/>
              <w:rPr>
                <w:sz w:val="18"/>
                <w:szCs w:val="18"/>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Ex. D-2</w:t>
      </w:r>
    </w:p>
    <w:p>
      <w:pPr>
        <w:sectPr>
          <w:pgSz w:w="11900" w:h="16838" w:orient="portrait"/>
          <w:cols w:equalWidth="0" w:num="1">
            <w:col w:w="11420"/>
          </w:cols>
          <w:pgMar w:left="240" w:top="288"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STREET RETAIL, INC. (“SRI”)</w:t>
            </w:r>
          </w:p>
        </w:tc>
        <w:tc>
          <w:tcPr>
            <w:tcW w:w="82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SRI Old Town, LLC</w:t>
            </w:r>
          </w:p>
        </w:tc>
        <w:tc>
          <w:tcPr>
            <w:tcW w:w="4220" w:type="dxa"/>
            <w:vAlign w:val="bottom"/>
            <w:shd w:val="clear" w:color="auto" w:fill="CCEEFF"/>
          </w:tcPr>
          <w:p>
            <w:pPr>
              <w:spacing w:after="0"/>
              <w:rPr>
                <w:sz w:val="18"/>
                <w:szCs w:val="18"/>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Street Retail Forest Hills I, LLC</w:t>
            </w:r>
          </w:p>
        </w:tc>
        <w:tc>
          <w:tcPr>
            <w:tcW w:w="820" w:type="dxa"/>
            <w:vAlign w:val="bottom"/>
          </w:tcPr>
          <w:p>
            <w:pPr>
              <w:ind w:left="380"/>
              <w:spacing w:after="0"/>
              <w:rPr>
                <w:sz w:val="20"/>
                <w:szCs w:val="20"/>
                <w:color w:val="auto"/>
              </w:rPr>
            </w:pPr>
            <w:r>
              <w:rPr>
                <w:rFonts w:ascii="Arial" w:cs="Arial" w:eastAsia="Arial" w:hAnsi="Arial"/>
                <w:sz w:val="18"/>
                <w:szCs w:val="18"/>
                <w:color w:val="auto"/>
                <w:w w:val="91"/>
              </w:rPr>
              <w:t>100%</w:t>
            </w:r>
          </w:p>
        </w:tc>
        <w:tc>
          <w:tcPr>
            <w:tcW w:w="4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Street Retail Forest Hills II, LLC</w:t>
            </w: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Street Retail West GP, Inc. (“SRWGP”)</w:t>
            </w:r>
          </w:p>
        </w:tc>
        <w:tc>
          <w:tcPr>
            <w:tcW w:w="820" w:type="dxa"/>
            <w:vAlign w:val="bottom"/>
          </w:tcPr>
          <w:p>
            <w:pPr>
              <w:ind w:left="380"/>
              <w:spacing w:after="0"/>
              <w:rPr>
                <w:sz w:val="20"/>
                <w:szCs w:val="20"/>
                <w:color w:val="auto"/>
              </w:rPr>
            </w:pPr>
            <w:r>
              <w:rPr>
                <w:rFonts w:ascii="Arial" w:cs="Arial" w:eastAsia="Arial" w:hAnsi="Arial"/>
                <w:sz w:val="18"/>
                <w:szCs w:val="18"/>
                <w:color w:val="auto"/>
                <w:w w:val="91"/>
              </w:rPr>
              <w:t>100%</w:t>
            </w:r>
          </w:p>
        </w:tc>
        <w:tc>
          <w:tcPr>
            <w:tcW w:w="4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Street Retail West I, L.P.</w:t>
            </w: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Street Retail West II, L.P.</w:t>
            </w:r>
          </w:p>
        </w:tc>
        <w:tc>
          <w:tcPr>
            <w:tcW w:w="820" w:type="dxa"/>
            <w:vAlign w:val="bottom"/>
          </w:tcPr>
          <w:p>
            <w:pPr>
              <w:ind w:left="380"/>
              <w:spacing w:after="0"/>
              <w:rPr>
                <w:sz w:val="20"/>
                <w:szCs w:val="20"/>
                <w:color w:val="auto"/>
              </w:rPr>
            </w:pPr>
            <w:r>
              <w:rPr>
                <w:rFonts w:ascii="Arial" w:cs="Arial" w:eastAsia="Arial" w:hAnsi="Arial"/>
                <w:sz w:val="18"/>
                <w:szCs w:val="18"/>
                <w:color w:val="auto"/>
                <w:w w:val="91"/>
              </w:rPr>
              <w:t>100%</w:t>
            </w:r>
          </w:p>
        </w:tc>
        <w:tc>
          <w:tcPr>
            <w:tcW w:w="434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Street Retail West 3, L.P.</w:t>
            </w: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Street Retail West 4, L.P.</w:t>
            </w:r>
          </w:p>
        </w:tc>
        <w:tc>
          <w:tcPr>
            <w:tcW w:w="820" w:type="dxa"/>
            <w:vAlign w:val="bottom"/>
          </w:tcPr>
          <w:p>
            <w:pPr>
              <w:ind w:left="380"/>
              <w:spacing w:after="0"/>
              <w:rPr>
                <w:sz w:val="20"/>
                <w:szCs w:val="20"/>
                <w:color w:val="auto"/>
              </w:rPr>
            </w:pPr>
            <w:r>
              <w:rPr>
                <w:rFonts w:ascii="Arial" w:cs="Arial" w:eastAsia="Arial" w:hAnsi="Arial"/>
                <w:sz w:val="18"/>
                <w:szCs w:val="18"/>
                <w:color w:val="auto"/>
                <w:w w:val="91"/>
              </w:rPr>
              <w:t>100%</w:t>
            </w:r>
          </w:p>
        </w:tc>
        <w:tc>
          <w:tcPr>
            <w:tcW w:w="434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Street Retail West 6, L.P.</w:t>
            </w: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Street Retail West 7, L.P.</w:t>
            </w:r>
          </w:p>
        </w:tc>
        <w:tc>
          <w:tcPr>
            <w:tcW w:w="820" w:type="dxa"/>
            <w:vAlign w:val="bottom"/>
          </w:tcPr>
          <w:p>
            <w:pPr>
              <w:ind w:left="380"/>
              <w:spacing w:after="0"/>
              <w:rPr>
                <w:sz w:val="20"/>
                <w:szCs w:val="20"/>
                <w:color w:val="auto"/>
              </w:rPr>
            </w:pPr>
            <w:r>
              <w:rPr>
                <w:rFonts w:ascii="Arial" w:cs="Arial" w:eastAsia="Arial" w:hAnsi="Arial"/>
                <w:sz w:val="18"/>
                <w:szCs w:val="18"/>
                <w:color w:val="auto"/>
              </w:rPr>
              <w:t>90%</w:t>
            </w:r>
          </w:p>
        </w:tc>
        <w:tc>
          <w:tcPr>
            <w:tcW w:w="4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Street Retail West 10, L.P.</w:t>
            </w: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Street Retail San Antonio, LP</w:t>
            </w:r>
          </w:p>
        </w:tc>
        <w:tc>
          <w:tcPr>
            <w:tcW w:w="5160" w:type="dxa"/>
            <w:vAlign w:val="bottom"/>
            <w:gridSpan w:val="2"/>
          </w:tcPr>
          <w:p>
            <w:pPr>
              <w:ind w:left="380"/>
              <w:spacing w:after="0"/>
              <w:rPr>
                <w:sz w:val="20"/>
                <w:szCs w:val="20"/>
                <w:color w:val="auto"/>
              </w:rPr>
            </w:pPr>
            <w:r>
              <w:rPr>
                <w:rFonts w:ascii="Arial" w:cs="Arial" w:eastAsia="Arial" w:hAnsi="Arial"/>
                <w:sz w:val="18"/>
                <w:szCs w:val="18"/>
                <w:color w:val="auto"/>
              </w:rPr>
              <w:t>.1% (SRI San Anton) 99.9% (SRI Texas)</w:t>
            </w:r>
          </w:p>
        </w:tc>
      </w:tr>
      <w:tr>
        <w:trPr>
          <w:trHeight w:val="208"/>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SRI San Antonio, Inc. (f/k/a Dim Sum, Inc. f/k/a FR Acquisition Holding Co., Inc.)</w:t>
            </w:r>
          </w:p>
        </w:tc>
        <w:tc>
          <w:tcPr>
            <w:tcW w:w="82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(“SRI San Anton”)</w:t>
            </w: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SRI Texas, Inc. (“SRI Texas”)</w:t>
            </w:r>
          </w:p>
        </w:tc>
        <w:tc>
          <w:tcPr>
            <w:tcW w:w="820" w:type="dxa"/>
            <w:vAlign w:val="bottom"/>
          </w:tcPr>
          <w:p>
            <w:pPr>
              <w:ind w:left="380"/>
              <w:spacing w:after="0"/>
              <w:rPr>
                <w:sz w:val="20"/>
                <w:szCs w:val="20"/>
                <w:color w:val="auto"/>
              </w:rPr>
            </w:pPr>
            <w:r>
              <w:rPr>
                <w:rFonts w:ascii="Arial" w:cs="Arial" w:eastAsia="Arial" w:hAnsi="Arial"/>
                <w:sz w:val="18"/>
                <w:szCs w:val="18"/>
                <w:color w:val="auto"/>
                <w:w w:val="91"/>
              </w:rPr>
              <w:t>100%</w:t>
            </w:r>
          </w:p>
        </w:tc>
        <w:tc>
          <w:tcPr>
            <w:tcW w:w="4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FRIT San Jose Town and Country Village, LLC (“San Jose LLC”)</w:t>
            </w: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San Jose Residential, Inc.</w:t>
            </w:r>
          </w:p>
        </w:tc>
        <w:tc>
          <w:tcPr>
            <w:tcW w:w="5160" w:type="dxa"/>
            <w:vAlign w:val="bottom"/>
            <w:gridSpan w:val="2"/>
          </w:tcPr>
          <w:p>
            <w:pPr>
              <w:ind w:left="380"/>
              <w:spacing w:after="0"/>
              <w:rPr>
                <w:sz w:val="20"/>
                <w:szCs w:val="20"/>
                <w:color w:val="auto"/>
              </w:rPr>
            </w:pPr>
            <w:r>
              <w:rPr>
                <w:rFonts w:ascii="Arial" w:cs="Arial" w:eastAsia="Arial" w:hAnsi="Arial"/>
                <w:sz w:val="18"/>
                <w:szCs w:val="18"/>
                <w:color w:val="auto"/>
              </w:rPr>
              <w:t>100% nonvoting stock (San Jose LLC) 50% voting stock</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Santana Row Services, Inc.</w:t>
            </w: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Santana Row ROF, Inc. (“ROF”)</w:t>
            </w:r>
          </w:p>
        </w:tc>
        <w:tc>
          <w:tcPr>
            <w:tcW w:w="820" w:type="dxa"/>
            <w:vAlign w:val="bottom"/>
          </w:tcPr>
          <w:p>
            <w:pPr>
              <w:ind w:left="380"/>
              <w:spacing w:after="0"/>
              <w:rPr>
                <w:sz w:val="20"/>
                <w:szCs w:val="20"/>
                <w:color w:val="auto"/>
              </w:rPr>
            </w:pPr>
            <w:r>
              <w:rPr>
                <w:rFonts w:ascii="Arial" w:cs="Arial" w:eastAsia="Arial" w:hAnsi="Arial"/>
                <w:sz w:val="18"/>
                <w:szCs w:val="18"/>
                <w:color w:val="auto"/>
                <w:w w:val="91"/>
              </w:rPr>
              <w:t>100%</w:t>
            </w:r>
          </w:p>
        </w:tc>
        <w:tc>
          <w:tcPr>
            <w:tcW w:w="4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 Rive Gauche San Jose, LLC</w:t>
            </w:r>
          </w:p>
        </w:tc>
        <w:tc>
          <w:tcPr>
            <w:tcW w:w="5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37.5% (ROF)</w:t>
            </w: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Straits Santana Row, LLC</w:t>
            </w:r>
          </w:p>
        </w:tc>
        <w:tc>
          <w:tcPr>
            <w:tcW w:w="5160" w:type="dxa"/>
            <w:vAlign w:val="bottom"/>
            <w:gridSpan w:val="2"/>
          </w:tcPr>
          <w:p>
            <w:pPr>
              <w:ind w:left="380"/>
              <w:spacing w:after="0"/>
              <w:rPr>
                <w:sz w:val="20"/>
                <w:szCs w:val="20"/>
                <w:color w:val="auto"/>
              </w:rPr>
            </w:pPr>
            <w:r>
              <w:rPr>
                <w:rFonts w:ascii="Arial" w:cs="Arial" w:eastAsia="Arial" w:hAnsi="Arial"/>
                <w:sz w:val="18"/>
                <w:szCs w:val="18"/>
                <w:color w:val="auto"/>
              </w:rPr>
              <w:t>90% (ROF)</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Blowfish SR, LLC</w:t>
            </w:r>
          </w:p>
        </w:tc>
        <w:tc>
          <w:tcPr>
            <w:tcW w:w="5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30% (ROF)</w:t>
            </w: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Village Café Santana Row, LLC</w:t>
            </w:r>
          </w:p>
        </w:tc>
        <w:tc>
          <w:tcPr>
            <w:tcW w:w="5160" w:type="dxa"/>
            <w:vAlign w:val="bottom"/>
            <w:gridSpan w:val="2"/>
          </w:tcPr>
          <w:p>
            <w:pPr>
              <w:ind w:left="380"/>
              <w:spacing w:after="0"/>
              <w:rPr>
                <w:sz w:val="20"/>
                <w:szCs w:val="20"/>
                <w:color w:val="auto"/>
              </w:rPr>
            </w:pPr>
            <w:r>
              <w:rPr>
                <w:rFonts w:ascii="Arial" w:cs="Arial" w:eastAsia="Arial" w:hAnsi="Arial"/>
                <w:sz w:val="18"/>
                <w:szCs w:val="18"/>
                <w:color w:val="auto"/>
              </w:rPr>
              <w:t>49% (ROF)</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Yankee Pier Santana Row, LLC</w:t>
            </w:r>
          </w:p>
        </w:tc>
        <w:tc>
          <w:tcPr>
            <w:tcW w:w="5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75% (ROF)</w:t>
            </w: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Pizza Antica, LLC</w:t>
            </w:r>
          </w:p>
        </w:tc>
        <w:tc>
          <w:tcPr>
            <w:tcW w:w="5160" w:type="dxa"/>
            <w:vAlign w:val="bottom"/>
            <w:gridSpan w:val="2"/>
          </w:tcPr>
          <w:p>
            <w:pPr>
              <w:ind w:left="380"/>
              <w:spacing w:after="0"/>
              <w:rPr>
                <w:sz w:val="20"/>
                <w:szCs w:val="20"/>
                <w:color w:val="auto"/>
              </w:rPr>
            </w:pPr>
            <w:r>
              <w:rPr>
                <w:rFonts w:ascii="Arial" w:cs="Arial" w:eastAsia="Arial" w:hAnsi="Arial"/>
                <w:sz w:val="18"/>
                <w:szCs w:val="18"/>
                <w:color w:val="auto"/>
              </w:rPr>
              <w:t>20% (ROF)</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Sino, LLC (f/k/a Red Lantern Restaurant, LLC)</w:t>
            </w:r>
          </w:p>
        </w:tc>
        <w:tc>
          <w:tcPr>
            <w:tcW w:w="5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90% (ROF)</w:t>
            </w: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Santana Grill Partners, LP</w:t>
            </w:r>
          </w:p>
        </w:tc>
        <w:tc>
          <w:tcPr>
            <w:tcW w:w="5160" w:type="dxa"/>
            <w:vAlign w:val="bottom"/>
            <w:gridSpan w:val="2"/>
          </w:tcPr>
          <w:p>
            <w:pPr>
              <w:ind w:left="380"/>
              <w:spacing w:after="0"/>
              <w:rPr>
                <w:sz w:val="20"/>
                <w:szCs w:val="20"/>
                <w:color w:val="auto"/>
              </w:rPr>
            </w:pPr>
            <w:r>
              <w:rPr>
                <w:rFonts w:ascii="Arial" w:cs="Arial" w:eastAsia="Arial" w:hAnsi="Arial"/>
                <w:sz w:val="18"/>
                <w:szCs w:val="18"/>
                <w:color w:val="auto"/>
              </w:rPr>
              <w:t>29.167% (ROF)</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SRI Arlington Road West, Inc. (“Arlington”)</w:t>
            </w: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(SRI)</w:t>
            </w: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SRI Arlington Road West, LLC</w:t>
            </w:r>
          </w:p>
        </w:tc>
        <w:tc>
          <w:tcPr>
            <w:tcW w:w="820" w:type="dxa"/>
            <w:vAlign w:val="bottom"/>
          </w:tcPr>
          <w:p>
            <w:pPr>
              <w:ind w:left="380"/>
              <w:spacing w:after="0"/>
              <w:rPr>
                <w:sz w:val="20"/>
                <w:szCs w:val="20"/>
                <w:color w:val="auto"/>
              </w:rPr>
            </w:pPr>
            <w:r>
              <w:rPr>
                <w:rFonts w:ascii="Arial" w:cs="Arial" w:eastAsia="Arial" w:hAnsi="Arial"/>
                <w:sz w:val="18"/>
                <w:szCs w:val="18"/>
                <w:color w:val="auto"/>
                <w:w w:val="91"/>
              </w:rPr>
              <w:t>100%</w:t>
            </w:r>
          </w:p>
        </w:tc>
        <w:tc>
          <w:tcPr>
            <w:tcW w:w="4340" w:type="dxa"/>
            <w:vAlign w:val="bottom"/>
          </w:tcPr>
          <w:p>
            <w:pPr>
              <w:ind w:left="20"/>
              <w:spacing w:after="0"/>
              <w:rPr>
                <w:sz w:val="20"/>
                <w:szCs w:val="20"/>
                <w:color w:val="auto"/>
              </w:rPr>
            </w:pPr>
            <w:r>
              <w:rPr>
                <w:rFonts w:ascii="Arial" w:cs="Arial" w:eastAsia="Arial" w:hAnsi="Arial"/>
                <w:sz w:val="18"/>
                <w:szCs w:val="18"/>
                <w:color w:val="auto"/>
              </w:rPr>
              <w:t>(Arlington)</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SRI Bethesda Avenue North, Inc. (“Bethesda”)</w:t>
            </w: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100%</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(SRI)</w:t>
            </w:r>
          </w:p>
        </w:tc>
      </w:tr>
      <w:tr>
        <w:trPr>
          <w:trHeight w:val="222"/>
        </w:trPr>
        <w:tc>
          <w:tcPr>
            <w:tcW w:w="20" w:type="dxa"/>
            <w:vAlign w:val="bottom"/>
          </w:tcPr>
          <w:p>
            <w:pPr>
              <w:spacing w:after="0"/>
              <w:rPr>
                <w:sz w:val="19"/>
                <w:szCs w:val="19"/>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SRI Bethesda Avenue North, LLC</w:t>
            </w:r>
          </w:p>
        </w:tc>
        <w:tc>
          <w:tcPr>
            <w:tcW w:w="820" w:type="dxa"/>
            <w:vAlign w:val="bottom"/>
          </w:tcPr>
          <w:p>
            <w:pPr>
              <w:ind w:left="380"/>
              <w:spacing w:after="0"/>
              <w:rPr>
                <w:sz w:val="20"/>
                <w:szCs w:val="20"/>
                <w:color w:val="auto"/>
              </w:rPr>
            </w:pPr>
            <w:r>
              <w:rPr>
                <w:rFonts w:ascii="Arial" w:cs="Arial" w:eastAsia="Arial" w:hAnsi="Arial"/>
                <w:sz w:val="18"/>
                <w:szCs w:val="18"/>
                <w:color w:val="auto"/>
                <w:w w:val="91"/>
              </w:rPr>
              <w:t>100%</w:t>
            </w:r>
          </w:p>
        </w:tc>
        <w:tc>
          <w:tcPr>
            <w:tcW w:w="4340" w:type="dxa"/>
            <w:vAlign w:val="bottom"/>
          </w:tcPr>
          <w:p>
            <w:pPr>
              <w:ind w:left="20"/>
              <w:spacing w:after="0"/>
              <w:rPr>
                <w:sz w:val="20"/>
                <w:szCs w:val="20"/>
                <w:color w:val="auto"/>
              </w:rPr>
            </w:pPr>
            <w:r>
              <w:rPr>
                <w:rFonts w:ascii="Arial" w:cs="Arial" w:eastAsia="Arial" w:hAnsi="Arial"/>
                <w:sz w:val="18"/>
                <w:szCs w:val="18"/>
                <w:color w:val="auto"/>
              </w:rPr>
              <w:t>(Bethesda)</w:t>
            </w: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Santana Row Association, a California non-profit mutual benefit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Deforest Building Condominium Owners Association, a California non-profit mutual benefit corporation</w:t>
      </w:r>
    </w:p>
    <w:p>
      <w:pPr>
        <w:spacing w:after="0" w:line="90" w:lineRule="exact"/>
        <w:rPr>
          <w:sz w:val="20"/>
          <w:szCs w:val="20"/>
          <w:color w:val="auto"/>
        </w:rPr>
      </w:pPr>
    </w:p>
    <w:p>
      <w:pPr>
        <w:jc w:val="center"/>
        <w:ind w:right="160"/>
        <w:spacing w:after="0" w:line="440" w:lineRule="auto"/>
        <w:rPr>
          <w:sz w:val="20"/>
          <w:szCs w:val="20"/>
          <w:color w:val="auto"/>
        </w:rPr>
      </w:pPr>
      <w:r>
        <w:rPr>
          <w:rFonts w:ascii="Arial" w:cs="Arial" w:eastAsia="Arial" w:hAnsi="Arial"/>
          <w:sz w:val="18"/>
          <w:szCs w:val="18"/>
          <w:color w:val="auto"/>
        </w:rPr>
        <w:t>The Margo Building and Villa Cornet Building Condominium Owners Association, a California non-profit mutual benefit corporation Ex. D-3</w:t>
      </w:r>
    </w:p>
    <w:p>
      <w:pPr>
        <w:sectPr>
          <w:pgSz w:w="11900" w:h="16838" w:orient="portrait"/>
          <w:cols w:equalWidth="0" w:num="1">
            <w:col w:w="11420"/>
          </w:cols>
          <w:pgMar w:left="240" w:top="27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71" w:lineRule="exact"/>
        <w:rPr>
          <w:sz w:val="20"/>
          <w:szCs w:val="20"/>
          <w:color w:val="auto"/>
        </w:rPr>
      </w:pPr>
    </w:p>
    <w:p>
      <w:pPr>
        <w:ind w:left="10120"/>
        <w:spacing w:after="0"/>
        <w:rPr>
          <w:sz w:val="20"/>
          <w:szCs w:val="20"/>
          <w:color w:val="auto"/>
        </w:rPr>
      </w:pPr>
      <w:r>
        <w:rPr>
          <w:rFonts w:ascii="Arial" w:cs="Arial" w:eastAsia="Arial" w:hAnsi="Arial"/>
          <w:sz w:val="15"/>
          <w:szCs w:val="15"/>
          <w:color w:val="auto"/>
        </w:rPr>
        <w:t>February 24, 2010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ANC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MERICA</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ELLS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ARGO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LLC</w:t>
      </w:r>
    </w:p>
    <w:p>
      <w:pPr>
        <w:spacing w:after="0" w:line="20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c/o</w:t>
        <w:tab/>
        <w:t>Banc of America Securities LLC</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New York 10036</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301 S. College Street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Charlotte, North Carolina 28288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February 24, 2010 (the “Underwriting Agreement”), between the Company on the one hand and Banc of America Securities LLC and Wells Fargo Securities, LLC,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24" w:lineRule="exact"/>
        <w:rPr>
          <w:sz w:val="20"/>
          <w:szCs w:val="20"/>
          <w:color w:val="auto"/>
        </w:rPr>
      </w:pPr>
    </w:p>
    <w:p>
      <w:pPr>
        <w:jc w:val="center"/>
        <w:ind w:right="200"/>
        <w:spacing w:after="0" w:line="440" w:lineRule="auto"/>
        <w:rPr>
          <w:sz w:val="20"/>
          <w:szCs w:val="20"/>
          <w:color w:val="auto"/>
        </w:rPr>
      </w:pPr>
      <w:r>
        <w:rPr>
          <w:rFonts w:ascii="Arial" w:cs="Arial" w:eastAsia="Arial" w:hAnsi="Arial"/>
          <w:sz w:val="18"/>
          <w:szCs w:val="18"/>
          <w:color w:val="auto"/>
        </w:rPr>
        <w:t>A supplement to the Prospectus relating to the Designated Securities, in the form heretofore delivered to you, is now proposed to be filed with the Commission. 1</w:t>
      </w:r>
    </w:p>
    <w:p>
      <w:pPr>
        <w:sectPr>
          <w:pgSz w:w="11900" w:h="16838" w:orient="portrait"/>
          <w:cols w:equalWidth="0" w:num="1">
            <w:col w:w="11420"/>
          </w:cols>
          <w:pgMar w:left="240" w:top="125" w:right="239" w:bottom="1440" w:gutter="0" w:footer="0" w:header="0"/>
        </w:sectPr>
      </w:pPr>
    </w:p>
    <w:bookmarkStart w:id="45" w:name="page46"/>
    <w:bookmarkEnd w:id="45"/>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 Blocher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Andrew P. Blocher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President-Chief</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Financial Officer and Treasurer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ANC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MERICA</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ELLS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ARGO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LLC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Banc of America Securities LLC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Jeffrey Horowitz</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Carolyn C.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Carolyn C. Hurley</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Underwriters named in Schedule I to this Pricing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580" w:type="dxa"/>
            <w:vAlign w:val="bottom"/>
            <w:gridSpan w:val="2"/>
          </w:tcPr>
          <w:p>
            <w:pPr>
              <w:ind w:left="1340"/>
              <w:spacing w:after="0"/>
              <w:rPr>
                <w:sz w:val="20"/>
                <w:szCs w:val="20"/>
                <w:color w:val="auto"/>
              </w:rPr>
            </w:pPr>
            <w:r>
              <w:rPr>
                <w:rFonts w:ascii="Arial" w:cs="Arial" w:eastAsia="Arial" w:hAnsi="Arial"/>
                <w:sz w:val="18"/>
                <w:szCs w:val="18"/>
                <w:color w:val="auto"/>
              </w:rPr>
              <w:t>SCHEDULE I</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88"/>
              </w:rPr>
              <w:t>Principal Amount of</w:t>
            </w:r>
          </w:p>
        </w:tc>
        <w:tc>
          <w:tcPr>
            <w:tcW w:w="0" w:type="dxa"/>
            <w:vAlign w:val="bottom"/>
          </w:tcPr>
          <w:p>
            <w:pPr>
              <w:spacing w:after="0"/>
              <w:rPr>
                <w:sz w:val="1"/>
                <w:szCs w:val="1"/>
                <w:color w:val="auto"/>
              </w:rPr>
            </w:pPr>
          </w:p>
        </w:tc>
      </w:tr>
      <w:tr>
        <w:trPr>
          <w:trHeight w:val="161"/>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6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6580" w:type="dxa"/>
            <w:vAlign w:val="bottom"/>
            <w:gridSpan w:val="2"/>
            <w:shd w:val="clear" w:color="auto" w:fill="CCEEFF"/>
          </w:tcPr>
          <w:p>
            <w:pPr>
              <w:ind w:left="6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RBC Capital Markets Corporation</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One Southcoast, Inc.</w:t>
            </w: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Sandler O’Neill &amp; Partners, L.P.</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6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6580" w:type="dxa"/>
            <w:vAlign w:val="bottom"/>
            <w:gridSpan w:val="2"/>
          </w:tcPr>
          <w:p>
            <w:pPr>
              <w:ind w:left="6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150,000,000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 I</w:t>
      </w:r>
    </w:p>
    <w:p>
      <w:pPr>
        <w:sectPr>
          <w:pgSz w:w="11900" w:h="16838" w:orient="portrait"/>
          <w:cols w:equalWidth="0" w:num="1">
            <w:col w:w="11420"/>
          </w:cols>
          <w:pgMar w:left="240" w:top="280"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5.90% Notes due 2020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$150,000,000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99.812% of the principal amount of the Designated Securities, plus accrued interest from March 1,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99.162% of the principal amount of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April 1, 2020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5.90% per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April 1 and October 1, commencing October 1,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 II</w:t>
      </w:r>
    </w:p>
    <w:p>
      <w:pPr>
        <w:sectPr>
          <w:pgSz w:w="11900" w:h="16838" w:orient="portrait"/>
          <w:cols w:equalWidth="0" w:num="1">
            <w:col w:w="11420"/>
          </w:cols>
          <w:pgMar w:left="240" w:top="2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Redemption Provisions: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a redemption price as described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p.m. (Eastern time) on February 24, 2010 or such other time as agreed by the Company and the Representatives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1,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Banc of America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NY1-100-18-03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704-264-2522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S. College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NC 28288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Transaction Management Department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704-383-9165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 II, Page 2</w:t>
      </w:r>
    </w:p>
    <w:p>
      <w:pPr>
        <w:sectPr>
          <w:pgSz w:w="11900" w:h="16838" w:orient="portrait"/>
          <w:cols w:equalWidth="0" w:num="1">
            <w:col w:w="11400"/>
          </w:cols>
          <w:pgMar w:left="240" w:top="274" w:right="2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4.1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5.90% Note due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CUSIP No. 313747AR8</w:t>
            </w:r>
          </w:p>
        </w:tc>
        <w:tc>
          <w:tcPr>
            <w:tcW w:w="5340" w:type="dxa"/>
            <w:vAlign w:val="bottom"/>
          </w:tcPr>
          <w:p>
            <w:pPr>
              <w:jc w:val="right"/>
              <w:spacing w:after="0"/>
              <w:rPr>
                <w:sz w:val="20"/>
                <w:szCs w:val="20"/>
                <w:color w:val="auto"/>
              </w:rPr>
            </w:pPr>
            <w:r>
              <w:rPr>
                <w:rFonts w:ascii="Arial" w:cs="Arial" w:eastAsia="Arial" w:hAnsi="Arial"/>
                <w:sz w:val="18"/>
                <w:szCs w:val="18"/>
                <w:color w:val="auto"/>
              </w:rPr>
              <w:t>$150,000,000</w:t>
            </w:r>
          </w:p>
        </w:tc>
      </w:tr>
    </w:tbl>
    <w:p>
      <w:pPr>
        <w:spacing w:after="0" w:line="150"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3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3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$1,000 AND INTEGRAL MULTIPLES OF $1,000 IN EXCESS THEREOF.</w:t>
      </w:r>
    </w:p>
    <w:p>
      <w:pPr>
        <w:spacing w:after="0" w:line="126"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One Hundred Fifty Million Dollars on April 1, 2020 (the “Stated Maturity Date”) or the date fixed for earlier redemption (the “Redemption Date,” and together with the Stated Maturity Date with respect to principal repayable on such date, the “Maturity Date”), and to pay interest on the outstanding principal amount thereof from March 1, 2010 or from the most recent interest payment date to which interest has been paid or duly provided for, semi-annually on April 1 and October 1 in each year (each, an “Interest Payment Date”), commencing October 1, 2010, at the rate of 5.90%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March 15 or September 15 (whether or not a Business Day, as defined below), as the case may be, next preceding such Interest Payment Date at the office or agency of the Company maintained for such purpose; provided, however, that such interest may be paid, at the Company’s option, by mailing a check to such Holder at its registered address or by transfer of</w:t>
      </w:r>
    </w:p>
    <w:p>
      <w:pPr>
        <w:sectPr>
          <w:pgSz w:w="11900" w:h="16838" w:orient="portrait"/>
          <w:cols w:equalWidth="0" w:num="1">
            <w:col w:w="11420"/>
          </w:cols>
          <w:pgMar w:left="240" w:top="125" w:right="239" w:bottom="1440" w:gutter="0" w:footer="0" w:header="0"/>
        </w:sectPr>
      </w:pPr>
    </w:p>
    <w:bookmarkStart w:id="51" w:name="page52"/>
    <w:bookmarkEnd w:id="51"/>
    <w:p>
      <w:pPr>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funds to an account 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05" w:lineRule="exact"/>
        <w:rPr>
          <w:sz w:val="20"/>
          <w:szCs w:val="20"/>
          <w:color w:val="auto"/>
        </w:rPr>
      </w:pPr>
    </w:p>
    <w:p>
      <w:pPr>
        <w:ind w:right="240" w:firstLine="913"/>
        <w:spacing w:after="0" w:line="256"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4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March 1, 2010, if no interest has been paid on this Note) to but excluding such Interest Payment Date or the Maturity Date, as the case may be. If any Interest Payment Date or the Maturity Date falls on a day that is not a Business Day,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All payments of principal, premium, if any, and interest in respect of this Note will be made by the Company in immediately available funds.</w:t>
      </w:r>
    </w:p>
    <w:p>
      <w:pPr>
        <w:spacing w:after="0" w:line="194"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32"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52" w:name="page53"/>
    <w:bookmarkEnd w:id="5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instrument to be duly executed.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2010</w:t>
      </w:r>
    </w:p>
    <w:p>
      <w:pPr>
        <w:spacing w:after="0" w:line="21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Executive Vice President-Chief Operating Officer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Darlene M. Hough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U.S. BANK NATIONAL ASSOCIATION, as Trustee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740"/>
          </w:cols>
          <w:pgMar w:left="240" w:top="280" w:right="919" w:bottom="1440" w:gutter="0" w:footer="0" w:header="0"/>
        </w:sectPr>
      </w:pPr>
    </w:p>
    <w:bookmarkStart w:id="53" w:name="page54"/>
    <w:bookmarkEnd w:id="53"/>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FEDERAL REALTY INVESTMENT TRUST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5.90% Note due 2020</w:t>
      </w:r>
    </w:p>
    <w:p>
      <w:pPr>
        <w:spacing w:after="0" w:line="171" w:lineRule="exact"/>
        <w:rPr>
          <w:sz w:val="20"/>
          <w:szCs w:val="20"/>
          <w:color w:val="auto"/>
        </w:rPr>
      </w:pPr>
    </w:p>
    <w:p>
      <w:pPr>
        <w:ind w:firstLine="913"/>
        <w:spacing w:after="0" w:line="307" w:lineRule="auto"/>
        <w:rPr>
          <w:sz w:val="20"/>
          <w:szCs w:val="20"/>
          <w:color w:val="auto"/>
        </w:rPr>
      </w:pPr>
      <w:r>
        <w:rPr>
          <w:rFonts w:ascii="Arial" w:cs="Arial" w:eastAsia="Arial" w:hAnsi="Arial"/>
          <w:sz w:val="15"/>
          <w:szCs w:val="15"/>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“5.90% Notes due 2020” (collectively, the “Notes”), and the aggregate principal amount of the Notes to be issued under such series is initially limited to $150,000,000 (except for Notes authenticated and delivered upon transfer of, or in exchange for, or in lieu of other Notes).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12"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defeasance and covenant defeasance provisions of the Indenture apply to the Notes. The Notes will not be entitled to the benefits of any sinking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Notes are subject to redemption at any time, in whole or in part, at the election of the Company, at a redemption price equal to the greater of</w:t>
      </w:r>
    </w:p>
    <w:p>
      <w:pPr>
        <w:spacing w:after="0" w:line="38" w:lineRule="exact"/>
        <w:rPr>
          <w:sz w:val="20"/>
          <w:szCs w:val="20"/>
          <w:color w:val="auto"/>
        </w:rPr>
      </w:pPr>
    </w:p>
    <w:p>
      <w:pPr>
        <w:ind w:right="60" w:firstLine="8"/>
        <w:spacing w:after="0" w:line="252" w:lineRule="auto"/>
        <w:tabs>
          <w:tab w:leader="none" w:pos="2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35 basis points (thirty five one-hundredths of one percent) plus, in each case, accrued interest thereon to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ectPr>
          <w:pgSz w:w="11900" w:h="16838" w:orient="portrait"/>
          <w:cols w:equalWidth="0" w:num="1">
            <w:col w:w="11360"/>
          </w:cols>
          <w:pgMar w:left="240" w:top="280" w:right="299" w:bottom="1440" w:gutter="0" w:footer="0" w:header="0"/>
        </w:sectPr>
      </w:pPr>
    </w:p>
    <w:bookmarkStart w:id="54" w:name="page55"/>
    <w:bookmarkEnd w:id="5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herein:</w:t>
      </w:r>
    </w:p>
    <w:p>
      <w:pPr>
        <w:spacing w:after="0" w:line="90" w:lineRule="exact"/>
        <w:rPr>
          <w:sz w:val="20"/>
          <w:szCs w:val="20"/>
          <w:color w:val="auto"/>
        </w:rPr>
      </w:pPr>
    </w:p>
    <w:p>
      <w:pPr>
        <w:jc w:val="both"/>
        <w:ind w:lef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59" w:lineRule="exact"/>
        <w:rPr>
          <w:sz w:val="20"/>
          <w:szCs w:val="20"/>
          <w:color w:val="auto"/>
        </w:rPr>
      </w:pPr>
    </w:p>
    <w:p>
      <w:pPr>
        <w:jc w:val="both"/>
        <w:ind w:left="4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26" w:lineRule="exact"/>
        <w:rPr>
          <w:sz w:val="20"/>
          <w:szCs w:val="20"/>
          <w:color w:val="auto"/>
        </w:rPr>
      </w:pPr>
    </w:p>
    <w:p>
      <w:pPr>
        <w:jc w:val="both"/>
        <w:ind w:left="460" w:firstLine="438"/>
        <w:spacing w:after="0" w:line="259" w:lineRule="auto"/>
        <w:rPr>
          <w:sz w:val="20"/>
          <w:szCs w:val="20"/>
          <w:color w:val="auto"/>
        </w:rPr>
      </w:pP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after excluding the highest and lowest of such Reference Treasury Dealer Quotations, or (2) if the Trustee obtains fewer than four such Reference Treasury Dealer quotations, the average of all such Quotations.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90" w:lineRule="exact"/>
        <w:rPr>
          <w:sz w:val="20"/>
          <w:szCs w:val="20"/>
          <w:color w:val="auto"/>
        </w:rPr>
      </w:pPr>
    </w:p>
    <w:p>
      <w:pPr>
        <w:jc w:val="both"/>
        <w:ind w:left="4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Banc of America Securities LLC and a Primary Treasury Dealer (as defined below) selected by Wells Fargo Securities,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either of the Reference Treasury Dealers ceases to be a primary U.S. Government securities dealer (a “Primary Treasury Dealer”), the Company will substitute therefor another Primary Treasury Dealer, and (2) any two other Primary Treasury Dealers selected by the Company.</w:t>
      </w:r>
    </w:p>
    <w:p>
      <w:pPr>
        <w:spacing w:after="0" w:line="62" w:lineRule="exact"/>
        <w:rPr>
          <w:sz w:val="20"/>
          <w:szCs w:val="20"/>
          <w:color w:val="auto"/>
        </w:rPr>
      </w:pPr>
    </w:p>
    <w:p>
      <w:pPr>
        <w:jc w:val="both"/>
        <w:ind w:left="4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Notice of any redemption will be given by mail to Holders of Securities, not less than 30 nor more than 60 days prior to the Redemption Date, all as provided in the Indenture.</w:t>
      </w:r>
    </w:p>
    <w:p>
      <w:pPr>
        <w:spacing w:after="0" w:line="13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32" w:lineRule="exact"/>
        <w:rPr>
          <w:sz w:val="20"/>
          <w:szCs w:val="20"/>
          <w:color w:val="auto"/>
        </w:rPr>
      </w:pPr>
    </w:p>
    <w:p>
      <w:pPr>
        <w:jc w:val="both"/>
        <w:ind w:right="160" w:firstLine="913"/>
        <w:spacing w:after="0" w:line="259"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5" w:name="page56"/>
    <w:bookmarkEnd w:id="55"/>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1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40" w:lineRule="exact"/>
        <w:rPr>
          <w:sz w:val="20"/>
          <w:szCs w:val="20"/>
          <w:color w:val="auto"/>
        </w:rPr>
      </w:pPr>
    </w:p>
    <w:p>
      <w:pPr>
        <w:ind w:firstLine="913"/>
        <w:spacing w:after="0" w:line="310" w:lineRule="auto"/>
        <w:rPr>
          <w:sz w:val="20"/>
          <w:szCs w:val="20"/>
          <w:color w:val="auto"/>
        </w:rPr>
      </w:pPr>
      <w:r>
        <w:rPr>
          <w:rFonts w:ascii="Arial" w:cs="Arial" w:eastAsia="Arial" w:hAnsi="Arial"/>
          <w:sz w:val="15"/>
          <w:szCs w:val="15"/>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08" w:lineRule="exact"/>
        <w:rPr>
          <w:sz w:val="20"/>
          <w:szCs w:val="20"/>
          <w:color w:val="auto"/>
        </w:rPr>
      </w:pPr>
    </w:p>
    <w:p>
      <w:pPr>
        <w:ind w:right="60" w:firstLine="913"/>
        <w:spacing w:after="0" w:line="283" w:lineRule="auto"/>
        <w:rPr>
          <w:sz w:val="20"/>
          <w:szCs w:val="20"/>
          <w:color w:val="auto"/>
        </w:rPr>
      </w:pPr>
      <w:r>
        <w:rPr>
          <w:rFonts w:ascii="Arial" w:cs="Arial" w:eastAsia="Arial" w:hAnsi="Arial"/>
          <w:sz w:val="16"/>
          <w:szCs w:val="16"/>
          <w:color w:val="auto"/>
        </w:rPr>
        <w:t>In addition to the foregoing limitation on the incurrence of Debt, the Company will not, and will not permit any Subsidiary to, incur any Debt secured by any mortgage, lien, charge, pledge, encumbrance or security interest of any kind upon any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w:t>
      </w:r>
    </w:p>
    <w:p>
      <w:pPr>
        <w:ind w:right="200" w:firstLine="8"/>
        <w:spacing w:after="0" w:line="323" w:lineRule="auto"/>
        <w:tabs>
          <w:tab w:leader="none" w:pos="2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Total Assets.</w:t>
      </w:r>
    </w:p>
    <w:p>
      <w:pPr>
        <w:spacing w:after="0" w:line="140"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2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jc w:val="both"/>
        <w:ind w:left="460" w:firstLine="438"/>
        <w:spacing w:after="0" w:line="256" w:lineRule="auto"/>
        <w:rPr>
          <w:sz w:val="20"/>
          <w:szCs w:val="20"/>
          <w:color w:val="auto"/>
        </w:rPr>
      </w:pPr>
      <w:r>
        <w:rPr>
          <w:rFonts w:ascii="Arial" w:cs="Arial" w:eastAsia="Arial" w:hAnsi="Arial"/>
          <w:sz w:val="18"/>
          <w:szCs w:val="18"/>
          <w:color w:val="auto"/>
        </w:rPr>
        <w:t>“Acquired Debt”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62" w:lineRule="exact"/>
        <w:rPr>
          <w:sz w:val="20"/>
          <w:szCs w:val="20"/>
          <w:color w:val="auto"/>
        </w:rPr>
      </w:pPr>
    </w:p>
    <w:p>
      <w:pPr>
        <w:jc w:val="both"/>
        <w:ind w:left="460" w:firstLine="438"/>
        <w:spacing w:after="0" w:line="332" w:lineRule="auto"/>
        <w:rPr>
          <w:sz w:val="20"/>
          <w:szCs w:val="20"/>
          <w:color w:val="auto"/>
        </w:rPr>
      </w:pPr>
      <w:r>
        <w:rPr>
          <w:rFonts w:ascii="Arial" w:cs="Arial" w:eastAsia="Arial" w:hAnsi="Arial"/>
          <w:sz w:val="16"/>
          <w:szCs w:val="16"/>
          <w:color w:val="auto"/>
        </w:rPr>
        <w:t>“Annual Debt Service Charge”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57" w:name="page58"/>
    <w:bookmarkEnd w:id="57"/>
    <w:p>
      <w:pPr>
        <w:jc w:val="both"/>
        <w:ind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59" w:lineRule="exact"/>
        <w:rPr>
          <w:sz w:val="20"/>
          <w:szCs w:val="20"/>
          <w:color w:val="auto"/>
        </w:rPr>
      </w:pPr>
    </w:p>
    <w:p>
      <w:pPr>
        <w:jc w:val="both"/>
        <w:ind w:firstLine="438"/>
        <w:spacing w:after="0" w:line="268" w:lineRule="auto"/>
        <w:rPr>
          <w:sz w:val="20"/>
          <w:szCs w:val="20"/>
          <w:color w:val="auto"/>
        </w:rPr>
      </w:pPr>
      <w:r>
        <w:rPr>
          <w:rFonts w:ascii="Arial" w:cs="Arial" w:eastAsia="Arial" w:hAnsi="Arial"/>
          <w:sz w:val="18"/>
          <w:szCs w:val="18"/>
          <w:color w:val="auto"/>
        </w:rPr>
        <w:t>“Consolidated Income Available for Debt Service” for any period means Funds from Operations (as defined below) of the Company and its Subsidiaries plus amounts which have been deducted for interest on Debt of the Company and its Subsidiaries.</w:t>
      </w:r>
    </w:p>
    <w:p>
      <w:pPr>
        <w:spacing w:after="0" w:line="51" w:lineRule="exact"/>
        <w:rPr>
          <w:sz w:val="20"/>
          <w:szCs w:val="20"/>
          <w:color w:val="auto"/>
        </w:rPr>
      </w:pPr>
    </w:p>
    <w:p>
      <w:pPr>
        <w:jc w:val="both"/>
        <w:ind w:firstLine="438"/>
        <w:spacing w:after="0" w:line="302" w:lineRule="auto"/>
        <w:rPr>
          <w:sz w:val="20"/>
          <w:szCs w:val="20"/>
          <w:color w:val="auto"/>
        </w:rPr>
      </w:pPr>
      <w:r>
        <w:rPr>
          <w:rFonts w:ascii="Arial" w:cs="Arial" w:eastAsia="Arial" w:hAnsi="Arial"/>
          <w:sz w:val="15"/>
          <w:szCs w:val="15"/>
          <w:color w:val="auto"/>
        </w:rPr>
        <w:t>“Debt”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w:t>
      </w:r>
    </w:p>
    <w:p>
      <w:pPr>
        <w:spacing w:after="0" w:line="2" w:lineRule="exact"/>
        <w:rPr>
          <w:sz w:val="20"/>
          <w:szCs w:val="20"/>
          <w:color w:val="auto"/>
        </w:rPr>
      </w:pPr>
    </w:p>
    <w:p>
      <w:pPr>
        <w:jc w:val="both"/>
        <w:ind w:firstLine="4"/>
        <w:spacing w:after="0" w:line="300" w:lineRule="auto"/>
        <w:tabs>
          <w:tab w:leader="none" w:pos="337"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capitalized lease in accordance with generally accepted accounting principles to the extent, in the case of items of indebtedness under (i) through</w:t>
      </w:r>
    </w:p>
    <w:p>
      <w:pPr>
        <w:spacing w:after="0" w:line="1" w:lineRule="exact"/>
        <w:rPr>
          <w:rFonts w:ascii="Arial" w:cs="Arial" w:eastAsia="Arial" w:hAnsi="Arial"/>
          <w:sz w:val="15"/>
          <w:szCs w:val="15"/>
          <w:color w:val="auto"/>
        </w:rPr>
      </w:pPr>
    </w:p>
    <w:p>
      <w:pPr>
        <w:jc w:val="both"/>
        <w:ind w:firstLine="4"/>
        <w:spacing w:after="0" w:line="288" w:lineRule="auto"/>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42" w:lineRule="exact"/>
        <w:rPr>
          <w:sz w:val="20"/>
          <w:szCs w:val="20"/>
          <w:color w:val="auto"/>
        </w:rPr>
      </w:pPr>
    </w:p>
    <w:p>
      <w:pPr>
        <w:jc w:val="both"/>
        <w:ind w:firstLine="438"/>
        <w:spacing w:after="0" w:line="298" w:lineRule="auto"/>
        <w:rPr>
          <w:sz w:val="20"/>
          <w:szCs w:val="20"/>
          <w:color w:val="auto"/>
        </w:rPr>
      </w:pPr>
      <w:r>
        <w:rPr>
          <w:rFonts w:ascii="Arial" w:cs="Arial" w:eastAsia="Arial" w:hAnsi="Arial"/>
          <w:sz w:val="16"/>
          <w:szCs w:val="16"/>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 (i) 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58" w:name="page59"/>
    <w:bookmarkEnd w:id="58"/>
    <w:p>
      <w:pPr>
        <w:jc w:val="both"/>
        <w:ind w:left="46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“Funds from Operations” for any period means income available to common shareholders before depreciation and amortization of real estate assets and before extraordinary items less gain on sale of real estate.</w:t>
      </w:r>
    </w:p>
    <w:p>
      <w:pPr>
        <w:spacing w:after="0" w:line="51" w:lineRule="exact"/>
        <w:rPr>
          <w:sz w:val="20"/>
          <w:szCs w:val="20"/>
          <w:color w:val="auto"/>
        </w:rPr>
      </w:pPr>
    </w:p>
    <w:p>
      <w:pPr>
        <w:jc w:val="both"/>
        <w:ind w:left="460" w:firstLine="438"/>
        <w:spacing w:after="0" w:line="332" w:lineRule="auto"/>
        <w:rPr>
          <w:sz w:val="20"/>
          <w:szCs w:val="20"/>
          <w:color w:val="auto"/>
        </w:rPr>
      </w:pPr>
      <w:r>
        <w:rPr>
          <w:rFonts w:ascii="Arial" w:cs="Arial" w:eastAsia="Arial" w:hAnsi="Arial"/>
          <w:sz w:val="16"/>
          <w:szCs w:val="16"/>
          <w:color w:val="auto"/>
        </w:rPr>
        <w:t>“Total Assets”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4" w:lineRule="exact"/>
        <w:rPr>
          <w:sz w:val="20"/>
          <w:szCs w:val="20"/>
          <w:color w:val="auto"/>
        </w:rPr>
      </w:pPr>
    </w:p>
    <w:p>
      <w:pPr>
        <w:jc w:val="both"/>
        <w:ind w:left="460" w:firstLine="438"/>
        <w:spacing w:after="0" w:line="259" w:lineRule="auto"/>
        <w:rPr>
          <w:sz w:val="20"/>
          <w:szCs w:val="20"/>
          <w:color w:val="auto"/>
        </w:rPr>
      </w:pPr>
      <w:r>
        <w:rPr>
          <w:rFonts w:ascii="Arial" w:cs="Arial" w:eastAsia="Arial" w:hAnsi="Arial"/>
          <w:sz w:val="18"/>
          <w:szCs w:val="18"/>
          <w:color w:val="auto"/>
        </w:rPr>
        <w:t>“Undepreciated Real Estate Assets”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59" w:lineRule="exact"/>
        <w:rPr>
          <w:sz w:val="20"/>
          <w:szCs w:val="20"/>
          <w:color w:val="auto"/>
        </w:rPr>
      </w:pPr>
    </w:p>
    <w:p>
      <w:pPr>
        <w:jc w:val="both"/>
        <w:ind w:left="460" w:firstLine="438"/>
        <w:spacing w:after="0" w:line="256" w:lineRule="auto"/>
        <w:rPr>
          <w:sz w:val="20"/>
          <w:szCs w:val="20"/>
          <w:color w:val="auto"/>
        </w:rPr>
      </w:pPr>
      <w:r>
        <w:rPr>
          <w:rFonts w:ascii="Arial" w:cs="Arial" w:eastAsia="Arial" w:hAnsi="Arial"/>
          <w:sz w:val="18"/>
          <w:szCs w:val="18"/>
          <w:color w:val="auto"/>
        </w:rPr>
        <w:t>“Unencumbered Total Asset Value”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w:t>
      </w:r>
    </w:p>
    <w:p>
      <w:pPr>
        <w:spacing w:after="0" w:line="143" w:lineRule="exact"/>
        <w:rPr>
          <w:sz w:val="20"/>
          <w:szCs w:val="20"/>
          <w:color w:val="auto"/>
        </w:rPr>
      </w:pPr>
    </w:p>
    <w:p>
      <w:pPr>
        <w:ind w:right="40" w:firstLine="913"/>
        <w:spacing w:after="0" w:line="318" w:lineRule="auto"/>
        <w:rPr>
          <w:sz w:val="20"/>
          <w:szCs w:val="20"/>
          <w:color w:val="auto"/>
        </w:rPr>
      </w:pPr>
      <w:r>
        <w:rPr>
          <w:rFonts w:ascii="Arial" w:cs="Arial" w:eastAsia="Arial" w:hAnsi="Arial"/>
          <w:sz w:val="15"/>
          <w:szCs w:val="15"/>
          <w:color w:val="auto"/>
        </w:rPr>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Agent (as such term is defined in the Credit Agreement, dated as of July 28, 2006, between the Company and the various financial institutions named therein),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00"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16"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59" w:name="page60"/>
    <w:bookmarkEnd w:id="5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Securities of this series are issuable only in registered form without coupons in denominations of $1,000 and any integral multiple thereof.</w:t>
      </w:r>
    </w:p>
    <w:p>
      <w:pPr>
        <w:spacing w:after="0" w:line="194"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32"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40"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 Letterhead]</w:t>
      </w:r>
    </w:p>
    <w:p>
      <w:pPr>
        <w:spacing w:after="0" w:line="171"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February 24,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Federal Realty Investment Trust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Underwritten Public Offering of $150,000,000 of its 5.90% Notes due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acted as counsel to Federal Realty Investment Trust, a Maryland real estate investment trust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filing with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and Exchange Commission under the Securities Act of 1933 (the “</w:t>
      </w:r>
      <w:r>
        <w:rPr>
          <w:rFonts w:ascii="Arial" w:cs="Arial" w:eastAsia="Arial" w:hAnsi="Arial"/>
          <w:sz w:val="16"/>
          <w:szCs w:val="16"/>
          <w:b w:val="1"/>
          <w:bCs w:val="1"/>
          <w:color w:val="auto"/>
        </w:rPr>
        <w:t>Act</w:t>
      </w:r>
      <w:r>
        <w:rPr>
          <w:rFonts w:ascii="Arial" w:cs="Arial" w:eastAsia="Arial" w:hAnsi="Arial"/>
          <w:sz w:val="16"/>
          <w:szCs w:val="16"/>
          <w:color w:val="auto"/>
        </w:rPr>
        <w:t>”), of a prospectus supplement dated February 24, 2010 (the “</w:t>
      </w:r>
      <w:r>
        <w:rPr>
          <w:rFonts w:ascii="Arial" w:cs="Arial" w:eastAsia="Arial" w:hAnsi="Arial"/>
          <w:sz w:val="16"/>
          <w:szCs w:val="16"/>
          <w:b w:val="1"/>
          <w:bCs w:val="1"/>
          <w:color w:val="auto"/>
        </w:rPr>
        <w:t>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w:t>
      </w:r>
      <w:r>
        <w:rPr>
          <w:rFonts w:ascii="Arial" w:cs="Arial" w:eastAsia="Arial" w:hAnsi="Arial"/>
          <w:sz w:val="16"/>
          <w:szCs w:val="16"/>
          <w:color w:val="auto"/>
        </w:rPr>
        <w:t>”) to the prospectus dated June 16, 2009 (the “</w:t>
      </w:r>
      <w:r>
        <w:rPr>
          <w:rFonts w:ascii="Arial" w:cs="Arial" w:eastAsia="Arial" w:hAnsi="Arial"/>
          <w:sz w:val="16"/>
          <w:szCs w:val="16"/>
          <w:b w:val="1"/>
          <w:bCs w:val="1"/>
          <w:color w:val="auto"/>
        </w:rPr>
        <w:t>Base Prospectus</w:t>
      </w:r>
      <w:r>
        <w:rPr>
          <w:rFonts w:ascii="Arial" w:cs="Arial" w:eastAsia="Arial" w:hAnsi="Arial"/>
          <w:sz w:val="16"/>
          <w:szCs w:val="16"/>
          <w:color w:val="auto"/>
        </w:rPr>
        <w:t>”) contained in the registration statement on Form S-3 (File No. 333-160009)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which is an “automatic shelf registration statement” as defined under Rule 405 under the Act and which was filed on June 16, 2009.</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Base Prospectus and the Prospectus Supplement are together referred to herein as the “</w:t>
      </w:r>
      <w:r>
        <w:rPr>
          <w:rFonts w:ascii="Arial" w:cs="Arial" w:eastAsia="Arial" w:hAnsi="Arial"/>
          <w:sz w:val="15"/>
          <w:szCs w:val="15"/>
          <w:b w:val="1"/>
          <w:bCs w:val="1"/>
          <w:color w:val="auto"/>
        </w:rPr>
        <w:t>Prospectus</w:t>
      </w:r>
      <w:r>
        <w:rPr>
          <w:rFonts w:ascii="Arial" w:cs="Arial" w:eastAsia="Arial" w:hAnsi="Arial"/>
          <w:sz w:val="15"/>
          <w:szCs w:val="15"/>
          <w:color w:val="auto"/>
        </w:rPr>
        <w:t>.” The Prospectus relates to the issuance and sale by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Company of $150,000,000 of its 5.90% Notes due 2020 (the “</w:t>
      </w:r>
      <w:r>
        <w:rPr>
          <w:rFonts w:ascii="Arial" w:cs="Arial" w:eastAsia="Arial" w:hAnsi="Arial"/>
          <w:sz w:val="16"/>
          <w:szCs w:val="16"/>
          <w:b w:val="1"/>
          <w:bCs w:val="1"/>
          <w:color w:val="auto"/>
        </w:rPr>
        <w:t>Notes</w:t>
      </w:r>
      <w:r>
        <w:rPr>
          <w:rFonts w:ascii="Arial" w:cs="Arial" w:eastAsia="Arial" w:hAnsi="Arial"/>
          <w:sz w:val="16"/>
          <w:szCs w:val="16"/>
          <w:color w:val="auto"/>
        </w:rPr>
        <w:t>”), pursuant to the Underwriting Agreement dated February 24, 2010 between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Underwriters (as defined below)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and the related Pricing Agreement dated February 24, 2010 between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Underwriters (the “</w:t>
      </w:r>
      <w:r>
        <w:rPr>
          <w:rFonts w:ascii="Arial" w:cs="Arial" w:eastAsia="Arial" w:hAnsi="Arial"/>
          <w:sz w:val="16"/>
          <w:szCs w:val="16"/>
          <w:b w:val="1"/>
          <w:bCs w:val="1"/>
          <w:color w:val="auto"/>
        </w:rPr>
        <w:t>Pricing Agreement</w:t>
      </w:r>
      <w:r>
        <w:rPr>
          <w:rFonts w:ascii="Arial" w:cs="Arial" w:eastAsia="Arial" w:hAnsi="Arial"/>
          <w:sz w:val="16"/>
          <w:szCs w:val="16"/>
          <w:color w:val="auto"/>
        </w:rPr>
        <w:t>”), to the firms named in Schedule I to the Pricing Agreement (the “</w:t>
      </w:r>
      <w:r>
        <w:rPr>
          <w:rFonts w:ascii="Arial" w:cs="Arial" w:eastAsia="Arial" w:hAnsi="Arial"/>
          <w:sz w:val="16"/>
          <w:szCs w:val="16"/>
          <w:b w:val="1"/>
          <w:bCs w:val="1"/>
          <w:color w:val="auto"/>
        </w:rPr>
        <w:t>Underwriters</w:t>
      </w:r>
      <w:r>
        <w:rPr>
          <w:rFonts w:ascii="Arial" w:cs="Arial" w:eastAsia="Arial" w:hAnsi="Arial"/>
          <w:sz w:val="16"/>
          <w:szCs w:val="16"/>
          <w:color w:val="auto"/>
        </w:rPr>
        <w:t>”). The Notes will be offered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sold pursuant to an Indenture, dated as of September 1, 1998, as to be supplemented by an officers’ certificate pursuant to Sections 102, 301 and 303 of such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Indenture (collectively,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U.S. Bank National Association, successor to Wachovia Bank, National Association,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formerly First Union National Bank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59"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In rendering our opinion hereinafter set forth, our examination has been limited to the following documents (each, a “</w:t>
      </w:r>
      <w:r>
        <w:rPr>
          <w:rFonts w:ascii="Arial" w:cs="Arial" w:eastAsia="Arial" w:hAnsi="Arial"/>
          <w:sz w:val="18"/>
          <w:szCs w:val="18"/>
          <w:b w:val="1"/>
          <w:bCs w:val="1"/>
          <w:color w:val="auto"/>
        </w:rPr>
        <w:t>Document</w:t>
      </w:r>
      <w:r>
        <w:rPr>
          <w:rFonts w:ascii="Arial" w:cs="Arial" w:eastAsia="Arial" w:hAnsi="Arial"/>
          <w:sz w:val="18"/>
          <w:szCs w:val="18"/>
          <w:color w:val="auto"/>
        </w:rPr>
        <w:t>,” and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45" w:lineRule="exact"/>
        <w:rPr>
          <w:sz w:val="20"/>
          <w:szCs w:val="20"/>
          <w:color w:val="auto"/>
        </w:rPr>
      </w:pPr>
    </w:p>
    <w:p>
      <w:pPr>
        <w:ind w:left="1140" w:hanging="5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Indenture, as certified by the Executive Vice President-General Counsel and Secretary of the Company as of the date hereof;</w:t>
      </w:r>
    </w:p>
    <w:p>
      <w:pPr>
        <w:spacing w:after="0" w:line="84" w:lineRule="exact"/>
        <w:rPr>
          <w:rFonts w:ascii="Arial" w:cs="Arial" w:eastAsia="Arial" w:hAnsi="Arial"/>
          <w:sz w:val="18"/>
          <w:szCs w:val="18"/>
          <w:color w:val="auto"/>
        </w:rPr>
      </w:pPr>
    </w:p>
    <w:p>
      <w:pPr>
        <w:ind w:left="1140" w:hanging="565"/>
        <w:spacing w:after="0"/>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Declaration of Trust, as amended and corrected, of the Company (the “</w:t>
      </w:r>
      <w:r>
        <w:rPr>
          <w:rFonts w:ascii="Arial" w:cs="Arial" w:eastAsia="Arial" w:hAnsi="Arial"/>
          <w:sz w:val="16"/>
          <w:szCs w:val="16"/>
          <w:b w:val="1"/>
          <w:bCs w:val="1"/>
          <w:color w:val="auto"/>
        </w:rPr>
        <w:t>Declaration of Trust</w:t>
      </w:r>
      <w:r>
        <w:rPr>
          <w:rFonts w:ascii="Arial" w:cs="Arial" w:eastAsia="Arial" w:hAnsi="Arial"/>
          <w:sz w:val="16"/>
          <w:szCs w:val="16"/>
          <w:color w:val="auto"/>
        </w:rPr>
        <w:t>”), as certified by the Maryland State</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www.pillsburylaw.com</w:t>
      </w:r>
    </w:p>
    <w:p>
      <w:pPr>
        <w:sectPr>
          <w:pgSz w:w="11900" w:h="16838" w:orient="portrait"/>
          <w:cols w:equalWidth="0" w:num="1">
            <w:col w:w="11420"/>
          </w:cols>
          <w:pgMar w:left="240" w:top="12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1140" w:right="540"/>
        <w:spacing w:after="0" w:line="268" w:lineRule="auto"/>
        <w:rPr>
          <w:sz w:val="20"/>
          <w:szCs w:val="20"/>
          <w:color w:val="auto"/>
        </w:rPr>
      </w:pPr>
      <w:r>
        <w:rPr>
          <w:rFonts w:ascii="Arial" w:cs="Arial" w:eastAsia="Arial" w:hAnsi="Arial"/>
          <w:sz w:val="18"/>
          <w:szCs w:val="18"/>
          <w:color w:val="auto"/>
        </w:rPr>
        <w:t>Department of Assessments and Taxation on February 23, 2010 and by the Executive Vice President-General Counsel and Secretary of the Company as of the date hereof;</w:t>
      </w:r>
    </w:p>
    <w:p>
      <w:pPr>
        <w:spacing w:after="0" w:line="58" w:lineRule="exact"/>
        <w:rPr>
          <w:sz w:val="20"/>
          <w:szCs w:val="20"/>
          <w:color w:val="auto"/>
        </w:rPr>
      </w:pPr>
    </w:p>
    <w:p>
      <w:pPr>
        <w:ind w:left="1140" w:right="200" w:hanging="565"/>
        <w:spacing w:after="0" w:line="275"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Amended and Restated Bylaws, as amended, of the Company (the “</w:t>
      </w:r>
      <w:r>
        <w:rPr>
          <w:rFonts w:ascii="Arial" w:cs="Arial" w:eastAsia="Arial" w:hAnsi="Arial"/>
          <w:sz w:val="18"/>
          <w:szCs w:val="18"/>
          <w:b w:val="1"/>
          <w:bCs w:val="1"/>
          <w:color w:val="auto"/>
        </w:rPr>
        <w:t>Bylaws</w:t>
      </w:r>
      <w:r>
        <w:rPr>
          <w:rFonts w:ascii="Arial" w:cs="Arial" w:eastAsia="Arial" w:hAnsi="Arial"/>
          <w:sz w:val="18"/>
          <w:szCs w:val="18"/>
          <w:color w:val="auto"/>
        </w:rPr>
        <w:t>”), as certified by the Executive Vice President-General Counsel and Secretary of the Company as of the date hereof;</w:t>
      </w:r>
    </w:p>
    <w:p>
      <w:pPr>
        <w:spacing w:after="0" w:line="44" w:lineRule="exact"/>
        <w:rPr>
          <w:rFonts w:ascii="Arial" w:cs="Arial" w:eastAsia="Arial" w:hAnsi="Arial"/>
          <w:sz w:val="18"/>
          <w:szCs w:val="18"/>
          <w:color w:val="auto"/>
        </w:rPr>
      </w:pPr>
    </w:p>
    <w:p>
      <w:pPr>
        <w:ind w:left="1140" w:hanging="565"/>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form of Notes;</w:t>
      </w:r>
    </w:p>
    <w:p>
      <w:pPr>
        <w:spacing w:after="0" w:line="84" w:lineRule="exact"/>
        <w:rPr>
          <w:rFonts w:ascii="Arial" w:cs="Arial" w:eastAsia="Arial" w:hAnsi="Arial"/>
          <w:sz w:val="18"/>
          <w:szCs w:val="18"/>
          <w:color w:val="auto"/>
        </w:rPr>
      </w:pPr>
    </w:p>
    <w:p>
      <w:pPr>
        <w:ind w:left="1140" w:right="100" w:hanging="565"/>
        <w:spacing w:after="0" w:line="334" w:lineRule="auto"/>
        <w:tabs>
          <w:tab w:leader="none" w:pos="11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resolutions adopted by the Board of Trustees of the Company on May 5, 2009 and February 17, 2010 (the “</w:t>
      </w:r>
      <w:r>
        <w:rPr>
          <w:rFonts w:ascii="Arial" w:cs="Arial" w:eastAsia="Arial" w:hAnsi="Arial"/>
          <w:sz w:val="16"/>
          <w:szCs w:val="16"/>
          <w:b w:val="1"/>
          <w:bCs w:val="1"/>
          <w:color w:val="auto"/>
        </w:rPr>
        <w:t>Board Resolutions</w:t>
      </w:r>
      <w:r>
        <w:rPr>
          <w:rFonts w:ascii="Arial" w:cs="Arial" w:eastAsia="Arial" w:hAnsi="Arial"/>
          <w:sz w:val="16"/>
          <w:szCs w:val="16"/>
          <w:color w:val="auto"/>
        </w:rPr>
        <w:t>”), as certified by the Executive Vice President-General Counsel and Secretary of the Company as of the date hereof;</w:t>
      </w:r>
    </w:p>
    <w:p>
      <w:pPr>
        <w:spacing w:after="0" w:line="1" w:lineRule="exact"/>
        <w:rPr>
          <w:rFonts w:ascii="Arial" w:cs="Arial" w:eastAsia="Arial" w:hAnsi="Arial"/>
          <w:sz w:val="16"/>
          <w:szCs w:val="16"/>
          <w:color w:val="auto"/>
        </w:rPr>
      </w:pPr>
    </w:p>
    <w:p>
      <w:pPr>
        <w:ind w:left="1140" w:right="300" w:hanging="565"/>
        <w:spacing w:after="0" w:line="262"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resolutions adopted by the Pricing Committee of the Board of Trustees of the Company on February 24, 2010 (the “</w:t>
      </w:r>
      <w:r>
        <w:rPr>
          <w:rFonts w:ascii="Arial" w:cs="Arial" w:eastAsia="Arial" w:hAnsi="Arial"/>
          <w:sz w:val="18"/>
          <w:szCs w:val="18"/>
          <w:b w:val="1"/>
          <w:bCs w:val="1"/>
          <w:color w:val="auto"/>
        </w:rPr>
        <w:t>Pricing Committee</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Resolutions</w:t>
      </w:r>
      <w:r>
        <w:rPr>
          <w:rFonts w:ascii="Arial" w:cs="Arial" w:eastAsia="Arial" w:hAnsi="Arial"/>
          <w:sz w:val="18"/>
          <w:szCs w:val="18"/>
          <w:color w:val="auto"/>
        </w:rPr>
        <w:t>” and, together with the Board Resolutions, the “</w:t>
      </w:r>
      <w:r>
        <w:rPr>
          <w:rFonts w:ascii="Arial" w:cs="Arial" w:eastAsia="Arial" w:hAnsi="Arial"/>
          <w:sz w:val="18"/>
          <w:szCs w:val="18"/>
          <w:b w:val="1"/>
          <w:bCs w:val="1"/>
          <w:color w:val="auto"/>
        </w:rPr>
        <w:t>Resolutions</w:t>
      </w:r>
      <w:r>
        <w:rPr>
          <w:rFonts w:ascii="Arial" w:cs="Arial" w:eastAsia="Arial" w:hAnsi="Arial"/>
          <w:sz w:val="18"/>
          <w:szCs w:val="18"/>
          <w:color w:val="auto"/>
        </w:rPr>
        <w:t>”), as certified by the Executive Vice President-General Counsel and</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of the Company as of the date hereof;</w:t>
      </w:r>
    </w:p>
    <w:p>
      <w:pPr>
        <w:spacing w:after="0" w:line="57" w:lineRule="exact"/>
        <w:rPr>
          <w:rFonts w:ascii="Arial" w:cs="Arial" w:eastAsia="Arial" w:hAnsi="Arial"/>
          <w:sz w:val="18"/>
          <w:szCs w:val="18"/>
          <w:color w:val="auto"/>
        </w:rPr>
      </w:pPr>
    </w:p>
    <w:p>
      <w:pPr>
        <w:ind w:left="1140" w:hanging="565"/>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Underwriting Agreement and the Pricing Agreement;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certificate of an officer of the Company dated as of the date hereof; and</w:t>
      </w:r>
    </w:p>
    <w:p>
      <w:pPr>
        <w:spacing w:after="0" w:line="90" w:lineRule="exact"/>
        <w:rPr>
          <w:rFonts w:ascii="Arial" w:cs="Arial" w:eastAsia="Arial" w:hAnsi="Arial"/>
          <w:sz w:val="18"/>
          <w:szCs w:val="18"/>
          <w:color w:val="auto"/>
        </w:rPr>
      </w:pPr>
    </w:p>
    <w:p>
      <w:pPr>
        <w:ind w:left="1140" w:right="220" w:hanging="565"/>
        <w:spacing w:after="0" w:line="268"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other documents, corporate records, certificates of public officials and other instruments as we have deemed necessary for the purposes of rendering this opinion letter.</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purposes of this opinion letter, we have not reviewed any documents other than the Documents, including any document (other than the Documents) that is referred to in or incorporated by reference into the Documents. We have assumed that there exists no provision in any document that we have not reviewed that is inconsistent with the opinion stated herein.</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our examination of the Documents, we have assumed the legal capacity of all natural persons, the genuineness of all signatures, the completeness and authenticity of all Documents submitted to us as originals, and the conformity to original documents of all Documents submitted to us as certified, telecopied, photostatic or reproduced copies. In connection with the opinion expressed below, we have assumed that, at and prior to the time of the sale and delivery of any Notes pursuant to the Registration Statement, (i) the Resolutions have not been amended, modified or rescinded, (ii) no stop order suspending the effectiveness of the Registration Statement has been issued and no proceedings with respect thereto have been commenced or threatened, and (iii) there has not occurred any change in law materially adversely affecting the power of the Company to offer and sell the Notes or the validity of the Notes.</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www.pillsburylaw.com</w:t>
      </w:r>
    </w:p>
    <w:p>
      <w:pPr>
        <w:sectPr>
          <w:pgSz w:w="11900" w:h="16838" w:orient="portrait"/>
          <w:cols w:equalWidth="0" w:num="1">
            <w:col w:w="11420"/>
          </w:cols>
          <w:pgMar w:left="240" w:top="28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also assumed that the offering, sale and delivery of the Notes, and compliance by the Company with the rights, powers, privileges and preferences and other terms of the Notes, will not at the time of such offering, sale and delivery violate or conflict with (i) the Declaration of Trust, as then amended, restated and supplemented, and Bylaws, as then amended, restated and supplemented, of the Company, (ii) any provision of any license, indenture, instrument, mortgage, contract, document or agreement to which the Company is then a party or by which the Company is then bound, or (iii) any law or regulation or any decree, judgment or order then applicable to the Company.</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Based upon the foregoing and subject to the limitations and qualifications hereinafter set forth, we are of the opinion that the Notes have been duly authorized and will constitute valid and legally binding obligations of the Company, enforceable against the Company in accordance with their terms, and entitled to the benefits of the Indenture, when duly executed and delivered by the Company against payment therefor and countersigned or authenticated by the Trustee, both in accordance with the Indenture, and delivered to and paid for by the purchasers of the Notes in the manner contemplated by the Underwriting Agreement and the Pricing Agreement.</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opinion above with respect to the enforceability of obligations may be limited by bankruptcy, insolvency, reorganization, moratorium or other laws affecting creditors’ rights (including, without limitation, the effect of statutory and other law regarding fraudulent conveyances, fraudulent transfers and preferential transfers) and by the exercise of judicial discretion and the application of principles of equity, including, without limitation, requirements of reasonableness, good faith, fair dealing, conscionability and materiality (regardless of whether considered in a proceeding in equity or at law). Such opinion shall be understood to mean only that if there is a default in performance of an obligation, (i) if a failure to pay or other damage can be shown and (ii) if the defaulting party can be brought into a court which will hear the case and apply the governing law, then, subject to the availability of defenses and to the exceptions set forth in the previous sentence, the court will provide a money damage (or perhaps injunctive or specific performance) remedy.</w:t>
      </w:r>
    </w:p>
    <w:p>
      <w:pPr>
        <w:spacing w:after="0" w:line="118"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Our opinion is limited to Maryland law (excluding the securities laws and blue sky laws of the State of Maryland) and New York contract law (but not including any statutes, ordinances, administrative decisions, rules or regulations of any political subdivision of the State of New York), in each case excluding choice of law provisions thereof. We render no opinions with respect to the law of any other jurisdiction. Our opinion is rendered only with respect to the laws and the rules, regulations and orders thereunder that are currently in effect and is limited to the matters and the transaction expressly addressed herein and no opinion is to be implied or may be inferred beyond the opinion expressly stated herein. We assume no obligation to advise you of any changes in the foregoing subsequent to the delivery of this opinion letter.</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www.pillsburylaw.com</w:t>
      </w:r>
    </w:p>
    <w:p>
      <w:pPr>
        <w:sectPr>
          <w:pgSz w:w="11900" w:h="16838" w:orient="portrait"/>
          <w:cols w:equalWidth="0" w:num="1">
            <w:col w:w="11420"/>
          </w:cols>
          <w:pgMar w:left="240" w:top="28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hereby consent to the filing of this opinion letter as an exhibit to the Registration Statement and to the use of our name in the Prospectus Supplement under the caption “Legal Matters.” In giving this consent, we do not thereby admit that we are within the category of persons whose consent is required under Section 7 of the Act or the rules and regulations of the Securities and Exchange Commission promulgated thereunder.</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www.pillsburylaw.com</w:t>
      </w:r>
    </w:p>
    <w:p>
      <w:pPr>
        <w:sectPr>
          <w:pgSz w:w="11900" w:h="16838" w:orient="portrait"/>
          <w:cols w:equalWidth="0" w:num="1">
            <w:col w:w="11420"/>
          </w:cols>
          <w:pgMar w:left="240" w:top="2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8.1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 Letterhead]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24,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February 24, 2010 (the “Prospectus Supplement”) to a prospectus (the “Base Prospectus”) filed as part of a registration statement on Form S-3 (File No. 333-160009, the “Registration Statement,” which term includes the Base Prospectus, Prospectus Supplement, and all documents incorporated and deemed to be incorporated by reference therein) with the Securities and Exchange Commission.</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2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420"/>
          </w:cols>
          <w:pgMar w:left="240" w:top="12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2010;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(2010) taxable year and for future taxable years, and (iii) the discussions in (x) the Base Prospectus under the caption “Material Federal Income Tax Considerations,” (y) the Prospectus Supplement under the caption “Additional Material U.S. Federal Income Tax Considerations,” and (z) the Company’s Annual Report on Form 10-K for the year ended December 31, 2009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Base Prospectus under the caption “Material Federal Income Tax Considerations” are hereby confirmed.</w:t>
      </w:r>
    </w:p>
    <w:p>
      <w:pPr>
        <w:spacing w:after="0" w:line="124"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420"/>
          </w:cols>
          <w:pgMar w:left="240" w:top="33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assurance can be given as to whether, for any given taxable year, the actual ownership of the Company’s stock and its actual operating results and distributions satisfy the tests necessary to achieve and maintain its status as a REIT.</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PILLSBURY WINTHROP SHAW PITTMAN LLP</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(53471)</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420"/>
          </w:cols>
          <w:pgMar w:left="240" w:top="334"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b w:val="1"/>
                <w:bCs w:val="1"/>
                <w:color w:val="auto"/>
                <w:w w:val="89"/>
              </w:rPr>
              <w:t>Exhibit 12.1</w:t>
            </w:r>
          </w:p>
        </w:tc>
        <w:tc>
          <w:tcPr>
            <w:tcW w:w="0" w:type="dxa"/>
            <w:vAlign w:val="bottom"/>
          </w:tcPr>
          <w:p>
            <w:pPr>
              <w:spacing w:after="0"/>
              <w:rPr>
                <w:sz w:val="1"/>
                <w:szCs w:val="1"/>
                <w:color w:val="auto"/>
              </w:rPr>
            </w:pPr>
          </w:p>
        </w:tc>
      </w:tr>
      <w:tr>
        <w:trPr>
          <w:trHeight w:val="372"/>
        </w:trPr>
        <w:tc>
          <w:tcPr>
            <w:tcW w:w="6780" w:type="dxa"/>
            <w:vAlign w:val="bottom"/>
            <w:gridSpan w:val="2"/>
          </w:tcPr>
          <w:p>
            <w:pPr>
              <w:spacing w:after="0"/>
              <w:rPr>
                <w:sz w:val="20"/>
                <w:szCs w:val="20"/>
                <w:color w:val="auto"/>
              </w:rPr>
            </w:pPr>
            <w:r>
              <w:rPr>
                <w:rFonts w:ascii="Arial" w:cs="Arial" w:eastAsia="Arial" w:hAnsi="Arial"/>
                <w:sz w:val="18"/>
                <w:szCs w:val="18"/>
                <w:color w:val="auto"/>
              </w:rPr>
              <w:t>Federal Realty Investment Trust</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w w:val="93"/>
              </w:rPr>
              <w:t>Computation of Ratio of Earnings to Combined Fixed Charges &amp; Preferred Stock Dividends</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Income from continuing operations before income or loss from equity investees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$100,193</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119,334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95,812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92,194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Distributed income of equity investees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Fixed charges (excluding capitalized interest)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112,906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101,143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113,462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97,332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 in income of subsidiaries with no fixed charges</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(3,593)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Total earnings (A)</w:t>
            </w: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gridSpan w:val="2"/>
            <w:vMerge w:val="continue"/>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212,178</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219,362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209,280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188,768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168,680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$ 111,420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99,163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111,365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95,234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interest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Portion of rents representing interest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2,098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(B)</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$ 118,455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106,444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121,327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101,401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420"/>
              <w:spacing w:after="0"/>
              <w:rPr>
                <w:sz w:val="20"/>
                <w:szCs w:val="20"/>
                <w:color w:val="auto"/>
              </w:rPr>
            </w:pPr>
            <w:r>
              <w:rPr>
                <w:rFonts w:ascii="Arial" w:cs="Arial" w:eastAsia="Arial" w:hAnsi="Arial"/>
                <w:sz w:val="18"/>
                <w:szCs w:val="18"/>
                <w:color w:val="auto"/>
              </w:rPr>
              <w:t>Preferred stock dividends</w:t>
            </w: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vMerge w:val="continue"/>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10,423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11,475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redemption costs</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Total fixed charges and preferred stock dividends (C)</w:t>
            </w: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gridSpan w:val="2"/>
            <w:vMerge w:val="continue"/>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$ 118,996</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106,985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121,769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116,599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100,595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 (A divided by B)</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w w:val="94"/>
              </w:rPr>
              <w:t>Ratio of earning to combined fixed charges and preferred stock dividends (A divided by C)</w:t>
            </w: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gridSpan w:val="2"/>
            <w:vMerge w:val="continue"/>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lowerLetter"/>
      <w:start w:val="4"/>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lvl w:ilvl="1">
      <w:lvlJc w:val="left"/>
      <w:lvlText w:val="(%2)"/>
      <w:numFmt w:val="lowerLetter"/>
      <w:start w:val="1"/>
    </w:lvl>
  </w:abstractNum>
  <w:abstractNum w:abstractNumId="4">
    <w:nsid w:val="75A2A8D4"/>
    <w:multiLevelType w:val="hybridMultilevel"/>
    <w:lvl w:ilvl="0">
      <w:lvlJc w:val="left"/>
      <w:lvlText w:val="(%1)"/>
      <w:numFmt w:val="lowerLetter"/>
      <w:start w:val="2"/>
    </w:lvl>
  </w:abstractNum>
  <w:abstractNum w:abstractNumId="5">
    <w:nsid w:val="8EDBDAB"/>
    <w:multiLevelType w:val="hybridMultilevel"/>
    <w:lvl w:ilvl="0">
      <w:lvlJc w:val="left"/>
      <w:lvlText w:val="(%1)"/>
      <w:numFmt w:val="lowerLetter"/>
      <w:start w:val="3"/>
    </w:lvl>
  </w:abstractNum>
  <w:abstractNum w:abstractNumId="6">
    <w:nsid w:val="79838CB2"/>
    <w:multiLevelType w:val="hybridMultilevel"/>
    <w:lvl w:ilvl="0">
      <w:lvlJc w:val="left"/>
      <w:lvlText w:val="%1)"/>
      <w:numFmt w:val="decimal"/>
      <w:start w:val="163"/>
    </w:lvl>
    <w:lvl w:ilvl="1">
      <w:lvlJc w:val="left"/>
      <w:lvlText w:val="(%2)"/>
      <w:numFmt w:val="upperLetter"/>
      <w:start w:val="1"/>
    </w:lvl>
  </w:abstractNum>
  <w:abstractNum w:abstractNumId="7">
    <w:nsid w:val="4353D0CD"/>
    <w:multiLevelType w:val="hybridMultilevel"/>
    <w:lvl w:ilvl="0">
      <w:lvlJc w:val="left"/>
      <w:lvlText w:val="(%1)"/>
      <w:numFmt w:val="lowerLetter"/>
      <w:start w:val="4"/>
    </w:lvl>
  </w:abstractNum>
  <w:abstractNum w:abstractNumId="8">
    <w:nsid w:val="B03E0C6"/>
    <w:multiLevelType w:val="hybridMultilevel"/>
    <w:lvl w:ilvl="0">
      <w:lvlJc w:val="left"/>
      <w:lvlText w:val="(%1)"/>
      <w:numFmt w:val="lowerLetter"/>
      <w:start w:val="5"/>
    </w:lvl>
  </w:abstractNum>
  <w:abstractNum w:abstractNumId="9">
    <w:nsid w:val="189A769B"/>
    <w:multiLevelType w:val="hybridMultilevel"/>
    <w:lvl w:ilvl="0">
      <w:lvlJc w:val="left"/>
      <w:lvlText w:val="(%1)"/>
      <w:numFmt w:val="lowerLetter"/>
      <w:start w:val="7"/>
    </w:lvl>
  </w:abstractNum>
  <w:abstractNum w:abstractNumId="10">
    <w:nsid w:val="54E49EB4"/>
    <w:multiLevelType w:val="hybridMultilevel"/>
    <w:lvl w:ilvl="0">
      <w:lvlJc w:val="left"/>
      <w:lvlText w:val="(%1)"/>
      <w:numFmt w:val="lowerLetter"/>
      <w:start w:val="10"/>
    </w:lvl>
  </w:abstractNum>
  <w:abstractNum w:abstractNumId="11">
    <w:nsid w:val="71F32454"/>
    <w:multiLevelType w:val="hybridMultilevel"/>
    <w:lvl w:ilvl="0">
      <w:lvlJc w:val="left"/>
      <w:lvlText w:val="(%1)"/>
      <w:numFmt w:val="lowerLetter"/>
      <w:start w:val="13"/>
    </w:lvl>
  </w:abstractNum>
  <w:abstractNum w:abstractNumId="12">
    <w:nsid w:val="2CA88611"/>
    <w:multiLevelType w:val="hybridMultilevel"/>
    <w:lvl w:ilvl="0">
      <w:lvlJc w:val="left"/>
      <w:lvlText w:val="%1"/>
      <w:numFmt w:val="lowerLetter"/>
      <w:start w:val="1"/>
    </w:lvl>
    <w:lvl w:ilvl="1">
      <w:lvlJc w:val="left"/>
      <w:lvlText w:val="(%2)"/>
      <w:numFmt w:val="lowerLetter"/>
      <w:start w:val="18"/>
    </w:lvl>
  </w:abstractNum>
  <w:abstractNum w:abstractNumId="13">
    <w:nsid w:val="836C40E"/>
    <w:multiLevelType w:val="hybridMultilevel"/>
    <w:lvl w:ilvl="0">
      <w:lvlJc w:val="left"/>
      <w:lvlText w:val="(%1)"/>
      <w:numFmt w:val="lowerLetter"/>
      <w:start w:val="35"/>
    </w:lvl>
    <w:lvl w:ilvl="1">
      <w:lvlJc w:val="left"/>
      <w:lvlText w:val="(%2)"/>
      <w:numFmt w:val="lowerLetter"/>
      <w:start w:val="19"/>
    </w:lvl>
  </w:abstractNum>
  <w:abstractNum w:abstractNumId="14">
    <w:nsid w:val="2901D82"/>
    <w:multiLevelType w:val="hybridMultilevel"/>
    <w:lvl w:ilvl="0">
      <w:lvlJc w:val="left"/>
      <w:lvlText w:val="%1"/>
      <w:numFmt w:val="lowerRoman"/>
      <w:start w:val="1"/>
    </w:lvl>
    <w:lvl w:ilvl="1">
      <w:lvlJc w:val="left"/>
      <w:lvlText w:val="(%2)"/>
      <w:numFmt w:val="lowerLetter"/>
      <w:start w:val="21"/>
    </w:lvl>
  </w:abstractNum>
  <w:abstractNum w:abstractNumId="15">
    <w:nsid w:val="3A95F874"/>
    <w:multiLevelType w:val="hybridMultilevel"/>
    <w:lvl w:ilvl="0">
      <w:lvlJc w:val="left"/>
      <w:lvlText w:val="(%1)"/>
      <w:numFmt w:val="lowerRoman"/>
      <w:start w:val="4"/>
    </w:lvl>
    <w:lvl w:ilvl="1">
      <w:lvlJc w:val="left"/>
      <w:lvlText w:val="(%2)"/>
      <w:numFmt w:val="lowerLetter"/>
      <w:start w:val="24"/>
    </w:lvl>
  </w:abstractNum>
  <w:abstractNum w:abstractNumId="16">
    <w:nsid w:val="8138641"/>
    <w:multiLevelType w:val="hybridMultilevel"/>
    <w:lvl w:ilvl="0">
      <w:lvlJc w:val="left"/>
      <w:lvlText w:val="%1"/>
      <w:numFmt w:val="decimal"/>
      <w:start w:val="1"/>
    </w:lvl>
    <w:lvl w:ilvl="1">
      <w:lvlJc w:val="left"/>
      <w:lvlText w:val="(%2)"/>
      <w:numFmt w:val="lowerLetter"/>
      <w:start w:val="25"/>
    </w:lvl>
  </w:abstractNum>
  <w:abstractNum w:abstractNumId="17">
    <w:nsid w:val="1E7FF521"/>
    <w:multiLevelType w:val="hybridMultilevel"/>
    <w:lvl w:ilvl="0">
      <w:lvlJc w:val="left"/>
      <w:lvlText w:val="%1."/>
      <w:numFmt w:val="decimal"/>
      <w:start w:val="3"/>
    </w:lvl>
    <w:lvl w:ilvl="1">
      <w:lvlJc w:val="left"/>
      <w:lvlText w:val="(%2)"/>
      <w:numFmt w:val="lowerLetter"/>
      <w:start w:val="1"/>
    </w:lvl>
  </w:abstractNum>
  <w:abstractNum w:abstractNumId="18">
    <w:nsid w:val="7C3DBD3D"/>
    <w:multiLevelType w:val="hybridMultilevel"/>
    <w:lvl w:ilvl="0">
      <w:lvlJc w:val="left"/>
      <w:lvlText w:val="(%1)"/>
      <w:numFmt w:val="lowerLetter"/>
      <w:start w:val="2"/>
    </w:lvl>
  </w:abstractNum>
  <w:abstractNum w:abstractNumId="19">
    <w:nsid w:val="737B8DDC"/>
    <w:multiLevelType w:val="hybridMultilevel"/>
    <w:lvl w:ilvl="0">
      <w:lvlJc w:val="left"/>
      <w:lvlText w:val="(%1)"/>
      <w:numFmt w:val="lowerLetter"/>
      <w:start w:val="3"/>
    </w:lvl>
  </w:abstractNum>
  <w:abstractNum w:abstractNumId="20">
    <w:nsid w:val="6CEAF087"/>
    <w:multiLevelType w:val="hybridMultilevel"/>
    <w:lvl w:ilvl="0">
      <w:lvlJc w:val="left"/>
      <w:lvlText w:val="(%1)"/>
      <w:numFmt w:val="lowerLetter"/>
      <w:start w:val="7"/>
    </w:lvl>
  </w:abstractNum>
  <w:abstractNum w:abstractNumId="21">
    <w:nsid w:val="22221A70"/>
    <w:multiLevelType w:val="hybridMultilevel"/>
    <w:lvl w:ilvl="0">
      <w:lvlJc w:val="left"/>
      <w:lvlText w:val="%1"/>
      <w:numFmt w:val="lowerLetter"/>
      <w:start w:val="1"/>
    </w:lvl>
    <w:lvl w:ilvl="1">
      <w:lvlJc w:val="left"/>
      <w:lvlText w:val="(%2)"/>
      <w:numFmt w:val="lowerLetter"/>
      <w:start w:val="8"/>
    </w:lvl>
  </w:abstractNum>
  <w:abstractNum w:abstractNumId="22">
    <w:nsid w:val="4516DDE9"/>
    <w:multiLevelType w:val="hybridMultilevel"/>
    <w:lvl w:ilvl="0">
      <w:lvlJc w:val="left"/>
      <w:lvlText w:val="(%1)"/>
      <w:numFmt w:val="lowerLetter"/>
      <w:start w:val="35"/>
    </w:lvl>
    <w:lvl w:ilvl="1">
      <w:lvlJc w:val="left"/>
      <w:lvlText w:val="(%2)"/>
      <w:numFmt w:val="lowerLetter"/>
      <w:start w:val="10"/>
    </w:lvl>
  </w:abstractNum>
  <w:abstractNum w:abstractNumId="23">
    <w:nsid w:val="3006C83E"/>
    <w:multiLevelType w:val="hybridMultilevel"/>
    <w:lvl w:ilvl="0">
      <w:lvlJc w:val="left"/>
      <w:lvlText w:val="%1."/>
      <w:numFmt w:val="decimal"/>
      <w:start w:val="6"/>
    </w:lvl>
    <w:lvl w:ilvl="1">
      <w:lvlJc w:val="left"/>
      <w:lvlText w:val="(%2)"/>
      <w:numFmt w:val="lowerLetter"/>
      <w:start w:val="1"/>
    </w:lvl>
  </w:abstractNum>
  <w:abstractNum w:abstractNumId="24">
    <w:nsid w:val="614FD4A1"/>
    <w:multiLevelType w:val="hybridMultilevel"/>
    <w:lvl w:ilvl="0">
      <w:lvlJc w:val="left"/>
      <w:lvlText w:val="%1"/>
      <w:numFmt w:val="lowerLetter"/>
      <w:start w:val="1"/>
    </w:lvl>
    <w:lvl w:ilvl="1">
      <w:lvlJc w:val="left"/>
      <w:lvlText w:val="(%2)"/>
      <w:numFmt w:val="lowerLetter"/>
      <w:start w:val="2"/>
    </w:lvl>
  </w:abstractNum>
  <w:abstractNum w:abstractNumId="25">
    <w:nsid w:val="419AC241"/>
    <w:multiLevelType w:val="hybridMultilevel"/>
    <w:lvl w:ilvl="0">
      <w:lvlJc w:val="left"/>
      <w:lvlText w:val="(%1)"/>
      <w:numFmt w:val="lowerLetter"/>
      <w:start w:val="26"/>
    </w:lvl>
    <w:lvl w:ilvl="1">
      <w:lvlJc w:val="left"/>
      <w:lvlText w:val="%2"/>
      <w:numFmt w:val="lowerLetter"/>
      <w:start w:val="1"/>
    </w:lvl>
  </w:abstractNum>
  <w:abstractNum w:abstractNumId="26">
    <w:nsid w:val="5577F8E1"/>
    <w:multiLevelType w:val="hybridMultilevel"/>
    <w:lvl w:ilvl="0">
      <w:lvlJc w:val="left"/>
      <w:lvlText w:val="(%1)"/>
      <w:numFmt w:val="lowerLetter"/>
      <w:start w:val="5"/>
    </w:lvl>
  </w:abstractNum>
  <w:abstractNum w:abstractNumId="27">
    <w:nsid w:val="440BADFC"/>
    <w:multiLevelType w:val="hybridMultilevel"/>
    <w:lvl w:ilvl="0">
      <w:lvlJc w:val="left"/>
      <w:lvlText w:val="(%1)"/>
      <w:numFmt w:val="lowerLetter"/>
      <w:start w:val="8"/>
    </w:lvl>
  </w:abstractNum>
  <w:abstractNum w:abstractNumId="28">
    <w:nsid w:val="5072367"/>
    <w:multiLevelType w:val="hybridMultilevel"/>
    <w:lvl w:ilvl="0">
      <w:lvlJc w:val="left"/>
      <w:lvlText w:val="(%1)"/>
      <w:numFmt w:val="lowerLetter"/>
      <w:start w:val="2"/>
    </w:lvl>
  </w:abstractNum>
  <w:abstractNum w:abstractNumId="29">
    <w:nsid w:val="3804823E"/>
    <w:multiLevelType w:val="hybridMultilevel"/>
    <w:lvl w:ilvl="0">
      <w:lvlJc w:val="left"/>
      <w:lvlText w:val="%1"/>
      <w:numFmt w:val="lowerLetter"/>
      <w:start w:val="1"/>
    </w:lvl>
    <w:lvl w:ilvl="1">
      <w:lvlJc w:val="left"/>
      <w:lvlText w:val="(%2)"/>
      <w:numFmt w:val="lowerLetter"/>
      <w:start w:val="4"/>
    </w:lvl>
  </w:abstractNum>
  <w:abstractNum w:abstractNumId="30">
    <w:nsid w:val="77465F01"/>
    <w:multiLevelType w:val="hybridMultilevel"/>
    <w:lvl w:ilvl="0">
      <w:lvlJc w:val="left"/>
      <w:lvlText w:val="(%1)"/>
      <w:numFmt w:val="lowerLetter"/>
      <w:start w:val="2"/>
    </w:lvl>
    <w:lvl w:ilvl="1">
      <w:lvlJc w:val="left"/>
      <w:lvlText w:val="%2"/>
      <w:numFmt w:val="lowerLetter"/>
      <w:start w:val="1"/>
    </w:lvl>
  </w:abstractNum>
  <w:abstractNum w:abstractNumId="31">
    <w:nsid w:val="7724C67E"/>
    <w:multiLevelType w:val="hybridMultilevel"/>
    <w:lvl w:ilvl="0">
      <w:lvlJc w:val="left"/>
      <w:lvlText w:val="(%1)"/>
      <w:numFmt w:val="lowerLetter"/>
      <w:start w:val="4"/>
    </w:lvl>
    <w:lvl w:ilvl="1">
      <w:lvlJc w:val="left"/>
      <w:lvlText w:val="(%2)"/>
      <w:numFmt w:val="lowerLetter"/>
      <w:start w:val="5"/>
    </w:lvl>
  </w:abstractNum>
  <w:abstractNum w:abstractNumId="32">
    <w:nsid w:val="5C482A97"/>
    <w:multiLevelType w:val="hybridMultilevel"/>
    <w:lvl w:ilvl="0">
      <w:lvlJc w:val="left"/>
      <w:lvlText w:val="(%1)"/>
      <w:numFmt w:val="lowerLetter"/>
      <w:start w:val="2"/>
    </w:lvl>
  </w:abstractNum>
  <w:abstractNum w:abstractNumId="33">
    <w:nsid w:val="2463B9EA"/>
    <w:multiLevelType w:val="hybridMultilevel"/>
    <w:lvl w:ilvl="0">
      <w:lvlJc w:val="left"/>
      <w:lvlText w:val="%1."/>
      <w:numFmt w:val="decimal"/>
      <w:start w:val="10"/>
    </w:lvl>
  </w:abstractNum>
  <w:abstractNum w:abstractNumId="34">
    <w:nsid w:val="5E884ADC"/>
    <w:multiLevelType w:val="hybridMultilevel"/>
    <w:lvl w:ilvl="0">
      <w:lvlJc w:val="left"/>
      <w:lvlText w:val="%1."/>
      <w:numFmt w:val="decimal"/>
      <w:start w:val="11"/>
    </w:lvl>
  </w:abstractNum>
  <w:abstractNum w:abstractNumId="35">
    <w:nsid w:val="51EAD36B"/>
    <w:multiLevelType w:val="hybridMultilevel"/>
    <w:lvl w:ilvl="0">
      <w:lvlJc w:val="left"/>
      <w:lvlText w:val="%1."/>
      <w:numFmt w:val="decimal"/>
      <w:start w:val="13"/>
    </w:lvl>
  </w:abstractNum>
  <w:abstractNum w:abstractNumId="36">
    <w:nsid w:val="2D517796"/>
    <w:multiLevelType w:val="hybridMultilevel"/>
    <w:lvl w:ilvl="0">
      <w:lvlJc w:val="left"/>
      <w:lvlText w:val="%1."/>
      <w:numFmt w:val="decimal"/>
      <w:start w:val="15"/>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2"/>
    </w:lvl>
  </w:abstractNum>
  <w:abstractNum w:abstractNumId="39">
    <w:nsid w:val="3855585C"/>
    <w:multiLevelType w:val="hybridMultilevel"/>
    <w:lvl w:ilvl="0">
      <w:lvlJc w:val="left"/>
      <w:lvlText w:val="(%1)"/>
      <w:numFmt w:val="lowerRoman"/>
      <w:start w:val="4"/>
    </w:lvl>
  </w:abstractNum>
  <w:abstractNum w:abstractNumId="40">
    <w:nsid w:val="70A64E2A"/>
    <w:multiLevelType w:val="hybridMultilevel"/>
    <w:lvl w:ilvl="0">
      <w:lvlJc w:val="left"/>
      <w:lvlText w:val="(%1)"/>
      <w:numFmt w:val="lowerRoman"/>
      <w:start w:val="3"/>
    </w:lvl>
  </w:abstractNum>
  <w:abstractNum w:abstractNumId="41">
    <w:nsid w:val="6A2342EC"/>
    <w:multiLevelType w:val="hybridMultilevel"/>
    <w:lvl w:ilvl="0">
      <w:lvlJc w:val="left"/>
      <w:lvlText w:val="(%1)"/>
      <w:numFmt w:val="lowerRoman"/>
      <w:start w:val="1"/>
    </w:lvl>
  </w:abstractNum>
  <w:abstractNum w:abstractNumId="42">
    <w:nsid w:val="2A487CB0"/>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2019-12-09T23:58:07Z</dcterms:created>
  <dcterms:modified xsi:type="dcterms:W3CDTF">2019-12-09T23:58:07Z</dcterms:modified>
</cp:coreProperties>
</file>