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153035</wp:posOffset>
            </wp:positionH>
            <wp:positionV relativeFrom="page">
              <wp:posOffset>153035</wp:posOffset>
            </wp:positionV>
            <wp:extent cx="7255510"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2921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2345690</wp:posOffset>
            </wp:positionH>
            <wp:positionV relativeFrom="paragraph">
              <wp:posOffset>155575</wp:posOffset>
            </wp:positionV>
            <wp:extent cx="1244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60"/>
        <w:spacing w:after="0"/>
        <w:rPr>
          <w:sz w:val="20"/>
          <w:szCs w:val="20"/>
          <w:color w:val="auto"/>
        </w:rPr>
      </w:pPr>
      <w:r>
        <w:rPr>
          <w:rFonts w:ascii="Arial" w:cs="Arial" w:eastAsia="Arial" w:hAnsi="Arial"/>
          <w:sz w:val="31"/>
          <w:szCs w:val="31"/>
          <w:b w:val="1"/>
          <w:bCs w:val="1"/>
          <w:color w:val="auto"/>
        </w:rPr>
        <w:t>FORM 8-K</w:t>
      </w:r>
    </w:p>
    <w:p>
      <w:pPr>
        <w:spacing w:after="0" w:line="154" w:lineRule="exact"/>
        <w:rPr>
          <w:sz w:val="24"/>
          <w:szCs w:val="24"/>
          <w:color w:val="auto"/>
        </w:rPr>
      </w:pPr>
    </w:p>
    <w:p>
      <w:pPr>
        <w:jc w:val="center"/>
        <w:ind w:right="-160"/>
        <w:spacing w:after="0"/>
        <w:rPr>
          <w:sz w:val="20"/>
          <w:szCs w:val="20"/>
          <w:color w:val="auto"/>
        </w:rPr>
      </w:pPr>
      <w:r>
        <w:rPr>
          <w:rFonts w:ascii="Arial" w:cs="Arial" w:eastAsia="Arial" w:hAnsi="Arial"/>
          <w:sz w:val="21"/>
          <w:szCs w:val="21"/>
          <w:b w:val="1"/>
          <w:bCs w:val="1"/>
          <w:color w:val="auto"/>
        </w:rPr>
        <w:t>CURRENT REPORT</w:t>
      </w:r>
    </w:p>
    <w:p>
      <w:pPr>
        <w:spacing w:after="0" w:line="137" w:lineRule="exact"/>
        <w:rPr>
          <w:sz w:val="24"/>
          <w:szCs w:val="24"/>
          <w:color w:val="auto"/>
        </w:rPr>
      </w:pPr>
    </w:p>
    <w:p>
      <w:pPr>
        <w:jc w:val="center"/>
        <w:ind w:right="-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64" w:lineRule="exact"/>
        <w:rPr>
          <w:sz w:val="24"/>
          <w:szCs w:val="24"/>
          <w:color w:val="auto"/>
        </w:rPr>
      </w:pPr>
    </w:p>
    <w:p>
      <w:pPr>
        <w:jc w:val="center"/>
        <w:ind w:right="-160"/>
        <w:spacing w:after="0"/>
        <w:rPr>
          <w:sz w:val="20"/>
          <w:szCs w:val="20"/>
          <w:color w:val="auto"/>
        </w:rPr>
      </w:pPr>
      <w:r>
        <w:rPr>
          <w:rFonts w:ascii="Arial" w:cs="Arial" w:eastAsia="Arial" w:hAnsi="Arial"/>
          <w:sz w:val="17"/>
          <w:szCs w:val="17"/>
          <w:b w:val="1"/>
          <w:bCs w:val="1"/>
          <w:color w:val="auto"/>
        </w:rPr>
        <w:t>Date of Report (Date of earliest event reported) June 30,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2345690</wp:posOffset>
            </wp:positionH>
            <wp:positionV relativeFrom="paragraph">
              <wp:posOffset>173990</wp:posOffset>
            </wp:positionV>
            <wp:extent cx="1244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60"/>
        <w:spacing w:after="0"/>
        <w:rPr>
          <w:sz w:val="20"/>
          <w:szCs w:val="20"/>
          <w:color w:val="auto"/>
        </w:rPr>
      </w:pPr>
      <w:r>
        <w:rPr>
          <w:rFonts w:ascii="Arial" w:cs="Arial" w:eastAsia="Arial" w:hAnsi="Arial"/>
          <w:sz w:val="42"/>
          <w:szCs w:val="42"/>
          <w:b w:val="1"/>
          <w:bCs w:val="1"/>
          <w:color w:val="auto"/>
        </w:rPr>
        <w:t>Federal Realty Investment Trust</w:t>
      </w:r>
    </w:p>
    <w:p>
      <w:pPr>
        <w:spacing w:after="0" w:line="43" w:lineRule="exact"/>
        <w:rPr>
          <w:sz w:val="24"/>
          <w:szCs w:val="24"/>
          <w:color w:val="auto"/>
        </w:rPr>
      </w:pPr>
    </w:p>
    <w:p>
      <w:pPr>
        <w:jc w:val="center"/>
        <w:ind w:right="-16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2345690</wp:posOffset>
            </wp:positionH>
            <wp:positionV relativeFrom="paragraph">
              <wp:posOffset>153035</wp:posOffset>
            </wp:positionV>
            <wp:extent cx="1244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sectPr>
          <w:pgSz w:w="11900" w:h="16838" w:orient="portrait"/>
          <w:cols w:equalWidth="0" w:num="1">
            <w:col w:w="9179"/>
          </w:cols>
          <w:pgMar w:left="1280" w:top="412" w:right="1440" w:bottom="1440" w:gutter="0" w:footer="0" w:header="0"/>
        </w:sectPr>
      </w:pPr>
    </w:p>
    <w:p>
      <w:pPr>
        <w:spacing w:after="0" w:line="200" w:lineRule="exact"/>
        <w:rPr>
          <w:sz w:val="24"/>
          <w:szCs w:val="24"/>
          <w:color w:val="auto"/>
        </w:rPr>
      </w:pPr>
    </w:p>
    <w:p>
      <w:pPr>
        <w:spacing w:after="0" w:line="290"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246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4" w:lineRule="exact"/>
        <w:rPr>
          <w:sz w:val="24"/>
          <w:szCs w:val="24"/>
          <w:color w:val="auto"/>
        </w:rPr>
      </w:pPr>
    </w:p>
    <w:p>
      <w:pPr>
        <w:sectPr>
          <w:pgSz w:w="11900" w:h="16838" w:orient="portrait"/>
          <w:cols w:equalWidth="0" w:num="3">
            <w:col w:w="3680" w:space="720"/>
            <w:col w:w="3040" w:space="720"/>
            <w:col w:w="1019"/>
          </w:cols>
          <w:pgMar w:left="1280" w:top="412" w:right="1440" w:bottom="1440" w:gutter="0" w:footer="0" w:header="0"/>
          <w:type w:val="continuous"/>
        </w:sectPr>
      </w:pPr>
    </w:p>
    <w:p>
      <w:pPr>
        <w:spacing w:after="0" w:line="2" w:lineRule="exact"/>
        <w:rPr>
          <w:sz w:val="24"/>
          <w:szCs w:val="24"/>
          <w:color w:val="auto"/>
        </w:rPr>
      </w:pPr>
    </w:p>
    <w:p>
      <w:pPr>
        <w:jc w:val="center"/>
        <w:ind w:right="2020"/>
        <w:spacing w:after="0"/>
        <w:rPr>
          <w:sz w:val="20"/>
          <w:szCs w:val="20"/>
          <w:color w:val="auto"/>
        </w:rPr>
      </w:pPr>
      <w:r>
        <w:rPr>
          <w:rFonts w:ascii="Arial" w:cs="Arial" w:eastAsia="Arial" w:hAnsi="Arial"/>
          <w:sz w:val="11"/>
          <w:szCs w:val="11"/>
          <w:b w:val="1"/>
          <w:bCs w:val="1"/>
          <w:color w:val="auto"/>
        </w:rPr>
        <w:t>(State or other jurisdiction</w:t>
      </w:r>
    </w:p>
    <w:p>
      <w:pPr>
        <w:spacing w:after="0" w:line="21" w:lineRule="exact"/>
        <w:rPr>
          <w:sz w:val="24"/>
          <w:szCs w:val="24"/>
          <w:color w:val="auto"/>
        </w:rPr>
      </w:pPr>
    </w:p>
    <w:p>
      <w:pPr>
        <w:jc w:val="center"/>
        <w:ind w:right="202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w:t>
      </w:r>
    </w:p>
    <w:p>
      <w:pPr>
        <w:spacing w:after="0" w:line="2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9"/>
        <w:spacing w:after="0"/>
        <w:rPr>
          <w:sz w:val="20"/>
          <w:szCs w:val="20"/>
          <w:color w:val="auto"/>
        </w:rPr>
      </w:pPr>
      <w:r>
        <w:rPr>
          <w:rFonts w:ascii="Arial" w:cs="Arial" w:eastAsia="Arial" w:hAnsi="Arial"/>
          <w:sz w:val="13"/>
          <w:szCs w:val="13"/>
          <w:b w:val="1"/>
          <w:bCs w:val="1"/>
          <w:color w:val="auto"/>
        </w:rPr>
        <w:t>(IRS Employer</w:t>
      </w:r>
    </w:p>
    <w:p>
      <w:pPr>
        <w:jc w:val="center"/>
        <w:ind w:right="99"/>
        <w:spacing w:after="0"/>
        <w:rPr>
          <w:sz w:val="20"/>
          <w:szCs w:val="20"/>
          <w:color w:val="auto"/>
        </w:rPr>
      </w:pPr>
      <w:r>
        <w:rPr>
          <w:rFonts w:ascii="Arial" w:cs="Arial" w:eastAsia="Arial" w:hAnsi="Arial"/>
          <w:sz w:val="12"/>
          <w:szCs w:val="12"/>
          <w:b w:val="1"/>
          <w:bCs w:val="1"/>
          <w:color w:val="auto"/>
        </w:rPr>
        <w:t>Identification No.)</w:t>
      </w:r>
    </w:p>
    <w:p>
      <w:pPr>
        <w:spacing w:after="0" w:line="135" w:lineRule="exact"/>
        <w:rPr>
          <w:sz w:val="24"/>
          <w:szCs w:val="24"/>
          <w:color w:val="auto"/>
        </w:rPr>
      </w:pPr>
    </w:p>
    <w:p>
      <w:pPr>
        <w:sectPr>
          <w:pgSz w:w="11900" w:h="16838" w:orient="portrait"/>
          <w:cols w:equalWidth="0" w:num="3">
            <w:col w:w="3600" w:space="720"/>
            <w:col w:w="3000" w:space="720"/>
            <w:col w:w="1139"/>
          </w:cols>
          <w:pgMar w:left="1280" w:top="412" w:right="1440"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47" w:lineRule="exact"/>
        <w:rPr>
          <w:sz w:val="24"/>
          <w:szCs w:val="24"/>
          <w:color w:val="auto"/>
        </w:rPr>
      </w:pPr>
    </w:p>
    <w:p>
      <w:pPr>
        <w:sectPr>
          <w:pgSz w:w="11900" w:h="16838" w:orient="portrait"/>
          <w:cols w:equalWidth="0" w:num="2">
            <w:col w:w="6480" w:space="720"/>
            <w:col w:w="1979"/>
          </w:cols>
          <w:pgMar w:left="1280" w:top="412" w:right="1440" w:bottom="1440" w:gutter="0" w:footer="0" w:header="0"/>
          <w:type w:val="continuous"/>
        </w:sectPr>
      </w:pPr>
    </w:p>
    <w:p>
      <w:pPr>
        <w:ind w:left="6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39" w:lineRule="exact"/>
        <w:rPr>
          <w:sz w:val="24"/>
          <w:szCs w:val="24"/>
          <w:color w:val="auto"/>
        </w:rPr>
      </w:pPr>
    </w:p>
    <w:p>
      <w:pPr>
        <w:sectPr>
          <w:pgSz w:w="11900" w:h="16838" w:orient="portrait"/>
          <w:cols w:equalWidth="0" w:num="2">
            <w:col w:w="6580" w:space="720"/>
            <w:col w:w="1879"/>
          </w:cols>
          <w:pgMar w:left="1280" w:top="412" w:right="1440" w:bottom="1440" w:gutter="0" w:footer="0" w:header="0"/>
          <w:type w:val="continuous"/>
        </w:sectPr>
      </w:pPr>
    </w:p>
    <w:p>
      <w:pPr>
        <w:jc w:val="center"/>
        <w:ind w:right="-160"/>
        <w:spacing w:after="0"/>
        <w:rPr>
          <w:sz w:val="20"/>
          <w:szCs w:val="20"/>
          <w:color w:val="auto"/>
        </w:rPr>
      </w:pPr>
      <w:r>
        <w:rPr>
          <w:rFonts w:ascii="Arial" w:cs="Arial" w:eastAsia="Arial" w:hAnsi="Arial"/>
          <w:sz w:val="15"/>
          <w:szCs w:val="15"/>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-659130</wp:posOffset>
            </wp:positionH>
            <wp:positionV relativeFrom="paragraph">
              <wp:posOffset>136525</wp:posOffset>
            </wp:positionV>
            <wp:extent cx="7255510" cy="29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5510" cy="29210"/>
                    </a:xfrm>
                    <a:prstGeom prst="rect">
                      <a:avLst/>
                    </a:prstGeom>
                    <a:noFill/>
                  </pic:spPr>
                </pic:pic>
              </a:graphicData>
            </a:graphic>
          </wp:anchor>
        </w:drawing>
      </w:r>
    </w:p>
    <w:p>
      <w:pPr>
        <w:sectPr>
          <w:pgSz w:w="11900" w:h="16838" w:orient="portrait"/>
          <w:cols w:equalWidth="0" w:num="1">
            <w:col w:w="9179"/>
          </w:cols>
          <w:pgMar w:left="1280" w:top="412"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27305"/>
                    </a:xfrm>
                    <a:prstGeom prst="rect">
                      <a:avLst/>
                    </a:prstGeom>
                    <a:noFill/>
                  </pic:spPr>
                </pic:pic>
              </a:graphicData>
            </a:graphic>
          </wp:anchor>
        </w:drawing>
        <w:t>Item 7. Financial Statements and Exhibits.</w:t>
      </w:r>
    </w:p>
    <w:p>
      <w:pPr>
        <w:spacing w:after="0" w:line="83" w:lineRule="exact"/>
        <w:rPr>
          <w:sz w:val="20"/>
          <w:szCs w:val="20"/>
          <w:color w:val="auto"/>
        </w:rPr>
      </w:pPr>
    </w:p>
    <w:p>
      <w:pPr>
        <w:ind w:left="900" w:hanging="451"/>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Exhibits</w:t>
      </w:r>
    </w:p>
    <w:p>
      <w:pPr>
        <w:spacing w:after="0" w:line="144"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portfolio information at June 30, 2003 (including press release dated July 30, 2003)</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Regulation FD Disclosure (Information provided under Item 12-Results of Operations and Financial Condition).</w:t>
      </w:r>
    </w:p>
    <w:p>
      <w:pPr>
        <w:spacing w:after="0" w:line="83" w:lineRule="exact"/>
        <w:rPr>
          <w:sz w:val="20"/>
          <w:szCs w:val="20"/>
          <w:color w:val="auto"/>
        </w:rPr>
      </w:pPr>
    </w:p>
    <w:p>
      <w:pPr>
        <w:jc w:val="both"/>
        <w:ind w:right="160" w:firstLine="457"/>
        <w:spacing w:after="0" w:line="268" w:lineRule="auto"/>
        <w:rPr>
          <w:sz w:val="20"/>
          <w:szCs w:val="20"/>
          <w:color w:val="auto"/>
        </w:rPr>
      </w:pPr>
      <w:r>
        <w:rPr>
          <w:rFonts w:ascii="Arial" w:cs="Arial" w:eastAsia="Arial" w:hAnsi="Arial"/>
          <w:sz w:val="17"/>
          <w:szCs w:val="17"/>
          <w:color w:val="auto"/>
        </w:rPr>
        <w:t>The following information is being provided under Item 12-Results of Operations and Financial Condition. It is being furnished under Item 9 of this Form 8-K in accordance with interim guidance issued by the SEC in release No. 33-8216. As a result, the information in this report shall not be deemed “filed” for purposes of Section 18 of the Securities Exchange Act of 1934 (the “Exchange Act”).</w:t>
      </w:r>
    </w:p>
    <w:p>
      <w:pPr>
        <w:spacing w:after="0" w:line="116" w:lineRule="exact"/>
        <w:rPr>
          <w:sz w:val="20"/>
          <w:szCs w:val="20"/>
          <w:color w:val="auto"/>
        </w:rPr>
      </w:pPr>
    </w:p>
    <w:p>
      <w:pPr>
        <w:ind w:firstLine="457"/>
        <w:spacing w:after="0" w:line="281" w:lineRule="auto"/>
        <w:rPr>
          <w:sz w:val="20"/>
          <w:szCs w:val="20"/>
          <w:color w:val="auto"/>
        </w:rPr>
      </w:pPr>
      <w:r>
        <w:rPr>
          <w:rFonts w:ascii="Arial" w:cs="Arial" w:eastAsia="Arial" w:hAnsi="Arial"/>
          <w:sz w:val="17"/>
          <w:szCs w:val="17"/>
          <w:color w:val="auto"/>
        </w:rPr>
        <w:t>On July 30, 2003, Federal Realty Investment Trust issued supplemental data pertaining to its operations as well as a press release to report its financial results for the quarter ended June 30, 2003. The supplemental data and press release are furnished as Exhibit 99.1 hereto.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61" w:lineRule="exact"/>
        <w:rPr>
          <w:sz w:val="20"/>
          <w:szCs w:val="20"/>
          <w:color w:val="auto"/>
        </w:rPr>
      </w:pPr>
    </w:p>
    <w:p>
      <w:pPr>
        <w:ind w:right="380" w:firstLine="457"/>
        <w:spacing w:after="0" w:line="28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5" w:lineRule="exact"/>
        <w:rPr>
          <w:sz w:val="20"/>
          <w:szCs w:val="20"/>
          <w:color w:val="auto"/>
        </w:rPr>
      </w:pPr>
    </w:p>
    <w:p>
      <w:pPr>
        <w:ind w:left="5800"/>
        <w:spacing w:after="0"/>
        <w:rPr>
          <w:sz w:val="20"/>
          <w:szCs w:val="20"/>
          <w:color w:val="auto"/>
        </w:rPr>
      </w:pPr>
      <w:r>
        <w:rPr>
          <w:rFonts w:ascii="Arial" w:cs="Arial" w:eastAsia="Arial" w:hAnsi="Arial"/>
          <w:sz w:val="17"/>
          <w:szCs w:val="17"/>
          <w:b w:val="1"/>
          <w:bCs w:val="1"/>
          <w:color w:val="auto"/>
        </w:rPr>
        <w:t>FEDERAL REALTY INVESTMENT TRUST</w:t>
      </w:r>
    </w:p>
    <w:p>
      <w:pPr>
        <w:spacing w:after="0" w:line="227" w:lineRule="exact"/>
        <w:rPr>
          <w:sz w:val="20"/>
          <w:szCs w:val="20"/>
          <w:color w:val="auto"/>
        </w:rPr>
      </w:pPr>
    </w:p>
    <w:p>
      <w:pPr>
        <w:spacing w:after="0"/>
        <w:tabs>
          <w:tab w:leader="none" w:pos="5780" w:val="left"/>
        </w:tabs>
        <w:rPr>
          <w:sz w:val="20"/>
          <w:szCs w:val="20"/>
          <w:color w:val="auto"/>
        </w:rPr>
      </w:pPr>
      <w:r>
        <w:rPr>
          <w:rFonts w:ascii="Arial" w:cs="Arial" w:eastAsia="Arial" w:hAnsi="Arial"/>
          <w:sz w:val="17"/>
          <w:szCs w:val="17"/>
          <w:color w:val="auto"/>
        </w:rPr>
        <w:t>Date: July 30, 2003</w:t>
      </w:r>
      <w:r>
        <w:rPr>
          <w:sz w:val="20"/>
          <w:szCs w:val="20"/>
          <w:color w:val="auto"/>
        </w:rPr>
        <w:tab/>
      </w:r>
      <w:r>
        <w:rPr>
          <w:rFonts w:ascii="Arial" w:cs="Arial" w:eastAsia="Arial" w:hAnsi="Arial"/>
          <w:sz w:val="15"/>
          <w:szCs w:val="15"/>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3677920</wp:posOffset>
            </wp:positionH>
            <wp:positionV relativeFrom="paragraph">
              <wp:posOffset>80645</wp:posOffset>
            </wp:positionV>
            <wp:extent cx="357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216"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Larry E. Finger</w:t>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Senior Vice President,</w:t>
      </w:r>
    </w:p>
    <w:p>
      <w:pPr>
        <w:spacing w:after="0" w:line="14"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Chief Financial Officer and Treasurer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5"/>
        </w:trPr>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700" w:type="dxa"/>
            <w:vAlign w:val="bottom"/>
            <w:gridSpan w:val="2"/>
          </w:tcPr>
          <w:p>
            <w:pPr>
              <w:jc w:val="center"/>
              <w:ind w:right="4655"/>
              <w:spacing w:after="0"/>
              <w:rPr>
                <w:sz w:val="20"/>
                <w:szCs w:val="20"/>
                <w:color w:val="auto"/>
              </w:rPr>
            </w:pPr>
            <w:r>
              <w:rPr>
                <w:rFonts w:ascii="Arial" w:cs="Arial" w:eastAsia="Arial" w:hAnsi="Arial"/>
                <w:sz w:val="17"/>
                <w:szCs w:val="17"/>
                <w:color w:val="auto"/>
              </w:rPr>
              <w:t>EXHIBIT INDEX</w:t>
            </w:r>
          </w:p>
        </w:tc>
      </w:tr>
      <w:tr>
        <w:trPr>
          <w:trHeight w:val="302"/>
        </w:trPr>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0"/>
              </w:rPr>
              <w:t>Exh No.</w:t>
            </w:r>
          </w:p>
        </w:tc>
        <w:tc>
          <w:tcPr>
            <w:tcW w:w="4120" w:type="dxa"/>
            <w:vAlign w:val="bottom"/>
            <w:gridSpan w:val="3"/>
          </w:tcPr>
          <w:p>
            <w:pPr>
              <w:ind w:left="800"/>
              <w:spacing w:after="0"/>
              <w:rPr>
                <w:sz w:val="20"/>
                <w:szCs w:val="20"/>
                <w:color w:val="auto"/>
              </w:rPr>
            </w:pPr>
            <w:r>
              <w:rPr>
                <w:rFonts w:ascii="Arial" w:cs="Arial" w:eastAsia="Arial" w:hAnsi="Arial"/>
                <w:sz w:val="13"/>
                <w:szCs w:val="13"/>
                <w:b w:val="1"/>
                <w:bCs w:val="1"/>
                <w:color w:val="auto"/>
              </w:rPr>
              <w:t>Exhibit</w:t>
            </w:r>
          </w:p>
        </w:tc>
        <w:tc>
          <w:tcPr>
            <w:tcW w:w="6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6"/>
              </w:rPr>
              <w:t>Page No.</w:t>
            </w:r>
          </w:p>
        </w:tc>
      </w:tr>
      <w:tr>
        <w:trPr>
          <w:trHeight w:val="93"/>
        </w:trPr>
        <w:tc>
          <w:tcPr>
            <w:tcW w:w="6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370"/>
        </w:trPr>
        <w:tc>
          <w:tcPr>
            <w:tcW w:w="600" w:type="dxa"/>
            <w:vAlign w:val="bottom"/>
          </w:tcPr>
          <w:p>
            <w:pPr>
              <w:jc w:val="right"/>
              <w:ind w:right="145"/>
              <w:spacing w:after="0"/>
              <w:rPr>
                <w:sz w:val="20"/>
                <w:szCs w:val="20"/>
                <w:color w:val="auto"/>
              </w:rPr>
            </w:pPr>
            <w:r>
              <w:rPr>
                <w:rFonts w:ascii="Arial" w:cs="Arial" w:eastAsia="Arial" w:hAnsi="Arial"/>
                <w:sz w:val="17"/>
                <w:szCs w:val="17"/>
                <w:color w:val="auto"/>
              </w:rPr>
              <w:t>99</w:t>
            </w:r>
          </w:p>
        </w:tc>
        <w:tc>
          <w:tcPr>
            <w:tcW w:w="4120" w:type="dxa"/>
            <w:vAlign w:val="bottom"/>
            <w:gridSpan w:val="3"/>
          </w:tcPr>
          <w:p>
            <w:pPr>
              <w:ind w:left="800"/>
              <w:spacing w:after="0"/>
              <w:rPr>
                <w:sz w:val="20"/>
                <w:szCs w:val="20"/>
                <w:color w:val="auto"/>
              </w:rPr>
            </w:pPr>
            <w:r>
              <w:rPr>
                <w:rFonts w:ascii="Arial" w:cs="Arial" w:eastAsia="Arial" w:hAnsi="Arial"/>
                <w:sz w:val="17"/>
                <w:szCs w:val="17"/>
                <w:color w:val="auto"/>
              </w:rPr>
              <w:t>Supplemental information at June 30, 2003</w:t>
            </w:r>
          </w:p>
        </w:tc>
        <w:tc>
          <w:tcPr>
            <w:tcW w:w="670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353"/>
        </w:trPr>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200" w:type="dxa"/>
            <w:vAlign w:val="bottom"/>
          </w:tcPr>
          <w:p>
            <w:pPr>
              <w:jc w:val="right"/>
              <w:ind w:right="5075"/>
              <w:spacing w:after="0"/>
              <w:rPr>
                <w:sz w:val="20"/>
                <w:szCs w:val="20"/>
                <w:color w:val="auto"/>
              </w:rPr>
            </w:pPr>
            <w:r>
              <w:rPr>
                <w:rFonts w:ascii="Arial" w:cs="Arial" w:eastAsia="Arial" w:hAnsi="Arial"/>
                <w:sz w:val="17"/>
                <w:szCs w:val="17"/>
                <w:color w:val="auto"/>
              </w:rPr>
              <w:t>3</w:t>
            </w:r>
          </w:p>
        </w:tc>
        <w:tc>
          <w:tcPr>
            <w:tcW w:w="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19"/>
        </w:trPr>
        <w:tc>
          <w:tcPr>
            <w:tcW w:w="90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7"/>
                <w:szCs w:val="17"/>
                <w:b w:val="1"/>
                <w:bCs w:val="1"/>
                <w:color w:val="auto"/>
              </w:rPr>
              <w:t>Exhibit 99</w:t>
            </w:r>
          </w:p>
        </w:tc>
      </w:tr>
      <w:tr>
        <w:trPr>
          <w:trHeight w:val="274"/>
        </w:trPr>
        <w:tc>
          <w:tcPr>
            <w:tcW w:w="9060" w:type="dxa"/>
            <w:vAlign w:val="bottom"/>
          </w:tcPr>
          <w:p>
            <w:pPr>
              <w:jc w:val="center"/>
              <w:ind w:left="2275"/>
              <w:spacing w:after="0"/>
              <w:rPr>
                <w:sz w:val="20"/>
                <w:szCs w:val="20"/>
                <w:color w:val="auto"/>
              </w:rPr>
            </w:pPr>
            <w:r>
              <w:rPr>
                <w:rFonts w:ascii="Arial" w:cs="Arial" w:eastAsia="Arial" w:hAnsi="Arial"/>
                <w:sz w:val="17"/>
                <w:szCs w:val="17"/>
                <w:b w:val="1"/>
                <w:bCs w:val="1"/>
                <w:color w:val="auto"/>
              </w:rPr>
              <w:t>FEDERAL REALTY INVESTMENT TRUST</w:t>
            </w:r>
          </w:p>
        </w:tc>
        <w:tc>
          <w:tcPr>
            <w:tcW w:w="2360" w:type="dxa"/>
            <w:vAlign w:val="bottom"/>
          </w:tcPr>
          <w:p>
            <w:pPr>
              <w:spacing w:after="0"/>
              <w:rPr>
                <w:sz w:val="23"/>
                <w:szCs w:val="23"/>
                <w:color w:val="auto"/>
              </w:rPr>
            </w:pPr>
          </w:p>
        </w:tc>
      </w:tr>
      <w:tr>
        <w:trPr>
          <w:trHeight w:val="346"/>
        </w:trPr>
        <w:tc>
          <w:tcPr>
            <w:tcW w:w="9060" w:type="dxa"/>
            <w:vAlign w:val="bottom"/>
          </w:tcPr>
          <w:p>
            <w:pPr>
              <w:jc w:val="center"/>
              <w:ind w:left="2275"/>
              <w:spacing w:after="0"/>
              <w:rPr>
                <w:sz w:val="20"/>
                <w:szCs w:val="20"/>
                <w:color w:val="auto"/>
              </w:rPr>
            </w:pPr>
            <w:r>
              <w:rPr>
                <w:rFonts w:ascii="Arial" w:cs="Arial" w:eastAsia="Arial" w:hAnsi="Arial"/>
                <w:sz w:val="17"/>
                <w:szCs w:val="17"/>
                <w:color w:val="auto"/>
                <w:w w:val="91"/>
              </w:rPr>
              <w:t>Supplemental Information</w:t>
            </w:r>
          </w:p>
        </w:tc>
        <w:tc>
          <w:tcPr>
            <w:tcW w:w="2360" w:type="dxa"/>
            <w:vAlign w:val="bottom"/>
          </w:tcPr>
          <w:p>
            <w:pPr>
              <w:spacing w:after="0"/>
              <w:rPr>
                <w:sz w:val="24"/>
                <w:szCs w:val="24"/>
                <w:color w:val="auto"/>
              </w:rPr>
            </w:pPr>
          </w:p>
        </w:tc>
      </w:tr>
      <w:tr>
        <w:trPr>
          <w:trHeight w:val="215"/>
        </w:trPr>
        <w:tc>
          <w:tcPr>
            <w:tcW w:w="9060" w:type="dxa"/>
            <w:vAlign w:val="bottom"/>
          </w:tcPr>
          <w:p>
            <w:pPr>
              <w:jc w:val="center"/>
              <w:ind w:left="2275"/>
              <w:spacing w:after="0"/>
              <w:rPr>
                <w:sz w:val="20"/>
                <w:szCs w:val="20"/>
                <w:color w:val="auto"/>
              </w:rPr>
            </w:pPr>
            <w:r>
              <w:rPr>
                <w:rFonts w:ascii="Arial" w:cs="Arial" w:eastAsia="Arial" w:hAnsi="Arial"/>
                <w:sz w:val="17"/>
                <w:szCs w:val="17"/>
                <w:color w:val="auto"/>
                <w:w w:val="87"/>
              </w:rPr>
              <w:t>June 30, 2003</w:t>
            </w:r>
          </w:p>
        </w:tc>
        <w:tc>
          <w:tcPr>
            <w:tcW w:w="2360" w:type="dxa"/>
            <w:vAlign w:val="bottom"/>
          </w:tcPr>
          <w:p>
            <w:pPr>
              <w:spacing w:after="0"/>
              <w:rPr>
                <w:sz w:val="18"/>
                <w:szCs w:val="18"/>
                <w:color w:val="auto"/>
              </w:rPr>
            </w:pPr>
          </w:p>
        </w:tc>
      </w:tr>
      <w:tr>
        <w:trPr>
          <w:trHeight w:val="353"/>
        </w:trPr>
        <w:tc>
          <w:tcPr>
            <w:tcW w:w="9060" w:type="dxa"/>
            <w:vAlign w:val="bottom"/>
          </w:tcPr>
          <w:p>
            <w:pPr>
              <w:jc w:val="center"/>
              <w:ind w:left="2275"/>
              <w:spacing w:after="0"/>
              <w:rPr>
                <w:sz w:val="20"/>
                <w:szCs w:val="20"/>
                <w:color w:val="auto"/>
              </w:rPr>
            </w:pPr>
            <w:r>
              <w:rPr>
                <w:rFonts w:ascii="Arial" w:cs="Arial" w:eastAsia="Arial" w:hAnsi="Arial"/>
                <w:sz w:val="17"/>
                <w:szCs w:val="17"/>
                <w:b w:val="1"/>
                <w:bCs w:val="1"/>
                <w:color w:val="auto"/>
                <w:w w:val="99"/>
              </w:rPr>
              <w:t>TABLE OF CONTENTS</w:t>
            </w:r>
          </w:p>
        </w:tc>
        <w:tc>
          <w:tcPr>
            <w:tcW w:w="2360" w:type="dxa"/>
            <w:vAlign w:val="bottom"/>
          </w:tcPr>
          <w:p>
            <w:pPr>
              <w:spacing w:after="0"/>
              <w:rPr>
                <w:sz w:val="24"/>
                <w:szCs w:val="24"/>
                <w:color w:val="auto"/>
              </w:rPr>
            </w:pPr>
          </w:p>
        </w:tc>
      </w:tr>
      <w:tr>
        <w:trPr>
          <w:trHeight w:val="353"/>
        </w:trPr>
        <w:tc>
          <w:tcPr>
            <w:tcW w:w="9060" w:type="dxa"/>
            <w:vAlign w:val="bottom"/>
          </w:tcPr>
          <w:p>
            <w:pPr>
              <w:spacing w:after="0"/>
              <w:rPr>
                <w:sz w:val="20"/>
                <w:szCs w:val="20"/>
                <w:color w:val="auto"/>
              </w:rPr>
            </w:pPr>
            <w:r>
              <w:rPr>
                <w:rFonts w:ascii="Arial" w:cs="Arial" w:eastAsia="Arial" w:hAnsi="Arial"/>
                <w:sz w:val="17"/>
                <w:szCs w:val="17"/>
                <w:color w:val="auto"/>
              </w:rPr>
              <w:t>1.    Second Quarter 2003 Earnings Press Release</w:t>
            </w:r>
          </w:p>
        </w:tc>
        <w:tc>
          <w:tcPr>
            <w:tcW w:w="23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07"/>
        </w:trPr>
        <w:tc>
          <w:tcPr>
            <w:tcW w:w="9060" w:type="dxa"/>
            <w:vAlign w:val="bottom"/>
          </w:tcPr>
          <w:p>
            <w:pPr>
              <w:spacing w:after="0"/>
              <w:rPr>
                <w:sz w:val="20"/>
                <w:szCs w:val="20"/>
                <w:color w:val="auto"/>
              </w:rPr>
            </w:pPr>
            <w:r>
              <w:rPr>
                <w:rFonts w:ascii="Arial" w:cs="Arial" w:eastAsia="Arial" w:hAnsi="Arial"/>
                <w:sz w:val="17"/>
                <w:szCs w:val="17"/>
                <w:color w:val="auto"/>
              </w:rPr>
              <w:t>2.    Financial Highlights</w:t>
            </w:r>
          </w:p>
        </w:tc>
        <w:tc>
          <w:tcPr>
            <w:tcW w:w="2360" w:type="dxa"/>
            <w:vAlign w:val="bottom"/>
          </w:tcPr>
          <w:p>
            <w:pPr>
              <w:spacing w:after="0"/>
              <w:rPr>
                <w:sz w:val="24"/>
                <w:szCs w:val="24"/>
                <w:color w:val="auto"/>
              </w:rPr>
            </w:pPr>
          </w:p>
        </w:tc>
      </w:tr>
      <w:tr>
        <w:trPr>
          <w:trHeight w:val="209"/>
        </w:trPr>
        <w:tc>
          <w:tcPr>
            <w:tcW w:w="9060" w:type="dxa"/>
            <w:vAlign w:val="bottom"/>
          </w:tcPr>
          <w:p>
            <w:pPr>
              <w:ind w:left="1060"/>
              <w:spacing w:after="0"/>
              <w:rPr>
                <w:sz w:val="20"/>
                <w:szCs w:val="20"/>
                <w:color w:val="auto"/>
              </w:rPr>
            </w:pPr>
            <w:r>
              <w:rPr>
                <w:rFonts w:ascii="Arial" w:cs="Arial" w:eastAsia="Arial" w:hAnsi="Arial"/>
                <w:sz w:val="17"/>
                <w:szCs w:val="17"/>
                <w:color w:val="auto"/>
              </w:rPr>
              <w:t>Summarized Operating Results</w:t>
            </w:r>
          </w:p>
        </w:tc>
        <w:tc>
          <w:tcPr>
            <w:tcW w:w="23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9"/>
        </w:trPr>
        <w:tc>
          <w:tcPr>
            <w:tcW w:w="9060" w:type="dxa"/>
            <w:vAlign w:val="bottom"/>
          </w:tcPr>
          <w:p>
            <w:pPr>
              <w:ind w:left="1060"/>
              <w:spacing w:after="0"/>
              <w:rPr>
                <w:sz w:val="20"/>
                <w:szCs w:val="20"/>
                <w:color w:val="auto"/>
              </w:rPr>
            </w:pPr>
            <w:r>
              <w:rPr>
                <w:rFonts w:ascii="Arial" w:cs="Arial" w:eastAsia="Arial" w:hAnsi="Arial"/>
                <w:sz w:val="17"/>
                <w:szCs w:val="17"/>
                <w:color w:val="auto"/>
              </w:rPr>
              <w:t>Summarized Balance Sheet</w:t>
            </w:r>
          </w:p>
        </w:tc>
        <w:tc>
          <w:tcPr>
            <w:tcW w:w="23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9"/>
        </w:trPr>
        <w:tc>
          <w:tcPr>
            <w:tcW w:w="9060" w:type="dxa"/>
            <w:vAlign w:val="bottom"/>
          </w:tcPr>
          <w:p>
            <w:pPr>
              <w:ind w:left="1060"/>
              <w:spacing w:after="0"/>
              <w:rPr>
                <w:sz w:val="20"/>
                <w:szCs w:val="20"/>
                <w:color w:val="auto"/>
              </w:rPr>
            </w:pPr>
            <w:r>
              <w:rPr>
                <w:rFonts w:ascii="Arial" w:cs="Arial" w:eastAsia="Arial" w:hAnsi="Arial"/>
                <w:sz w:val="17"/>
                <w:szCs w:val="17"/>
                <w:color w:val="auto"/>
              </w:rPr>
              <w:t>Funds From Operations / Funds Available for Distribution / Summary of Capital Expenditures</w:t>
            </w:r>
          </w:p>
        </w:tc>
        <w:tc>
          <w:tcPr>
            <w:tcW w:w="23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5"/>
        </w:trPr>
        <w:tc>
          <w:tcPr>
            <w:tcW w:w="9060" w:type="dxa"/>
            <w:vAlign w:val="bottom"/>
          </w:tcPr>
          <w:p>
            <w:pPr>
              <w:ind w:left="1060"/>
              <w:spacing w:after="0"/>
              <w:rPr>
                <w:sz w:val="20"/>
                <w:szCs w:val="20"/>
                <w:color w:val="auto"/>
              </w:rPr>
            </w:pPr>
            <w:r>
              <w:rPr>
                <w:rFonts w:ascii="Arial" w:cs="Arial" w:eastAsia="Arial" w:hAnsi="Arial"/>
                <w:sz w:val="17"/>
                <w:szCs w:val="17"/>
                <w:color w:val="auto"/>
              </w:rPr>
              <w:t>Market Data / Capital Availability / Operational Statistics</w:t>
            </w:r>
          </w:p>
        </w:tc>
        <w:tc>
          <w:tcPr>
            <w:tcW w:w="236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98" w:lineRule="exact"/>
        <w:rPr>
          <w:sz w:val="20"/>
          <w:szCs w:val="20"/>
          <w:color w:val="auto"/>
        </w:rPr>
      </w:pPr>
    </w:p>
    <w:p>
      <w:pPr>
        <w:ind w:left="440" w:hanging="435"/>
        <w:spacing w:after="0"/>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7660" w:type="dxa"/>
            <w:vAlign w:val="bottom"/>
          </w:tcPr>
          <w:p>
            <w:pPr>
              <w:ind w:left="740"/>
              <w:spacing w:after="0"/>
              <w:rPr>
                <w:sz w:val="20"/>
                <w:szCs w:val="20"/>
                <w:color w:val="auto"/>
              </w:rPr>
            </w:pPr>
            <w:r>
              <w:rPr>
                <w:rFonts w:ascii="Arial" w:cs="Arial" w:eastAsia="Arial" w:hAnsi="Arial"/>
                <w:sz w:val="17"/>
                <w:szCs w:val="17"/>
                <w:color w:val="auto"/>
              </w:rPr>
              <w:t>Summary of Outstanding Debt</w:t>
            </w:r>
          </w:p>
        </w:tc>
        <w:tc>
          <w:tcPr>
            <w:tcW w:w="34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5"/>
        </w:trPr>
        <w:tc>
          <w:tcPr>
            <w:tcW w:w="32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Arial" w:cs="Arial" w:eastAsia="Arial" w:hAnsi="Arial"/>
                <w:sz w:val="17"/>
                <w:szCs w:val="17"/>
                <w:color w:val="auto"/>
              </w:rPr>
              <w:t>Summary of Debt Maturities</w:t>
            </w:r>
          </w:p>
        </w:tc>
        <w:tc>
          <w:tcPr>
            <w:tcW w:w="34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4"/>
        </w:trPr>
        <w:tc>
          <w:tcPr>
            <w:tcW w:w="320" w:type="dxa"/>
            <w:vAlign w:val="bottom"/>
          </w:tcPr>
          <w:p>
            <w:pPr>
              <w:spacing w:after="0"/>
              <w:rPr>
                <w:sz w:val="20"/>
                <w:szCs w:val="20"/>
                <w:color w:val="auto"/>
              </w:rPr>
            </w:pPr>
            <w:r>
              <w:rPr>
                <w:rFonts w:ascii="Arial" w:cs="Arial" w:eastAsia="Arial" w:hAnsi="Arial"/>
                <w:sz w:val="17"/>
                <w:szCs w:val="17"/>
                <w:color w:val="auto"/>
              </w:rPr>
              <w:t>4</w:t>
            </w:r>
          </w:p>
        </w:tc>
        <w:tc>
          <w:tcPr>
            <w:tcW w:w="7660" w:type="dxa"/>
            <w:vAlign w:val="bottom"/>
          </w:tcPr>
          <w:p>
            <w:pPr>
              <w:ind w:left="120"/>
              <w:spacing w:after="0"/>
              <w:rPr>
                <w:sz w:val="20"/>
                <w:szCs w:val="20"/>
                <w:color w:val="auto"/>
              </w:rPr>
            </w:pPr>
            <w:r>
              <w:rPr>
                <w:rFonts w:ascii="Arial" w:cs="Arial" w:eastAsia="Arial" w:hAnsi="Arial"/>
                <w:sz w:val="17"/>
                <w:szCs w:val="17"/>
                <w:color w:val="auto"/>
              </w:rPr>
              <w:t>Summary of Current and Future Redevelopment Opportunities</w:t>
            </w:r>
          </w:p>
        </w:tc>
        <w:tc>
          <w:tcPr>
            <w:tcW w:w="34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4"/>
        </w:trPr>
        <w:tc>
          <w:tcPr>
            <w:tcW w:w="320" w:type="dxa"/>
            <w:vAlign w:val="bottom"/>
          </w:tcPr>
          <w:p>
            <w:pPr>
              <w:spacing w:after="0"/>
              <w:rPr>
                <w:sz w:val="20"/>
                <w:szCs w:val="20"/>
                <w:color w:val="auto"/>
              </w:rPr>
            </w:pPr>
            <w:r>
              <w:rPr>
                <w:rFonts w:ascii="Arial" w:cs="Arial" w:eastAsia="Arial" w:hAnsi="Arial"/>
                <w:sz w:val="17"/>
                <w:szCs w:val="17"/>
                <w:color w:val="auto"/>
              </w:rPr>
              <w:t>5.</w:t>
            </w:r>
          </w:p>
        </w:tc>
        <w:tc>
          <w:tcPr>
            <w:tcW w:w="7660" w:type="dxa"/>
            <w:vAlign w:val="bottom"/>
          </w:tcPr>
          <w:p>
            <w:pPr>
              <w:ind w:left="120"/>
              <w:spacing w:after="0"/>
              <w:rPr>
                <w:sz w:val="20"/>
                <w:szCs w:val="20"/>
                <w:color w:val="auto"/>
              </w:rPr>
            </w:pPr>
            <w:r>
              <w:rPr>
                <w:rFonts w:ascii="Arial" w:cs="Arial" w:eastAsia="Arial" w:hAnsi="Arial"/>
                <w:sz w:val="17"/>
                <w:szCs w:val="17"/>
                <w:color w:val="auto"/>
              </w:rPr>
              <w:t>Santana Row Summary</w:t>
            </w:r>
          </w:p>
        </w:tc>
        <w:tc>
          <w:tcPr>
            <w:tcW w:w="34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4"/>
        </w:trPr>
        <w:tc>
          <w:tcPr>
            <w:tcW w:w="320" w:type="dxa"/>
            <w:vAlign w:val="bottom"/>
          </w:tcPr>
          <w:p>
            <w:pPr>
              <w:spacing w:after="0"/>
              <w:rPr>
                <w:sz w:val="20"/>
                <w:szCs w:val="20"/>
                <w:color w:val="auto"/>
              </w:rPr>
            </w:pPr>
            <w:r>
              <w:rPr>
                <w:rFonts w:ascii="Arial" w:cs="Arial" w:eastAsia="Arial" w:hAnsi="Arial"/>
                <w:sz w:val="17"/>
                <w:szCs w:val="17"/>
                <w:color w:val="auto"/>
              </w:rPr>
              <w:t>6.</w:t>
            </w:r>
          </w:p>
        </w:tc>
        <w:tc>
          <w:tcPr>
            <w:tcW w:w="7660" w:type="dxa"/>
            <w:vAlign w:val="bottom"/>
          </w:tcPr>
          <w:p>
            <w:pPr>
              <w:ind w:left="120"/>
              <w:spacing w:after="0"/>
              <w:rPr>
                <w:sz w:val="20"/>
                <w:szCs w:val="20"/>
                <w:color w:val="auto"/>
              </w:rPr>
            </w:pPr>
            <w:r>
              <w:rPr>
                <w:rFonts w:ascii="Arial" w:cs="Arial" w:eastAsia="Arial" w:hAnsi="Arial"/>
                <w:sz w:val="17"/>
                <w:szCs w:val="17"/>
                <w:color w:val="auto"/>
              </w:rPr>
              <w:t>Acquisitions and Dispositions – Year to Date</w:t>
            </w:r>
          </w:p>
        </w:tc>
        <w:tc>
          <w:tcPr>
            <w:tcW w:w="34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4"/>
        </w:trPr>
        <w:tc>
          <w:tcPr>
            <w:tcW w:w="320" w:type="dxa"/>
            <w:vAlign w:val="bottom"/>
          </w:tcPr>
          <w:p>
            <w:pPr>
              <w:spacing w:after="0"/>
              <w:rPr>
                <w:sz w:val="20"/>
                <w:szCs w:val="20"/>
                <w:color w:val="auto"/>
              </w:rPr>
            </w:pPr>
            <w:r>
              <w:rPr>
                <w:rFonts w:ascii="Arial" w:cs="Arial" w:eastAsia="Arial" w:hAnsi="Arial"/>
                <w:sz w:val="17"/>
                <w:szCs w:val="17"/>
                <w:color w:val="auto"/>
              </w:rPr>
              <w:t>7.</w:t>
            </w:r>
          </w:p>
        </w:tc>
        <w:tc>
          <w:tcPr>
            <w:tcW w:w="7660" w:type="dxa"/>
            <w:vAlign w:val="bottom"/>
          </w:tcPr>
          <w:p>
            <w:pPr>
              <w:ind w:left="120"/>
              <w:spacing w:after="0"/>
              <w:rPr>
                <w:sz w:val="20"/>
                <w:szCs w:val="20"/>
                <w:color w:val="auto"/>
              </w:rPr>
            </w:pPr>
            <w:r>
              <w:rPr>
                <w:rFonts w:ascii="Arial" w:cs="Arial" w:eastAsia="Arial" w:hAnsi="Arial"/>
                <w:sz w:val="17"/>
                <w:szCs w:val="17"/>
                <w:color w:val="auto"/>
              </w:rPr>
              <w:t>Real Estate Status Report</w:t>
            </w:r>
          </w:p>
        </w:tc>
        <w:tc>
          <w:tcPr>
            <w:tcW w:w="3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4"/>
        </w:trPr>
        <w:tc>
          <w:tcPr>
            <w:tcW w:w="320" w:type="dxa"/>
            <w:vAlign w:val="bottom"/>
          </w:tcPr>
          <w:p>
            <w:pPr>
              <w:spacing w:after="0"/>
              <w:rPr>
                <w:sz w:val="20"/>
                <w:szCs w:val="20"/>
                <w:color w:val="auto"/>
              </w:rPr>
            </w:pPr>
            <w:r>
              <w:rPr>
                <w:rFonts w:ascii="Arial" w:cs="Arial" w:eastAsia="Arial" w:hAnsi="Arial"/>
                <w:sz w:val="17"/>
                <w:szCs w:val="17"/>
                <w:color w:val="auto"/>
              </w:rPr>
              <w:t>8.</w:t>
            </w:r>
          </w:p>
        </w:tc>
        <w:tc>
          <w:tcPr>
            <w:tcW w:w="7660" w:type="dxa"/>
            <w:vAlign w:val="bottom"/>
          </w:tcPr>
          <w:p>
            <w:pPr>
              <w:ind w:left="120"/>
              <w:spacing w:after="0"/>
              <w:rPr>
                <w:sz w:val="20"/>
                <w:szCs w:val="20"/>
                <w:color w:val="auto"/>
              </w:rPr>
            </w:pPr>
            <w:r>
              <w:rPr>
                <w:rFonts w:ascii="Arial" w:cs="Arial" w:eastAsia="Arial" w:hAnsi="Arial"/>
                <w:sz w:val="17"/>
                <w:szCs w:val="17"/>
                <w:color w:val="auto"/>
              </w:rPr>
              <w:t>Shopping Center / Street Retail Summary</w:t>
            </w:r>
          </w:p>
        </w:tc>
        <w:tc>
          <w:tcPr>
            <w:tcW w:w="34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07"/>
        </w:trPr>
        <w:tc>
          <w:tcPr>
            <w:tcW w:w="320" w:type="dxa"/>
            <w:vAlign w:val="bottom"/>
          </w:tcPr>
          <w:p>
            <w:pPr>
              <w:spacing w:after="0"/>
              <w:rPr>
                <w:sz w:val="20"/>
                <w:szCs w:val="20"/>
                <w:color w:val="auto"/>
              </w:rPr>
            </w:pPr>
            <w:r>
              <w:rPr>
                <w:rFonts w:ascii="Arial" w:cs="Arial" w:eastAsia="Arial" w:hAnsi="Arial"/>
                <w:sz w:val="17"/>
                <w:szCs w:val="17"/>
                <w:color w:val="auto"/>
              </w:rPr>
              <w:t>9.</w:t>
            </w:r>
          </w:p>
        </w:tc>
        <w:tc>
          <w:tcPr>
            <w:tcW w:w="7660" w:type="dxa"/>
            <w:vAlign w:val="bottom"/>
          </w:tcPr>
          <w:p>
            <w:pPr>
              <w:ind w:left="120"/>
              <w:spacing w:after="0"/>
              <w:rPr>
                <w:sz w:val="20"/>
                <w:szCs w:val="20"/>
                <w:color w:val="auto"/>
              </w:rPr>
            </w:pPr>
            <w:r>
              <w:rPr>
                <w:rFonts w:ascii="Arial" w:cs="Arial" w:eastAsia="Arial" w:hAnsi="Arial"/>
                <w:sz w:val="17"/>
                <w:szCs w:val="17"/>
                <w:color w:val="auto"/>
              </w:rPr>
              <w:t>Leasing Summary</w:t>
            </w:r>
          </w:p>
        </w:tc>
        <w:tc>
          <w:tcPr>
            <w:tcW w:w="344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Arial" w:cs="Arial" w:eastAsia="Arial" w:hAnsi="Arial"/>
                <w:sz w:val="17"/>
                <w:szCs w:val="17"/>
                <w:color w:val="auto"/>
              </w:rPr>
              <w:t>Retail Leasing Summary – Comparable</w:t>
            </w:r>
          </w:p>
        </w:tc>
        <w:tc>
          <w:tcPr>
            <w:tcW w:w="34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5"/>
        </w:trPr>
        <w:tc>
          <w:tcPr>
            <w:tcW w:w="32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Arial" w:cs="Arial" w:eastAsia="Arial" w:hAnsi="Arial"/>
                <w:sz w:val="17"/>
                <w:szCs w:val="17"/>
                <w:color w:val="auto"/>
              </w:rPr>
              <w:t>Retail Leasing Summary – Non-comparable</w:t>
            </w:r>
          </w:p>
        </w:tc>
        <w:tc>
          <w:tcPr>
            <w:tcW w:w="34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4"/>
        </w:trPr>
        <w:tc>
          <w:tcPr>
            <w:tcW w:w="320" w:type="dxa"/>
            <w:vAlign w:val="bottom"/>
          </w:tcPr>
          <w:p>
            <w:pPr>
              <w:spacing w:after="0"/>
              <w:rPr>
                <w:sz w:val="20"/>
                <w:szCs w:val="20"/>
                <w:color w:val="auto"/>
              </w:rPr>
            </w:pPr>
            <w:r>
              <w:rPr>
                <w:rFonts w:ascii="Arial" w:cs="Arial" w:eastAsia="Arial" w:hAnsi="Arial"/>
                <w:sz w:val="17"/>
                <w:szCs w:val="17"/>
                <w:color w:val="auto"/>
              </w:rPr>
              <w:t>10.</w:t>
            </w:r>
          </w:p>
        </w:tc>
        <w:tc>
          <w:tcPr>
            <w:tcW w:w="7660" w:type="dxa"/>
            <w:vAlign w:val="bottom"/>
          </w:tcPr>
          <w:p>
            <w:pPr>
              <w:ind w:left="120"/>
              <w:spacing w:after="0"/>
              <w:rPr>
                <w:sz w:val="20"/>
                <w:szCs w:val="20"/>
                <w:color w:val="auto"/>
              </w:rPr>
            </w:pPr>
            <w:r>
              <w:rPr>
                <w:rFonts w:ascii="Arial" w:cs="Arial" w:eastAsia="Arial" w:hAnsi="Arial"/>
                <w:sz w:val="17"/>
                <w:szCs w:val="17"/>
                <w:color w:val="auto"/>
              </w:rPr>
              <w:t>Lease Expirations</w:t>
            </w:r>
          </w:p>
        </w:tc>
        <w:tc>
          <w:tcPr>
            <w:tcW w:w="3440" w:type="dxa"/>
            <w:vAlign w:val="bottom"/>
          </w:tcPr>
          <w:p>
            <w:pPr>
              <w:jc w:val="right"/>
              <w:spacing w:after="0"/>
              <w:rPr>
                <w:sz w:val="20"/>
                <w:szCs w:val="20"/>
                <w:color w:val="auto"/>
              </w:rPr>
            </w:pPr>
            <w:r>
              <w:rPr>
                <w:rFonts w:ascii="Arial" w:cs="Arial" w:eastAsia="Arial" w:hAnsi="Arial"/>
                <w:sz w:val="17"/>
                <w:szCs w:val="17"/>
                <w:color w:val="auto"/>
              </w:rPr>
              <w:t>22</w:t>
            </w:r>
          </w:p>
        </w:tc>
      </w:tr>
    </w:tbl>
    <w:p>
      <w:pPr>
        <w:spacing w:after="0" w:line="98" w:lineRule="exact"/>
        <w:rPr>
          <w:sz w:val="20"/>
          <w:szCs w:val="20"/>
          <w:color w:val="auto"/>
        </w:rPr>
      </w:pPr>
    </w:p>
    <w:p>
      <w:pPr>
        <w:ind w:left="440" w:hanging="435"/>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Occupancy Summary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7100" w:type="dxa"/>
            <w:vAlign w:val="bottom"/>
          </w:tcPr>
          <w:p>
            <w:pPr>
              <w:ind w:left="740"/>
              <w:spacing w:after="0"/>
              <w:rPr>
                <w:sz w:val="20"/>
                <w:szCs w:val="20"/>
                <w:color w:val="auto"/>
              </w:rPr>
            </w:pPr>
            <w:r>
              <w:rPr>
                <w:rFonts w:ascii="Arial" w:cs="Arial" w:eastAsia="Arial" w:hAnsi="Arial"/>
                <w:sz w:val="17"/>
                <w:szCs w:val="17"/>
                <w:color w:val="auto"/>
              </w:rPr>
              <w:t>Occupancy Summary – Overall</w:t>
            </w:r>
          </w:p>
        </w:tc>
        <w:tc>
          <w:tcPr>
            <w:tcW w:w="40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5"/>
        </w:trPr>
        <w:tc>
          <w:tcPr>
            <w:tcW w:w="320" w:type="dxa"/>
            <w:vAlign w:val="bottom"/>
          </w:tcPr>
          <w:p>
            <w:pPr>
              <w:spacing w:after="0"/>
              <w:rPr>
                <w:sz w:val="18"/>
                <w:szCs w:val="18"/>
                <w:color w:val="auto"/>
              </w:rPr>
            </w:pPr>
          </w:p>
        </w:tc>
        <w:tc>
          <w:tcPr>
            <w:tcW w:w="7100" w:type="dxa"/>
            <w:vAlign w:val="bottom"/>
          </w:tcPr>
          <w:p>
            <w:pPr>
              <w:ind w:left="740"/>
              <w:spacing w:after="0"/>
              <w:rPr>
                <w:sz w:val="20"/>
                <w:szCs w:val="20"/>
                <w:color w:val="auto"/>
              </w:rPr>
            </w:pPr>
            <w:r>
              <w:rPr>
                <w:rFonts w:ascii="Arial" w:cs="Arial" w:eastAsia="Arial" w:hAnsi="Arial"/>
                <w:sz w:val="17"/>
                <w:szCs w:val="17"/>
                <w:color w:val="auto"/>
              </w:rPr>
              <w:t>Occupancy Summary – Same Center</w:t>
            </w:r>
          </w:p>
        </w:tc>
        <w:tc>
          <w:tcPr>
            <w:tcW w:w="40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4"/>
        </w:trPr>
        <w:tc>
          <w:tcPr>
            <w:tcW w:w="320" w:type="dxa"/>
            <w:vAlign w:val="bottom"/>
          </w:tcPr>
          <w:p>
            <w:pPr>
              <w:jc w:val="right"/>
              <w:ind w:right="15"/>
              <w:spacing w:after="0"/>
              <w:rPr>
                <w:sz w:val="20"/>
                <w:szCs w:val="20"/>
                <w:color w:val="auto"/>
              </w:rPr>
            </w:pPr>
            <w:r>
              <w:rPr>
                <w:rFonts w:ascii="Arial" w:cs="Arial" w:eastAsia="Arial" w:hAnsi="Arial"/>
                <w:sz w:val="17"/>
                <w:szCs w:val="17"/>
                <w:color w:val="auto"/>
                <w:w w:val="84"/>
              </w:rPr>
              <w:t>12.</w:t>
            </w:r>
          </w:p>
        </w:tc>
        <w:tc>
          <w:tcPr>
            <w:tcW w:w="7100" w:type="dxa"/>
            <w:vAlign w:val="bottom"/>
          </w:tcPr>
          <w:p>
            <w:pPr>
              <w:ind w:left="120"/>
              <w:spacing w:after="0"/>
              <w:rPr>
                <w:sz w:val="20"/>
                <w:szCs w:val="20"/>
                <w:color w:val="auto"/>
              </w:rPr>
            </w:pPr>
            <w:r>
              <w:rPr>
                <w:rFonts w:ascii="Arial" w:cs="Arial" w:eastAsia="Arial" w:hAnsi="Arial"/>
                <w:sz w:val="17"/>
                <w:szCs w:val="17"/>
                <w:color w:val="auto"/>
              </w:rPr>
              <w:t>Summary of Top 25 Tenants – Prospective</w:t>
            </w:r>
          </w:p>
        </w:tc>
        <w:tc>
          <w:tcPr>
            <w:tcW w:w="40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4"/>
        </w:trPr>
        <w:tc>
          <w:tcPr>
            <w:tcW w:w="320" w:type="dxa"/>
            <w:vAlign w:val="bottom"/>
          </w:tcPr>
          <w:p>
            <w:pPr>
              <w:jc w:val="right"/>
              <w:ind w:right="15"/>
              <w:spacing w:after="0"/>
              <w:rPr>
                <w:sz w:val="20"/>
                <w:szCs w:val="20"/>
                <w:color w:val="auto"/>
              </w:rPr>
            </w:pPr>
            <w:r>
              <w:rPr>
                <w:rFonts w:ascii="Arial" w:cs="Arial" w:eastAsia="Arial" w:hAnsi="Arial"/>
                <w:sz w:val="17"/>
                <w:szCs w:val="17"/>
                <w:color w:val="auto"/>
                <w:w w:val="84"/>
              </w:rPr>
              <w:t>13.</w:t>
            </w:r>
          </w:p>
        </w:tc>
        <w:tc>
          <w:tcPr>
            <w:tcW w:w="7100" w:type="dxa"/>
            <w:vAlign w:val="bottom"/>
          </w:tcPr>
          <w:p>
            <w:pPr>
              <w:ind w:left="120"/>
              <w:spacing w:after="0"/>
              <w:rPr>
                <w:sz w:val="20"/>
                <w:szCs w:val="20"/>
                <w:color w:val="auto"/>
              </w:rPr>
            </w:pPr>
            <w:r>
              <w:rPr>
                <w:rFonts w:ascii="Arial" w:cs="Arial" w:eastAsia="Arial" w:hAnsi="Arial"/>
                <w:sz w:val="17"/>
                <w:szCs w:val="17"/>
                <w:color w:val="auto"/>
              </w:rPr>
              <w:t>2002 Sales/Occupancy Costs</w:t>
            </w:r>
          </w:p>
        </w:tc>
        <w:tc>
          <w:tcPr>
            <w:tcW w:w="40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4"/>
        </w:trPr>
        <w:tc>
          <w:tcPr>
            <w:tcW w:w="320" w:type="dxa"/>
            <w:vAlign w:val="bottom"/>
          </w:tcPr>
          <w:p>
            <w:pPr>
              <w:jc w:val="right"/>
              <w:ind w:right="15"/>
              <w:spacing w:after="0"/>
              <w:rPr>
                <w:sz w:val="20"/>
                <w:szCs w:val="20"/>
                <w:color w:val="auto"/>
              </w:rPr>
            </w:pPr>
            <w:r>
              <w:rPr>
                <w:rFonts w:ascii="Arial" w:cs="Arial" w:eastAsia="Arial" w:hAnsi="Arial"/>
                <w:sz w:val="17"/>
                <w:szCs w:val="17"/>
                <w:color w:val="auto"/>
                <w:w w:val="84"/>
              </w:rPr>
              <w:t>14.</w:t>
            </w:r>
          </w:p>
        </w:tc>
        <w:tc>
          <w:tcPr>
            <w:tcW w:w="7100" w:type="dxa"/>
            <w:vAlign w:val="bottom"/>
          </w:tcPr>
          <w:p>
            <w:pPr>
              <w:ind w:left="120"/>
              <w:spacing w:after="0"/>
              <w:rPr>
                <w:sz w:val="20"/>
                <w:szCs w:val="20"/>
                <w:color w:val="auto"/>
              </w:rPr>
            </w:pPr>
            <w:r>
              <w:rPr>
                <w:rFonts w:ascii="Arial" w:cs="Arial" w:eastAsia="Arial" w:hAnsi="Arial"/>
                <w:sz w:val="17"/>
                <w:szCs w:val="17"/>
                <w:color w:val="auto"/>
              </w:rPr>
              <w:t>Reconciliation of Non-GAAP Disclosures</w:t>
            </w:r>
          </w:p>
        </w:tc>
        <w:tc>
          <w:tcPr>
            <w:tcW w:w="40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4"/>
        </w:trPr>
        <w:tc>
          <w:tcPr>
            <w:tcW w:w="320" w:type="dxa"/>
            <w:vAlign w:val="bottom"/>
          </w:tcPr>
          <w:p>
            <w:pPr>
              <w:jc w:val="right"/>
              <w:ind w:right="15"/>
              <w:spacing w:after="0"/>
              <w:rPr>
                <w:sz w:val="20"/>
                <w:szCs w:val="20"/>
                <w:color w:val="auto"/>
              </w:rPr>
            </w:pPr>
            <w:r>
              <w:rPr>
                <w:rFonts w:ascii="Arial" w:cs="Arial" w:eastAsia="Arial" w:hAnsi="Arial"/>
                <w:sz w:val="17"/>
                <w:szCs w:val="17"/>
                <w:color w:val="auto"/>
                <w:w w:val="84"/>
              </w:rPr>
              <w:t>15.</w:t>
            </w:r>
          </w:p>
        </w:tc>
        <w:tc>
          <w:tcPr>
            <w:tcW w:w="7100" w:type="dxa"/>
            <w:vAlign w:val="bottom"/>
          </w:tcPr>
          <w:p>
            <w:pPr>
              <w:ind w:left="120"/>
              <w:spacing w:after="0"/>
              <w:rPr>
                <w:sz w:val="20"/>
                <w:szCs w:val="20"/>
                <w:color w:val="auto"/>
              </w:rPr>
            </w:pPr>
            <w:r>
              <w:rPr>
                <w:rFonts w:ascii="Arial" w:cs="Arial" w:eastAsia="Arial" w:hAnsi="Arial"/>
                <w:sz w:val="17"/>
                <w:szCs w:val="17"/>
                <w:color w:val="auto"/>
              </w:rPr>
              <w:t>Glossary of Terms</w:t>
            </w:r>
          </w:p>
        </w:tc>
        <w:tc>
          <w:tcPr>
            <w:tcW w:w="4000" w:type="dxa"/>
            <w:vAlign w:val="bottom"/>
          </w:tcPr>
          <w:p>
            <w:pPr>
              <w:jc w:val="right"/>
              <w:spacing w:after="0"/>
              <w:rPr>
                <w:sz w:val="20"/>
                <w:szCs w:val="20"/>
                <w:color w:val="auto"/>
              </w:rPr>
            </w:pPr>
            <w:r>
              <w:rPr>
                <w:rFonts w:ascii="Arial" w:cs="Arial" w:eastAsia="Arial" w:hAnsi="Arial"/>
                <w:sz w:val="17"/>
                <w:szCs w:val="17"/>
                <w:color w:val="auto"/>
              </w:rPr>
              <w:t>28</w:t>
            </w: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7" w:right="239" w:bottom="1440" w:gutter="0" w:footer="0" w:header="0"/>
        </w:sectPr>
      </w:pPr>
    </w:p>
    <w:bookmarkStart w:id="4" w:name="page5"/>
    <w:bookmarkEnd w:id="4"/>
    <w:p>
      <w:pPr>
        <w:spacing w:after="0" w:line="27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27305"/>
                    </a:xfrm>
                    <a:prstGeom prst="rect">
                      <a:avLst/>
                    </a:prstGeom>
                    <a:noFill/>
                  </pic:spPr>
                </pic:pic>
              </a:graphicData>
            </a:graphic>
          </wp:anchor>
        </w:drawing>
        <w:t>Certain matters discussed within this Supplemental Information may be deemed to be forward looking statements within the meaning of the federal securities laws. Although we believe the expectations reflected in the forward looking statements are based on reasonable assumptions, we can give no assurance that our expectations will be attained. The factors that may impact these expectations include: (a) risks that growth will be limited if additional capital cannot be obtained; (b) risks of financing, such as our ability to consummate additional financings or obtain replacement financing on terms which are acceptable to us, our ability to meet existing financial covenants and the possibility of increases in interest rates that would result in increased interest expense; (c) risks normally associated with the real estate industry, including risks that tenants will not pay rent or that we may be unable to renew leases or relet space at favorable rents as leases expire, that new acquisitions or development, construction and renovation projects, including Santana Row, may fail to perform as expected, that competition for acquisitions could result in increased prices, that there may be environmental risks at our properties, and, because real estate is illiquid, that we may not be able to sell properties when appropriate; (d) risks related to our status as a REIT for federal income tax purposes, such as the existence of complex regulations relating to our status as a REIT, the effect of future changes in REIT requirements as a result of new legislation and the adverse consequences of the failure to qualify as a REIT; and (e) those risks detailed from time to time in our SEC reports, including our current report on Form 8-K filed with the SEC on March 25, 2003, our annual report on Form 10-K filed with the SEC on March 26, 2003 and our quarterly reports on Form 10-Q. Federal Realty assumes no obligation to update or supplement forward-looking statements that become untrue because of subsequent events.</w:t>
      </w:r>
    </w:p>
    <w:p>
      <w:pPr>
        <w:sectPr>
          <w:pgSz w:w="11900" w:h="16838" w:orient="portrait"/>
          <w:cols w:equalWidth="0" w:num="1">
            <w:col w:w="11360"/>
          </w:cols>
          <w:pgMar w:left="240" w:top="275"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9"/>
        </w:trPr>
        <w:tc>
          <w:tcPr>
            <w:tcW w:w="5180" w:type="dxa"/>
            <w:vAlign w:val="bottom"/>
            <w:gridSpan w:val="3"/>
          </w:tcPr>
          <w:p>
            <w:pPr>
              <w:spacing w:after="0"/>
              <w:rPr>
                <w:sz w:val="20"/>
                <w:szCs w:val="20"/>
                <w:color w:val="auto"/>
              </w:rPr>
            </w:pPr>
            <w:r>
              <w:rPr>
                <w:rFonts w:ascii="Arial" w:cs="Arial" w:eastAsia="Arial" w:hAnsi="Arial"/>
                <w:sz w:val="17"/>
                <w:szCs w:val="17"/>
                <w:b w:val="1"/>
                <w:bCs w:val="1"/>
                <w:color w:val="auto"/>
              </w:rPr>
              <w:t>FOR IMMEDIATE RELEASE</w:t>
            </w: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7"/>
        </w:trPr>
        <w:tc>
          <w:tcPr>
            <w:tcW w:w="1220" w:type="dxa"/>
            <w:vAlign w:val="bottom"/>
          </w:tcPr>
          <w:p>
            <w:pPr>
              <w:spacing w:after="0"/>
              <w:rPr>
                <w:sz w:val="20"/>
                <w:szCs w:val="20"/>
                <w:color w:val="auto"/>
              </w:rPr>
            </w:pPr>
            <w:r>
              <w:rPr>
                <w:rFonts w:ascii="Arial" w:cs="Arial" w:eastAsia="Arial" w:hAnsi="Arial"/>
                <w:sz w:val="17"/>
                <w:szCs w:val="17"/>
                <w:i w:val="1"/>
                <w:iCs w:val="1"/>
                <w:color w:val="auto"/>
                <w:w w:val="92"/>
              </w:rPr>
              <w:t>Investor Inquiries</w:t>
            </w:r>
          </w:p>
        </w:tc>
        <w:tc>
          <w:tcPr>
            <w:tcW w:w="3960" w:type="dxa"/>
            <w:vAlign w:val="bottom"/>
            <w:gridSpan w:val="2"/>
          </w:tcPr>
          <w:p>
            <w:pPr>
              <w:spacing w:after="0"/>
              <w:rPr>
                <w:sz w:val="20"/>
                <w:szCs w:val="20"/>
                <w:color w:val="auto"/>
              </w:rPr>
            </w:pPr>
          </w:p>
        </w:tc>
        <w:tc>
          <w:tcPr>
            <w:tcW w:w="1540" w:type="dxa"/>
            <w:vAlign w:val="bottom"/>
          </w:tcPr>
          <w:p>
            <w:pPr>
              <w:spacing w:after="0"/>
              <w:rPr>
                <w:sz w:val="20"/>
                <w:szCs w:val="20"/>
                <w:color w:val="auto"/>
              </w:rPr>
            </w:pPr>
          </w:p>
        </w:tc>
        <w:tc>
          <w:tcPr>
            <w:tcW w:w="2520" w:type="dxa"/>
            <w:vAlign w:val="bottom"/>
            <w:gridSpan w:val="3"/>
          </w:tcPr>
          <w:p>
            <w:pPr>
              <w:spacing w:after="0"/>
              <w:rPr>
                <w:sz w:val="20"/>
                <w:szCs w:val="20"/>
                <w:color w:val="auto"/>
              </w:rPr>
            </w:pPr>
            <w:r>
              <w:rPr>
                <w:rFonts w:ascii="Arial" w:cs="Arial" w:eastAsia="Arial" w:hAnsi="Arial"/>
                <w:sz w:val="17"/>
                <w:szCs w:val="17"/>
                <w:i w:val="1"/>
                <w:iCs w:val="1"/>
                <w:color w:val="auto"/>
              </w:rPr>
              <w:t>Media Inquiries</w:t>
            </w:r>
          </w:p>
        </w:tc>
      </w:tr>
      <w:tr>
        <w:trPr>
          <w:trHeight w:val="20"/>
        </w:trPr>
        <w:tc>
          <w:tcPr>
            <w:tcW w:w="1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0"/>
        </w:trPr>
        <w:tc>
          <w:tcPr>
            <w:tcW w:w="1220" w:type="dxa"/>
            <w:vAlign w:val="bottom"/>
          </w:tcPr>
          <w:p>
            <w:pPr>
              <w:spacing w:after="0"/>
              <w:rPr>
                <w:sz w:val="20"/>
                <w:szCs w:val="20"/>
                <w:color w:val="auto"/>
              </w:rPr>
            </w:pPr>
            <w:r>
              <w:rPr>
                <w:rFonts w:ascii="Arial" w:cs="Arial" w:eastAsia="Arial" w:hAnsi="Arial"/>
                <w:sz w:val="17"/>
                <w:szCs w:val="17"/>
                <w:color w:val="auto"/>
                <w:w w:val="99"/>
              </w:rPr>
              <w:t>Andrew Blocher</w:t>
            </w:r>
          </w:p>
        </w:tc>
        <w:tc>
          <w:tcPr>
            <w:tcW w:w="3960" w:type="dxa"/>
            <w:vAlign w:val="bottom"/>
            <w:gridSpan w:val="2"/>
          </w:tcPr>
          <w:p>
            <w:pPr>
              <w:spacing w:after="0"/>
              <w:rPr>
                <w:sz w:val="19"/>
                <w:szCs w:val="19"/>
                <w:color w:val="auto"/>
              </w:rPr>
            </w:pPr>
          </w:p>
        </w:tc>
        <w:tc>
          <w:tcPr>
            <w:tcW w:w="1540" w:type="dxa"/>
            <w:vAlign w:val="bottom"/>
          </w:tcPr>
          <w:p>
            <w:pPr>
              <w:spacing w:after="0"/>
              <w:rPr>
                <w:sz w:val="19"/>
                <w:szCs w:val="19"/>
                <w:color w:val="auto"/>
              </w:rPr>
            </w:pPr>
          </w:p>
        </w:tc>
        <w:tc>
          <w:tcPr>
            <w:tcW w:w="2520" w:type="dxa"/>
            <w:vAlign w:val="bottom"/>
            <w:gridSpan w:val="3"/>
          </w:tcPr>
          <w:p>
            <w:pPr>
              <w:spacing w:after="0"/>
              <w:rPr>
                <w:sz w:val="20"/>
                <w:szCs w:val="20"/>
                <w:color w:val="auto"/>
              </w:rPr>
            </w:pPr>
            <w:r>
              <w:rPr>
                <w:rFonts w:ascii="Arial" w:cs="Arial" w:eastAsia="Arial" w:hAnsi="Arial"/>
                <w:sz w:val="17"/>
                <w:szCs w:val="17"/>
                <w:color w:val="auto"/>
              </w:rPr>
              <w:t>Kristine Warner</w:t>
            </w:r>
          </w:p>
        </w:tc>
      </w:tr>
      <w:tr>
        <w:trPr>
          <w:trHeight w:val="209"/>
        </w:trPr>
        <w:tc>
          <w:tcPr>
            <w:tcW w:w="5180" w:type="dxa"/>
            <w:vAlign w:val="bottom"/>
            <w:gridSpan w:val="3"/>
          </w:tcPr>
          <w:p>
            <w:pPr>
              <w:spacing w:after="0"/>
              <w:rPr>
                <w:sz w:val="20"/>
                <w:szCs w:val="20"/>
                <w:color w:val="auto"/>
              </w:rPr>
            </w:pPr>
            <w:r>
              <w:rPr>
                <w:rFonts w:ascii="Arial" w:cs="Arial" w:eastAsia="Arial" w:hAnsi="Arial"/>
                <w:sz w:val="17"/>
                <w:szCs w:val="17"/>
                <w:color w:val="auto"/>
              </w:rPr>
              <w:t>Vice President, Capital Markets &amp; Investor Relations</w:t>
            </w:r>
          </w:p>
        </w:tc>
        <w:tc>
          <w:tcPr>
            <w:tcW w:w="4060" w:type="dxa"/>
            <w:vAlign w:val="bottom"/>
            <w:gridSpan w:val="4"/>
          </w:tcPr>
          <w:p>
            <w:pPr>
              <w:ind w:left="1540"/>
              <w:spacing w:after="0"/>
              <w:rPr>
                <w:sz w:val="20"/>
                <w:szCs w:val="20"/>
                <w:color w:val="auto"/>
              </w:rPr>
            </w:pPr>
            <w:r>
              <w:rPr>
                <w:rFonts w:ascii="Arial" w:cs="Arial" w:eastAsia="Arial" w:hAnsi="Arial"/>
                <w:sz w:val="17"/>
                <w:szCs w:val="17"/>
                <w:color w:val="auto"/>
                <w:w w:val="90"/>
              </w:rPr>
              <w:t>Director, Corporate Communications</w:t>
            </w:r>
          </w:p>
        </w:tc>
      </w:tr>
      <w:tr>
        <w:trPr>
          <w:trHeight w:val="209"/>
        </w:trPr>
        <w:tc>
          <w:tcPr>
            <w:tcW w:w="1220" w:type="dxa"/>
            <w:vAlign w:val="bottom"/>
          </w:tcPr>
          <w:p>
            <w:pPr>
              <w:spacing w:after="0"/>
              <w:rPr>
                <w:sz w:val="20"/>
                <w:szCs w:val="20"/>
                <w:color w:val="auto"/>
              </w:rPr>
            </w:pPr>
            <w:r>
              <w:rPr>
                <w:rFonts w:ascii="Arial" w:cs="Arial" w:eastAsia="Arial" w:hAnsi="Arial"/>
                <w:sz w:val="17"/>
                <w:szCs w:val="17"/>
                <w:color w:val="auto"/>
              </w:rPr>
              <w:t>301/998-8166</w:t>
            </w:r>
          </w:p>
        </w:tc>
        <w:tc>
          <w:tcPr>
            <w:tcW w:w="7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20" w:type="dxa"/>
            <w:vAlign w:val="bottom"/>
            <w:gridSpan w:val="2"/>
          </w:tcPr>
          <w:p>
            <w:pPr>
              <w:ind w:left="1540"/>
              <w:spacing w:after="0"/>
              <w:rPr>
                <w:sz w:val="20"/>
                <w:szCs w:val="20"/>
                <w:color w:val="auto"/>
              </w:rPr>
            </w:pPr>
            <w:r>
              <w:rPr>
                <w:rFonts w:ascii="Arial" w:cs="Arial" w:eastAsia="Arial" w:hAnsi="Arial"/>
                <w:sz w:val="17"/>
                <w:szCs w:val="17"/>
                <w:color w:val="auto"/>
              </w:rPr>
              <w:t>301/998-8212</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78"/>
        </w:trPr>
        <w:tc>
          <w:tcPr>
            <w:tcW w:w="5180" w:type="dxa"/>
            <w:vAlign w:val="bottom"/>
            <w:gridSpan w:val="3"/>
          </w:tcPr>
          <w:p>
            <w:pPr>
              <w:spacing w:after="0" w:line="179" w:lineRule="exact"/>
              <w:rPr>
                <w:sz w:val="20"/>
                <w:szCs w:val="20"/>
                <w:color w:val="auto"/>
              </w:rPr>
            </w:pPr>
            <w:r>
              <w:rPr>
                <w:rFonts w:ascii="Arial" w:cs="Arial" w:eastAsia="Arial" w:hAnsi="Arial"/>
                <w:sz w:val="17"/>
                <w:szCs w:val="17"/>
                <w:color w:val="auto"/>
              </w:rPr>
              <w:t>ablocher@federalrealty.com</w:t>
            </w:r>
          </w:p>
        </w:tc>
        <w:tc>
          <w:tcPr>
            <w:tcW w:w="4060" w:type="dxa"/>
            <w:vAlign w:val="bottom"/>
            <w:gridSpan w:val="4"/>
          </w:tcPr>
          <w:p>
            <w:pPr>
              <w:ind w:left="1540"/>
              <w:spacing w:after="0" w:line="179" w:lineRule="exact"/>
              <w:rPr>
                <w:sz w:val="20"/>
                <w:szCs w:val="20"/>
                <w:color w:val="auto"/>
              </w:rPr>
            </w:pPr>
            <w:r>
              <w:rPr>
                <w:rFonts w:ascii="Arial" w:cs="Arial" w:eastAsia="Arial" w:hAnsi="Arial"/>
                <w:sz w:val="17"/>
                <w:szCs w:val="17"/>
                <w:color w:val="auto"/>
              </w:rPr>
              <w:t>kwarner@federalrealty.com</w:t>
            </w:r>
          </w:p>
        </w:tc>
      </w:tr>
      <w:tr>
        <w:trPr>
          <w:trHeight w:val="20"/>
        </w:trPr>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b w:val="1"/>
          <w:bCs w:val="1"/>
          <w:color w:val="auto"/>
        </w:rPr>
        <w:t>FEDERAL REALTY INVESTMENT TRUST ANNOUNCES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SECOND QUARTER 2003 OPERATING RESULTS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ROCKVILLE, Md. (July 30, 2003) – Federal Realty Investment Trust (NYSE:FRT) today reported operating results for the quarter ended June 30, 2003.</w:t>
      </w:r>
    </w:p>
    <w:p>
      <w:pPr>
        <w:spacing w:after="0" w:line="153" w:lineRule="exact"/>
        <w:rPr>
          <w:sz w:val="20"/>
          <w:szCs w:val="20"/>
          <w:color w:val="auto"/>
        </w:rPr>
      </w:pPr>
    </w:p>
    <w:p>
      <w:pPr>
        <w:ind w:left="900" w:right="340" w:hanging="451"/>
        <w:spacing w:after="0" w:line="262" w:lineRule="auto"/>
        <w:tabs>
          <w:tab w:leader="none" w:pos="900" w:val="left"/>
        </w:tabs>
        <w:numPr>
          <w:ilvl w:val="0"/>
          <w:numId w:val="4"/>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Funds from operations (FFO) was $0.64 per diluted share for the second quarter and the Trust today reconfirmed its previous 2003 FFO per diluted share forecast of $2.60.</w:t>
      </w:r>
    </w:p>
    <w:p>
      <w:pPr>
        <w:spacing w:after="0" w:line="1" w:lineRule="exact"/>
        <w:rPr>
          <w:rFonts w:ascii="MS PGothic" w:cs="MS PGothic" w:eastAsia="MS PGothic" w:hAnsi="MS PGothic"/>
          <w:sz w:val="17"/>
          <w:szCs w:val="17"/>
          <w:color w:val="auto"/>
          <w:highlight w:val="black"/>
        </w:rPr>
      </w:pPr>
    </w:p>
    <w:p>
      <w:pPr>
        <w:ind w:left="900" w:hanging="451"/>
        <w:spacing w:after="0"/>
        <w:tabs>
          <w:tab w:leader="none" w:pos="900" w:val="left"/>
        </w:tabs>
        <w:numPr>
          <w:ilvl w:val="0"/>
          <w:numId w:val="4"/>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Second quarter 2003 net income per diluted share was $0.29.</w:t>
      </w:r>
    </w:p>
    <w:p>
      <w:pPr>
        <w:spacing w:after="0" w:line="21" w:lineRule="exact"/>
        <w:rPr>
          <w:rFonts w:ascii="MS PGothic" w:cs="MS PGothic" w:eastAsia="MS PGothic" w:hAnsi="MS PGothic"/>
          <w:sz w:val="17"/>
          <w:szCs w:val="17"/>
          <w:color w:val="auto"/>
          <w:highlight w:val="black"/>
        </w:rPr>
      </w:pPr>
    </w:p>
    <w:p>
      <w:pPr>
        <w:ind w:left="900" w:right="80" w:hanging="451"/>
        <w:spacing w:after="0" w:line="251" w:lineRule="auto"/>
        <w:tabs>
          <w:tab w:leader="none" w:pos="900" w:val="left"/>
        </w:tabs>
        <w:numPr>
          <w:ilvl w:val="0"/>
          <w:numId w:val="4"/>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When compared to second quarter 2002, same-center property operating income increased 4.0% excluding properties redeveloped or expanded, and 4.8% when redevelopments and expansions are included.</w:t>
      </w:r>
    </w:p>
    <w:p>
      <w:pPr>
        <w:spacing w:after="0" w:line="1" w:lineRule="exact"/>
        <w:rPr>
          <w:rFonts w:ascii="MS PGothic" w:cs="MS PGothic" w:eastAsia="MS PGothic" w:hAnsi="MS PGothic"/>
          <w:sz w:val="17"/>
          <w:szCs w:val="17"/>
          <w:color w:val="auto"/>
          <w:highlight w:val="black"/>
        </w:rPr>
      </w:pPr>
    </w:p>
    <w:p>
      <w:pPr>
        <w:ind w:left="900" w:hanging="451"/>
        <w:spacing w:after="0"/>
        <w:tabs>
          <w:tab w:leader="none" w:pos="900" w:val="left"/>
        </w:tabs>
        <w:numPr>
          <w:ilvl w:val="0"/>
          <w:numId w:val="4"/>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Cash rent increases on lease rollovers were 15% for the second quarter on 254,000 square feet of comparable retail space.</w:t>
      </w:r>
    </w:p>
    <w:p>
      <w:pPr>
        <w:spacing w:after="0" w:line="21" w:lineRule="exact"/>
        <w:rPr>
          <w:rFonts w:ascii="MS PGothic" w:cs="MS PGothic" w:eastAsia="MS PGothic" w:hAnsi="MS PGothic"/>
          <w:sz w:val="17"/>
          <w:szCs w:val="17"/>
          <w:color w:val="auto"/>
          <w:highlight w:val="black"/>
        </w:rPr>
      </w:pPr>
    </w:p>
    <w:p>
      <w:pPr>
        <w:ind w:left="900" w:hanging="451"/>
        <w:spacing w:after="0"/>
        <w:tabs>
          <w:tab w:leader="none" w:pos="900" w:val="left"/>
        </w:tabs>
        <w:numPr>
          <w:ilvl w:val="0"/>
          <w:numId w:val="4"/>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At Santana Row, 93% of the residential units and 81% of the Phase I retail square footage was leased as of July 25, 2003.</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8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Federal Realty reported FFO of $31.1 million for the second quarter of 2003, or $0.64 per diluted share. This compares to FFO of $27.7 million for the second quarter of 2002, or $0.66 per diluted share. Declines in FFO from second quarter 2002 to second quarter 2003 were attributable to Santana Row coming online. Net income available for common shareholders was $13.6 million, or $0.29 per diluted share for the quarter ended June 30, 2003. For the second quarter of 2002, the Trust reported net income available for common shareholders of $30.5 million, or $0.74 per diluted share, which included a $19.1 million, or $0.46 per diluted share, gain on the sale of real estate.</w:t>
      </w:r>
    </w:p>
    <w:p>
      <w:pPr>
        <w:sectPr>
          <w:pgSz w:w="11900" w:h="16838" w:orient="portrait"/>
          <w:cols w:equalWidth="0" w:num="1">
            <w:col w:w="11400"/>
          </w:cols>
          <w:pgMar w:left="240" w:top="271" w:right="259" w:bottom="1440" w:gutter="0" w:footer="0" w:header="0"/>
        </w:sectPr>
      </w:pPr>
    </w:p>
    <w:bookmarkStart w:id="6" w:name="page7"/>
    <w:bookmarkEnd w:id="6"/>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 ANNOUNCES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QUARTER 2003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July 30, 2003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Page 2</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8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On a same-center basis, excluding properties redeveloped or expanded, property operating income increased 4.0% over second quarter 2002. When properties redeveloped or expanded are included in the same-center results, property operating income increased 4.8% from second quarter 2002. As of June 30, 2003, retail occupancy on a same-center basis declined, as expected, to 94.8% compared to 95.9% on June 30, 2002, and 95.8% on March 31, 2003, due primarily to the Kmart bankruptcy-related store closings at Leesburg and Flourtown, as previously announced. Same-center occupancy, as of June 30, 2003, excludes the 444,000 square feet of retail space in Phase I of Santana Row and the 472,000 square feet of retail space in South Valley Shopping Center and Mount Vernon Plaza, properties acquired late in the first quarter. Overall occupancy was 93.1% as of June 30, 2003, compared to 96.0% on June 30, 2002, and 94.3% on March 31, 2003.</w:t>
      </w:r>
    </w:p>
    <w:p>
      <w:pPr>
        <w:spacing w:after="0" w:line="96"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“We’re pleased with the progress we’ve made at Santana Row and the further strengthening of our balance sheet in the second quarter,” stated Donald C. Wood, Federal Realty’s President and Chief Executive Officer. “We’re looking forward to redeveloping and re-leasing the sections of those shopping centers impacted by the Kmart and other anchor vacancies and are confident in our ability to create incremental value when these redevelopments are complete. This value creation is only possible because of the strong retailer demand for space at these properties.”</w:t>
      </w:r>
    </w:p>
    <w:p>
      <w:pPr>
        <w:spacing w:after="0" w:line="12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During the second quarter, the Trust signed 78 leases for over 325,000 square feet of retail space. On a comparable space basis (</w:t>
      </w:r>
      <w:r>
        <w:rPr>
          <w:rFonts w:ascii="Arial" w:cs="Arial" w:eastAsia="Arial" w:hAnsi="Arial"/>
          <w:sz w:val="17"/>
          <w:szCs w:val="17"/>
          <w:i w:val="1"/>
          <w:iCs w:val="1"/>
          <w:color w:val="auto"/>
        </w:rPr>
        <w:t>i.e.</w:t>
      </w:r>
      <w:r>
        <w:rPr>
          <w:rFonts w:ascii="Arial" w:cs="Arial" w:eastAsia="Arial" w:hAnsi="Arial"/>
          <w:sz w:val="17"/>
          <w:szCs w:val="17"/>
          <w:color w:val="auto"/>
        </w:rPr>
        <w:t xml:space="preserve"> spaces for which there was a former tenant), the Trust leased 254,000 square feet at an average cash-basis contractual rent increase per square foot (</w:t>
      </w:r>
      <w:r>
        <w:rPr>
          <w:rFonts w:ascii="Arial" w:cs="Arial" w:eastAsia="Arial" w:hAnsi="Arial"/>
          <w:sz w:val="17"/>
          <w:szCs w:val="17"/>
          <w:i w:val="1"/>
          <w:iCs w:val="1"/>
          <w:color w:val="auto"/>
        </w:rPr>
        <w:t>i.e.</w:t>
      </w:r>
      <w:r>
        <w:rPr>
          <w:rFonts w:ascii="Arial" w:cs="Arial" w:eastAsia="Arial" w:hAnsi="Arial"/>
          <w:sz w:val="17"/>
          <w:szCs w:val="17"/>
          <w:color w:val="auto"/>
        </w:rPr>
        <w:t xml:space="preserve"> excluding the impact of straight-line rents) of 15%. The weighted-average contractual rent on this comparable space for the first year of the new lease was $21.06 per square foot compared to the weighted-average contractual rent of $18.30 per square foot for the last year of the prior lease. The previous weighted-average contractual rent is calculated by including both the minimum rent and the percentage rent actually paid during the last year of the lease term for the re-leased space. On a GAAP basis, rent increases per square foot were 25% on the 254,000 square feet of comparable space re-leased during the second quarter. As of June 30, 2003, Federal Realty’s weighted-average contractual rent for retail space in its portfolio was $17.35 per square foot.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Santana Row</w:t>
      </w:r>
    </w:p>
    <w:p>
      <w:pPr>
        <w:spacing w:after="0" w:line="83"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Tenant sales performance continues to improve at Santana Row, the Trust’s mixed-use community in San Jose, Calif., as awareness of the project grows and consumer shopping patterns become established. As of</w:t>
      </w:r>
    </w:p>
    <w:p>
      <w:pPr>
        <w:sectPr>
          <w:pgSz w:w="11900" w:h="16838" w:orient="portrait"/>
          <w:cols w:equalWidth="0" w:num="1">
            <w:col w:w="11400"/>
          </w:cols>
          <w:pgMar w:left="240" w:top="275" w:right="259" w:bottom="1440" w:gutter="0" w:footer="0" w:header="0"/>
        </w:sectPr>
      </w:pPr>
    </w:p>
    <w:bookmarkStart w:id="7" w:name="page8"/>
    <w:bookmarkEnd w:id="7"/>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 ANNOUNCES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QUARTER 2003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July 30, 2003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Page </w:t>
      </w:r>
      <w:r>
        <w:rPr>
          <w:rFonts w:ascii="Arial" w:cs="Arial" w:eastAsia="Arial" w:hAnsi="Arial"/>
          <w:sz w:val="17"/>
          <w:szCs w:val="17"/>
          <w:color w:val="auto"/>
        </w:rPr>
        <w:t>3</w:t>
      </w:r>
    </w:p>
    <w:p>
      <w:pPr>
        <w:spacing w:after="0" w:line="15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July 25, 2003, 81% of the Phase I retail space was leased with 80 tenants open and operating, representing 65% of the available retail space. In comparison, on May 5, 2003, Santana Row’s Phase I retail space was 75% leased with 68 tenants open, representing 57% of the available retail space. The Trust also has made significant progress in leasing the residential component of Santana Row. As of July 25, 2003, the Phase I residential units were 93% leased and 85% occupied. By comparison, as of May 5, 2003, these units were 72% leased and 66% occupied, and as of February 4, 2003, they were 45% leased and 35% occupied. In addition, Hotel Valencia Santana Row, the 213-room boutique hotel operated by the Valencia Group, opened for business in June 2003.</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Federal Realty today reconfirmed previous expectations for 2003 FFO per diluted share of $2.60 and increased net income per diluted share expectations to $1.03.</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Other Quarterly Activities and Recent Developments</w:t>
      </w:r>
    </w:p>
    <w:p>
      <w:pPr>
        <w:spacing w:after="0" w:line="161" w:lineRule="exact"/>
        <w:rPr>
          <w:sz w:val="20"/>
          <w:szCs w:val="20"/>
          <w:color w:val="auto"/>
        </w:rPr>
      </w:pPr>
    </w:p>
    <w:p>
      <w:pPr>
        <w:ind w:left="900" w:right="380" w:hanging="451"/>
        <w:spacing w:after="0" w:line="281"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June 23, 2003, Federal Realty redeemed its $75 million 5 ¼% Convertible Subordinated Debentures, due October 28, 2003. The debentures were redeemed at 100% of the principal amount plus accrued interest to the redemption date.</w:t>
      </w:r>
    </w:p>
    <w:p>
      <w:pPr>
        <w:spacing w:after="0" w:line="25" w:lineRule="exact"/>
        <w:rPr>
          <w:rFonts w:ascii="Arial" w:cs="Arial" w:eastAsia="Arial" w:hAnsi="Arial"/>
          <w:sz w:val="17"/>
          <w:szCs w:val="17"/>
          <w:color w:val="auto"/>
        </w:rPr>
      </w:pPr>
    </w:p>
    <w:p>
      <w:pPr>
        <w:ind w:left="900" w:right="460" w:hanging="451"/>
        <w:spacing w:after="0" w:line="313"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June 13, 2003, Federal Realty redeemed all 4 million outstanding shares of its 7.95% Series A Cumulative Redeemable Preferred Shares at their redemption price of $25.00 per share, plus accrued and unpaid dividends through the redemption date of $0.23959 per share.</w:t>
      </w:r>
    </w:p>
    <w:p>
      <w:pPr>
        <w:spacing w:after="0" w:line="3" w:lineRule="exact"/>
        <w:rPr>
          <w:rFonts w:ascii="Arial" w:cs="Arial" w:eastAsia="Arial" w:hAnsi="Arial"/>
          <w:sz w:val="16"/>
          <w:szCs w:val="16"/>
          <w:color w:val="auto"/>
        </w:rPr>
      </w:pPr>
    </w:p>
    <w:p>
      <w:pPr>
        <w:jc w:val="both"/>
        <w:ind w:left="900" w:hanging="451"/>
        <w:spacing w:after="0" w:line="293"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May 14, 2003, Federal Realty sold 3.2 million common shares of beneficial interest in a public offering underwritten by Wachovia Securities. The sale generated $98.6 million of proceeds to the Trust before offering expenses, including the underwriter’s full exercise of its over-allotment option, or $30.457 per share, representing a 3.25% discount from the previous day’s New York Stock Exchange closing price of $31.48.</w:t>
      </w:r>
    </w:p>
    <w:p>
      <w:pPr>
        <w:spacing w:after="0" w:line="18" w:lineRule="exact"/>
        <w:rPr>
          <w:rFonts w:ascii="Arial" w:cs="Arial" w:eastAsia="Arial" w:hAnsi="Arial"/>
          <w:sz w:val="16"/>
          <w:szCs w:val="16"/>
          <w:color w:val="auto"/>
        </w:rPr>
      </w:pPr>
    </w:p>
    <w:p>
      <w:pPr>
        <w:ind w:left="900" w:right="40" w:hanging="451"/>
        <w:spacing w:after="0" w:line="261"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April 23, 2003, the Trust provided updated information relating to the status of its three Kmart locations, comprising 326,000 square feet of retail space and $1.7 million of contractual rent, that were closed as a result of the retailer’s Chapter 11 bankruptcy filing. Kohl’s Corporation has assumed the previous lease for the 150,000 square foot store at Fresh Meadows in Queens, N.Y. The leases for the Kmart locations at both Flourtown Shopping Center in Flourtown, Pa., and Leesburg Plaza in Leesburg, Va., represented a combined 1.1% of portfolio occupancy and 0.15% of annualized revenues. The Trust has reclaimed both of these spaces and management believes both properties provide potential for increased earnings and increased value through redevelopment or re-tenanting.</w:t>
      </w:r>
    </w:p>
    <w:p>
      <w:pPr>
        <w:sectPr>
          <w:pgSz w:w="11900" w:h="16838" w:orient="portrait"/>
          <w:cols w:equalWidth="0" w:num="1">
            <w:col w:w="11400"/>
          </w:cols>
          <w:pgMar w:left="240" w:top="275" w:right="259" w:bottom="1440" w:gutter="0" w:footer="0" w:header="0"/>
        </w:sectPr>
      </w:pPr>
    </w:p>
    <w:bookmarkStart w:id="8" w:name="page9"/>
    <w:bookmarkEnd w:id="8"/>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 ANNOUNCES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QUARTER 2003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July 30, 2003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Page </w:t>
      </w:r>
      <w:r>
        <w:rPr>
          <w:rFonts w:ascii="Arial" w:cs="Arial" w:eastAsia="Arial" w:hAnsi="Arial"/>
          <w:sz w:val="17"/>
          <w:szCs w:val="17"/>
          <w:color w:val="auto"/>
        </w:rPr>
        <w:t>4</w:t>
      </w:r>
    </w:p>
    <w:p>
      <w:pPr>
        <w:spacing w:after="0" w:line="151" w:lineRule="exact"/>
        <w:rPr>
          <w:sz w:val="20"/>
          <w:szCs w:val="20"/>
          <w:color w:val="auto"/>
        </w:rPr>
      </w:pPr>
    </w:p>
    <w:p>
      <w:pPr>
        <w:ind w:left="900" w:right="60" w:hanging="451"/>
        <w:spacing w:after="0" w:line="320"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On April 16, 2003, Federal Realty announced the appointment of David Faeder, Vice Chairman of Sunrise Assisted Living, Inc. (NYSE:SRZ), to serve on the Trust’s board of trustees. Mr. Faeder also has been appointed to serve on the Trust’s audit committee and has been designated by the Board as the Trust’s “audit committee financial expert.” Mr. Faeder will stand for election by the Trust’s shareholders at the 2004 Annual Meeting of Shareholders.</w:t>
      </w:r>
    </w:p>
    <w:p>
      <w:pPr>
        <w:spacing w:after="0" w:line="2" w:lineRule="exact"/>
        <w:rPr>
          <w:rFonts w:ascii="Arial" w:cs="Arial" w:eastAsia="Arial" w:hAnsi="Arial"/>
          <w:sz w:val="15"/>
          <w:szCs w:val="15"/>
          <w:color w:val="auto"/>
        </w:rPr>
      </w:pPr>
    </w:p>
    <w:p>
      <w:pPr>
        <w:ind w:left="900" w:hanging="451"/>
        <w:spacing w:after="0" w:line="261"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April 1, 2003, Federal Realty announced the acquisition of South Valley Shopping Center and Mount Vernon Plaza in Fairfax County, Va. The shopping centers are adjacent to one another on the west side of Route 1, approximately three miles south of the Capital Beltway, and were acquired from unrelated, private owners. The Trust purchased the fee interest in South Valley Shopping Center for approximately $13.7 million in an all cash transaction and acquired the leasehold interest with a purchase option in Mount Vernon Plaza for aggregate consideration of approximately $17.5 million in the form of cash, down-REIT partnership units and the assumption of debt. Management believes that both properties have significant potential for future re-leasing and redevelopment.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8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second quarter earnings conference call, which is scheduled for Thursday, July 31, 2003, at 11 a.m. EDT. To participate, please call (800) 857-7003 five to ten minutes prior to the start time and use the Passcode EARNINGS (required). The conference leader is Andrew Blocher. Federal Realty will also provide an online Web Simulcast on the company’s Web site, www.federalrealty.com, which will remain available for 14 days following the call. A telephone recording of the call will also be available for 14 days by dialing (800) 925-2730.</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Federal Realty Investment Trust is an equity real estate investment trust specializing in the ownership, management, development, and redevelopment of shopping centers and street retail properties. Federal Realty’s portfolio contains approximately 15.7 million square feet located in major metropolitan markets across the United States. The operating portfolio is currently over 93% occupied by over 2,000 national, regional, and local retailers with no single tenant accounting for more than 2.5% of rental revenue. Federal Realty has paid quarterly dividends to its shareholders continuously since its founding in 1962, and has increased its dividend rate for 35 consecutive years, the longest consecutive record in the REIT industry.</w:t>
      </w:r>
    </w:p>
    <w:p>
      <w:pPr>
        <w:sectPr>
          <w:pgSz w:w="11900" w:h="16838" w:orient="portrait"/>
          <w:cols w:equalWidth="0" w:num="1">
            <w:col w:w="11420"/>
          </w:cols>
          <w:pgMar w:left="240" w:top="275"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 ANNOUNCES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QUARTER 2003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July 30, 2003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Page </w:t>
      </w:r>
      <w:r>
        <w:rPr>
          <w:rFonts w:ascii="Arial" w:cs="Arial" w:eastAsia="Arial" w:hAnsi="Arial"/>
          <w:sz w:val="17"/>
          <w:szCs w:val="17"/>
          <w:color w:val="auto"/>
        </w:rPr>
        <w:t>5</w:t>
      </w:r>
    </w:p>
    <w:p>
      <w:pPr>
        <w:spacing w:after="0" w:line="151" w:lineRule="exact"/>
        <w:rPr>
          <w:sz w:val="20"/>
          <w:szCs w:val="20"/>
          <w:color w:val="auto"/>
        </w:rPr>
      </w:pPr>
    </w:p>
    <w:p>
      <w:pPr>
        <w:ind w:right="1300"/>
        <w:spacing w:after="0" w:line="281" w:lineRule="auto"/>
        <w:rPr>
          <w:sz w:val="20"/>
          <w:szCs w:val="20"/>
          <w:color w:val="auto"/>
        </w:rPr>
      </w:pPr>
      <w:r>
        <w:rPr>
          <w:rFonts w:ascii="Arial" w:cs="Arial" w:eastAsia="Arial" w:hAnsi="Arial"/>
          <w:sz w:val="17"/>
          <w:szCs w:val="17"/>
          <w:color w:val="auto"/>
        </w:rPr>
        <w:t>Shares of Federal Realty are traded on the NYSE under the symbol FRT. Additional information about Federal Realty can be found on the Internet at www.federalrealty.com.</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Certain matters discussed within this press release may be deemed to be forward looking statements within the meaning of the federal securities laws. Although Federal Realty believes the expectations reflected in the forward looking statements are based on reasonable assumptions, it can give no assurance that its expectations will be attained. The factors that may impact these expectations include:</w:t>
      </w:r>
    </w:p>
    <w:p>
      <w:pPr>
        <w:spacing w:after="0" w:line="116" w:lineRule="exact"/>
        <w:rPr>
          <w:sz w:val="20"/>
          <w:szCs w:val="20"/>
          <w:color w:val="auto"/>
        </w:rPr>
      </w:pPr>
    </w:p>
    <w:p>
      <w:pPr>
        <w:ind w:left="900" w:hanging="451"/>
        <w:spacing w:after="0" w:line="276" w:lineRule="auto"/>
        <w:tabs>
          <w:tab w:leader="none" w:pos="900" w:val="left"/>
        </w:tabs>
        <w:numPr>
          <w:ilvl w:val="0"/>
          <w:numId w:val="7"/>
        </w:numPr>
        <w:rPr>
          <w:rFonts w:ascii="MS PGothic" w:cs="MS PGothic" w:eastAsia="MS PGothic" w:hAnsi="MS PGothic"/>
          <w:sz w:val="16"/>
          <w:szCs w:val="16"/>
          <w:color w:val="auto"/>
        </w:rPr>
      </w:pPr>
      <w:r>
        <w:rPr>
          <w:rFonts w:ascii="Arial" w:cs="Arial" w:eastAsia="Arial" w:hAnsi="Arial"/>
          <w:sz w:val="16"/>
          <w:szCs w:val="16"/>
          <w:color w:val="auto"/>
        </w:rPr>
        <w:t>risks of financing, such as our ability to consummate additional financings or obtain replacement financing on terms which are acceptable to us, our ability to meet existing financial covenants and the possibility of increases in interest rates that would result in increased interest expense;</w:t>
      </w:r>
    </w:p>
    <w:p>
      <w:pPr>
        <w:spacing w:after="0" w:line="1" w:lineRule="exact"/>
        <w:rPr>
          <w:rFonts w:ascii="MS PGothic" w:cs="MS PGothic" w:eastAsia="MS PGothic" w:hAnsi="MS PGothic"/>
          <w:sz w:val="16"/>
          <w:szCs w:val="16"/>
          <w:color w:val="auto"/>
        </w:rPr>
      </w:pPr>
    </w:p>
    <w:p>
      <w:pPr>
        <w:ind w:left="900" w:hanging="451"/>
        <w:spacing w:after="0"/>
        <w:tabs>
          <w:tab w:leader="none" w:pos="90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risks that our growth will be limited if we cannot obtain additional capital;</w:t>
      </w:r>
    </w:p>
    <w:p>
      <w:pPr>
        <w:spacing w:after="0" w:line="21" w:lineRule="exact"/>
        <w:rPr>
          <w:rFonts w:ascii="MS PGothic" w:cs="MS PGothic" w:eastAsia="MS PGothic" w:hAnsi="MS PGothic"/>
          <w:sz w:val="17"/>
          <w:szCs w:val="17"/>
          <w:color w:val="auto"/>
        </w:rPr>
      </w:pPr>
    </w:p>
    <w:p>
      <w:pPr>
        <w:ind w:left="900" w:right="200" w:hanging="451"/>
        <w:spacing w:after="0" w:line="270" w:lineRule="auto"/>
        <w:tabs>
          <w:tab w:leader="none" w:pos="900" w:val="left"/>
        </w:tabs>
        <w:numPr>
          <w:ilvl w:val="0"/>
          <w:numId w:val="7"/>
        </w:numPr>
        <w:rPr>
          <w:rFonts w:ascii="MS PGothic" w:cs="MS PGothic" w:eastAsia="MS PGothic" w:hAnsi="MS PGothic"/>
          <w:sz w:val="16"/>
          <w:szCs w:val="16"/>
          <w:color w:val="auto"/>
        </w:rPr>
      </w:pPr>
      <w:r>
        <w:rPr>
          <w:rFonts w:ascii="Arial" w:cs="Arial" w:eastAsia="Arial" w:hAnsi="Arial"/>
          <w:sz w:val="16"/>
          <w:szCs w:val="16"/>
          <w:color w:val="auto"/>
        </w:rPr>
        <w:t>risks normally associated with the real estate industry, including risks that our tenants will not pay rent or that we may be unable to renew leases or relet space at favorable rents as leases expire, that new acquisitions or our development, construction and renovation projects, including our Santana Row project, may fail to perform as expected, that competition for acquisitions could result in increased prices, that we may have environmental risks at our properties, and, because real estate is illiquid, that we may not be able to sell properties when appropriate;</w:t>
      </w:r>
    </w:p>
    <w:p>
      <w:pPr>
        <w:ind w:left="900" w:right="360" w:hanging="451"/>
        <w:spacing w:after="0" w:line="290" w:lineRule="auto"/>
        <w:tabs>
          <w:tab w:leader="none" w:pos="900" w:val="left"/>
        </w:tabs>
        <w:numPr>
          <w:ilvl w:val="0"/>
          <w:numId w:val="7"/>
        </w:numPr>
        <w:rPr>
          <w:rFonts w:ascii="MS PGothic" w:cs="MS PGothic" w:eastAsia="MS PGothic" w:hAnsi="MS PGothic"/>
          <w:sz w:val="15"/>
          <w:szCs w:val="15"/>
          <w:color w:val="auto"/>
        </w:rPr>
      </w:pPr>
      <w:r>
        <w:rPr>
          <w:rFonts w:ascii="Arial" w:cs="Arial" w:eastAsia="Arial" w:hAnsi="Arial"/>
          <w:sz w:val="15"/>
          <w:szCs w:val="15"/>
          <w:color w:val="auto"/>
        </w:rPr>
        <w:t>risks related to our status as a REIT for federal income tax purposes, such as the existence of complex regulations relating to our status as a REIT, the effect of future changes in REIT requirements as a result of new legislation and the adverse consequences of the failure to qualify as a REIT; and</w:t>
      </w:r>
    </w:p>
    <w:p>
      <w:pPr>
        <w:spacing w:after="0" w:line="1" w:lineRule="exact"/>
        <w:rPr>
          <w:rFonts w:ascii="MS PGothic" w:cs="MS PGothic" w:eastAsia="MS PGothic" w:hAnsi="MS PGothic"/>
          <w:sz w:val="15"/>
          <w:szCs w:val="15"/>
          <w:color w:val="auto"/>
        </w:rPr>
      </w:pPr>
    </w:p>
    <w:p>
      <w:pPr>
        <w:ind w:left="900" w:right="340" w:hanging="451"/>
        <w:spacing w:after="0" w:line="273" w:lineRule="auto"/>
        <w:tabs>
          <w:tab w:leader="none" w:pos="900"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those risks detailed from time to time in our SEC reports, including our current report on Form 8-K filed with the SEC on March 25, 2003, our annual report on Form 10-K filed with the SEC on March 26, 2003 and our quarterly reports on Form 10-Q.</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Federal Realty assumes no obligation to update or supplement forward-looking statements that become untrue because of subsequent events.</w:t>
      </w:r>
    </w:p>
    <w:p>
      <w:pPr>
        <w:sectPr>
          <w:pgSz w:w="11900" w:h="16838" w:orient="portrait"/>
          <w:cols w:equalWidth="0" w:num="1">
            <w:col w:w="11420"/>
          </w:cols>
          <w:pgMar w:left="240" w:top="275" w:right="239" w:bottom="1440" w:gutter="0" w:footer="0" w:header="0"/>
        </w:sectPr>
      </w:pPr>
    </w:p>
    <w:bookmarkStart w:id="10" w:name="page11"/>
    <w:bookmarkEnd w:id="10"/>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Statement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199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Six Months Ended</w:t>
            </w:r>
          </w:p>
        </w:tc>
      </w:tr>
      <w:tr>
        <w:trPr>
          <w:trHeight w:val="168"/>
        </w:trPr>
        <w:tc>
          <w:tcPr>
            <w:tcW w:w="18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49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3"/>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3"/>
        </w:trPr>
        <w:tc>
          <w:tcPr>
            <w:tcW w:w="182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490" w:type="dxa"/>
            <w:vAlign w:val="bottom"/>
          </w:tcPr>
          <w:p>
            <w:pPr>
              <w:jc w:val="right"/>
              <w:ind w:right="76"/>
              <w:spacing w:after="0"/>
              <w:rPr>
                <w:sz w:val="20"/>
                <w:szCs w:val="20"/>
                <w:color w:val="auto"/>
              </w:rPr>
            </w:pPr>
            <w:r>
              <w:rPr>
                <w:rFonts w:ascii="Arial" w:cs="Arial" w:eastAsia="Arial" w:hAnsi="Arial"/>
                <w:sz w:val="13"/>
                <w:szCs w:val="13"/>
                <w:b w:val="1"/>
                <w:bCs w:val="1"/>
                <w:color w:val="auto"/>
              </w:rPr>
              <w:t>2003</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b w:val="1"/>
                <w:bCs w:val="1"/>
                <w:color w:val="auto"/>
              </w:rPr>
              <w:t>2002</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7"/>
              <w:spacing w:after="0"/>
              <w:rPr>
                <w:sz w:val="20"/>
                <w:szCs w:val="20"/>
                <w:color w:val="auto"/>
              </w:rPr>
            </w:pPr>
            <w:r>
              <w:rPr>
                <w:rFonts w:ascii="Arial" w:cs="Arial" w:eastAsia="Arial" w:hAnsi="Arial"/>
                <w:sz w:val="13"/>
                <w:szCs w:val="13"/>
                <w:b w:val="1"/>
                <w:bCs w:val="1"/>
                <w:color w:val="auto"/>
              </w:rPr>
              <w:t>2003</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3"/>
                <w:szCs w:val="13"/>
                <w:b w:val="1"/>
                <w:bCs w:val="1"/>
                <w:color w:val="auto"/>
              </w:rPr>
              <w:t>2002</w:t>
            </w:r>
          </w:p>
        </w:tc>
        <w:tc>
          <w:tcPr>
            <w:tcW w:w="100" w:type="dxa"/>
            <w:vAlign w:val="bottom"/>
          </w:tcPr>
          <w:p>
            <w:pPr>
              <w:spacing w:after="0"/>
              <w:rPr>
                <w:sz w:val="22"/>
                <w:szCs w:val="22"/>
                <w:color w:val="auto"/>
              </w:rPr>
            </w:pPr>
          </w:p>
        </w:tc>
      </w:tr>
      <w:tr>
        <w:trPr>
          <w:trHeight w:val="93"/>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89"/>
        </w:trPr>
        <w:tc>
          <w:tcPr>
            <w:tcW w:w="7480" w:type="dxa"/>
            <w:vAlign w:val="bottom"/>
            <w:gridSpan w:val="2"/>
            <w:shd w:val="clear" w:color="auto" w:fill="CCEEFF"/>
          </w:tcPr>
          <w:p>
            <w:pPr>
              <w:spacing w:after="0" w:line="170" w:lineRule="exact"/>
              <w:rPr>
                <w:sz w:val="20"/>
                <w:szCs w:val="20"/>
                <w:color w:val="auto"/>
              </w:rPr>
            </w:pPr>
            <w:r>
              <w:rPr>
                <w:rFonts w:ascii="Arial" w:cs="Arial" w:eastAsia="Arial" w:hAnsi="Arial"/>
                <w:sz w:val="17"/>
                <w:szCs w:val="17"/>
                <w:b w:val="1"/>
                <w:bCs w:val="1"/>
                <w:color w:val="auto"/>
              </w:rPr>
              <w:t>OPERATING RESULTS</w:t>
            </w:r>
          </w:p>
        </w:tc>
        <w:tc>
          <w:tcPr>
            <w:tcW w:w="90" w:type="dxa"/>
            <w:vAlign w:val="bottom"/>
            <w:shd w:val="clear" w:color="auto" w:fill="CCEEFF"/>
          </w:tcPr>
          <w:p>
            <w:pPr>
              <w:spacing w:after="0"/>
              <w:rPr>
                <w:sz w:val="16"/>
                <w:szCs w:val="16"/>
                <w:color w:val="auto"/>
              </w:rPr>
            </w:pPr>
          </w:p>
        </w:tc>
        <w:tc>
          <w:tcPr>
            <w:tcW w:w="49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18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Revenues</w:t>
            </w:r>
          </w:p>
        </w:tc>
        <w:tc>
          <w:tcPr>
            <w:tcW w:w="5660" w:type="dxa"/>
            <w:vAlign w:val="bottom"/>
            <w:tcBorders>
              <w:top w:val="single" w:sz="8" w:color="CCEEFF"/>
            </w:tcBorders>
          </w:tcPr>
          <w:p>
            <w:pPr>
              <w:spacing w:after="0"/>
              <w:rPr>
                <w:sz w:val="18"/>
                <w:szCs w:val="18"/>
                <w:color w:val="auto"/>
              </w:rPr>
            </w:pPr>
          </w:p>
        </w:tc>
        <w:tc>
          <w:tcPr>
            <w:tcW w:w="90" w:type="dxa"/>
            <w:vAlign w:val="bottom"/>
            <w:tcBorders>
              <w:top w:val="single" w:sz="8" w:color="CCEEFF"/>
            </w:tcBorders>
          </w:tcPr>
          <w:p>
            <w:pPr>
              <w:spacing w:after="0"/>
              <w:rPr>
                <w:sz w:val="18"/>
                <w:szCs w:val="18"/>
                <w:color w:val="auto"/>
              </w:rPr>
            </w:pPr>
          </w:p>
        </w:tc>
        <w:tc>
          <w:tcPr>
            <w:tcW w:w="49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9"/>
        </w:trPr>
        <w:tc>
          <w:tcPr>
            <w:tcW w:w="74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Rental income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80,564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71,450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160,555</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141,932</w:t>
            </w:r>
          </w:p>
        </w:tc>
        <w:tc>
          <w:tcPr>
            <w:tcW w:w="100" w:type="dxa"/>
            <w:vAlign w:val="bottom"/>
            <w:shd w:val="clear" w:color="auto" w:fill="CCEEFF"/>
          </w:tcPr>
          <w:p>
            <w:pPr>
              <w:spacing w:after="0"/>
              <w:rPr>
                <w:sz w:val="18"/>
                <w:szCs w:val="18"/>
                <w:color w:val="auto"/>
              </w:rPr>
            </w:pPr>
          </w:p>
        </w:tc>
      </w:tr>
      <w:tr>
        <w:trPr>
          <w:trHeight w:val="209"/>
        </w:trPr>
        <w:tc>
          <w:tcPr>
            <w:tcW w:w="7480" w:type="dxa"/>
            <w:vAlign w:val="bottom"/>
            <w:gridSpan w:val="2"/>
          </w:tcPr>
          <w:p>
            <w:pPr>
              <w:ind w:left="220"/>
              <w:spacing w:after="0"/>
              <w:rPr>
                <w:sz w:val="20"/>
                <w:szCs w:val="20"/>
                <w:color w:val="auto"/>
              </w:rPr>
            </w:pPr>
            <w:r>
              <w:rPr>
                <w:rFonts w:ascii="Arial" w:cs="Arial" w:eastAsia="Arial" w:hAnsi="Arial"/>
                <w:sz w:val="17"/>
                <w:szCs w:val="17"/>
                <w:color w:val="auto"/>
              </w:rPr>
              <w:t>Other property income</w:t>
            </w: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7"/>
                <w:szCs w:val="17"/>
                <w:color w:val="auto"/>
              </w:rPr>
              <w:t>4,186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3,505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8,281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6,981</w:t>
            </w:r>
          </w:p>
        </w:tc>
        <w:tc>
          <w:tcPr>
            <w:tcW w:w="100" w:type="dxa"/>
            <w:vAlign w:val="bottom"/>
          </w:tcPr>
          <w:p>
            <w:pPr>
              <w:spacing w:after="0"/>
              <w:rPr>
                <w:sz w:val="18"/>
                <w:szCs w:val="18"/>
                <w:color w:val="auto"/>
              </w:rPr>
            </w:pPr>
          </w:p>
        </w:tc>
      </w:tr>
      <w:tr>
        <w:trPr>
          <w:trHeight w:val="209"/>
        </w:trPr>
        <w:tc>
          <w:tcPr>
            <w:tcW w:w="74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 and other income</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w:t>
            </w:r>
          </w:p>
        </w:tc>
        <w:tc>
          <w:tcPr>
            <w:tcW w:w="100" w:type="dxa"/>
            <w:vAlign w:val="bottom"/>
            <w:shd w:val="clear" w:color="auto" w:fill="CCEEFF"/>
          </w:tcPr>
          <w:p>
            <w:pPr>
              <w:spacing w:after="0"/>
              <w:rPr>
                <w:sz w:val="18"/>
                <w:szCs w:val="18"/>
                <w:color w:val="auto"/>
              </w:rPr>
            </w:pPr>
          </w:p>
        </w:tc>
      </w:tr>
      <w:tr>
        <w:trPr>
          <w:trHeight w:val="105"/>
        </w:trPr>
        <w:tc>
          <w:tcPr>
            <w:tcW w:w="18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182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86,409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75,812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171,710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151,031</w:t>
            </w:r>
          </w:p>
        </w:tc>
        <w:tc>
          <w:tcPr>
            <w:tcW w:w="100" w:type="dxa"/>
            <w:vAlign w:val="bottom"/>
            <w:shd w:val="clear" w:color="auto" w:fill="CCEEFF"/>
          </w:tcPr>
          <w:p>
            <w:pPr>
              <w:spacing w:after="0"/>
              <w:rPr>
                <w:sz w:val="18"/>
                <w:szCs w:val="18"/>
                <w:color w:val="auto"/>
              </w:rPr>
            </w:pPr>
          </w:p>
        </w:tc>
      </w:tr>
      <w:tr>
        <w:trPr>
          <w:trHeight w:val="209"/>
        </w:trPr>
        <w:tc>
          <w:tcPr>
            <w:tcW w:w="7480" w:type="dxa"/>
            <w:vAlign w:val="bottom"/>
            <w:gridSpan w:val="2"/>
          </w:tcPr>
          <w:p>
            <w:pPr>
              <w:spacing w:after="0"/>
              <w:rPr>
                <w:sz w:val="20"/>
                <w:szCs w:val="20"/>
                <w:color w:val="auto"/>
              </w:rPr>
            </w:pPr>
            <w:r>
              <w:rPr>
                <w:rFonts w:ascii="Arial" w:cs="Arial" w:eastAsia="Arial" w:hAnsi="Arial"/>
                <w:sz w:val="17"/>
                <w:szCs w:val="17"/>
                <w:b w:val="1"/>
                <w:bCs w:val="1"/>
                <w:color w:val="auto"/>
              </w:rPr>
              <w:t>Expenses</w:t>
            </w:r>
          </w:p>
        </w:tc>
        <w:tc>
          <w:tcPr>
            <w:tcW w:w="9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4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Rental</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19,282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16,443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40,978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31,813</w:t>
            </w:r>
          </w:p>
        </w:tc>
        <w:tc>
          <w:tcPr>
            <w:tcW w:w="100" w:type="dxa"/>
            <w:vAlign w:val="bottom"/>
            <w:shd w:val="clear" w:color="auto" w:fill="CCEEFF"/>
          </w:tcPr>
          <w:p>
            <w:pPr>
              <w:spacing w:after="0"/>
              <w:rPr>
                <w:sz w:val="18"/>
                <w:szCs w:val="18"/>
                <w:color w:val="auto"/>
              </w:rPr>
            </w:pPr>
          </w:p>
        </w:tc>
      </w:tr>
      <w:tr>
        <w:trPr>
          <w:trHeight w:val="215"/>
        </w:trPr>
        <w:tc>
          <w:tcPr>
            <w:tcW w:w="7480" w:type="dxa"/>
            <w:vAlign w:val="bottom"/>
            <w:gridSpan w:val="2"/>
          </w:tcPr>
          <w:p>
            <w:pPr>
              <w:ind w:left="220"/>
              <w:spacing w:after="0"/>
              <w:rPr>
                <w:sz w:val="20"/>
                <w:szCs w:val="20"/>
                <w:color w:val="auto"/>
              </w:rPr>
            </w:pPr>
            <w:r>
              <w:rPr>
                <w:rFonts w:ascii="Arial" w:cs="Arial" w:eastAsia="Arial" w:hAnsi="Arial"/>
                <w:sz w:val="17"/>
                <w:szCs w:val="17"/>
                <w:color w:val="auto"/>
              </w:rPr>
              <w:t>Real estate taxes</w:t>
            </w: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7"/>
                <w:szCs w:val="17"/>
                <w:color w:val="auto"/>
              </w:rPr>
              <w:t>8,888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7,445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16,743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15,181</w:t>
            </w:r>
          </w:p>
        </w:tc>
        <w:tc>
          <w:tcPr>
            <w:tcW w:w="100" w:type="dxa"/>
            <w:vAlign w:val="bottom"/>
          </w:tcPr>
          <w:p>
            <w:pPr>
              <w:spacing w:after="0"/>
              <w:rPr>
                <w:sz w:val="18"/>
                <w:szCs w:val="1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property operating expenses</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28,170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23,888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57,721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46,994</w:t>
            </w:r>
          </w:p>
        </w:tc>
        <w:tc>
          <w:tcPr>
            <w:tcW w:w="100" w:type="dxa"/>
            <w:vAlign w:val="bottom"/>
            <w:shd w:val="clear" w:color="auto" w:fill="CCEEFF"/>
          </w:tcPr>
          <w:p>
            <w:pPr>
              <w:spacing w:after="0"/>
              <w:rPr>
                <w:sz w:val="18"/>
                <w:szCs w:val="18"/>
                <w:color w:val="auto"/>
              </w:rPr>
            </w:pPr>
          </w:p>
        </w:tc>
      </w:tr>
      <w:tr>
        <w:trPr>
          <w:trHeight w:val="105"/>
        </w:trPr>
        <w:tc>
          <w:tcPr>
            <w:tcW w:w="18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operating income</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58,239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51,924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113,989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104,037</w:t>
            </w:r>
          </w:p>
        </w:tc>
        <w:tc>
          <w:tcPr>
            <w:tcW w:w="100" w:type="dxa"/>
            <w:vAlign w:val="bottom"/>
            <w:shd w:val="clear" w:color="auto" w:fill="CCEEFF"/>
          </w:tcPr>
          <w:p>
            <w:pPr>
              <w:spacing w:after="0"/>
              <w:rPr>
                <w:sz w:val="18"/>
                <w:szCs w:val="18"/>
                <w:color w:val="auto"/>
              </w:rPr>
            </w:pPr>
          </w:p>
        </w:tc>
      </w:tr>
      <w:tr>
        <w:trPr>
          <w:trHeight w:val="312"/>
        </w:trPr>
        <w:tc>
          <w:tcPr>
            <w:tcW w:w="7480" w:type="dxa"/>
            <w:vAlign w:val="bottom"/>
            <w:gridSpan w:val="2"/>
          </w:tcPr>
          <w:p>
            <w:pPr>
              <w:ind w:left="220"/>
              <w:spacing w:after="0"/>
              <w:rPr>
                <w:sz w:val="20"/>
                <w:szCs w:val="20"/>
                <w:color w:val="auto"/>
              </w:rPr>
            </w:pPr>
            <w:r>
              <w:rPr>
                <w:rFonts w:ascii="Arial" w:cs="Arial" w:eastAsia="Arial" w:hAnsi="Arial"/>
                <w:sz w:val="17"/>
                <w:szCs w:val="17"/>
                <w:color w:val="auto"/>
              </w:rPr>
              <w:t>Interest</w:t>
            </w:r>
          </w:p>
        </w:tc>
        <w:tc>
          <w:tcPr>
            <w:tcW w:w="90" w:type="dxa"/>
            <w:vAlign w:val="bottom"/>
          </w:tcPr>
          <w:p>
            <w:pPr>
              <w:spacing w:after="0"/>
              <w:rPr>
                <w:sz w:val="24"/>
                <w:szCs w:val="24"/>
                <w:color w:val="auto"/>
              </w:rPr>
            </w:pPr>
          </w:p>
        </w:tc>
        <w:tc>
          <w:tcPr>
            <w:tcW w:w="490" w:type="dxa"/>
            <w:vAlign w:val="bottom"/>
          </w:tcPr>
          <w:p>
            <w:pPr>
              <w:jc w:val="right"/>
              <w:spacing w:after="0"/>
              <w:rPr>
                <w:sz w:val="20"/>
                <w:szCs w:val="20"/>
                <w:color w:val="auto"/>
              </w:rPr>
            </w:pPr>
            <w:r>
              <w:rPr>
                <w:rFonts w:ascii="Arial" w:cs="Arial" w:eastAsia="Arial" w:hAnsi="Arial"/>
                <w:sz w:val="17"/>
                <w:szCs w:val="17"/>
                <w:color w:val="auto"/>
                <w:w w:val="88"/>
              </w:rPr>
              <w:t>18,252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15,133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35,831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31,773</w:t>
            </w:r>
          </w:p>
        </w:tc>
        <w:tc>
          <w:tcPr>
            <w:tcW w:w="100" w:type="dxa"/>
            <w:vAlign w:val="bottom"/>
          </w:tcPr>
          <w:p>
            <w:pPr>
              <w:spacing w:after="0"/>
              <w:rPr>
                <w:sz w:val="24"/>
                <w:szCs w:val="24"/>
                <w:color w:val="auto"/>
              </w:rPr>
            </w:pPr>
          </w:p>
        </w:tc>
      </w:tr>
      <w:tr>
        <w:trPr>
          <w:trHeight w:val="210"/>
        </w:trPr>
        <w:tc>
          <w:tcPr>
            <w:tcW w:w="74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Administrative</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6,496</w:t>
            </w:r>
          </w:p>
        </w:tc>
        <w:tc>
          <w:tcPr>
            <w:tcW w:w="100" w:type="dxa"/>
            <w:vAlign w:val="bottom"/>
            <w:shd w:val="clear" w:color="auto" w:fill="CCEEFF"/>
          </w:tcPr>
          <w:p>
            <w:pPr>
              <w:spacing w:after="0"/>
              <w:rPr>
                <w:sz w:val="18"/>
                <w:szCs w:val="18"/>
                <w:color w:val="auto"/>
              </w:rPr>
            </w:pPr>
          </w:p>
        </w:tc>
      </w:tr>
      <w:tr>
        <w:trPr>
          <w:trHeight w:val="209"/>
        </w:trPr>
        <w:tc>
          <w:tcPr>
            <w:tcW w:w="7480" w:type="dxa"/>
            <w:vAlign w:val="bottom"/>
            <w:gridSpan w:val="2"/>
          </w:tcPr>
          <w:p>
            <w:pPr>
              <w:ind w:left="220"/>
              <w:spacing w:after="0"/>
              <w:rPr>
                <w:sz w:val="20"/>
                <w:szCs w:val="20"/>
                <w:color w:val="auto"/>
              </w:rPr>
            </w:pPr>
            <w:r>
              <w:rPr>
                <w:rFonts w:ascii="Arial" w:cs="Arial" w:eastAsia="Arial" w:hAnsi="Arial"/>
                <w:sz w:val="17"/>
                <w:szCs w:val="17"/>
                <w:color w:val="auto"/>
              </w:rPr>
              <w:t>Restructuring expenses</w:t>
            </w:r>
          </w:p>
        </w:tc>
        <w:tc>
          <w:tcPr>
            <w:tcW w:w="90" w:type="dxa"/>
            <w:vAlign w:val="bottom"/>
          </w:tcPr>
          <w:p>
            <w:pPr>
              <w:spacing w:after="0"/>
              <w:rPr>
                <w:sz w:val="18"/>
                <w:szCs w:val="18"/>
                <w:color w:val="auto"/>
              </w:rPr>
            </w:pPr>
          </w:p>
        </w:tc>
        <w:tc>
          <w:tcPr>
            <w:tcW w:w="910" w:type="dxa"/>
            <w:vAlign w:val="bottom"/>
            <w:gridSpan w:val="2"/>
          </w:tcPr>
          <w:p>
            <w:pPr>
              <w:jc w:val="right"/>
              <w:ind w:right="45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8,489</w:t>
            </w:r>
          </w:p>
        </w:tc>
        <w:tc>
          <w:tcPr>
            <w:tcW w:w="100" w:type="dxa"/>
            <w:vAlign w:val="bottom"/>
          </w:tcPr>
          <w:p>
            <w:pPr>
              <w:spacing w:after="0"/>
              <w:rPr>
                <w:sz w:val="18"/>
                <w:szCs w:val="18"/>
                <w:color w:val="auto"/>
              </w:rPr>
            </w:pPr>
          </w:p>
        </w:tc>
      </w:tr>
      <w:tr>
        <w:trPr>
          <w:trHeight w:val="209"/>
        </w:trPr>
        <w:tc>
          <w:tcPr>
            <w:tcW w:w="74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18,125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15,920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35,572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31,738</w:t>
            </w:r>
          </w:p>
        </w:tc>
        <w:tc>
          <w:tcPr>
            <w:tcW w:w="100" w:type="dxa"/>
            <w:vAlign w:val="bottom"/>
            <w:shd w:val="clear" w:color="auto" w:fill="CCEEFF"/>
          </w:tcPr>
          <w:p>
            <w:pPr>
              <w:spacing w:after="0"/>
              <w:rPr>
                <w:sz w:val="18"/>
                <w:szCs w:val="18"/>
                <w:color w:val="auto"/>
              </w:rPr>
            </w:pPr>
          </w:p>
        </w:tc>
      </w:tr>
      <w:tr>
        <w:trPr>
          <w:trHeight w:val="105"/>
        </w:trPr>
        <w:tc>
          <w:tcPr>
            <w:tcW w:w="18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other expenses</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39,524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34,550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77,824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78,496</w:t>
            </w:r>
          </w:p>
        </w:tc>
        <w:tc>
          <w:tcPr>
            <w:tcW w:w="100" w:type="dxa"/>
            <w:vAlign w:val="bottom"/>
            <w:shd w:val="clear" w:color="auto" w:fill="CCEEFF"/>
          </w:tcPr>
          <w:p>
            <w:pPr>
              <w:spacing w:after="0"/>
              <w:rPr>
                <w:sz w:val="18"/>
                <w:szCs w:val="18"/>
                <w:color w:val="auto"/>
              </w:rPr>
            </w:pPr>
          </w:p>
        </w:tc>
      </w:tr>
      <w:tr>
        <w:trPr>
          <w:trHeight w:val="105"/>
        </w:trPr>
        <w:tc>
          <w:tcPr>
            <w:tcW w:w="18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Operating income before investors’ share of operations and discontinued operations</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18,715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17,374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25,541</w:t>
            </w:r>
          </w:p>
        </w:tc>
        <w:tc>
          <w:tcPr>
            <w:tcW w:w="100" w:type="dxa"/>
            <w:vAlign w:val="bottom"/>
            <w:shd w:val="clear" w:color="auto" w:fill="CCEEFF"/>
          </w:tcPr>
          <w:p>
            <w:pPr>
              <w:spacing w:after="0"/>
              <w:rPr>
                <w:sz w:val="18"/>
                <w:szCs w:val="18"/>
                <w:color w:val="auto"/>
              </w:rPr>
            </w:pPr>
          </w:p>
        </w:tc>
      </w:tr>
      <w:tr>
        <w:trPr>
          <w:trHeight w:val="215"/>
        </w:trPr>
        <w:tc>
          <w:tcPr>
            <w:tcW w:w="7480" w:type="dxa"/>
            <w:vAlign w:val="bottom"/>
            <w:gridSpan w:val="2"/>
          </w:tcPr>
          <w:p>
            <w:pPr>
              <w:ind w:left="220"/>
              <w:spacing w:after="0"/>
              <w:rPr>
                <w:sz w:val="20"/>
                <w:szCs w:val="20"/>
                <w:color w:val="auto"/>
              </w:rPr>
            </w:pPr>
            <w:r>
              <w:rPr>
                <w:rFonts w:ascii="Arial" w:cs="Arial" w:eastAsia="Arial" w:hAnsi="Arial"/>
                <w:sz w:val="17"/>
                <w:szCs w:val="17"/>
                <w:color w:val="auto"/>
              </w:rPr>
              <w:t>Investors’ share of operations</w:t>
            </w:r>
          </w:p>
        </w:tc>
        <w:tc>
          <w:tcPr>
            <w:tcW w:w="90" w:type="dxa"/>
            <w:vAlign w:val="bottom"/>
          </w:tcPr>
          <w:p>
            <w:pPr>
              <w:spacing w:after="0"/>
              <w:rPr>
                <w:sz w:val="18"/>
                <w:szCs w:val="18"/>
                <w:color w:val="auto"/>
              </w:rPr>
            </w:pPr>
          </w:p>
        </w:tc>
        <w:tc>
          <w:tcPr>
            <w:tcW w:w="910" w:type="dxa"/>
            <w:vAlign w:val="bottom"/>
            <w:gridSpan w:val="2"/>
          </w:tcPr>
          <w:p>
            <w:pPr>
              <w:jc w:val="right"/>
              <w:ind w:right="315"/>
              <w:spacing w:after="0"/>
              <w:rPr>
                <w:sz w:val="20"/>
                <w:szCs w:val="20"/>
                <w:color w:val="auto"/>
              </w:rPr>
            </w:pPr>
            <w:r>
              <w:rPr>
                <w:rFonts w:ascii="Arial" w:cs="Arial" w:eastAsia="Arial" w:hAnsi="Arial"/>
                <w:sz w:val="17"/>
                <w:szCs w:val="17"/>
                <w:color w:val="auto"/>
                <w:w w:val="92"/>
              </w:rPr>
              <w:t>(1,134)</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(1,579)</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(2,204)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(2,276)</w:t>
            </w: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0"/>
        </w:trPr>
        <w:tc>
          <w:tcPr>
            <w:tcW w:w="74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7"/>
              </w:rPr>
              <w:t>Income before gain on sale of real estate net of loss on abandoned developments held for sale and</w:t>
            </w:r>
          </w:p>
        </w:tc>
        <w:tc>
          <w:tcPr>
            <w:tcW w:w="90" w:type="dxa"/>
            <w:vAlign w:val="bottom"/>
            <w:shd w:val="clear" w:color="auto" w:fill="CCEEFF"/>
          </w:tcPr>
          <w:p>
            <w:pPr>
              <w:spacing w:after="0"/>
              <w:rPr>
                <w:sz w:val="17"/>
                <w:szCs w:val="17"/>
                <w:color w:val="auto"/>
              </w:rPr>
            </w:pPr>
          </w:p>
        </w:tc>
        <w:tc>
          <w:tcPr>
            <w:tcW w:w="49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74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17,581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15,795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33,961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23,265</w:t>
            </w:r>
          </w:p>
        </w:tc>
        <w:tc>
          <w:tcPr>
            <w:tcW w:w="100" w:type="dxa"/>
            <w:vAlign w:val="bottom"/>
            <w:shd w:val="clear" w:color="auto" w:fill="CCEEFF"/>
          </w:tcPr>
          <w:p>
            <w:pPr>
              <w:spacing w:after="0"/>
              <w:rPr>
                <w:sz w:val="18"/>
                <w:szCs w:val="18"/>
                <w:color w:val="auto"/>
              </w:rPr>
            </w:pPr>
          </w:p>
        </w:tc>
      </w:tr>
      <w:tr>
        <w:trPr>
          <w:trHeight w:val="215"/>
        </w:trPr>
        <w:tc>
          <w:tcPr>
            <w:tcW w:w="7480" w:type="dxa"/>
            <w:vAlign w:val="bottom"/>
            <w:gridSpan w:val="2"/>
          </w:tcPr>
          <w:p>
            <w:pPr>
              <w:ind w:left="220"/>
              <w:spacing w:after="0"/>
              <w:rPr>
                <w:sz w:val="20"/>
                <w:szCs w:val="20"/>
                <w:color w:val="auto"/>
              </w:rPr>
            </w:pPr>
            <w:r>
              <w:rPr>
                <w:rFonts w:ascii="Arial" w:cs="Arial" w:eastAsia="Arial" w:hAnsi="Arial"/>
                <w:sz w:val="17"/>
                <w:szCs w:val="17"/>
                <w:color w:val="auto"/>
              </w:rPr>
              <w:t>Income (loss) from operations of discontinued assets</w:t>
            </w:r>
          </w:p>
        </w:tc>
        <w:tc>
          <w:tcPr>
            <w:tcW w:w="90" w:type="dxa"/>
            <w:vAlign w:val="bottom"/>
          </w:tcPr>
          <w:p>
            <w:pPr>
              <w:spacing w:after="0"/>
              <w:rPr>
                <w:sz w:val="18"/>
                <w:szCs w:val="18"/>
                <w:color w:val="auto"/>
              </w:rPr>
            </w:pPr>
          </w:p>
        </w:tc>
        <w:tc>
          <w:tcPr>
            <w:tcW w:w="910" w:type="dxa"/>
            <w:vAlign w:val="bottom"/>
            <w:gridSpan w:val="2"/>
          </w:tcPr>
          <w:p>
            <w:pPr>
              <w:jc w:val="right"/>
              <w:ind w:right="315"/>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1,285</w:t>
            </w:r>
          </w:p>
        </w:tc>
        <w:tc>
          <w:tcPr>
            <w:tcW w:w="100" w:type="dxa"/>
            <w:vAlign w:val="bottom"/>
          </w:tcPr>
          <w:p>
            <w:pPr>
              <w:spacing w:after="0"/>
              <w:rPr>
                <w:sz w:val="18"/>
                <w:szCs w:val="1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Income before gain on sale of real estate net of loss on abandoned developments held for sale</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17,575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16,234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33,951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24,550</w:t>
            </w:r>
          </w:p>
        </w:tc>
        <w:tc>
          <w:tcPr>
            <w:tcW w:w="100" w:type="dxa"/>
            <w:vAlign w:val="bottom"/>
            <w:shd w:val="clear" w:color="auto" w:fill="CCEEFF"/>
          </w:tcPr>
          <w:p>
            <w:pPr>
              <w:spacing w:after="0"/>
              <w:rPr>
                <w:sz w:val="18"/>
                <w:szCs w:val="18"/>
                <w:color w:val="auto"/>
              </w:rPr>
            </w:pPr>
          </w:p>
        </w:tc>
      </w:tr>
      <w:tr>
        <w:trPr>
          <w:trHeight w:val="215"/>
        </w:trPr>
        <w:tc>
          <w:tcPr>
            <w:tcW w:w="7480" w:type="dxa"/>
            <w:vAlign w:val="bottom"/>
            <w:gridSpan w:val="2"/>
          </w:tcPr>
          <w:p>
            <w:pPr>
              <w:ind w:left="220"/>
              <w:spacing w:after="0"/>
              <w:rPr>
                <w:sz w:val="20"/>
                <w:szCs w:val="20"/>
                <w:color w:val="auto"/>
              </w:rPr>
            </w:pPr>
            <w:r>
              <w:rPr>
                <w:rFonts w:ascii="Arial" w:cs="Arial" w:eastAsia="Arial" w:hAnsi="Arial"/>
                <w:sz w:val="17"/>
                <w:szCs w:val="17"/>
                <w:color w:val="auto"/>
              </w:rPr>
              <w:t>Gain on sale of real estate net of loss on abandoned developments held for sale</w:t>
            </w: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7"/>
                <w:szCs w:val="17"/>
                <w:color w:val="auto"/>
              </w:rPr>
              <w:t>551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19,101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551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9,454</w:t>
            </w:r>
          </w:p>
        </w:tc>
        <w:tc>
          <w:tcPr>
            <w:tcW w:w="100" w:type="dxa"/>
            <w:vAlign w:val="bottom"/>
          </w:tcPr>
          <w:p>
            <w:pPr>
              <w:spacing w:after="0"/>
              <w:rPr>
                <w:sz w:val="18"/>
                <w:szCs w:val="1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ind w:left="1260"/>
              <w:spacing w:after="0"/>
              <w:rPr>
                <w:sz w:val="20"/>
                <w:szCs w:val="20"/>
                <w:color w:val="auto"/>
              </w:rPr>
            </w:pPr>
            <w:r>
              <w:rPr>
                <w:rFonts w:ascii="Arial" w:cs="Arial" w:eastAsia="Arial" w:hAnsi="Arial"/>
                <w:sz w:val="17"/>
                <w:szCs w:val="17"/>
                <w:color w:val="auto"/>
              </w:rPr>
              <w:t>Net income</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18,126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35,335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34,004</w:t>
            </w:r>
          </w:p>
        </w:tc>
        <w:tc>
          <w:tcPr>
            <w:tcW w:w="100" w:type="dxa"/>
            <w:vAlign w:val="bottom"/>
            <w:shd w:val="clear" w:color="auto" w:fill="CCEEFF"/>
          </w:tcPr>
          <w:p>
            <w:pPr>
              <w:spacing w:after="0"/>
              <w:rPr>
                <w:sz w:val="18"/>
                <w:szCs w:val="18"/>
                <w:color w:val="auto"/>
              </w:rPr>
            </w:pPr>
          </w:p>
        </w:tc>
      </w:tr>
      <w:tr>
        <w:trPr>
          <w:trHeight w:val="215"/>
        </w:trPr>
        <w:tc>
          <w:tcPr>
            <w:tcW w:w="7480" w:type="dxa"/>
            <w:vAlign w:val="bottom"/>
            <w:gridSpan w:val="2"/>
          </w:tcPr>
          <w:p>
            <w:pPr>
              <w:ind w:left="220"/>
              <w:spacing w:after="0"/>
              <w:rPr>
                <w:sz w:val="20"/>
                <w:szCs w:val="20"/>
                <w:color w:val="auto"/>
              </w:rPr>
            </w:pPr>
            <w:r>
              <w:rPr>
                <w:rFonts w:ascii="Arial" w:cs="Arial" w:eastAsia="Arial" w:hAnsi="Arial"/>
                <w:sz w:val="17"/>
                <w:szCs w:val="17"/>
                <w:color w:val="auto"/>
              </w:rPr>
              <w:t>Dividends on preferred stock</w:t>
            </w:r>
          </w:p>
        </w:tc>
        <w:tc>
          <w:tcPr>
            <w:tcW w:w="90" w:type="dxa"/>
            <w:vAlign w:val="bottom"/>
          </w:tcPr>
          <w:p>
            <w:pPr>
              <w:spacing w:after="0"/>
              <w:rPr>
                <w:sz w:val="18"/>
                <w:szCs w:val="18"/>
                <w:color w:val="auto"/>
              </w:rPr>
            </w:pPr>
          </w:p>
        </w:tc>
        <w:tc>
          <w:tcPr>
            <w:tcW w:w="910" w:type="dxa"/>
            <w:vAlign w:val="bottom"/>
            <w:gridSpan w:val="2"/>
          </w:tcPr>
          <w:p>
            <w:pPr>
              <w:jc w:val="right"/>
              <w:ind w:right="315"/>
              <w:spacing w:after="0"/>
              <w:rPr>
                <w:sz w:val="20"/>
                <w:szCs w:val="20"/>
                <w:color w:val="auto"/>
              </w:rPr>
            </w:pPr>
            <w:r>
              <w:rPr>
                <w:rFonts w:ascii="Arial" w:cs="Arial" w:eastAsia="Arial" w:hAnsi="Arial"/>
                <w:sz w:val="17"/>
                <w:szCs w:val="17"/>
                <w:color w:val="auto"/>
                <w:w w:val="92"/>
              </w:rPr>
              <w:t>(4,490)</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(4,856)</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(9,346)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(9,712)</w:t>
            </w: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ind w:left="1260"/>
              <w:spacing w:after="0"/>
              <w:rPr>
                <w:sz w:val="20"/>
                <w:szCs w:val="20"/>
                <w:color w:val="auto"/>
              </w:rPr>
            </w:pPr>
            <w:r>
              <w:rPr>
                <w:rFonts w:ascii="Arial" w:cs="Arial" w:eastAsia="Arial" w:hAnsi="Arial"/>
                <w:sz w:val="17"/>
                <w:szCs w:val="17"/>
                <w:color w:val="auto"/>
              </w:rPr>
              <w:t>Net income available for common shareholders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13,636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30,479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25,156</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24,292</w:t>
            </w:r>
          </w:p>
        </w:tc>
        <w:tc>
          <w:tcPr>
            <w:tcW w:w="100" w:type="dxa"/>
            <w:vAlign w:val="bottom"/>
            <w:shd w:val="clear" w:color="auto" w:fill="CCEEFF"/>
          </w:tcPr>
          <w:p>
            <w:pPr>
              <w:spacing w:after="0"/>
              <w:rPr>
                <w:sz w:val="18"/>
                <w:szCs w:val="18"/>
                <w:color w:val="auto"/>
              </w:rPr>
            </w:pPr>
          </w:p>
        </w:tc>
      </w:tr>
      <w:tr>
        <w:trPr>
          <w:trHeight w:val="127"/>
        </w:trPr>
        <w:tc>
          <w:tcPr>
            <w:tcW w:w="18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Funds from Operations</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7480" w:type="dxa"/>
            <w:vAlign w:val="bottom"/>
            <w:gridSpan w:val="2"/>
          </w:tcPr>
          <w:p>
            <w:pPr>
              <w:ind w:left="640"/>
              <w:spacing w:after="0"/>
              <w:rPr>
                <w:sz w:val="20"/>
                <w:szCs w:val="20"/>
                <w:color w:val="auto"/>
              </w:rPr>
            </w:pPr>
            <w:r>
              <w:rPr>
                <w:rFonts w:ascii="Arial" w:cs="Arial" w:eastAsia="Arial" w:hAnsi="Arial"/>
                <w:sz w:val="17"/>
                <w:szCs w:val="17"/>
                <w:color w:val="auto"/>
              </w:rPr>
              <w:t>Net income available for common shareholders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tcPr>
          <w:p>
            <w:pPr>
              <w:jc w:val="right"/>
              <w:spacing w:after="0"/>
              <w:rPr>
                <w:sz w:val="20"/>
                <w:szCs w:val="20"/>
                <w:color w:val="auto"/>
              </w:rPr>
            </w:pPr>
            <w:r>
              <w:rPr>
                <w:rFonts w:ascii="Arial" w:cs="Arial" w:eastAsia="Arial" w:hAnsi="Arial"/>
                <w:sz w:val="17"/>
                <w:szCs w:val="17"/>
                <w:color w:val="auto"/>
                <w:w w:val="88"/>
              </w:rPr>
              <w:t>13,636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30,479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25,156</w:t>
            </w:r>
          </w:p>
        </w:tc>
        <w:tc>
          <w:tcPr>
            <w:tcW w:w="4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24,292</w:t>
            </w:r>
          </w:p>
        </w:tc>
        <w:tc>
          <w:tcPr>
            <w:tcW w:w="100" w:type="dxa"/>
            <w:vAlign w:val="bottom"/>
          </w:tcPr>
          <w:p>
            <w:pPr>
              <w:spacing w:after="0"/>
              <w:rPr>
                <w:sz w:val="18"/>
                <w:szCs w:val="18"/>
                <w:color w:val="auto"/>
              </w:rPr>
            </w:pPr>
          </w:p>
        </w:tc>
      </w:tr>
      <w:tr>
        <w:trPr>
          <w:trHeight w:val="209"/>
        </w:trPr>
        <w:tc>
          <w:tcPr>
            <w:tcW w:w="74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Gain on sale of real estate net of loss on abandoned developments held for sale</w:t>
            </w:r>
          </w:p>
        </w:tc>
        <w:tc>
          <w:tcPr>
            <w:tcW w:w="9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315"/>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1"/>
              </w:rPr>
              <w:t>(19,101)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(9,454)</w:t>
            </w:r>
          </w:p>
        </w:tc>
      </w:tr>
      <w:tr>
        <w:trPr>
          <w:trHeight w:val="209"/>
        </w:trPr>
        <w:tc>
          <w:tcPr>
            <w:tcW w:w="7480" w:type="dxa"/>
            <w:vAlign w:val="bottom"/>
            <w:gridSpan w:val="2"/>
          </w:tcPr>
          <w:p>
            <w:pPr>
              <w:ind w:left="640"/>
              <w:spacing w:after="0"/>
              <w:rPr>
                <w:sz w:val="20"/>
                <w:szCs w:val="20"/>
                <w:color w:val="auto"/>
              </w:rPr>
            </w:pPr>
            <w:r>
              <w:rPr>
                <w:rFonts w:ascii="Arial" w:cs="Arial" w:eastAsia="Arial" w:hAnsi="Arial"/>
                <w:sz w:val="17"/>
                <w:szCs w:val="17"/>
                <w:color w:val="auto"/>
              </w:rPr>
              <w:t>Depreciation and amortization of real estate assets</w:t>
            </w: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7"/>
                <w:szCs w:val="17"/>
                <w:color w:val="auto"/>
                <w:w w:val="88"/>
              </w:rPr>
              <w:t>16,363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14,521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32,161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29,058</w:t>
            </w:r>
          </w:p>
        </w:tc>
        <w:tc>
          <w:tcPr>
            <w:tcW w:w="100" w:type="dxa"/>
            <w:vAlign w:val="bottom"/>
          </w:tcPr>
          <w:p>
            <w:pPr>
              <w:spacing w:after="0"/>
              <w:rPr>
                <w:sz w:val="18"/>
                <w:szCs w:val="18"/>
                <w:color w:val="auto"/>
              </w:rPr>
            </w:pPr>
          </w:p>
        </w:tc>
      </w:tr>
      <w:tr>
        <w:trPr>
          <w:trHeight w:val="209"/>
        </w:trPr>
        <w:tc>
          <w:tcPr>
            <w:tcW w:w="74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Amortization of initial direct costs of leases</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2,371</w:t>
            </w:r>
          </w:p>
        </w:tc>
        <w:tc>
          <w:tcPr>
            <w:tcW w:w="100" w:type="dxa"/>
            <w:vAlign w:val="bottom"/>
            <w:shd w:val="clear" w:color="auto" w:fill="CCEEFF"/>
          </w:tcPr>
          <w:p>
            <w:pPr>
              <w:spacing w:after="0"/>
              <w:rPr>
                <w:sz w:val="18"/>
                <w:szCs w:val="18"/>
                <w:color w:val="auto"/>
              </w:rPr>
            </w:pPr>
          </w:p>
        </w:tc>
      </w:tr>
      <w:tr>
        <w:trPr>
          <w:trHeight w:val="215"/>
        </w:trPr>
        <w:tc>
          <w:tcPr>
            <w:tcW w:w="7480" w:type="dxa"/>
            <w:vAlign w:val="bottom"/>
            <w:gridSpan w:val="2"/>
          </w:tcPr>
          <w:p>
            <w:pPr>
              <w:ind w:left="640"/>
              <w:spacing w:after="0"/>
              <w:rPr>
                <w:sz w:val="20"/>
                <w:szCs w:val="20"/>
                <w:color w:val="auto"/>
              </w:rPr>
            </w:pPr>
            <w:r>
              <w:rPr>
                <w:rFonts w:ascii="Arial" w:cs="Arial" w:eastAsia="Arial" w:hAnsi="Arial"/>
                <w:sz w:val="17"/>
                <w:szCs w:val="17"/>
                <w:color w:val="auto"/>
              </w:rPr>
              <w:t>Income attributable to operating partnership units</w:t>
            </w: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7"/>
                <w:szCs w:val="17"/>
                <w:color w:val="auto"/>
              </w:rPr>
              <w:t>235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441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514</w:t>
            </w:r>
          </w:p>
        </w:tc>
        <w:tc>
          <w:tcPr>
            <w:tcW w:w="100" w:type="dxa"/>
            <w:vAlign w:val="bottom"/>
          </w:tcPr>
          <w:p>
            <w:pPr>
              <w:spacing w:after="0"/>
              <w:rPr>
                <w:sz w:val="18"/>
                <w:szCs w:val="1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Funds from operations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31,075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27,749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59,953</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46,781</w:t>
            </w:r>
          </w:p>
        </w:tc>
        <w:tc>
          <w:tcPr>
            <w:tcW w:w="100" w:type="dxa"/>
            <w:vAlign w:val="bottom"/>
            <w:shd w:val="clear" w:color="auto" w:fill="CCEEFF"/>
          </w:tcPr>
          <w:p>
            <w:pPr>
              <w:spacing w:after="0"/>
              <w:rPr>
                <w:sz w:val="18"/>
                <w:szCs w:val="18"/>
                <w:color w:val="auto"/>
              </w:rPr>
            </w:pPr>
          </w:p>
        </w:tc>
      </w:tr>
      <w:tr>
        <w:trPr>
          <w:trHeight w:val="127"/>
        </w:trPr>
        <w:tc>
          <w:tcPr>
            <w:tcW w:w="18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Weighted average number of common shares, diluted</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48,376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42,136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46,876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41,568</w:t>
            </w:r>
          </w:p>
        </w:tc>
        <w:tc>
          <w:tcPr>
            <w:tcW w:w="100" w:type="dxa"/>
            <w:vAlign w:val="bottom"/>
            <w:shd w:val="clear" w:color="auto" w:fill="CCEEFF"/>
          </w:tcPr>
          <w:p>
            <w:pPr>
              <w:spacing w:after="0"/>
              <w:rPr>
                <w:sz w:val="18"/>
                <w:szCs w:val="18"/>
                <w:color w:val="auto"/>
              </w:rPr>
            </w:pPr>
          </w:p>
        </w:tc>
      </w:tr>
      <w:tr>
        <w:trPr>
          <w:trHeight w:val="127"/>
        </w:trPr>
        <w:tc>
          <w:tcPr>
            <w:tcW w:w="18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Funds from operations per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8"/>
                <w:szCs w:val="18"/>
                <w:color w:val="auto"/>
              </w:rPr>
            </w:pPr>
          </w:p>
        </w:tc>
      </w:tr>
      <w:tr>
        <w:trPr>
          <w:trHeight w:val="127"/>
        </w:trPr>
        <w:tc>
          <w:tcPr>
            <w:tcW w:w="18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Funds from operations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31,075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27,749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59,953</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46,781</w:t>
            </w:r>
          </w:p>
        </w:tc>
        <w:tc>
          <w:tcPr>
            <w:tcW w:w="100" w:type="dxa"/>
            <w:vAlign w:val="bottom"/>
            <w:shd w:val="clear" w:color="auto" w:fill="CCEEFF"/>
          </w:tcPr>
          <w:p>
            <w:pPr>
              <w:spacing w:after="0"/>
              <w:rPr>
                <w:sz w:val="18"/>
                <w:szCs w:val="18"/>
                <w:color w:val="auto"/>
              </w:rPr>
            </w:pPr>
          </w:p>
        </w:tc>
      </w:tr>
      <w:tr>
        <w:trPr>
          <w:trHeight w:val="215"/>
        </w:trPr>
        <w:tc>
          <w:tcPr>
            <w:tcW w:w="7480" w:type="dxa"/>
            <w:vAlign w:val="bottom"/>
            <w:gridSpan w:val="2"/>
          </w:tcPr>
          <w:p>
            <w:pPr>
              <w:ind w:left="640"/>
              <w:spacing w:after="0"/>
              <w:rPr>
                <w:sz w:val="20"/>
                <w:szCs w:val="20"/>
                <w:color w:val="auto"/>
              </w:rPr>
            </w:pPr>
            <w:r>
              <w:rPr>
                <w:rFonts w:ascii="Arial" w:cs="Arial" w:eastAsia="Arial" w:hAnsi="Arial"/>
                <w:sz w:val="17"/>
                <w:szCs w:val="17"/>
                <w:color w:val="auto"/>
              </w:rPr>
              <w:t>Add back restructuring expense</w:t>
            </w:r>
          </w:p>
        </w:tc>
        <w:tc>
          <w:tcPr>
            <w:tcW w:w="90" w:type="dxa"/>
            <w:vAlign w:val="bottom"/>
          </w:tcPr>
          <w:p>
            <w:pPr>
              <w:spacing w:after="0"/>
              <w:rPr>
                <w:sz w:val="18"/>
                <w:szCs w:val="18"/>
                <w:color w:val="auto"/>
              </w:rPr>
            </w:pPr>
          </w:p>
        </w:tc>
        <w:tc>
          <w:tcPr>
            <w:tcW w:w="910" w:type="dxa"/>
            <w:vAlign w:val="bottom"/>
            <w:gridSpan w:val="2"/>
          </w:tcPr>
          <w:p>
            <w:pPr>
              <w:jc w:val="right"/>
              <w:ind w:right="45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8,489</w:t>
            </w:r>
          </w:p>
        </w:tc>
        <w:tc>
          <w:tcPr>
            <w:tcW w:w="100" w:type="dxa"/>
            <w:vAlign w:val="bottom"/>
          </w:tcPr>
          <w:p>
            <w:pPr>
              <w:spacing w:after="0"/>
              <w:rPr>
                <w:sz w:val="18"/>
                <w:szCs w:val="1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Adjusted funds from operations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31,075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27,749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59,953</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55,270</w:t>
            </w:r>
          </w:p>
        </w:tc>
        <w:tc>
          <w:tcPr>
            <w:tcW w:w="100" w:type="dxa"/>
            <w:vAlign w:val="bottom"/>
            <w:shd w:val="clear" w:color="auto" w:fill="CCEEFF"/>
          </w:tcPr>
          <w:p>
            <w:pPr>
              <w:spacing w:after="0"/>
              <w:rPr>
                <w:sz w:val="18"/>
                <w:szCs w:val="18"/>
                <w:color w:val="auto"/>
              </w:rPr>
            </w:pPr>
          </w:p>
        </w:tc>
      </w:tr>
      <w:tr>
        <w:trPr>
          <w:trHeight w:val="127"/>
        </w:trPr>
        <w:tc>
          <w:tcPr>
            <w:tcW w:w="18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Earnings per common share, basic</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0"/>
        </w:trPr>
        <w:tc>
          <w:tcPr>
            <w:tcW w:w="7480" w:type="dxa"/>
            <w:vAlign w:val="bottom"/>
            <w:gridSpan w:val="2"/>
          </w:tcPr>
          <w:p>
            <w:pPr>
              <w:ind w:left="420"/>
              <w:spacing w:after="0"/>
              <w:rPr>
                <w:sz w:val="20"/>
                <w:szCs w:val="20"/>
                <w:color w:val="auto"/>
              </w:rPr>
            </w:pPr>
            <w:r>
              <w:rPr>
                <w:rFonts w:ascii="Arial" w:cs="Arial" w:eastAsia="Arial" w:hAnsi="Arial"/>
                <w:sz w:val="17"/>
                <w:szCs w:val="17"/>
                <w:color w:val="auto"/>
                <w:w w:val="94"/>
              </w:rPr>
              <w:t>Income before gain on sale of real estate net of loss on abandoned developments held for sale and</w:t>
            </w:r>
          </w:p>
        </w:tc>
        <w:tc>
          <w:tcPr>
            <w:tcW w:w="90" w:type="dxa"/>
            <w:vAlign w:val="bottom"/>
          </w:tcPr>
          <w:p>
            <w:pPr>
              <w:spacing w:after="0"/>
              <w:rPr>
                <w:sz w:val="17"/>
                <w:szCs w:val="17"/>
                <w:color w:val="auto"/>
              </w:rPr>
            </w:pPr>
          </w:p>
        </w:tc>
        <w:tc>
          <w:tcPr>
            <w:tcW w:w="49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80" w:type="dxa"/>
            <w:vAlign w:val="bottom"/>
            <w:gridSpan w:val="2"/>
          </w:tcPr>
          <w:p>
            <w:pPr>
              <w:ind w:left="640"/>
              <w:spacing w:after="0"/>
              <w:rPr>
                <w:sz w:val="20"/>
                <w:szCs w:val="20"/>
                <w:color w:val="auto"/>
              </w:rPr>
            </w:pPr>
            <w:r>
              <w:rPr>
                <w:rFonts w:ascii="Arial" w:cs="Arial" w:eastAsia="Arial" w:hAnsi="Arial"/>
                <w:sz w:val="17"/>
                <w:szCs w:val="17"/>
                <w:color w:val="auto"/>
              </w:rPr>
              <w:t>discontinued operations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tcPr>
          <w:p>
            <w:pPr>
              <w:jc w:val="right"/>
              <w:spacing w:after="0"/>
              <w:rPr>
                <w:sz w:val="20"/>
                <w:szCs w:val="20"/>
                <w:color w:val="auto"/>
              </w:rPr>
            </w:pPr>
            <w:r>
              <w:rPr>
                <w:rFonts w:ascii="Arial" w:cs="Arial" w:eastAsia="Arial" w:hAnsi="Arial"/>
                <w:sz w:val="17"/>
                <w:szCs w:val="17"/>
                <w:color w:val="auto"/>
              </w:rPr>
              <w:t>0.28</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0.27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0.54</w:t>
            </w:r>
          </w:p>
        </w:tc>
        <w:tc>
          <w:tcPr>
            <w:tcW w:w="4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0.34</w:t>
            </w:r>
          </w:p>
        </w:tc>
        <w:tc>
          <w:tcPr>
            <w:tcW w:w="100" w:type="dxa"/>
            <w:vAlign w:val="bottom"/>
          </w:tcPr>
          <w:p>
            <w:pPr>
              <w:spacing w:after="0"/>
              <w:rPr>
                <w:sz w:val="18"/>
                <w:szCs w:val="18"/>
                <w:color w:val="auto"/>
              </w:rPr>
            </w:pPr>
          </w:p>
        </w:tc>
      </w:tr>
      <w:tr>
        <w:trPr>
          <w:trHeight w:val="210"/>
        </w:trPr>
        <w:tc>
          <w:tcPr>
            <w:tcW w:w="74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9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8"/>
                <w:szCs w:val="18"/>
                <w:color w:val="auto"/>
              </w:rPr>
            </w:pPr>
          </w:p>
        </w:tc>
      </w:tr>
      <w:tr>
        <w:trPr>
          <w:trHeight w:val="215"/>
        </w:trPr>
        <w:tc>
          <w:tcPr>
            <w:tcW w:w="7480" w:type="dxa"/>
            <w:vAlign w:val="bottom"/>
            <w:gridSpan w:val="2"/>
          </w:tcPr>
          <w:p>
            <w:pPr>
              <w:ind w:left="420"/>
              <w:spacing w:after="0"/>
              <w:rPr>
                <w:sz w:val="20"/>
                <w:szCs w:val="20"/>
                <w:color w:val="auto"/>
              </w:rPr>
            </w:pPr>
            <w:r>
              <w:rPr>
                <w:rFonts w:ascii="Arial" w:cs="Arial" w:eastAsia="Arial" w:hAnsi="Arial"/>
                <w:sz w:val="17"/>
                <w:szCs w:val="17"/>
                <w:color w:val="auto"/>
              </w:rPr>
              <w:t>Gain on sale of real estate net of loss on abandoned developments held for sale</w:t>
            </w: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7"/>
                <w:szCs w:val="17"/>
                <w:color w:val="auto"/>
              </w:rPr>
              <w:t>0.01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0.01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Pr>
          <w:p>
            <w:pPr>
              <w:spacing w:after="0"/>
              <w:rPr>
                <w:sz w:val="18"/>
                <w:szCs w:val="1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182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100" w:type="dxa"/>
            <w:vAlign w:val="bottom"/>
            <w:shd w:val="clear" w:color="auto" w:fill="CCEEFF"/>
          </w:tcPr>
          <w:p>
            <w:pPr>
              <w:spacing w:after="0"/>
              <w:rPr>
                <w:sz w:val="18"/>
                <w:szCs w:val="18"/>
                <w:color w:val="auto"/>
              </w:rPr>
            </w:pPr>
          </w:p>
        </w:tc>
      </w:tr>
      <w:tr>
        <w:trPr>
          <w:trHeight w:val="127"/>
        </w:trPr>
        <w:tc>
          <w:tcPr>
            <w:tcW w:w="18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18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Weighted average number of common shares, basic</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47,161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40,798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45,726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40,286</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-3826510</wp:posOffset>
            </wp:positionV>
            <wp:extent cx="12700" cy="29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-3826510</wp:posOffset>
            </wp:positionV>
            <wp:extent cx="20955" cy="29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-3826510</wp:posOffset>
            </wp:positionV>
            <wp:extent cx="37465" cy="29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-3826510</wp:posOffset>
            </wp:positionV>
            <wp:extent cx="12700" cy="29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-3826510</wp:posOffset>
            </wp:positionV>
            <wp:extent cx="20955" cy="29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-3826510</wp:posOffset>
            </wp:positionV>
            <wp:extent cx="37465" cy="29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-3826510</wp:posOffset>
            </wp:positionV>
            <wp:extent cx="12700" cy="29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-3826510</wp:posOffset>
            </wp:positionV>
            <wp:extent cx="20955" cy="29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-3826510</wp:posOffset>
            </wp:positionV>
            <wp:extent cx="37465" cy="29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-3826510</wp:posOffset>
            </wp:positionV>
            <wp:extent cx="12700" cy="29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-3826510</wp:posOffset>
            </wp:positionV>
            <wp:extent cx="20955" cy="29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7176770</wp:posOffset>
            </wp:positionH>
            <wp:positionV relativeFrom="paragraph">
              <wp:posOffset>-3826510</wp:posOffset>
            </wp:positionV>
            <wp:extent cx="37465" cy="29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-2598420</wp:posOffset>
            </wp:positionV>
            <wp:extent cx="12700" cy="29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-2598420</wp:posOffset>
            </wp:positionV>
            <wp:extent cx="20955" cy="29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-2598420</wp:posOffset>
            </wp:positionV>
            <wp:extent cx="37465" cy="29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-2598420</wp:posOffset>
            </wp:positionV>
            <wp:extent cx="12700" cy="29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-2598420</wp:posOffset>
            </wp:positionV>
            <wp:extent cx="20955" cy="29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-2598420</wp:posOffset>
            </wp:positionV>
            <wp:extent cx="37465" cy="29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-2598420</wp:posOffset>
            </wp:positionV>
            <wp:extent cx="12700" cy="29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-2598420</wp:posOffset>
            </wp:positionV>
            <wp:extent cx="20955" cy="29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-2598420</wp:posOffset>
            </wp:positionV>
            <wp:extent cx="37465" cy="29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-2598420</wp:posOffset>
            </wp:positionV>
            <wp:extent cx="12700" cy="29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-2598420</wp:posOffset>
            </wp:positionV>
            <wp:extent cx="20955" cy="29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7176770</wp:posOffset>
            </wp:positionH>
            <wp:positionV relativeFrom="paragraph">
              <wp:posOffset>-2598420</wp:posOffset>
            </wp:positionV>
            <wp:extent cx="37465" cy="29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-2308225</wp:posOffset>
            </wp:positionV>
            <wp:extent cx="12700" cy="29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-2308225</wp:posOffset>
            </wp:positionV>
            <wp:extent cx="20955" cy="29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-2308225</wp:posOffset>
            </wp:positionV>
            <wp:extent cx="37465" cy="29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-2308225</wp:posOffset>
            </wp:positionV>
            <wp:extent cx="12700"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-2308225</wp:posOffset>
            </wp:positionV>
            <wp:extent cx="20955" cy="29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-2308225</wp:posOffset>
            </wp:positionV>
            <wp:extent cx="37465" cy="29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-2308225</wp:posOffset>
            </wp:positionV>
            <wp:extent cx="12700" cy="29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-2308225</wp:posOffset>
            </wp:positionV>
            <wp:extent cx="20955"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-2308225</wp:posOffset>
            </wp:positionV>
            <wp:extent cx="37465" cy="2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-2308225</wp:posOffset>
            </wp:positionV>
            <wp:extent cx="12700"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-2308225</wp:posOffset>
            </wp:positionV>
            <wp:extent cx="20955" cy="29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7176770</wp:posOffset>
            </wp:positionH>
            <wp:positionV relativeFrom="paragraph">
              <wp:posOffset>-2308225</wp:posOffset>
            </wp:positionV>
            <wp:extent cx="37465" cy="29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-2017395</wp:posOffset>
            </wp:positionV>
            <wp:extent cx="12700" cy="29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-2017395</wp:posOffset>
            </wp:positionV>
            <wp:extent cx="20955" cy="29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-2017395</wp:posOffset>
            </wp:positionV>
            <wp:extent cx="37465" cy="29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-2017395</wp:posOffset>
            </wp:positionV>
            <wp:extent cx="12700" cy="29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-2017395</wp:posOffset>
            </wp:positionV>
            <wp:extent cx="20955" cy="29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-2017395</wp:posOffset>
            </wp:positionV>
            <wp:extent cx="37465" cy="29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-2017395</wp:posOffset>
            </wp:positionV>
            <wp:extent cx="12700" cy="29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-2017395</wp:posOffset>
            </wp:positionV>
            <wp:extent cx="20955" cy="29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-2017395</wp:posOffset>
            </wp:positionV>
            <wp:extent cx="37465" cy="29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-2017395</wp:posOffset>
            </wp:positionV>
            <wp:extent cx="12700" cy="29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-2017395</wp:posOffset>
            </wp:positionV>
            <wp:extent cx="20955" cy="29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7176770</wp:posOffset>
            </wp:positionH>
            <wp:positionV relativeFrom="paragraph">
              <wp:posOffset>-2017395</wp:posOffset>
            </wp:positionV>
            <wp:extent cx="37465" cy="29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-1320800</wp:posOffset>
            </wp:positionV>
            <wp:extent cx="12700" cy="29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-1320800</wp:posOffset>
            </wp:positionV>
            <wp:extent cx="20955" cy="29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-1320800</wp:posOffset>
            </wp:positionV>
            <wp:extent cx="37465" cy="29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-1320800</wp:posOffset>
            </wp:positionV>
            <wp:extent cx="12700" cy="29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-1320800</wp:posOffset>
            </wp:positionV>
            <wp:extent cx="20955" cy="292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-1320800</wp:posOffset>
            </wp:positionV>
            <wp:extent cx="37465" cy="29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-1320800</wp:posOffset>
            </wp:positionV>
            <wp:extent cx="12700" cy="29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-1320800</wp:posOffset>
            </wp:positionV>
            <wp:extent cx="20955" cy="29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-1320800</wp:posOffset>
            </wp:positionV>
            <wp:extent cx="37465" cy="29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-1320800</wp:posOffset>
            </wp:positionV>
            <wp:extent cx="12700" cy="29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-1320800</wp:posOffset>
            </wp:positionV>
            <wp:extent cx="20955" cy="29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7176770</wp:posOffset>
            </wp:positionH>
            <wp:positionV relativeFrom="paragraph">
              <wp:posOffset>-1320800</wp:posOffset>
            </wp:positionV>
            <wp:extent cx="37465" cy="29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-225425</wp:posOffset>
            </wp:positionV>
            <wp:extent cx="12700" cy="29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-225425</wp:posOffset>
            </wp:positionV>
            <wp:extent cx="20955" cy="29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-225425</wp:posOffset>
            </wp:positionV>
            <wp:extent cx="37465" cy="29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-225425</wp:posOffset>
            </wp:positionV>
            <wp:extent cx="12700" cy="29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-225425</wp:posOffset>
            </wp:positionV>
            <wp:extent cx="20955" cy="29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-225425</wp:posOffset>
            </wp:positionV>
            <wp:extent cx="37465" cy="29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-225425</wp:posOffset>
            </wp:positionV>
            <wp:extent cx="12700" cy="29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-225425</wp:posOffset>
            </wp:positionV>
            <wp:extent cx="20955" cy="29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-225425</wp:posOffset>
            </wp:positionV>
            <wp:extent cx="37465" cy="29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-225425</wp:posOffset>
            </wp:positionV>
            <wp:extent cx="12700" cy="29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-225425</wp:posOffset>
            </wp:positionV>
            <wp:extent cx="20955" cy="292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7176770</wp:posOffset>
            </wp:positionH>
            <wp:positionV relativeFrom="paragraph">
              <wp:posOffset>-225425</wp:posOffset>
            </wp:positionV>
            <wp:extent cx="37465" cy="29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ectPr>
          <w:pgSz w:w="11900" w:h="16867" w:orient="portrait"/>
          <w:cols w:equalWidth="0" w:num="1">
            <w:col w:w="11420"/>
          </w:cols>
          <w:pgMar w:left="240" w:top="271"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9"/>
        </w:trPr>
        <w:tc>
          <w:tcPr>
            <w:tcW w:w="7480" w:type="dxa"/>
            <w:vAlign w:val="bottom"/>
            <w:shd w:val="clear" w:color="auto" w:fill="CCEEFF"/>
          </w:tcPr>
          <w:p>
            <w:pPr>
              <w:jc w:val="center"/>
              <w:ind w:right="4935"/>
              <w:spacing w:after="0"/>
              <w:rPr>
                <w:sz w:val="20"/>
                <w:szCs w:val="20"/>
                <w:color w:val="auto"/>
              </w:rPr>
            </w:pPr>
            <w:r>
              <w:rPr>
                <w:rFonts w:ascii="Arial" w:cs="Arial" w:eastAsia="Arial" w:hAnsi="Arial"/>
                <w:sz w:val="17"/>
                <w:szCs w:val="17"/>
                <w:color w:val="auto"/>
                <w:w w:val="90"/>
              </w:rPr>
              <w:t>Earnings per common share,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0"/>
        </w:trPr>
        <w:tc>
          <w:tcPr>
            <w:tcW w:w="7480" w:type="dxa"/>
            <w:vAlign w:val="bottom"/>
          </w:tcPr>
          <w:p>
            <w:pPr>
              <w:ind w:left="220"/>
              <w:spacing w:after="0"/>
              <w:rPr>
                <w:sz w:val="20"/>
                <w:szCs w:val="20"/>
                <w:color w:val="auto"/>
              </w:rPr>
            </w:pPr>
            <w:r>
              <w:rPr>
                <w:rFonts w:ascii="Arial" w:cs="Arial" w:eastAsia="Arial" w:hAnsi="Arial"/>
                <w:sz w:val="17"/>
                <w:szCs w:val="17"/>
                <w:color w:val="auto"/>
                <w:w w:val="97"/>
              </w:rPr>
              <w:t>Income before gain on sale of real estate net of loss on abandoned developments held for sale and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80" w:type="dxa"/>
            <w:vAlign w:val="bottom"/>
          </w:tcPr>
          <w:p>
            <w:pPr>
              <w:jc w:val="center"/>
              <w:ind w:right="4935"/>
              <w:spacing w:after="0"/>
              <w:rPr>
                <w:sz w:val="20"/>
                <w:szCs w:val="20"/>
                <w:color w:val="auto"/>
              </w:rPr>
            </w:pPr>
            <w:r>
              <w:rPr>
                <w:rFonts w:ascii="Arial" w:cs="Arial" w:eastAsia="Arial" w:hAnsi="Arial"/>
                <w:sz w:val="17"/>
                <w:szCs w:val="17"/>
                <w:color w:val="auto"/>
                <w:w w:val="90"/>
              </w:rPr>
              <w:t>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0.28</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0.27</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0.54</w:t>
            </w:r>
          </w:p>
        </w:tc>
        <w:tc>
          <w:tcPr>
            <w:tcW w:w="5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0.34</w:t>
            </w:r>
          </w:p>
        </w:tc>
        <w:tc>
          <w:tcPr>
            <w:tcW w:w="100" w:type="dxa"/>
            <w:vAlign w:val="bottom"/>
          </w:tcPr>
          <w:p>
            <w:pPr>
              <w:spacing w:after="0"/>
              <w:rPr>
                <w:sz w:val="18"/>
                <w:szCs w:val="18"/>
                <w:color w:val="auto"/>
              </w:rPr>
            </w:pPr>
          </w:p>
        </w:tc>
      </w:tr>
      <w:tr>
        <w:trPr>
          <w:trHeight w:val="210"/>
        </w:trPr>
        <w:tc>
          <w:tcPr>
            <w:tcW w:w="7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8"/>
                <w:szCs w:val="18"/>
                <w:color w:val="auto"/>
              </w:rPr>
            </w:pPr>
          </w:p>
        </w:tc>
      </w:tr>
      <w:tr>
        <w:trPr>
          <w:trHeight w:val="215"/>
        </w:trPr>
        <w:tc>
          <w:tcPr>
            <w:tcW w:w="7480" w:type="dxa"/>
            <w:vAlign w:val="bottom"/>
          </w:tcPr>
          <w:p>
            <w:pPr>
              <w:ind w:left="220"/>
              <w:spacing w:after="0"/>
              <w:rPr>
                <w:sz w:val="20"/>
                <w:szCs w:val="20"/>
                <w:color w:val="auto"/>
              </w:rPr>
            </w:pPr>
            <w:r>
              <w:rPr>
                <w:rFonts w:ascii="Arial" w:cs="Arial" w:eastAsia="Arial" w:hAnsi="Arial"/>
                <w:sz w:val="17"/>
                <w:szCs w:val="17"/>
                <w:color w:val="auto"/>
              </w:rPr>
              <w:t>Gain on sale of real estate net of loss on abandoned developments held for sale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0.01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0.46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0.01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Pr>
          <w:p>
            <w:pPr>
              <w:spacing w:after="0"/>
              <w:rPr>
                <w:sz w:val="18"/>
                <w:szCs w:val="18"/>
                <w:color w:val="auto"/>
              </w:rPr>
            </w:pPr>
          </w:p>
        </w:tc>
      </w:tr>
      <w:tr>
        <w:trPr>
          <w:trHeight w:val="98"/>
        </w:trPr>
        <w:tc>
          <w:tcPr>
            <w:tcW w:w="7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100" w:type="dxa"/>
            <w:vAlign w:val="bottom"/>
            <w:shd w:val="clear" w:color="auto" w:fill="CCEEFF"/>
          </w:tcPr>
          <w:p>
            <w:pPr>
              <w:spacing w:after="0"/>
              <w:rPr>
                <w:sz w:val="18"/>
                <w:szCs w:val="18"/>
                <w:color w:val="auto"/>
              </w:rPr>
            </w:pPr>
          </w:p>
        </w:tc>
      </w:tr>
      <w:tr>
        <w:trPr>
          <w:trHeight w:val="127"/>
        </w:trPr>
        <w:tc>
          <w:tcPr>
            <w:tcW w:w="7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7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74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48,376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42,136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46,876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41,568</w:t>
            </w:r>
          </w:p>
        </w:tc>
        <w:tc>
          <w:tcPr>
            <w:tcW w:w="100" w:type="dxa"/>
            <w:vAlign w:val="bottom"/>
            <w:shd w:val="clear" w:color="auto" w:fill="CCEEFF"/>
          </w:tcPr>
          <w:p>
            <w:pPr>
              <w:spacing w:after="0"/>
              <w:rPr>
                <w:sz w:val="18"/>
                <w:szCs w:val="18"/>
                <w:color w:val="auto"/>
              </w:rPr>
            </w:pPr>
          </w:p>
        </w:tc>
      </w:tr>
      <w:tr>
        <w:trPr>
          <w:trHeight w:val="127"/>
        </w:trPr>
        <w:tc>
          <w:tcPr>
            <w:tcW w:w="7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4898390</wp:posOffset>
            </wp:positionH>
            <wp:positionV relativeFrom="page">
              <wp:posOffset>88900</wp:posOffset>
            </wp:positionV>
            <wp:extent cx="2468245" cy="27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68245" cy="2730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-318770</wp:posOffset>
            </wp:positionV>
            <wp:extent cx="12700" cy="29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-318770</wp:posOffset>
            </wp:positionV>
            <wp:extent cx="20955" cy="29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-318770</wp:posOffset>
            </wp:positionV>
            <wp:extent cx="37465" cy="292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-318770</wp:posOffset>
            </wp:positionV>
            <wp:extent cx="12700" cy="29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-318770</wp:posOffset>
            </wp:positionV>
            <wp:extent cx="20955" cy="29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-318770</wp:posOffset>
            </wp:positionV>
            <wp:extent cx="37465" cy="292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-318770</wp:posOffset>
            </wp:positionV>
            <wp:extent cx="452120" cy="292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2120" cy="29210"/>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-318770</wp:posOffset>
            </wp:positionV>
            <wp:extent cx="12700" cy="29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-318770</wp:posOffset>
            </wp:positionV>
            <wp:extent cx="20955" cy="29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7176770</wp:posOffset>
            </wp:positionH>
            <wp:positionV relativeFrom="paragraph">
              <wp:posOffset>-318770</wp:posOffset>
            </wp:positionV>
            <wp:extent cx="37465" cy="29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-28575</wp:posOffset>
            </wp:positionV>
            <wp:extent cx="12700" cy="29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-28575</wp:posOffset>
            </wp:positionV>
            <wp:extent cx="20955" cy="29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-28575</wp:posOffset>
            </wp:positionV>
            <wp:extent cx="37465" cy="29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-28575</wp:posOffset>
            </wp:positionV>
            <wp:extent cx="12700" cy="29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5443220</wp:posOffset>
            </wp:positionH>
            <wp:positionV relativeFrom="paragraph">
              <wp:posOffset>-28575</wp:posOffset>
            </wp:positionV>
            <wp:extent cx="20955" cy="292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-28575</wp:posOffset>
            </wp:positionV>
            <wp:extent cx="37465" cy="29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-28575</wp:posOffset>
            </wp:positionV>
            <wp:extent cx="12700" cy="29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-28575</wp:posOffset>
            </wp:positionV>
            <wp:extent cx="20955" cy="29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6480175</wp:posOffset>
            </wp:positionH>
            <wp:positionV relativeFrom="paragraph">
              <wp:posOffset>-28575</wp:posOffset>
            </wp:positionV>
            <wp:extent cx="37465" cy="29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6762115</wp:posOffset>
            </wp:positionH>
            <wp:positionV relativeFrom="paragraph">
              <wp:posOffset>-28575</wp:posOffset>
            </wp:positionV>
            <wp:extent cx="12700" cy="29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-28575</wp:posOffset>
            </wp:positionV>
            <wp:extent cx="20955" cy="29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7176770</wp:posOffset>
            </wp:positionH>
            <wp:positionV relativeFrom="paragraph">
              <wp:posOffset>-28575</wp:posOffset>
            </wp:positionV>
            <wp:extent cx="37465" cy="29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2"/>
              </w:rPr>
              <w:t>June 30,</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r>
      <w:tr>
        <w:trPr>
          <w:trHeight w:val="168"/>
        </w:trPr>
        <w:tc>
          <w:tcPr>
            <w:tcW w:w="194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45"/>
              <w:spacing w:after="0"/>
              <w:rPr>
                <w:sz w:val="20"/>
                <w:szCs w:val="20"/>
                <w:color w:val="auto"/>
              </w:rPr>
            </w:pPr>
            <w:r>
              <w:rPr>
                <w:rFonts w:ascii="Arial" w:cs="Arial" w:eastAsia="Arial" w:hAnsi="Arial"/>
                <w:sz w:val="13"/>
                <w:szCs w:val="13"/>
                <w:b w:val="1"/>
                <w:bCs w:val="1"/>
                <w:color w:val="auto"/>
                <w:w w:val="89"/>
              </w:rPr>
              <w:t>2003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3"/>
                <w:szCs w:val="13"/>
                <w:b w:val="1"/>
                <w:bCs w:val="1"/>
                <w:color w:val="auto"/>
              </w:rPr>
              <w:t>2002</w:t>
            </w:r>
          </w:p>
        </w:tc>
        <w:tc>
          <w:tcPr>
            <w:tcW w:w="100" w:type="dxa"/>
            <w:vAlign w:val="bottom"/>
          </w:tcPr>
          <w:p>
            <w:pPr>
              <w:spacing w:after="0"/>
              <w:rPr>
                <w:sz w:val="14"/>
                <w:szCs w:val="14"/>
                <w:color w:val="auto"/>
              </w:rPr>
            </w:pPr>
          </w:p>
        </w:tc>
      </w:tr>
      <w:tr>
        <w:trPr>
          <w:trHeight w:val="93"/>
        </w:trPr>
        <w:tc>
          <w:tcPr>
            <w:tcW w:w="194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41"/>
        </w:trPr>
        <w:tc>
          <w:tcPr>
            <w:tcW w:w="19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24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90"/>
              </w:rPr>
              <w:t>(unaudited)</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9300" w:type="dxa"/>
            <w:vAlign w:val="bottom"/>
            <w:gridSpan w:val="2"/>
            <w:shd w:val="clear" w:color="auto" w:fill="CCEEFF"/>
          </w:tcPr>
          <w:p>
            <w:pPr>
              <w:spacing w:after="0" w:line="170" w:lineRule="exact"/>
              <w:rPr>
                <w:sz w:val="20"/>
                <w:szCs w:val="20"/>
                <w:color w:val="auto"/>
              </w:rPr>
            </w:pPr>
            <w:r>
              <w:rPr>
                <w:rFonts w:ascii="Arial" w:cs="Arial" w:eastAsia="Arial" w:hAnsi="Arial"/>
                <w:sz w:val="17"/>
                <w:szCs w:val="17"/>
                <w:b w:val="1"/>
                <w:bCs w:val="1"/>
                <w:color w:val="auto"/>
              </w:rPr>
              <w:t>BALANCE SHEET DATA</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19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Assets</w:t>
            </w:r>
          </w:p>
        </w:tc>
        <w:tc>
          <w:tcPr>
            <w:tcW w:w="7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9"/>
        </w:trPr>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Real estate, at cost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9300" w:type="dxa"/>
            <w:vAlign w:val="bottom"/>
            <w:gridSpan w:val="2"/>
          </w:tcPr>
          <w:p>
            <w:pPr>
              <w:ind w:left="420"/>
              <w:spacing w:after="0"/>
              <w:rPr>
                <w:sz w:val="20"/>
                <w:szCs w:val="20"/>
                <w:color w:val="auto"/>
              </w:rPr>
            </w:pPr>
            <w:r>
              <w:rPr>
                <w:rFonts w:ascii="Arial" w:cs="Arial" w:eastAsia="Arial" w:hAnsi="Arial"/>
                <w:sz w:val="17"/>
                <w:szCs w:val="17"/>
                <w:color w:val="auto"/>
              </w:rPr>
              <w:t>Operating</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89"/>
              </w:rPr>
              <w:t>2,141,958</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1,966,338</w:t>
            </w:r>
          </w:p>
        </w:tc>
        <w:tc>
          <w:tcPr>
            <w:tcW w:w="100" w:type="dxa"/>
            <w:vAlign w:val="bottom"/>
          </w:tcPr>
          <w:p>
            <w:pPr>
              <w:spacing w:after="0"/>
              <w:rPr>
                <w:sz w:val="18"/>
                <w:szCs w:val="18"/>
                <w:color w:val="auto"/>
              </w:rPr>
            </w:pPr>
          </w:p>
        </w:tc>
      </w:tr>
      <w:tr>
        <w:trPr>
          <w:trHeight w:val="209"/>
        </w:trPr>
        <w:tc>
          <w:tcPr>
            <w:tcW w:w="9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Development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226,789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340,488</w:t>
            </w:r>
          </w:p>
        </w:tc>
        <w:tc>
          <w:tcPr>
            <w:tcW w:w="100" w:type="dxa"/>
            <w:vAlign w:val="bottom"/>
            <w:shd w:val="clear" w:color="auto" w:fill="CCEEFF"/>
          </w:tcPr>
          <w:p>
            <w:pPr>
              <w:spacing w:after="0"/>
              <w:rPr>
                <w:sz w:val="18"/>
                <w:szCs w:val="18"/>
                <w:color w:val="auto"/>
              </w:rPr>
            </w:pPr>
          </w:p>
        </w:tc>
      </w:tr>
      <w:tr>
        <w:trPr>
          <w:trHeight w:val="105"/>
        </w:trPr>
        <w:tc>
          <w:tcPr>
            <w:tcW w:w="194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194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194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2,368,747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2,306,826</w:t>
            </w:r>
          </w:p>
        </w:tc>
        <w:tc>
          <w:tcPr>
            <w:tcW w:w="100" w:type="dxa"/>
            <w:vAlign w:val="bottom"/>
            <w:shd w:val="clear" w:color="auto" w:fill="CCEEFF"/>
          </w:tcPr>
          <w:p>
            <w:pPr>
              <w:spacing w:after="0"/>
              <w:rPr>
                <w:sz w:val="18"/>
                <w:szCs w:val="18"/>
                <w:color w:val="auto"/>
              </w:rPr>
            </w:pPr>
          </w:p>
        </w:tc>
      </w:tr>
      <w:tr>
        <w:trPr>
          <w:trHeight w:val="215"/>
        </w:trPr>
        <w:tc>
          <w:tcPr>
            <w:tcW w:w="9300" w:type="dxa"/>
            <w:vAlign w:val="bottom"/>
            <w:gridSpan w:val="2"/>
          </w:tcPr>
          <w:p>
            <w:pPr>
              <w:ind w:left="420"/>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tcPr>
          <w:p>
            <w:pPr>
              <w:spacing w:after="0"/>
              <w:rPr>
                <w:sz w:val="18"/>
                <w:szCs w:val="18"/>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7"/>
                <w:szCs w:val="17"/>
                <w:color w:val="auto"/>
                <w:w w:val="98"/>
              </w:rPr>
              <w:t>(482,758)</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(450,697)</w:t>
            </w:r>
          </w:p>
        </w:tc>
      </w:tr>
      <w:tr>
        <w:trPr>
          <w:trHeight w:val="98"/>
        </w:trPr>
        <w:tc>
          <w:tcPr>
            <w:tcW w:w="194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94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194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1,885,989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1,856,129</w:t>
            </w:r>
          </w:p>
        </w:tc>
        <w:tc>
          <w:tcPr>
            <w:tcW w:w="100" w:type="dxa"/>
            <w:vAlign w:val="bottom"/>
            <w:shd w:val="clear" w:color="auto" w:fill="CCEEFF"/>
          </w:tcPr>
          <w:p>
            <w:pPr>
              <w:spacing w:after="0"/>
              <w:rPr>
                <w:sz w:val="18"/>
                <w:szCs w:val="18"/>
                <w:color w:val="auto"/>
              </w:rPr>
            </w:pPr>
          </w:p>
        </w:tc>
      </w:tr>
      <w:tr>
        <w:trPr>
          <w:trHeight w:val="209"/>
        </w:trPr>
        <w:tc>
          <w:tcPr>
            <w:tcW w:w="930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9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Mortgage notes receivable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37,994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35,577</w:t>
            </w:r>
          </w:p>
        </w:tc>
        <w:tc>
          <w:tcPr>
            <w:tcW w:w="100" w:type="dxa"/>
            <w:vAlign w:val="bottom"/>
            <w:shd w:val="clear" w:color="auto" w:fill="CCEEFF"/>
          </w:tcPr>
          <w:p>
            <w:pPr>
              <w:spacing w:after="0"/>
              <w:rPr>
                <w:sz w:val="18"/>
                <w:szCs w:val="18"/>
                <w:color w:val="auto"/>
              </w:rPr>
            </w:pPr>
          </w:p>
        </w:tc>
      </w:tr>
      <w:tr>
        <w:trPr>
          <w:trHeight w:val="209"/>
        </w:trPr>
        <w:tc>
          <w:tcPr>
            <w:tcW w:w="9300" w:type="dxa"/>
            <w:vAlign w:val="bottom"/>
            <w:gridSpan w:val="2"/>
          </w:tcPr>
          <w:p>
            <w:pPr>
              <w:ind w:left="420"/>
              <w:spacing w:after="0"/>
              <w:rPr>
                <w:sz w:val="20"/>
                <w:szCs w:val="20"/>
                <w:color w:val="auto"/>
              </w:rPr>
            </w:pPr>
            <w:r>
              <w:rPr>
                <w:rFonts w:ascii="Arial" w:cs="Arial" w:eastAsia="Arial" w:hAnsi="Arial"/>
                <w:sz w:val="17"/>
                <w:szCs w:val="17"/>
                <w:color w:val="auto"/>
              </w:rPr>
              <w:t>Cash and investments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18,609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23,123</w:t>
            </w:r>
          </w:p>
        </w:tc>
        <w:tc>
          <w:tcPr>
            <w:tcW w:w="100" w:type="dxa"/>
            <w:vAlign w:val="bottom"/>
          </w:tcPr>
          <w:p>
            <w:pPr>
              <w:spacing w:after="0"/>
              <w:rPr>
                <w:sz w:val="18"/>
                <w:szCs w:val="18"/>
                <w:color w:val="auto"/>
              </w:rPr>
            </w:pPr>
          </w:p>
        </w:tc>
      </w:tr>
      <w:tr>
        <w:trPr>
          <w:trHeight w:val="209"/>
        </w:trPr>
        <w:tc>
          <w:tcPr>
            <w:tcW w:w="9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Receivables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22,858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18,722</w:t>
            </w:r>
          </w:p>
        </w:tc>
        <w:tc>
          <w:tcPr>
            <w:tcW w:w="100" w:type="dxa"/>
            <w:vAlign w:val="bottom"/>
            <w:shd w:val="clear" w:color="auto" w:fill="CCEEFF"/>
          </w:tcPr>
          <w:p>
            <w:pPr>
              <w:spacing w:after="0"/>
              <w:rPr>
                <w:sz w:val="18"/>
                <w:szCs w:val="18"/>
                <w:color w:val="auto"/>
              </w:rPr>
            </w:pPr>
          </w:p>
        </w:tc>
      </w:tr>
      <w:tr>
        <w:trPr>
          <w:trHeight w:val="209"/>
        </w:trPr>
        <w:tc>
          <w:tcPr>
            <w:tcW w:w="9300" w:type="dxa"/>
            <w:vAlign w:val="bottom"/>
            <w:gridSpan w:val="2"/>
          </w:tcPr>
          <w:p>
            <w:pPr>
              <w:ind w:left="420"/>
              <w:spacing w:after="0"/>
              <w:rPr>
                <w:sz w:val="20"/>
                <w:szCs w:val="20"/>
                <w:color w:val="auto"/>
              </w:rPr>
            </w:pPr>
            <w:r>
              <w:rPr>
                <w:rFonts w:ascii="Arial" w:cs="Arial" w:eastAsia="Arial" w:hAnsi="Arial"/>
                <w:sz w:val="17"/>
                <w:szCs w:val="17"/>
                <w:color w:val="auto"/>
              </w:rPr>
              <w:t>Insurance reimbursement receivable</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16,400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9"/>
        </w:trPr>
        <w:tc>
          <w:tcPr>
            <w:tcW w:w="9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68,618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65,827</w:t>
            </w:r>
          </w:p>
        </w:tc>
        <w:tc>
          <w:tcPr>
            <w:tcW w:w="100" w:type="dxa"/>
            <w:vAlign w:val="bottom"/>
            <w:shd w:val="clear" w:color="auto" w:fill="CCEEFF"/>
          </w:tcPr>
          <w:p>
            <w:pPr>
              <w:spacing w:after="0"/>
              <w:rPr>
                <w:sz w:val="18"/>
                <w:szCs w:val="18"/>
                <w:color w:val="auto"/>
              </w:rPr>
            </w:pPr>
          </w:p>
        </w:tc>
      </w:tr>
      <w:tr>
        <w:trPr>
          <w:trHeight w:val="105"/>
        </w:trPr>
        <w:tc>
          <w:tcPr>
            <w:tcW w:w="194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194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2,050,468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1,999,378</w:t>
            </w:r>
          </w:p>
        </w:tc>
        <w:tc>
          <w:tcPr>
            <w:tcW w:w="100" w:type="dxa"/>
            <w:vAlign w:val="bottom"/>
            <w:shd w:val="clear" w:color="auto" w:fill="CCEEFF"/>
          </w:tcPr>
          <w:p>
            <w:pPr>
              <w:spacing w:after="0"/>
              <w:rPr>
                <w:sz w:val="18"/>
                <w:szCs w:val="18"/>
                <w:color w:val="auto"/>
              </w:rPr>
            </w:pPr>
          </w:p>
        </w:tc>
      </w:tr>
      <w:tr>
        <w:trPr>
          <w:trHeight w:val="127"/>
        </w:trPr>
        <w:tc>
          <w:tcPr>
            <w:tcW w:w="194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194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9300" w:type="dxa"/>
            <w:vAlign w:val="bottom"/>
            <w:gridSpan w:val="2"/>
          </w:tcPr>
          <w:p>
            <w:pPr>
              <w:ind w:left="420"/>
              <w:spacing w:after="0"/>
              <w:rPr>
                <w:sz w:val="20"/>
                <w:szCs w:val="20"/>
                <w:color w:val="auto"/>
              </w:rPr>
            </w:pPr>
            <w:r>
              <w:rPr>
                <w:rFonts w:ascii="Arial" w:cs="Arial" w:eastAsia="Arial" w:hAnsi="Arial"/>
                <w:sz w:val="17"/>
                <w:szCs w:val="17"/>
                <w:color w:val="auto"/>
              </w:rPr>
              <w:t>Obligations under capital leases, mortgages and construction loans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355,175</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383,812</w:t>
            </w:r>
          </w:p>
        </w:tc>
        <w:tc>
          <w:tcPr>
            <w:tcW w:w="100" w:type="dxa"/>
            <w:vAlign w:val="bottom"/>
          </w:tcPr>
          <w:p>
            <w:pPr>
              <w:spacing w:after="0"/>
              <w:rPr>
                <w:sz w:val="18"/>
                <w:szCs w:val="18"/>
                <w:color w:val="auto"/>
              </w:rPr>
            </w:pPr>
          </w:p>
        </w:tc>
      </w:tr>
      <w:tr>
        <w:trPr>
          <w:trHeight w:val="209"/>
        </w:trPr>
        <w:tc>
          <w:tcPr>
            <w:tcW w:w="9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Notes payable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343,625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207,711</w:t>
            </w:r>
          </w:p>
        </w:tc>
        <w:tc>
          <w:tcPr>
            <w:tcW w:w="100" w:type="dxa"/>
            <w:vAlign w:val="bottom"/>
            <w:shd w:val="clear" w:color="auto" w:fill="CCEEFF"/>
          </w:tcPr>
          <w:p>
            <w:pPr>
              <w:spacing w:after="0"/>
              <w:rPr>
                <w:sz w:val="18"/>
                <w:szCs w:val="18"/>
                <w:color w:val="auto"/>
              </w:rPr>
            </w:pPr>
          </w:p>
        </w:tc>
      </w:tr>
      <w:tr>
        <w:trPr>
          <w:trHeight w:val="209"/>
        </w:trPr>
        <w:tc>
          <w:tcPr>
            <w:tcW w:w="9300" w:type="dxa"/>
            <w:vAlign w:val="bottom"/>
            <w:gridSpan w:val="2"/>
          </w:tcPr>
          <w:p>
            <w:pPr>
              <w:ind w:left="420"/>
              <w:spacing w:after="0"/>
              <w:rPr>
                <w:sz w:val="20"/>
                <w:szCs w:val="20"/>
                <w:color w:val="auto"/>
              </w:rPr>
            </w:pPr>
            <w:r>
              <w:rPr>
                <w:rFonts w:ascii="Arial" w:cs="Arial" w:eastAsia="Arial" w:hAnsi="Arial"/>
                <w:sz w:val="17"/>
                <w:szCs w:val="17"/>
                <w:color w:val="auto"/>
              </w:rPr>
              <w:t>Senior notes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535,000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535,000</w:t>
            </w:r>
          </w:p>
        </w:tc>
        <w:tc>
          <w:tcPr>
            <w:tcW w:w="100" w:type="dxa"/>
            <w:vAlign w:val="bottom"/>
          </w:tcPr>
          <w:p>
            <w:pPr>
              <w:spacing w:after="0"/>
              <w:rPr>
                <w:sz w:val="18"/>
                <w:szCs w:val="18"/>
                <w:color w:val="auto"/>
              </w:rPr>
            </w:pPr>
          </w:p>
        </w:tc>
      </w:tr>
      <w:tr>
        <w:trPr>
          <w:trHeight w:val="209"/>
        </w:trPr>
        <w:tc>
          <w:tcPr>
            <w:tcW w:w="9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5 1/4% Convertible subordinated debentures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00" w:type="dxa"/>
            <w:vAlign w:val="bottom"/>
            <w:shd w:val="clear" w:color="auto" w:fill="CCEEFF"/>
          </w:tcPr>
          <w:p>
            <w:pPr>
              <w:spacing w:after="0"/>
              <w:rPr>
                <w:sz w:val="18"/>
                <w:szCs w:val="18"/>
                <w:color w:val="auto"/>
              </w:rPr>
            </w:pPr>
          </w:p>
        </w:tc>
      </w:tr>
      <w:tr>
        <w:trPr>
          <w:trHeight w:val="215"/>
        </w:trPr>
        <w:tc>
          <w:tcPr>
            <w:tcW w:w="9300" w:type="dxa"/>
            <w:vAlign w:val="bottom"/>
            <w:gridSpan w:val="2"/>
          </w:tcPr>
          <w:p>
            <w:pPr>
              <w:ind w:left="420"/>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138,261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153,568</w:t>
            </w:r>
          </w:p>
        </w:tc>
        <w:tc>
          <w:tcPr>
            <w:tcW w:w="100" w:type="dxa"/>
            <w:vAlign w:val="bottom"/>
          </w:tcPr>
          <w:p>
            <w:pPr>
              <w:spacing w:after="0"/>
              <w:rPr>
                <w:sz w:val="18"/>
                <w:szCs w:val="18"/>
                <w:color w:val="auto"/>
              </w:rPr>
            </w:pPr>
          </w:p>
        </w:tc>
      </w:tr>
      <w:tr>
        <w:trPr>
          <w:trHeight w:val="98"/>
        </w:trPr>
        <w:tc>
          <w:tcPr>
            <w:tcW w:w="194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94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1,372,061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1,355,091</w:t>
            </w:r>
          </w:p>
        </w:tc>
        <w:tc>
          <w:tcPr>
            <w:tcW w:w="100" w:type="dxa"/>
            <w:vAlign w:val="bottom"/>
            <w:shd w:val="clear" w:color="auto" w:fill="CCEEFF"/>
          </w:tcPr>
          <w:p>
            <w:pPr>
              <w:spacing w:after="0"/>
              <w:rPr>
                <w:sz w:val="18"/>
                <w:szCs w:val="18"/>
                <w:color w:val="auto"/>
              </w:rPr>
            </w:pPr>
          </w:p>
        </w:tc>
      </w:tr>
      <w:tr>
        <w:trPr>
          <w:trHeight w:val="209"/>
        </w:trPr>
        <w:tc>
          <w:tcPr>
            <w:tcW w:w="9300" w:type="dxa"/>
            <w:vAlign w:val="bottom"/>
            <w:gridSpan w:val="2"/>
          </w:tcPr>
          <w:p>
            <w:pPr>
              <w:spacing w:after="0"/>
              <w:rPr>
                <w:sz w:val="20"/>
                <w:szCs w:val="20"/>
                <w:color w:val="auto"/>
              </w:rPr>
            </w:pPr>
            <w:r>
              <w:rPr>
                <w:rFonts w:ascii="Arial" w:cs="Arial" w:eastAsia="Arial" w:hAnsi="Arial"/>
                <w:sz w:val="17"/>
                <w:szCs w:val="17"/>
                <w:b w:val="1"/>
                <w:bCs w:val="1"/>
                <w:color w:val="auto"/>
              </w:rPr>
              <w:t>Preferred stock</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135,000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235,000</w:t>
            </w:r>
          </w:p>
        </w:tc>
        <w:tc>
          <w:tcPr>
            <w:tcW w:w="100" w:type="dxa"/>
            <w:vAlign w:val="bottom"/>
          </w:tcPr>
          <w:p>
            <w:pPr>
              <w:spacing w:after="0"/>
              <w:rPr>
                <w:sz w:val="18"/>
                <w:szCs w:val="18"/>
                <w:color w:val="auto"/>
              </w:rPr>
            </w:pPr>
          </w:p>
        </w:tc>
      </w:tr>
      <w:tr>
        <w:trPr>
          <w:trHeight w:val="209"/>
        </w:trPr>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Common Shares and Other Shareholders’ Equity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543,407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409,287</w:t>
            </w:r>
          </w:p>
        </w:tc>
        <w:tc>
          <w:tcPr>
            <w:tcW w:w="100" w:type="dxa"/>
            <w:vAlign w:val="bottom"/>
            <w:shd w:val="clear" w:color="auto" w:fill="CCEEFF"/>
          </w:tcPr>
          <w:p>
            <w:pPr>
              <w:spacing w:after="0"/>
              <w:rPr>
                <w:sz w:val="18"/>
                <w:szCs w:val="18"/>
                <w:color w:val="auto"/>
              </w:rPr>
            </w:pPr>
          </w:p>
        </w:tc>
      </w:tr>
      <w:tr>
        <w:trPr>
          <w:trHeight w:val="105"/>
        </w:trPr>
        <w:tc>
          <w:tcPr>
            <w:tcW w:w="194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194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9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2,050,468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1,999,378</w:t>
            </w:r>
          </w:p>
        </w:tc>
        <w:tc>
          <w:tcPr>
            <w:tcW w:w="100" w:type="dxa"/>
            <w:vAlign w:val="bottom"/>
            <w:shd w:val="clear" w:color="auto" w:fill="CCEEFF"/>
          </w:tcPr>
          <w:p>
            <w:pPr>
              <w:spacing w:after="0"/>
              <w:rPr>
                <w:sz w:val="18"/>
                <w:szCs w:val="18"/>
                <w:color w:val="auto"/>
              </w:rPr>
            </w:pPr>
          </w:p>
        </w:tc>
      </w:tr>
      <w:tr>
        <w:trPr>
          <w:trHeight w:val="127"/>
        </w:trPr>
        <w:tc>
          <w:tcPr>
            <w:tcW w:w="194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-1795780</wp:posOffset>
            </wp:positionV>
            <wp:extent cx="12700" cy="29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-1795780</wp:posOffset>
            </wp:positionV>
            <wp:extent cx="20955" cy="29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-1795780</wp:posOffset>
            </wp:positionV>
            <wp:extent cx="37465" cy="29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6687820</wp:posOffset>
            </wp:positionH>
            <wp:positionV relativeFrom="paragraph">
              <wp:posOffset>-1795780</wp:posOffset>
            </wp:positionV>
            <wp:extent cx="527050" cy="29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7050" cy="29210"/>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-28575</wp:posOffset>
            </wp:positionV>
            <wp:extent cx="527050" cy="29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7050" cy="29210"/>
                    </a:xfrm>
                    <a:prstGeom prst="rect">
                      <a:avLst/>
                    </a:prstGeom>
                    <a:noFill/>
                  </pic:spPr>
                </pic:pic>
              </a:graphicData>
            </a:graphic>
          </wp:anchor>
        </w:drawing>
        <w:drawing>
          <wp:anchor simplePos="0" relativeHeight="251657728" behindDoc="1" locked="0" layoutInCell="0" allowOverlap="1">
            <wp:simplePos x="0" y="0"/>
            <wp:positionH relativeFrom="column">
              <wp:posOffset>6687820</wp:posOffset>
            </wp:positionH>
            <wp:positionV relativeFrom="paragraph">
              <wp:posOffset>-28575</wp:posOffset>
            </wp:positionV>
            <wp:extent cx="12700" cy="29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-28575</wp:posOffset>
            </wp:positionV>
            <wp:extent cx="20955" cy="29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7176770</wp:posOffset>
            </wp:positionH>
            <wp:positionV relativeFrom="paragraph">
              <wp:posOffset>-28575</wp:posOffset>
            </wp:positionV>
            <wp:extent cx="37465" cy="29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Funds Available for Distribution / Summary of Capital Expenditures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w w:val="95"/>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93"/>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253"/>
        </w:trPr>
        <w:tc>
          <w:tcPr>
            <w:tcW w:w="9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2060" w:type="dxa"/>
            <w:vAlign w:val="bottom"/>
            <w:gridSpan w:val="3"/>
          </w:tcPr>
          <w:p>
            <w:pPr>
              <w:spacing w:after="0"/>
              <w:rPr>
                <w:sz w:val="20"/>
                <w:szCs w:val="20"/>
                <w:color w:val="auto"/>
              </w:rPr>
            </w:pPr>
            <w:r>
              <w:rPr>
                <w:rFonts w:ascii="Arial" w:cs="Arial" w:eastAsia="Arial" w:hAnsi="Arial"/>
                <w:sz w:val="13"/>
                <w:szCs w:val="13"/>
                <w:b w:val="1"/>
                <w:bCs w:val="1"/>
                <w:color w:val="auto"/>
              </w:rPr>
              <w:t>June 30, 2003</w:t>
            </w:r>
          </w:p>
        </w:tc>
        <w:tc>
          <w:tcPr>
            <w:tcW w:w="20" w:type="dxa"/>
            <w:vAlign w:val="bottom"/>
          </w:tcPr>
          <w:p>
            <w:pPr>
              <w:spacing w:after="0"/>
              <w:rPr>
                <w:sz w:val="22"/>
                <w:szCs w:val="22"/>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June 30, 2002</w:t>
            </w:r>
          </w:p>
        </w:tc>
      </w:tr>
      <w:tr>
        <w:trPr>
          <w:trHeight w:val="93"/>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320" w:type="dxa"/>
            <w:vAlign w:val="bottom"/>
            <w:gridSpan w:val="2"/>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241"/>
        </w:trPr>
        <w:tc>
          <w:tcPr>
            <w:tcW w:w="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w w:val="96"/>
              </w:rPr>
              <w:t>(in thousands, except per share data)</w:t>
            </w:r>
          </w:p>
        </w:tc>
      </w:tr>
      <w:tr>
        <w:trPr>
          <w:trHeight w:val="189"/>
        </w:trPr>
        <w:tc>
          <w:tcPr>
            <w:tcW w:w="25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7"/>
                <w:szCs w:val="17"/>
                <w:b w:val="1"/>
                <w:bCs w:val="1"/>
                <w:color w:val="auto"/>
                <w:w w:val="92"/>
              </w:rPr>
              <w:t>Funds From Operations (FFO) (1)</w:t>
            </w:r>
          </w:p>
        </w:tc>
        <w:tc>
          <w:tcPr>
            <w:tcW w:w="594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209"/>
        </w:trPr>
        <w:tc>
          <w:tcPr>
            <w:tcW w:w="8440" w:type="dxa"/>
            <w:vAlign w:val="bottom"/>
            <w:gridSpan w:val="4"/>
          </w:tcPr>
          <w:p>
            <w:pPr>
              <w:spacing w:after="0"/>
              <w:rPr>
                <w:sz w:val="20"/>
                <w:szCs w:val="20"/>
                <w:color w:val="auto"/>
              </w:rPr>
            </w:pPr>
            <w:r>
              <w:rPr>
                <w:rFonts w:ascii="Arial" w:cs="Arial" w:eastAsia="Arial" w:hAnsi="Arial"/>
                <w:sz w:val="17"/>
                <w:szCs w:val="17"/>
                <w:color w:val="auto"/>
              </w:rPr>
              <w:t>Net income available for common shareholders</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13,636</w:t>
            </w:r>
          </w:p>
        </w:tc>
        <w:tc>
          <w:tcPr>
            <w:tcW w:w="13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30,479</w:t>
            </w:r>
          </w:p>
        </w:tc>
        <w:tc>
          <w:tcPr>
            <w:tcW w:w="140" w:type="dxa"/>
            <w:vAlign w:val="bottom"/>
          </w:tcPr>
          <w:p>
            <w:pPr>
              <w:spacing w:after="0"/>
              <w:rPr>
                <w:sz w:val="18"/>
                <w:szCs w:val="18"/>
                <w:color w:val="auto"/>
              </w:rPr>
            </w:pPr>
          </w:p>
        </w:tc>
      </w:tr>
      <w:tr>
        <w:trPr>
          <w:trHeight w:val="209"/>
        </w:trPr>
        <w:tc>
          <w:tcPr>
            <w:tcW w:w="844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(Gain) on sale of assets</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175"/>
              <w:spacing w:after="0"/>
              <w:rPr>
                <w:sz w:val="20"/>
                <w:szCs w:val="20"/>
                <w:color w:val="auto"/>
              </w:rPr>
            </w:pPr>
            <w:r>
              <w:rPr>
                <w:rFonts w:ascii="Arial" w:cs="Arial" w:eastAsia="Arial" w:hAnsi="Arial"/>
                <w:sz w:val="17"/>
                <w:szCs w:val="17"/>
                <w:color w:val="auto"/>
              </w:rPr>
              <w:t>(551)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(19,101)</w:t>
            </w:r>
          </w:p>
        </w:tc>
      </w:tr>
      <w:tr>
        <w:trPr>
          <w:trHeight w:val="209"/>
        </w:trPr>
        <w:tc>
          <w:tcPr>
            <w:tcW w:w="8440" w:type="dxa"/>
            <w:vAlign w:val="bottom"/>
            <w:gridSpan w:val="4"/>
          </w:tcPr>
          <w:p>
            <w:pPr>
              <w:ind w:left="420"/>
              <w:spacing w:after="0"/>
              <w:rPr>
                <w:sz w:val="20"/>
                <w:szCs w:val="20"/>
                <w:color w:val="auto"/>
              </w:rPr>
            </w:pPr>
            <w:r>
              <w:rPr>
                <w:rFonts w:ascii="Arial" w:cs="Arial" w:eastAsia="Arial" w:hAnsi="Arial"/>
                <w:sz w:val="17"/>
                <w:szCs w:val="17"/>
                <w:color w:val="auto"/>
              </w:rPr>
              <w:t>Depreciation and amortization of real estate assets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16,363</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14,521</w:t>
            </w:r>
          </w:p>
        </w:tc>
        <w:tc>
          <w:tcPr>
            <w:tcW w:w="140" w:type="dxa"/>
            <w:vAlign w:val="bottom"/>
          </w:tcPr>
          <w:p>
            <w:pPr>
              <w:spacing w:after="0"/>
              <w:rPr>
                <w:sz w:val="18"/>
                <w:szCs w:val="18"/>
                <w:color w:val="auto"/>
              </w:rPr>
            </w:pPr>
          </w:p>
        </w:tc>
      </w:tr>
      <w:tr>
        <w:trPr>
          <w:trHeight w:val="209"/>
        </w:trPr>
        <w:tc>
          <w:tcPr>
            <w:tcW w:w="844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Amortization of initial direct costs of leases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40" w:type="dxa"/>
            <w:vAlign w:val="bottom"/>
            <w:shd w:val="clear" w:color="auto" w:fill="CCEEFF"/>
          </w:tcPr>
          <w:p>
            <w:pPr>
              <w:spacing w:after="0"/>
              <w:rPr>
                <w:sz w:val="18"/>
                <w:szCs w:val="18"/>
                <w:color w:val="auto"/>
              </w:rPr>
            </w:pPr>
          </w:p>
        </w:tc>
      </w:tr>
      <w:tr>
        <w:trPr>
          <w:trHeight w:val="215"/>
        </w:trPr>
        <w:tc>
          <w:tcPr>
            <w:tcW w:w="8440" w:type="dxa"/>
            <w:vAlign w:val="bottom"/>
            <w:gridSpan w:val="4"/>
          </w:tcPr>
          <w:p>
            <w:pPr>
              <w:ind w:left="420"/>
              <w:spacing w:after="0"/>
              <w:rPr>
                <w:sz w:val="20"/>
                <w:szCs w:val="20"/>
                <w:color w:val="auto"/>
              </w:rPr>
            </w:pPr>
            <w:r>
              <w:rPr>
                <w:rFonts w:ascii="Arial" w:cs="Arial" w:eastAsia="Arial" w:hAnsi="Arial"/>
                <w:sz w:val="17"/>
                <w:szCs w:val="17"/>
                <w:color w:val="auto"/>
              </w:rPr>
              <w:t>Income attributable to operating partnership units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235</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650</w:t>
            </w:r>
          </w:p>
        </w:tc>
        <w:tc>
          <w:tcPr>
            <w:tcW w:w="140" w:type="dxa"/>
            <w:vAlign w:val="bottom"/>
          </w:tcPr>
          <w:p>
            <w:pPr>
              <w:spacing w:after="0"/>
              <w:rPr>
                <w:sz w:val="18"/>
                <w:szCs w:val="18"/>
                <w:color w:val="auto"/>
              </w:rPr>
            </w:pPr>
          </w:p>
        </w:tc>
      </w:tr>
      <w:tr>
        <w:trPr>
          <w:trHeight w:val="98"/>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98"/>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84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FFO</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31,075</w:t>
            </w:r>
          </w:p>
        </w:tc>
        <w:tc>
          <w:tcPr>
            <w:tcW w:w="1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27,749</w:t>
            </w:r>
          </w:p>
        </w:tc>
        <w:tc>
          <w:tcPr>
            <w:tcW w:w="140" w:type="dxa"/>
            <w:vAlign w:val="bottom"/>
            <w:shd w:val="clear" w:color="auto" w:fill="CCEEFF"/>
          </w:tcPr>
          <w:p>
            <w:pPr>
              <w:spacing w:after="0"/>
              <w:rPr>
                <w:sz w:val="18"/>
                <w:szCs w:val="18"/>
                <w:color w:val="auto"/>
              </w:rPr>
            </w:pPr>
          </w:p>
        </w:tc>
      </w:tr>
      <w:tr>
        <w:trPr>
          <w:trHeight w:val="127"/>
        </w:trPr>
        <w:tc>
          <w:tcPr>
            <w:tcW w:w="9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1"/>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844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48,376</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42,136</w:t>
            </w:r>
          </w:p>
        </w:tc>
        <w:tc>
          <w:tcPr>
            <w:tcW w:w="140" w:type="dxa"/>
            <w:vAlign w:val="bottom"/>
            <w:shd w:val="clear" w:color="auto" w:fill="CCEEFF"/>
          </w:tcPr>
          <w:p>
            <w:pPr>
              <w:spacing w:after="0"/>
              <w:rPr>
                <w:sz w:val="18"/>
                <w:szCs w:val="18"/>
                <w:color w:val="auto"/>
              </w:rPr>
            </w:pPr>
          </w:p>
        </w:tc>
      </w:tr>
      <w:tr>
        <w:trPr>
          <w:trHeight w:val="215"/>
        </w:trPr>
        <w:tc>
          <w:tcPr>
            <w:tcW w:w="8440" w:type="dxa"/>
            <w:vAlign w:val="bottom"/>
            <w:gridSpan w:val="4"/>
          </w:tcPr>
          <w:p>
            <w:pPr>
              <w:spacing w:after="0"/>
              <w:rPr>
                <w:sz w:val="20"/>
                <w:szCs w:val="20"/>
                <w:color w:val="auto"/>
              </w:rPr>
            </w:pPr>
            <w:r>
              <w:rPr>
                <w:rFonts w:ascii="Arial" w:cs="Arial" w:eastAsia="Arial" w:hAnsi="Arial"/>
                <w:sz w:val="17"/>
                <w:szCs w:val="17"/>
                <w:color w:val="auto"/>
              </w:rPr>
              <w:t>FFO per share</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0.64</w:t>
            </w:r>
          </w:p>
        </w:tc>
        <w:tc>
          <w:tcPr>
            <w:tcW w:w="13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0.66</w:t>
            </w:r>
          </w:p>
        </w:tc>
        <w:tc>
          <w:tcPr>
            <w:tcW w:w="140" w:type="dxa"/>
            <w:vAlign w:val="bottom"/>
          </w:tcPr>
          <w:p>
            <w:pPr>
              <w:spacing w:after="0"/>
              <w:rPr>
                <w:sz w:val="18"/>
                <w:szCs w:val="18"/>
                <w:color w:val="auto"/>
              </w:rPr>
            </w:pPr>
          </w:p>
        </w:tc>
      </w:tr>
      <w:tr>
        <w:trPr>
          <w:trHeight w:val="121"/>
        </w:trPr>
        <w:tc>
          <w:tcPr>
            <w:tcW w:w="9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01"/>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89"/>
        </w:trPr>
        <w:tc>
          <w:tcPr>
            <w:tcW w:w="844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b w:val="1"/>
                <w:bCs w:val="1"/>
                <w:color w:val="auto"/>
              </w:rPr>
              <w:t>Funds Available for Distribution (FAD)</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05"/>
        </w:trPr>
        <w:tc>
          <w:tcPr>
            <w:tcW w:w="940" w:type="dxa"/>
            <w:vAlign w:val="bottom"/>
            <w:tcBorders>
              <w:top w:val="single" w:sz="8" w:color="auto"/>
            </w:tcBorders>
          </w:tcPr>
          <w:p>
            <w:pPr>
              <w:spacing w:after="0"/>
              <w:rPr>
                <w:sz w:val="9"/>
                <w:szCs w:val="9"/>
                <w:color w:val="auto"/>
              </w:rPr>
            </w:pPr>
          </w:p>
        </w:tc>
        <w:tc>
          <w:tcPr>
            <w:tcW w:w="15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5580" w:type="dxa"/>
            <w:vAlign w:val="bottom"/>
            <w:tcBorders>
              <w:top w:val="single" w:sz="8" w:color="CCEEFF"/>
            </w:tcBorders>
          </w:tcPr>
          <w:p>
            <w:pPr>
              <w:spacing w:after="0"/>
              <w:rPr>
                <w:sz w:val="9"/>
                <w:szCs w:val="9"/>
                <w:color w:val="auto"/>
              </w:rPr>
            </w:pPr>
          </w:p>
        </w:tc>
        <w:tc>
          <w:tcPr>
            <w:tcW w:w="200" w:type="dxa"/>
            <w:vAlign w:val="bottom"/>
            <w:tcBorders>
              <w:top w:val="single" w:sz="8" w:color="CCEEFF"/>
              <w:bottom w:val="single" w:sz="8" w:color="auto"/>
            </w:tcBorders>
          </w:tcPr>
          <w:p>
            <w:pPr>
              <w:spacing w:after="0"/>
              <w:rPr>
                <w:sz w:val="9"/>
                <w:szCs w:val="9"/>
                <w:color w:val="auto"/>
              </w:rPr>
            </w:pPr>
          </w:p>
        </w:tc>
        <w:tc>
          <w:tcPr>
            <w:tcW w:w="560" w:type="dxa"/>
            <w:vAlign w:val="bottom"/>
            <w:tcBorders>
              <w:top w:val="single" w:sz="8" w:color="CCEEFF"/>
              <w:bottom w:val="single" w:sz="8" w:color="auto"/>
            </w:tcBorders>
          </w:tcPr>
          <w:p>
            <w:pPr>
              <w:spacing w:after="0"/>
              <w:rPr>
                <w:sz w:val="9"/>
                <w:szCs w:val="9"/>
                <w:color w:val="auto"/>
              </w:rPr>
            </w:pPr>
          </w:p>
        </w:tc>
        <w:tc>
          <w:tcPr>
            <w:tcW w:w="130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140" w:type="dxa"/>
            <w:vAlign w:val="bottom"/>
            <w:tcBorders>
              <w:top w:val="single" w:sz="8" w:color="CCEEFF"/>
              <w:bottom w:val="single" w:sz="8" w:color="auto"/>
            </w:tcBorders>
          </w:tcPr>
          <w:p>
            <w:pPr>
              <w:spacing w:after="0"/>
              <w:rPr>
                <w:sz w:val="9"/>
                <w:szCs w:val="9"/>
                <w:color w:val="auto"/>
              </w:rPr>
            </w:pPr>
          </w:p>
        </w:tc>
        <w:tc>
          <w:tcPr>
            <w:tcW w:w="620" w:type="dxa"/>
            <w:vAlign w:val="bottom"/>
            <w:tcBorders>
              <w:top w:val="single" w:sz="8" w:color="CCEEFF"/>
              <w:bottom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r>
      <w:tr>
        <w:trPr>
          <w:trHeight w:val="98"/>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84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FFO</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31,075</w:t>
            </w:r>
          </w:p>
        </w:tc>
        <w:tc>
          <w:tcPr>
            <w:tcW w:w="1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27,749</w:t>
            </w:r>
          </w:p>
        </w:tc>
        <w:tc>
          <w:tcPr>
            <w:tcW w:w="140" w:type="dxa"/>
            <w:vAlign w:val="bottom"/>
            <w:shd w:val="clear" w:color="auto" w:fill="CCEEFF"/>
          </w:tcPr>
          <w:p>
            <w:pPr>
              <w:spacing w:after="0"/>
              <w:rPr>
                <w:sz w:val="18"/>
                <w:szCs w:val="18"/>
                <w:color w:val="auto"/>
              </w:rPr>
            </w:pPr>
          </w:p>
        </w:tc>
      </w:tr>
      <w:tr>
        <w:trPr>
          <w:trHeight w:val="215"/>
        </w:trPr>
        <w:tc>
          <w:tcPr>
            <w:tcW w:w="8440" w:type="dxa"/>
            <w:vAlign w:val="bottom"/>
            <w:gridSpan w:val="4"/>
          </w:tcPr>
          <w:p>
            <w:pPr>
              <w:ind w:left="420"/>
              <w:spacing w:after="0"/>
              <w:rPr>
                <w:sz w:val="20"/>
                <w:szCs w:val="20"/>
                <w:color w:val="auto"/>
              </w:rPr>
            </w:pPr>
            <w:r>
              <w:rPr>
                <w:rFonts w:ascii="Arial" w:cs="Arial" w:eastAsia="Arial" w:hAnsi="Arial"/>
                <w:sz w:val="17"/>
                <w:szCs w:val="17"/>
                <w:color w:val="auto"/>
              </w:rPr>
              <w:t>Maintenance capital expenditures</w:t>
            </w:r>
          </w:p>
        </w:tc>
        <w:tc>
          <w:tcPr>
            <w:tcW w:w="200" w:type="dxa"/>
            <w:vAlign w:val="bottom"/>
          </w:tcPr>
          <w:p>
            <w:pPr>
              <w:spacing w:after="0"/>
              <w:rPr>
                <w:sz w:val="18"/>
                <w:szCs w:val="18"/>
                <w:color w:val="auto"/>
              </w:rPr>
            </w:pPr>
          </w:p>
        </w:tc>
        <w:tc>
          <w:tcPr>
            <w:tcW w:w="1860" w:type="dxa"/>
            <w:vAlign w:val="bottom"/>
            <w:gridSpan w:val="2"/>
          </w:tcPr>
          <w:p>
            <w:pPr>
              <w:jc w:val="right"/>
              <w:ind w:right="1175"/>
              <w:spacing w:after="0"/>
              <w:rPr>
                <w:sz w:val="20"/>
                <w:szCs w:val="20"/>
                <w:color w:val="auto"/>
              </w:rPr>
            </w:pPr>
            <w:r>
              <w:rPr>
                <w:rFonts w:ascii="Arial" w:cs="Arial" w:eastAsia="Arial" w:hAnsi="Arial"/>
                <w:sz w:val="17"/>
                <w:szCs w:val="17"/>
                <w:color w:val="auto"/>
              </w:rPr>
              <w:t>(902)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(1,551)</w:t>
            </w:r>
          </w:p>
        </w:tc>
      </w:tr>
      <w:tr>
        <w:trPr>
          <w:trHeight w:val="98"/>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98"/>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84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FAD</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30,173</w:t>
            </w:r>
          </w:p>
        </w:tc>
        <w:tc>
          <w:tcPr>
            <w:tcW w:w="1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26,198</w:t>
            </w:r>
          </w:p>
        </w:tc>
        <w:tc>
          <w:tcPr>
            <w:tcW w:w="140" w:type="dxa"/>
            <w:vAlign w:val="bottom"/>
            <w:shd w:val="clear" w:color="auto" w:fill="CCEEFF"/>
          </w:tcPr>
          <w:p>
            <w:pPr>
              <w:spacing w:after="0"/>
              <w:rPr>
                <w:sz w:val="18"/>
                <w:szCs w:val="18"/>
                <w:color w:val="auto"/>
              </w:rPr>
            </w:pPr>
          </w:p>
        </w:tc>
      </w:tr>
      <w:tr>
        <w:trPr>
          <w:trHeight w:val="127"/>
        </w:trPr>
        <w:tc>
          <w:tcPr>
            <w:tcW w:w="9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1"/>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84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Common dividends declared</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23,784</w:t>
            </w:r>
          </w:p>
        </w:tc>
        <w:tc>
          <w:tcPr>
            <w:tcW w:w="1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20,690</w:t>
            </w:r>
          </w:p>
        </w:tc>
        <w:tc>
          <w:tcPr>
            <w:tcW w:w="140" w:type="dxa"/>
            <w:vAlign w:val="bottom"/>
            <w:shd w:val="clear" w:color="auto" w:fill="CCEEFF"/>
          </w:tcPr>
          <w:p>
            <w:pPr>
              <w:spacing w:after="0"/>
              <w:rPr>
                <w:sz w:val="18"/>
                <w:szCs w:val="18"/>
                <w:color w:val="auto"/>
              </w:rPr>
            </w:pPr>
          </w:p>
        </w:tc>
      </w:tr>
      <w:tr>
        <w:trPr>
          <w:trHeight w:val="209"/>
        </w:trPr>
        <w:tc>
          <w:tcPr>
            <w:tcW w:w="8440" w:type="dxa"/>
            <w:vAlign w:val="bottom"/>
            <w:gridSpan w:val="4"/>
          </w:tcPr>
          <w:p>
            <w:pPr>
              <w:spacing w:after="0"/>
              <w:rPr>
                <w:sz w:val="20"/>
                <w:szCs w:val="20"/>
                <w:color w:val="auto"/>
              </w:rPr>
            </w:pPr>
            <w:r>
              <w:rPr>
                <w:rFonts w:ascii="Arial" w:cs="Arial" w:eastAsia="Arial" w:hAnsi="Arial"/>
                <w:sz w:val="17"/>
                <w:szCs w:val="17"/>
                <w:color w:val="auto"/>
              </w:rPr>
              <w:t>Dividend payout ratio as a percentage of FFO</w:t>
            </w:r>
          </w:p>
        </w:tc>
        <w:tc>
          <w:tcPr>
            <w:tcW w:w="200" w:type="dxa"/>
            <w:vAlign w:val="bottom"/>
          </w:tcPr>
          <w:p>
            <w:pPr>
              <w:spacing w:after="0"/>
              <w:rPr>
                <w:sz w:val="18"/>
                <w:szCs w:val="18"/>
                <w:color w:val="auto"/>
              </w:rPr>
            </w:pPr>
          </w:p>
        </w:tc>
        <w:tc>
          <w:tcPr>
            <w:tcW w:w="1860" w:type="dxa"/>
            <w:vAlign w:val="bottom"/>
            <w:gridSpan w:val="2"/>
          </w:tcPr>
          <w:p>
            <w:pPr>
              <w:jc w:val="right"/>
              <w:ind w:right="1095"/>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75%</w:t>
            </w:r>
          </w:p>
        </w:tc>
      </w:tr>
      <w:tr>
        <w:trPr>
          <w:trHeight w:val="209"/>
        </w:trPr>
        <w:tc>
          <w:tcPr>
            <w:tcW w:w="84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Dividend payout ratio as a percentage of FAD</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95"/>
              <w:spacing w:after="0"/>
              <w:rPr>
                <w:sz w:val="20"/>
                <w:szCs w:val="20"/>
                <w:color w:val="auto"/>
              </w:rPr>
            </w:pPr>
            <w:r>
              <w:rPr>
                <w:rFonts w:ascii="Arial" w:cs="Arial" w:eastAsia="Arial" w:hAnsi="Arial"/>
                <w:sz w:val="17"/>
                <w:szCs w:val="17"/>
                <w:color w:val="auto"/>
              </w:rPr>
              <w:t>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179"/>
        </w:trPr>
        <w:tc>
          <w:tcPr>
            <w:tcW w:w="250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7"/>
                <w:szCs w:val="17"/>
                <w:b w:val="1"/>
                <w:bCs w:val="1"/>
                <w:color w:val="auto"/>
                <w:w w:val="91"/>
              </w:rPr>
              <w:t>Summary of Capital Expenditures</w:t>
            </w:r>
          </w:p>
        </w:tc>
        <w:tc>
          <w:tcPr>
            <w:tcW w:w="59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9"/>
        </w:trPr>
        <w:tc>
          <w:tcPr>
            <w:tcW w:w="84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Non-maintenance Capital Expenditures</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9"/>
        </w:trPr>
        <w:tc>
          <w:tcPr>
            <w:tcW w:w="8440" w:type="dxa"/>
            <w:vAlign w:val="bottom"/>
            <w:gridSpan w:val="4"/>
          </w:tcPr>
          <w:p>
            <w:pPr>
              <w:ind w:left="420"/>
              <w:spacing w:after="0"/>
              <w:rPr>
                <w:sz w:val="20"/>
                <w:szCs w:val="20"/>
                <w:color w:val="auto"/>
              </w:rPr>
            </w:pPr>
            <w:r>
              <w:rPr>
                <w:rFonts w:ascii="Arial" w:cs="Arial" w:eastAsia="Arial" w:hAnsi="Arial"/>
                <w:sz w:val="17"/>
                <w:szCs w:val="17"/>
                <w:color w:val="auto"/>
              </w:rPr>
              <w:t>Development, net of insurance reimbursements</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30,055</w:t>
            </w:r>
          </w:p>
        </w:tc>
        <w:tc>
          <w:tcPr>
            <w:tcW w:w="13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55,248</w:t>
            </w:r>
          </w:p>
        </w:tc>
        <w:tc>
          <w:tcPr>
            <w:tcW w:w="140" w:type="dxa"/>
            <w:vAlign w:val="bottom"/>
          </w:tcPr>
          <w:p>
            <w:pPr>
              <w:spacing w:after="0"/>
              <w:rPr>
                <w:sz w:val="18"/>
                <w:szCs w:val="18"/>
                <w:color w:val="auto"/>
              </w:rPr>
            </w:pPr>
          </w:p>
        </w:tc>
      </w:tr>
      <w:tr>
        <w:trPr>
          <w:trHeight w:val="209"/>
        </w:trPr>
        <w:tc>
          <w:tcPr>
            <w:tcW w:w="844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Acquisition Related (2)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40" w:type="dxa"/>
            <w:vAlign w:val="bottom"/>
            <w:shd w:val="clear" w:color="auto" w:fill="CCEEFF"/>
          </w:tcPr>
          <w:p>
            <w:pPr>
              <w:spacing w:after="0"/>
              <w:rPr>
                <w:sz w:val="18"/>
                <w:szCs w:val="18"/>
                <w:color w:val="auto"/>
              </w:rPr>
            </w:pPr>
          </w:p>
        </w:tc>
      </w:tr>
      <w:tr>
        <w:trPr>
          <w:trHeight w:val="209"/>
        </w:trPr>
        <w:tc>
          <w:tcPr>
            <w:tcW w:w="8440" w:type="dxa"/>
            <w:vAlign w:val="bottom"/>
            <w:gridSpan w:val="4"/>
          </w:tcPr>
          <w:p>
            <w:pPr>
              <w:ind w:left="420"/>
              <w:spacing w:after="0"/>
              <w:rPr>
                <w:sz w:val="20"/>
                <w:szCs w:val="20"/>
                <w:color w:val="auto"/>
              </w:rPr>
            </w:pPr>
            <w:r>
              <w:rPr>
                <w:rFonts w:ascii="Arial" w:cs="Arial" w:eastAsia="Arial" w:hAnsi="Arial"/>
                <w:sz w:val="17"/>
                <w:szCs w:val="17"/>
                <w:color w:val="auto"/>
              </w:rPr>
              <w:t>Redevelopments and Expansions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9,761</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10,124</w:t>
            </w:r>
          </w:p>
        </w:tc>
        <w:tc>
          <w:tcPr>
            <w:tcW w:w="140" w:type="dxa"/>
            <w:vAlign w:val="bottom"/>
          </w:tcPr>
          <w:p>
            <w:pPr>
              <w:spacing w:after="0"/>
              <w:rPr>
                <w:sz w:val="18"/>
                <w:szCs w:val="18"/>
                <w:color w:val="auto"/>
              </w:rPr>
            </w:pPr>
          </w:p>
        </w:tc>
      </w:tr>
      <w:tr>
        <w:trPr>
          <w:trHeight w:val="209"/>
        </w:trPr>
        <w:tc>
          <w:tcPr>
            <w:tcW w:w="8440" w:type="dxa"/>
            <w:vAlign w:val="bottom"/>
            <w:gridSpan w:val="4"/>
            <w:shd w:val="clear" w:color="auto" w:fill="CCEEFF"/>
          </w:tcPr>
          <w:p>
            <w:pPr>
              <w:ind w:left="420"/>
              <w:spacing w:after="0"/>
              <w:rPr>
                <w:sz w:val="20"/>
                <w:szCs w:val="20"/>
                <w:color w:val="auto"/>
              </w:rPr>
            </w:pPr>
            <w:r>
              <w:rPr>
                <w:rFonts w:ascii="Arial" w:cs="Arial" w:eastAsia="Arial" w:hAnsi="Arial"/>
                <w:sz w:val="17"/>
                <w:szCs w:val="17"/>
                <w:color w:val="auto"/>
              </w:rPr>
              <w:t>Tenant Improvements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3,308</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w:t>
            </w:r>
          </w:p>
        </w:tc>
        <w:tc>
          <w:tcPr>
            <w:tcW w:w="140" w:type="dxa"/>
            <w:vAlign w:val="bottom"/>
            <w:shd w:val="clear" w:color="auto" w:fill="CCEEFF"/>
          </w:tcPr>
          <w:p>
            <w:pPr>
              <w:spacing w:after="0"/>
              <w:rPr>
                <w:sz w:val="18"/>
                <w:szCs w:val="18"/>
                <w:color w:val="auto"/>
              </w:rPr>
            </w:pPr>
          </w:p>
        </w:tc>
      </w:tr>
      <w:tr>
        <w:trPr>
          <w:trHeight w:val="105"/>
        </w:trPr>
        <w:tc>
          <w:tcPr>
            <w:tcW w:w="9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98"/>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844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Total Non-maintenance Capital Expenditures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43,200</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68,551</w:t>
            </w:r>
          </w:p>
        </w:tc>
        <w:tc>
          <w:tcPr>
            <w:tcW w:w="140" w:type="dxa"/>
            <w:vAlign w:val="bottom"/>
            <w:shd w:val="clear" w:color="auto" w:fill="CCEEFF"/>
          </w:tcPr>
          <w:p>
            <w:pPr>
              <w:spacing w:after="0"/>
              <w:rPr>
                <w:sz w:val="18"/>
                <w:szCs w:val="18"/>
                <w:color w:val="auto"/>
              </w:rPr>
            </w:pPr>
          </w:p>
        </w:tc>
      </w:tr>
      <w:tr>
        <w:trPr>
          <w:trHeight w:val="215"/>
        </w:trPr>
        <w:tc>
          <w:tcPr>
            <w:tcW w:w="8440" w:type="dxa"/>
            <w:vAlign w:val="bottom"/>
            <w:gridSpan w:val="4"/>
          </w:tcPr>
          <w:p>
            <w:pPr>
              <w:spacing w:after="0"/>
              <w:rPr>
                <w:sz w:val="20"/>
                <w:szCs w:val="20"/>
                <w:color w:val="auto"/>
              </w:rPr>
            </w:pPr>
            <w:r>
              <w:rPr>
                <w:rFonts w:ascii="Arial" w:cs="Arial" w:eastAsia="Arial" w:hAnsi="Arial"/>
                <w:sz w:val="17"/>
                <w:szCs w:val="17"/>
                <w:color w:val="auto"/>
              </w:rPr>
              <w:t>Maintenance Capital Expenditures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902</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1,551</w:t>
            </w:r>
          </w:p>
        </w:tc>
        <w:tc>
          <w:tcPr>
            <w:tcW w:w="140" w:type="dxa"/>
            <w:vAlign w:val="bottom"/>
          </w:tcPr>
          <w:p>
            <w:pPr>
              <w:spacing w:after="0"/>
              <w:rPr>
                <w:sz w:val="18"/>
                <w:szCs w:val="18"/>
                <w:color w:val="auto"/>
              </w:rPr>
            </w:pPr>
          </w:p>
        </w:tc>
      </w:tr>
      <w:tr>
        <w:trPr>
          <w:trHeight w:val="98"/>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98"/>
        </w:trPr>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844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Total Capital Expenditures</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44,102</w:t>
            </w:r>
          </w:p>
        </w:tc>
        <w:tc>
          <w:tcPr>
            <w:tcW w:w="1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70,102</w:t>
            </w:r>
          </w:p>
        </w:tc>
        <w:tc>
          <w:tcPr>
            <w:tcW w:w="140" w:type="dxa"/>
            <w:vAlign w:val="bottom"/>
            <w:shd w:val="clear" w:color="auto" w:fill="CCEEFF"/>
          </w:tcPr>
          <w:p>
            <w:pPr>
              <w:spacing w:after="0"/>
              <w:rPr>
                <w:sz w:val="18"/>
                <w:szCs w:val="18"/>
                <w:color w:val="auto"/>
              </w:rPr>
            </w:pPr>
          </w:p>
        </w:tc>
      </w:tr>
      <w:tr>
        <w:trPr>
          <w:trHeight w:val="127"/>
        </w:trPr>
        <w:tc>
          <w:tcPr>
            <w:tcW w:w="9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06"/>
        </w:trPr>
        <w:tc>
          <w:tcPr>
            <w:tcW w:w="940" w:type="dxa"/>
            <w:vAlign w:val="bottom"/>
            <w:tcBorders>
              <w:bottom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5360035</wp:posOffset>
            </wp:positionH>
            <wp:positionV relativeFrom="paragraph">
              <wp:posOffset>-3594100</wp:posOffset>
            </wp:positionV>
            <wp:extent cx="12700" cy="292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-3594100</wp:posOffset>
            </wp:positionV>
            <wp:extent cx="20955" cy="292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-3594100</wp:posOffset>
            </wp:positionV>
            <wp:extent cx="37465" cy="29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6662420</wp:posOffset>
            </wp:positionH>
            <wp:positionV relativeFrom="paragraph">
              <wp:posOffset>-3594100</wp:posOffset>
            </wp:positionV>
            <wp:extent cx="12700" cy="292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-3594100</wp:posOffset>
            </wp:positionV>
            <wp:extent cx="20955" cy="29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7152005</wp:posOffset>
            </wp:positionH>
            <wp:positionV relativeFrom="paragraph">
              <wp:posOffset>-3594100</wp:posOffset>
            </wp:positionV>
            <wp:extent cx="37465" cy="29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-3170555</wp:posOffset>
            </wp:positionV>
            <wp:extent cx="12700" cy="29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-3170555</wp:posOffset>
            </wp:positionV>
            <wp:extent cx="20955" cy="29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-3170555</wp:posOffset>
            </wp:positionV>
            <wp:extent cx="37465" cy="292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6662420</wp:posOffset>
            </wp:positionH>
            <wp:positionV relativeFrom="paragraph">
              <wp:posOffset>-3170555</wp:posOffset>
            </wp:positionV>
            <wp:extent cx="12700" cy="29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-3170555</wp:posOffset>
            </wp:positionV>
            <wp:extent cx="20955" cy="292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7152005</wp:posOffset>
            </wp:positionH>
            <wp:positionV relativeFrom="paragraph">
              <wp:posOffset>-3170555</wp:posOffset>
            </wp:positionV>
            <wp:extent cx="37465" cy="292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-2200275</wp:posOffset>
            </wp:positionV>
            <wp:extent cx="12700" cy="292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-2200275</wp:posOffset>
            </wp:positionV>
            <wp:extent cx="20955" cy="29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-2200275</wp:posOffset>
            </wp:positionV>
            <wp:extent cx="37465" cy="29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6662420</wp:posOffset>
            </wp:positionH>
            <wp:positionV relativeFrom="paragraph">
              <wp:posOffset>-2200275</wp:posOffset>
            </wp:positionV>
            <wp:extent cx="12700" cy="29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-2200275</wp:posOffset>
            </wp:positionV>
            <wp:extent cx="20955" cy="292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7152005</wp:posOffset>
            </wp:positionH>
            <wp:positionV relativeFrom="paragraph">
              <wp:posOffset>-2200275</wp:posOffset>
            </wp:positionV>
            <wp:extent cx="37465" cy="292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-167640</wp:posOffset>
            </wp:positionV>
            <wp:extent cx="12700" cy="292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-167640</wp:posOffset>
            </wp:positionV>
            <wp:extent cx="20955" cy="292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-167640</wp:posOffset>
            </wp:positionV>
            <wp:extent cx="37465" cy="292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6662420</wp:posOffset>
            </wp:positionH>
            <wp:positionV relativeFrom="paragraph">
              <wp:posOffset>-167640</wp:posOffset>
            </wp:positionV>
            <wp:extent cx="12700" cy="292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-167640</wp:posOffset>
            </wp:positionV>
            <wp:extent cx="20955" cy="29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7152005</wp:posOffset>
            </wp:positionH>
            <wp:positionV relativeFrom="paragraph">
              <wp:posOffset>-167640</wp:posOffset>
            </wp:positionV>
            <wp:extent cx="37465" cy="29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0" w:lineRule="exact"/>
        <w:rPr>
          <w:sz w:val="20"/>
          <w:szCs w:val="20"/>
          <w:color w:val="auto"/>
        </w:rPr>
      </w:pPr>
    </w:p>
    <w:p>
      <w:pPr>
        <w:ind w:left="440" w:hanging="435"/>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3" w:lineRule="exact"/>
        <w:rPr>
          <w:rFonts w:ascii="Arial" w:cs="Arial" w:eastAsia="Arial" w:hAnsi="Arial"/>
          <w:sz w:val="17"/>
          <w:szCs w:val="17"/>
          <w:color w:val="auto"/>
        </w:rPr>
      </w:pPr>
    </w:p>
    <w:p>
      <w:pPr>
        <w:ind w:left="440" w:right="380" w:hanging="435"/>
        <w:spacing w:after="0" w:line="273"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Capital expenditures related to properties acquired in the last two years for which non-maintenance expenditures were planned at the time of the acquisition underwriting.</w:t>
      </w:r>
    </w:p>
    <w:p>
      <w:pPr>
        <w:sectPr>
          <w:pgSz w:w="11900" w:h="16838" w:orient="portrait"/>
          <w:cols w:equalWidth="0" w:num="1">
            <w:col w:w="11420"/>
          </w:cols>
          <w:pgMar w:left="240" w:top="27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 / Capital Availability / Operational Statistics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As of</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93"/>
        </w:trPr>
        <w:tc>
          <w:tcPr>
            <w:tcW w:w="8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r>
        <w:trPr>
          <w:trHeight w:val="253"/>
        </w:trPr>
        <w:tc>
          <w:tcPr>
            <w:tcW w:w="8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June 30, 2003</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 2002</w:t>
            </w:r>
          </w:p>
        </w:tc>
      </w:tr>
      <w:tr>
        <w:trPr>
          <w:trHeight w:val="93"/>
        </w:trPr>
        <w:tc>
          <w:tcPr>
            <w:tcW w:w="8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r>
      <w:tr>
        <w:trPr>
          <w:trHeight w:val="241"/>
        </w:trPr>
        <w:tc>
          <w:tcPr>
            <w:tcW w:w="8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6"/>
          </w:tcPr>
          <w:p>
            <w:pPr>
              <w:ind w:left="340"/>
              <w:spacing w:after="0"/>
              <w:rPr>
                <w:sz w:val="20"/>
                <w:szCs w:val="20"/>
                <w:color w:val="auto"/>
              </w:rPr>
            </w:pPr>
            <w:r>
              <w:rPr>
                <w:rFonts w:ascii="Arial" w:cs="Arial" w:eastAsia="Arial" w:hAnsi="Arial"/>
                <w:sz w:val="13"/>
                <w:szCs w:val="13"/>
                <w:b w:val="1"/>
                <w:bCs w:val="1"/>
                <w:color w:val="auto"/>
              </w:rPr>
              <w:t>(in thousands, except per share data)</w:t>
            </w:r>
          </w:p>
        </w:tc>
      </w:tr>
      <w:tr>
        <w:trPr>
          <w:trHeight w:val="209"/>
        </w:trPr>
        <w:tc>
          <w:tcPr>
            <w:tcW w:w="8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Market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09"/>
        </w:trPr>
        <w:tc>
          <w:tcPr>
            <w:tcW w:w="8180" w:type="dxa"/>
            <w:vAlign w:val="bottom"/>
          </w:tcPr>
          <w:p>
            <w:pPr>
              <w:ind w:left="420"/>
              <w:spacing w:after="0"/>
              <w:rPr>
                <w:sz w:val="20"/>
                <w:szCs w:val="20"/>
                <w:color w:val="auto"/>
              </w:rPr>
            </w:pPr>
            <w:r>
              <w:rPr>
                <w:rFonts w:ascii="Arial" w:cs="Arial" w:eastAsia="Arial" w:hAnsi="Arial"/>
                <w:sz w:val="17"/>
                <w:szCs w:val="17"/>
                <w:color w:val="auto"/>
              </w:rPr>
              <w:t>Common shares outstanding</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49,029</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43,188</w:t>
            </w:r>
          </w:p>
        </w:tc>
        <w:tc>
          <w:tcPr>
            <w:tcW w:w="320" w:type="dxa"/>
            <w:vAlign w:val="bottom"/>
          </w:tcPr>
          <w:p>
            <w:pPr>
              <w:spacing w:after="0"/>
              <w:rPr>
                <w:sz w:val="18"/>
                <w:szCs w:val="18"/>
                <w:color w:val="auto"/>
              </w:rPr>
            </w:pPr>
          </w:p>
        </w:tc>
      </w:tr>
      <w:tr>
        <w:trPr>
          <w:trHeight w:val="209"/>
        </w:trPr>
        <w:tc>
          <w:tcPr>
            <w:tcW w:w="8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Market price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27.71</w:t>
            </w:r>
          </w:p>
        </w:tc>
        <w:tc>
          <w:tcPr>
            <w:tcW w:w="320" w:type="dxa"/>
            <w:vAlign w:val="bottom"/>
            <w:shd w:val="clear" w:color="auto" w:fill="CCEEFF"/>
          </w:tcPr>
          <w:p>
            <w:pPr>
              <w:spacing w:after="0"/>
              <w:rPr>
                <w:sz w:val="18"/>
                <w:szCs w:val="18"/>
                <w:color w:val="auto"/>
              </w:rPr>
            </w:pPr>
          </w:p>
        </w:tc>
      </w:tr>
      <w:tr>
        <w:trPr>
          <w:trHeight w:val="209"/>
        </w:trPr>
        <w:tc>
          <w:tcPr>
            <w:tcW w:w="8180" w:type="dxa"/>
            <w:vAlign w:val="bottom"/>
          </w:tcPr>
          <w:p>
            <w:pPr>
              <w:ind w:left="420"/>
              <w:spacing w:after="0"/>
              <w:rPr>
                <w:sz w:val="20"/>
                <w:szCs w:val="20"/>
                <w:color w:val="auto"/>
              </w:rPr>
            </w:pPr>
            <w:r>
              <w:rPr>
                <w:rFonts w:ascii="Arial" w:cs="Arial" w:eastAsia="Arial" w:hAnsi="Arial"/>
                <w:sz w:val="17"/>
                <w:szCs w:val="17"/>
                <w:color w:val="auto"/>
              </w:rPr>
              <w:t>Series A preferred shares outstanding (1)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4,000</w:t>
            </w:r>
          </w:p>
        </w:tc>
        <w:tc>
          <w:tcPr>
            <w:tcW w:w="320" w:type="dxa"/>
            <w:vAlign w:val="bottom"/>
          </w:tcPr>
          <w:p>
            <w:pPr>
              <w:spacing w:after="0"/>
              <w:rPr>
                <w:sz w:val="18"/>
                <w:szCs w:val="18"/>
                <w:color w:val="auto"/>
              </w:rPr>
            </w:pPr>
          </w:p>
        </w:tc>
      </w:tr>
      <w:tr>
        <w:trPr>
          <w:trHeight w:val="209"/>
        </w:trPr>
        <w:tc>
          <w:tcPr>
            <w:tcW w:w="8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Market price per Series A preferred share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w:t>
            </w:r>
          </w:p>
        </w:tc>
        <w:tc>
          <w:tcPr>
            <w:tcW w:w="320" w:type="dxa"/>
            <w:vAlign w:val="bottom"/>
            <w:shd w:val="clear" w:color="auto" w:fill="CCEEFF"/>
          </w:tcPr>
          <w:p>
            <w:pPr>
              <w:spacing w:after="0"/>
              <w:rPr>
                <w:sz w:val="18"/>
                <w:szCs w:val="18"/>
                <w:color w:val="auto"/>
              </w:rPr>
            </w:pPr>
          </w:p>
        </w:tc>
      </w:tr>
      <w:tr>
        <w:trPr>
          <w:trHeight w:val="209"/>
        </w:trPr>
        <w:tc>
          <w:tcPr>
            <w:tcW w:w="8180" w:type="dxa"/>
            <w:vAlign w:val="bottom"/>
          </w:tcPr>
          <w:p>
            <w:pPr>
              <w:ind w:left="420"/>
              <w:spacing w:after="0"/>
              <w:rPr>
                <w:sz w:val="20"/>
                <w:szCs w:val="20"/>
                <w:color w:val="auto"/>
              </w:rPr>
            </w:pPr>
            <w:r>
              <w:rPr>
                <w:rFonts w:ascii="Arial" w:cs="Arial" w:eastAsia="Arial" w:hAnsi="Arial"/>
                <w:sz w:val="17"/>
                <w:szCs w:val="17"/>
                <w:color w:val="auto"/>
              </w:rPr>
              <w:t>Series B preferred shares outstanding</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5,400</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5,400</w:t>
            </w:r>
          </w:p>
        </w:tc>
        <w:tc>
          <w:tcPr>
            <w:tcW w:w="320" w:type="dxa"/>
            <w:vAlign w:val="bottom"/>
          </w:tcPr>
          <w:p>
            <w:pPr>
              <w:spacing w:after="0"/>
              <w:rPr>
                <w:sz w:val="18"/>
                <w:szCs w:val="18"/>
                <w:color w:val="auto"/>
              </w:rPr>
            </w:pPr>
          </w:p>
        </w:tc>
      </w:tr>
      <w:tr>
        <w:trPr>
          <w:trHeight w:val="209"/>
        </w:trPr>
        <w:tc>
          <w:tcPr>
            <w:tcW w:w="8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Market price per Series B preferred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25.75</w:t>
            </w:r>
          </w:p>
        </w:tc>
        <w:tc>
          <w:tcPr>
            <w:tcW w:w="320" w:type="dxa"/>
            <w:vAlign w:val="bottom"/>
            <w:shd w:val="clear" w:color="auto" w:fill="CCEEFF"/>
          </w:tcPr>
          <w:p>
            <w:pPr>
              <w:spacing w:after="0"/>
              <w:rPr>
                <w:sz w:val="18"/>
                <w:szCs w:val="18"/>
                <w:color w:val="auto"/>
              </w:rPr>
            </w:pPr>
          </w:p>
        </w:tc>
      </w:tr>
      <w:tr>
        <w:trPr>
          <w:trHeight w:val="209"/>
        </w:trPr>
        <w:tc>
          <w:tcPr>
            <w:tcW w:w="8180" w:type="dxa"/>
            <w:vAlign w:val="bottom"/>
          </w:tcPr>
          <w:p>
            <w:pPr>
              <w:ind w:left="420"/>
              <w:spacing w:after="0"/>
              <w:rPr>
                <w:sz w:val="20"/>
                <w:szCs w:val="20"/>
                <w:color w:val="auto"/>
              </w:rPr>
            </w:pPr>
            <w:r>
              <w:rPr>
                <w:rFonts w:ascii="Arial" w:cs="Arial" w:eastAsia="Arial" w:hAnsi="Arial"/>
                <w:sz w:val="17"/>
                <w:szCs w:val="17"/>
                <w:b w:val="1"/>
                <w:bCs w:val="1"/>
                <w:color w:val="auto"/>
              </w:rPr>
              <w:t>Equity market capitalization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1,715,808</w:t>
            </w:r>
          </w:p>
        </w:tc>
        <w:tc>
          <w:tcPr>
            <w:tcW w:w="104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1,435,189</w:t>
            </w:r>
          </w:p>
        </w:tc>
        <w:tc>
          <w:tcPr>
            <w:tcW w:w="320" w:type="dxa"/>
            <w:vAlign w:val="bottom"/>
          </w:tcPr>
          <w:p>
            <w:pPr>
              <w:spacing w:after="0"/>
              <w:rPr>
                <w:sz w:val="18"/>
                <w:szCs w:val="18"/>
                <w:color w:val="auto"/>
              </w:rPr>
            </w:pPr>
          </w:p>
        </w:tc>
      </w:tr>
      <w:tr>
        <w:trPr>
          <w:trHeight w:val="209"/>
        </w:trPr>
        <w:tc>
          <w:tcPr>
            <w:tcW w:w="8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debt (2)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1,129,529</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1,051,008</w:t>
            </w:r>
          </w:p>
        </w:tc>
        <w:tc>
          <w:tcPr>
            <w:tcW w:w="320" w:type="dxa"/>
            <w:vAlign w:val="bottom"/>
            <w:shd w:val="clear" w:color="auto" w:fill="CCEEFF"/>
          </w:tcPr>
          <w:p>
            <w:pPr>
              <w:spacing w:after="0"/>
              <w:rPr>
                <w:sz w:val="18"/>
                <w:szCs w:val="18"/>
                <w:color w:val="auto"/>
              </w:rPr>
            </w:pPr>
          </w:p>
        </w:tc>
      </w:tr>
      <w:tr>
        <w:trPr>
          <w:trHeight w:val="105"/>
        </w:trPr>
        <w:tc>
          <w:tcPr>
            <w:tcW w:w="8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r>
      <w:tr>
        <w:trPr>
          <w:trHeight w:val="98"/>
        </w:trPr>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09"/>
        </w:trPr>
        <w:tc>
          <w:tcPr>
            <w:tcW w:w="81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Total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2,845,337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2,486,197</w:t>
            </w:r>
          </w:p>
        </w:tc>
        <w:tc>
          <w:tcPr>
            <w:tcW w:w="320" w:type="dxa"/>
            <w:vAlign w:val="bottom"/>
            <w:shd w:val="clear" w:color="auto" w:fill="CCEEFF"/>
          </w:tcPr>
          <w:p>
            <w:pPr>
              <w:spacing w:after="0"/>
              <w:rPr>
                <w:sz w:val="18"/>
                <w:szCs w:val="18"/>
                <w:color w:val="auto"/>
              </w:rPr>
            </w:pPr>
          </w:p>
        </w:tc>
      </w:tr>
      <w:tr>
        <w:trPr>
          <w:trHeight w:val="127"/>
        </w:trPr>
        <w:tc>
          <w:tcPr>
            <w:tcW w:w="8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r>
      <w:tr>
        <w:trPr>
          <w:trHeight w:val="101"/>
        </w:trPr>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09"/>
        </w:trPr>
        <w:tc>
          <w:tcPr>
            <w:tcW w:w="818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Total debt to market capitalization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320" w:type="dxa"/>
            <w:vAlign w:val="bottom"/>
            <w:shd w:val="clear" w:color="auto" w:fill="CCEEFF"/>
          </w:tcPr>
          <w:p>
            <w:pPr>
              <w:spacing w:after="0"/>
              <w:rPr>
                <w:sz w:val="18"/>
                <w:szCs w:val="18"/>
                <w:color w:val="auto"/>
              </w:rPr>
            </w:pPr>
          </w:p>
        </w:tc>
      </w:tr>
      <w:tr>
        <w:trPr>
          <w:trHeight w:val="127"/>
        </w:trPr>
        <w:tc>
          <w:tcPr>
            <w:tcW w:w="8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r>
      <w:tr>
        <w:trPr>
          <w:trHeight w:val="101"/>
        </w:trPr>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09"/>
        </w:trPr>
        <w:tc>
          <w:tcPr>
            <w:tcW w:w="8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Capital availability: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09"/>
        </w:trPr>
        <w:tc>
          <w:tcPr>
            <w:tcW w:w="8180" w:type="dxa"/>
            <w:vAlign w:val="bottom"/>
          </w:tcPr>
          <w:p>
            <w:pPr>
              <w:ind w:left="420"/>
              <w:spacing w:after="0"/>
              <w:rPr>
                <w:sz w:val="20"/>
                <w:szCs w:val="20"/>
                <w:color w:val="auto"/>
              </w:rPr>
            </w:pPr>
            <w:r>
              <w:rPr>
                <w:rFonts w:ascii="Arial" w:cs="Arial" w:eastAsia="Arial" w:hAnsi="Arial"/>
                <w:sz w:val="17"/>
                <w:szCs w:val="17"/>
                <w:color w:val="auto"/>
              </w:rPr>
              <w:t>Cash on hand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18,609</w:t>
            </w:r>
          </w:p>
        </w:tc>
        <w:tc>
          <w:tcPr>
            <w:tcW w:w="104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18,723</w:t>
            </w:r>
          </w:p>
        </w:tc>
        <w:tc>
          <w:tcPr>
            <w:tcW w:w="320" w:type="dxa"/>
            <w:vAlign w:val="bottom"/>
          </w:tcPr>
          <w:p>
            <w:pPr>
              <w:spacing w:after="0"/>
              <w:rPr>
                <w:sz w:val="18"/>
                <w:szCs w:val="18"/>
                <w:color w:val="auto"/>
              </w:rPr>
            </w:pPr>
          </w:p>
        </w:tc>
      </w:tr>
      <w:tr>
        <w:trPr>
          <w:trHeight w:val="209"/>
        </w:trPr>
        <w:tc>
          <w:tcPr>
            <w:tcW w:w="8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Tax deferred exchange escrows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55,128</w:t>
            </w:r>
          </w:p>
        </w:tc>
        <w:tc>
          <w:tcPr>
            <w:tcW w:w="320" w:type="dxa"/>
            <w:vAlign w:val="bottom"/>
            <w:shd w:val="clear" w:color="auto" w:fill="CCEEFF"/>
          </w:tcPr>
          <w:p>
            <w:pPr>
              <w:spacing w:after="0"/>
              <w:rPr>
                <w:sz w:val="18"/>
                <w:szCs w:val="18"/>
                <w:color w:val="auto"/>
              </w:rPr>
            </w:pPr>
          </w:p>
        </w:tc>
      </w:tr>
      <w:tr>
        <w:trPr>
          <w:trHeight w:val="209"/>
        </w:trPr>
        <w:tc>
          <w:tcPr>
            <w:tcW w:w="8180" w:type="dxa"/>
            <w:vAlign w:val="bottom"/>
          </w:tcPr>
          <w:p>
            <w:pPr>
              <w:ind w:left="420"/>
              <w:spacing w:after="0"/>
              <w:rPr>
                <w:sz w:val="20"/>
                <w:szCs w:val="20"/>
                <w:color w:val="auto"/>
              </w:rPr>
            </w:pPr>
            <w:r>
              <w:rPr>
                <w:rFonts w:ascii="Arial" w:cs="Arial" w:eastAsia="Arial" w:hAnsi="Arial"/>
                <w:sz w:val="17"/>
                <w:szCs w:val="17"/>
                <w:color w:val="auto"/>
              </w:rPr>
              <w:t>Available capacity under line of credit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93,000</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256,000</w:t>
            </w:r>
          </w:p>
        </w:tc>
        <w:tc>
          <w:tcPr>
            <w:tcW w:w="320" w:type="dxa"/>
            <w:vAlign w:val="bottom"/>
          </w:tcPr>
          <w:p>
            <w:pPr>
              <w:spacing w:after="0"/>
              <w:rPr>
                <w:sz w:val="18"/>
                <w:szCs w:val="18"/>
                <w:color w:val="auto"/>
              </w:rPr>
            </w:pPr>
          </w:p>
        </w:tc>
      </w:tr>
      <w:tr>
        <w:trPr>
          <w:trHeight w:val="209"/>
        </w:trPr>
        <w:tc>
          <w:tcPr>
            <w:tcW w:w="8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Available capacity under Santana Row construction loan (3)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164,300</w:t>
            </w:r>
          </w:p>
        </w:tc>
        <w:tc>
          <w:tcPr>
            <w:tcW w:w="320" w:type="dxa"/>
            <w:vAlign w:val="bottom"/>
            <w:shd w:val="clear" w:color="auto" w:fill="CCEEFF"/>
          </w:tcPr>
          <w:p>
            <w:pPr>
              <w:spacing w:after="0"/>
              <w:rPr>
                <w:sz w:val="18"/>
                <w:szCs w:val="18"/>
                <w:color w:val="auto"/>
              </w:rPr>
            </w:pPr>
          </w:p>
        </w:tc>
      </w:tr>
      <w:tr>
        <w:trPr>
          <w:trHeight w:val="215"/>
        </w:trPr>
        <w:tc>
          <w:tcPr>
            <w:tcW w:w="8180" w:type="dxa"/>
            <w:vAlign w:val="bottom"/>
          </w:tcPr>
          <w:p>
            <w:pPr>
              <w:ind w:left="420"/>
              <w:spacing w:after="0"/>
              <w:rPr>
                <w:sz w:val="20"/>
                <w:szCs w:val="20"/>
                <w:color w:val="auto"/>
              </w:rPr>
            </w:pPr>
            <w:r>
              <w:rPr>
                <w:rFonts w:ascii="Arial" w:cs="Arial" w:eastAsia="Arial" w:hAnsi="Arial"/>
                <w:sz w:val="17"/>
                <w:szCs w:val="17"/>
                <w:color w:val="auto"/>
              </w:rPr>
              <w:t>Available for issuance under shelf registration statement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400,000</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130,240</w:t>
            </w:r>
          </w:p>
        </w:tc>
        <w:tc>
          <w:tcPr>
            <w:tcW w:w="320" w:type="dxa"/>
            <w:vAlign w:val="bottom"/>
          </w:tcPr>
          <w:p>
            <w:pPr>
              <w:spacing w:after="0"/>
              <w:rPr>
                <w:sz w:val="18"/>
                <w:szCs w:val="18"/>
                <w:color w:val="auto"/>
              </w:rPr>
            </w:pPr>
          </w:p>
        </w:tc>
      </w:tr>
      <w:tr>
        <w:trPr>
          <w:trHeight w:val="98"/>
        </w:trPr>
        <w:tc>
          <w:tcPr>
            <w:tcW w:w="8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r>
        <w:trPr>
          <w:trHeight w:val="98"/>
        </w:trPr>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09"/>
        </w:trPr>
        <w:tc>
          <w:tcPr>
            <w:tcW w:w="8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511,609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624,391</w:t>
            </w:r>
          </w:p>
        </w:tc>
        <w:tc>
          <w:tcPr>
            <w:tcW w:w="320" w:type="dxa"/>
            <w:vAlign w:val="bottom"/>
            <w:shd w:val="clear" w:color="auto" w:fill="CCEEFF"/>
          </w:tcPr>
          <w:p>
            <w:pPr>
              <w:spacing w:after="0"/>
              <w:rPr>
                <w:sz w:val="18"/>
                <w:szCs w:val="18"/>
                <w:color w:val="auto"/>
              </w:rPr>
            </w:pPr>
          </w:p>
        </w:tc>
      </w:tr>
      <w:tr>
        <w:trPr>
          <w:trHeight w:val="127"/>
        </w:trPr>
        <w:tc>
          <w:tcPr>
            <w:tcW w:w="8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5194300</wp:posOffset>
            </wp:positionH>
            <wp:positionV relativeFrom="paragraph">
              <wp:posOffset>-1546860</wp:posOffset>
            </wp:positionV>
            <wp:extent cx="12700" cy="292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-1546860</wp:posOffset>
            </wp:positionV>
            <wp:extent cx="20955" cy="292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-1546860</wp:posOffset>
            </wp:positionV>
            <wp:extent cx="37465" cy="292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6405245</wp:posOffset>
            </wp:positionH>
            <wp:positionV relativeFrom="paragraph">
              <wp:posOffset>-1546860</wp:posOffset>
            </wp:positionV>
            <wp:extent cx="12700" cy="29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-1546860</wp:posOffset>
            </wp:positionV>
            <wp:extent cx="20955" cy="29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7035800</wp:posOffset>
            </wp:positionH>
            <wp:positionV relativeFrom="paragraph">
              <wp:posOffset>-1546860</wp:posOffset>
            </wp:positionV>
            <wp:extent cx="37465" cy="29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5194300</wp:posOffset>
            </wp:positionH>
            <wp:positionV relativeFrom="paragraph">
              <wp:posOffset>-1256665</wp:posOffset>
            </wp:positionV>
            <wp:extent cx="12700" cy="292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-1256665</wp:posOffset>
            </wp:positionV>
            <wp:extent cx="20955" cy="29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-1256665</wp:posOffset>
            </wp:positionV>
            <wp:extent cx="37465" cy="292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6405245</wp:posOffset>
            </wp:positionH>
            <wp:positionV relativeFrom="paragraph">
              <wp:posOffset>-1256665</wp:posOffset>
            </wp:positionV>
            <wp:extent cx="12700" cy="292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-1256665</wp:posOffset>
            </wp:positionV>
            <wp:extent cx="20955" cy="292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7035800</wp:posOffset>
            </wp:positionH>
            <wp:positionV relativeFrom="paragraph">
              <wp:posOffset>-1256665</wp:posOffset>
            </wp:positionV>
            <wp:extent cx="37465" cy="292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5194300</wp:posOffset>
            </wp:positionH>
            <wp:positionV relativeFrom="paragraph">
              <wp:posOffset>-28575</wp:posOffset>
            </wp:positionV>
            <wp:extent cx="12700" cy="292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-28575</wp:posOffset>
            </wp:positionV>
            <wp:extent cx="20955" cy="292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-28575</wp:posOffset>
            </wp:positionV>
            <wp:extent cx="37465" cy="292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6405245</wp:posOffset>
            </wp:positionH>
            <wp:positionV relativeFrom="paragraph">
              <wp:posOffset>-28575</wp:posOffset>
            </wp:positionV>
            <wp:extent cx="12700" cy="29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-28575</wp:posOffset>
            </wp:positionV>
            <wp:extent cx="20955" cy="292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7035800</wp:posOffset>
            </wp:positionH>
            <wp:positionV relativeFrom="paragraph">
              <wp:posOffset>-28575</wp:posOffset>
            </wp:positionV>
            <wp:extent cx="37465" cy="292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p>
      <w:pPr>
        <w:spacing w:after="0" w:line="297" w:lineRule="exact"/>
        <w:rPr>
          <w:sz w:val="20"/>
          <w:szCs w:val="20"/>
          <w:color w:val="auto"/>
        </w:rPr>
      </w:pPr>
    </w:p>
    <w:p>
      <w:pPr>
        <w:jc w:val="center"/>
        <w:ind w:left="7980"/>
        <w:spacing w:after="0"/>
        <w:rPr>
          <w:sz w:val="20"/>
          <w:szCs w:val="20"/>
          <w:color w:val="auto"/>
        </w:rPr>
      </w:pPr>
      <w:r>
        <w:rPr>
          <w:rFonts w:ascii="Arial" w:cs="Arial" w:eastAsia="Arial" w:hAnsi="Arial"/>
          <w:sz w:val="11"/>
          <w:szCs w:val="11"/>
          <w:b w:val="1"/>
          <w:bCs w:val="1"/>
          <w:color w:val="auto"/>
        </w:rPr>
        <w:t>Six months ended</w:t>
      </w:r>
    </w:p>
    <w:p>
      <w:pPr>
        <w:spacing w:after="0" w:line="31" w:lineRule="exact"/>
        <w:rPr>
          <w:sz w:val="20"/>
          <w:szCs w:val="20"/>
          <w:color w:val="auto"/>
        </w:rPr>
      </w:pPr>
    </w:p>
    <w:p>
      <w:pPr>
        <w:jc w:val="center"/>
        <w:ind w:left="7960"/>
        <w:spacing w:after="0"/>
        <w:rPr>
          <w:sz w:val="20"/>
          <w:szCs w:val="20"/>
          <w:color w:val="auto"/>
        </w:rPr>
      </w:pPr>
      <w:r>
        <w:rPr>
          <w:rFonts w:ascii="Arial" w:cs="Arial" w:eastAsia="Arial" w:hAnsi="Arial"/>
          <w:sz w:val="13"/>
          <w:szCs w:val="13"/>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5196205</wp:posOffset>
            </wp:positionH>
            <wp:positionV relativeFrom="paragraph">
              <wp:posOffset>62230</wp:posOffset>
            </wp:positionV>
            <wp:extent cx="6223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340"/>
        <w:spacing w:after="0"/>
        <w:rPr>
          <w:sz w:val="20"/>
          <w:szCs w:val="20"/>
          <w:color w:val="auto"/>
        </w:rPr>
      </w:pPr>
      <w:r>
        <w:rPr>
          <w:rFonts w:ascii="Arial" w:cs="Arial" w:eastAsia="Arial" w:hAnsi="Arial"/>
          <w:sz w:val="11"/>
          <w:szCs w:val="11"/>
          <w:b w:val="1"/>
          <w:bCs w:val="1"/>
          <w:color w:val="auto"/>
        </w:rPr>
        <w:t>Six months ended</w:t>
      </w:r>
    </w:p>
    <w:p>
      <w:pPr>
        <w:spacing w:after="0" w:line="31" w:lineRule="exact"/>
        <w:rPr>
          <w:sz w:val="20"/>
          <w:szCs w:val="20"/>
          <w:color w:val="auto"/>
        </w:rPr>
      </w:pPr>
    </w:p>
    <w:p>
      <w:pPr>
        <w:jc w:val="center"/>
        <w:ind w:right="340"/>
        <w:spacing w:after="0"/>
        <w:rPr>
          <w:sz w:val="20"/>
          <w:szCs w:val="20"/>
          <w:color w:val="auto"/>
        </w:rPr>
      </w:pPr>
      <w:r>
        <w:rPr>
          <w:rFonts w:ascii="Arial" w:cs="Arial" w:eastAsia="Arial" w:hAnsi="Arial"/>
          <w:sz w:val="13"/>
          <w:szCs w:val="13"/>
          <w:b w:val="1"/>
          <w:bCs w:val="1"/>
          <w:color w:val="auto"/>
        </w:rPr>
        <w:t>June 30,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6388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88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80" w:space="720"/>
            <w:col w:w="1320"/>
          </w:cols>
          <w:pgMar w:left="240" w:top="271" w:right="2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5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Operational statistics</w:t>
            </w:r>
          </w:p>
        </w:tc>
        <w:tc>
          <w:tcPr>
            <w:tcW w:w="3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9"/>
        </w:trPr>
        <w:tc>
          <w:tcPr>
            <w:tcW w:w="6580" w:type="dxa"/>
            <w:vAlign w:val="bottom"/>
            <w:gridSpan w:val="2"/>
          </w:tcPr>
          <w:p>
            <w:pPr>
              <w:ind w:left="420"/>
              <w:spacing w:after="0"/>
              <w:rPr>
                <w:sz w:val="20"/>
                <w:szCs w:val="20"/>
                <w:color w:val="auto"/>
              </w:rPr>
            </w:pPr>
            <w:r>
              <w:rPr>
                <w:rFonts w:ascii="Arial" w:cs="Arial" w:eastAsia="Arial" w:hAnsi="Arial"/>
                <w:sz w:val="17"/>
                <w:szCs w:val="17"/>
                <w:color w:val="auto"/>
              </w:rPr>
              <w:t>Ratio of earnings to fixed charges (4)</w:t>
            </w:r>
          </w:p>
        </w:tc>
        <w:tc>
          <w:tcPr>
            <w:tcW w:w="3480" w:type="dxa"/>
            <w:vAlign w:val="bottom"/>
          </w:tcPr>
          <w:p>
            <w:pPr>
              <w:ind w:left="2280"/>
              <w:spacing w:after="0"/>
              <w:rPr>
                <w:sz w:val="20"/>
                <w:szCs w:val="20"/>
                <w:color w:val="auto"/>
              </w:rPr>
            </w:pPr>
            <w:r>
              <w:rPr>
                <w:rFonts w:ascii="Arial" w:cs="Arial" w:eastAsia="Arial" w:hAnsi="Arial"/>
                <w:sz w:val="17"/>
                <w:szCs w:val="17"/>
                <w:color w:val="auto"/>
              </w:rPr>
              <w:t>1.45x</w:t>
            </w:r>
          </w:p>
        </w:tc>
        <w:tc>
          <w:tcPr>
            <w:tcW w:w="1360" w:type="dxa"/>
            <w:vAlign w:val="bottom"/>
          </w:tcPr>
          <w:p>
            <w:pPr>
              <w:ind w:left="740"/>
              <w:spacing w:after="0"/>
              <w:rPr>
                <w:sz w:val="20"/>
                <w:szCs w:val="20"/>
                <w:color w:val="auto"/>
              </w:rPr>
            </w:pPr>
            <w:r>
              <w:rPr>
                <w:rFonts w:ascii="Arial" w:cs="Arial" w:eastAsia="Arial" w:hAnsi="Arial"/>
                <w:sz w:val="17"/>
                <w:szCs w:val="17"/>
                <w:color w:val="auto"/>
                <w:w w:val="89"/>
              </w:rPr>
              <w:t>1.24x (5)</w:t>
            </w:r>
          </w:p>
        </w:tc>
      </w:tr>
      <w:tr>
        <w:trPr>
          <w:trHeight w:val="209"/>
        </w:trPr>
        <w:tc>
          <w:tcPr>
            <w:tcW w:w="65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Ratio of earnings to combined fixed charges</w:t>
            </w:r>
          </w:p>
        </w:tc>
        <w:tc>
          <w:tcPr>
            <w:tcW w:w="3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9"/>
        </w:trPr>
        <w:tc>
          <w:tcPr>
            <w:tcW w:w="6580" w:type="dxa"/>
            <w:vAlign w:val="bottom"/>
            <w:gridSpan w:val="2"/>
          </w:tcPr>
          <w:p>
            <w:pPr>
              <w:ind w:left="420"/>
              <w:spacing w:after="0"/>
              <w:rPr>
                <w:sz w:val="20"/>
                <w:szCs w:val="20"/>
                <w:color w:val="auto"/>
              </w:rPr>
            </w:pPr>
            <w:r>
              <w:rPr>
                <w:rFonts w:ascii="Arial" w:cs="Arial" w:eastAsia="Arial" w:hAnsi="Arial"/>
                <w:sz w:val="17"/>
                <w:szCs w:val="17"/>
                <w:color w:val="auto"/>
              </w:rPr>
              <w:t>and preferred share dividends (4)</w:t>
            </w:r>
          </w:p>
        </w:tc>
        <w:tc>
          <w:tcPr>
            <w:tcW w:w="3480" w:type="dxa"/>
            <w:vAlign w:val="bottom"/>
          </w:tcPr>
          <w:p>
            <w:pPr>
              <w:ind w:left="2280"/>
              <w:spacing w:after="0"/>
              <w:rPr>
                <w:sz w:val="20"/>
                <w:szCs w:val="20"/>
                <w:color w:val="auto"/>
              </w:rPr>
            </w:pPr>
            <w:r>
              <w:rPr>
                <w:rFonts w:ascii="Arial" w:cs="Arial" w:eastAsia="Arial" w:hAnsi="Arial"/>
                <w:sz w:val="17"/>
                <w:szCs w:val="17"/>
                <w:color w:val="auto"/>
              </w:rPr>
              <w:t>1.24x</w:t>
            </w:r>
          </w:p>
        </w:tc>
        <w:tc>
          <w:tcPr>
            <w:tcW w:w="1360" w:type="dxa"/>
            <w:vAlign w:val="bottom"/>
          </w:tcPr>
          <w:p>
            <w:pPr>
              <w:ind w:left="740"/>
              <w:spacing w:after="0"/>
              <w:rPr>
                <w:sz w:val="20"/>
                <w:szCs w:val="20"/>
                <w:color w:val="auto"/>
              </w:rPr>
            </w:pPr>
            <w:r>
              <w:rPr>
                <w:rFonts w:ascii="Arial" w:cs="Arial" w:eastAsia="Arial" w:hAnsi="Arial"/>
                <w:sz w:val="17"/>
                <w:szCs w:val="17"/>
                <w:color w:val="auto"/>
                <w:w w:val="89"/>
              </w:rPr>
              <w:t>1.05x (5)</w:t>
            </w:r>
          </w:p>
        </w:tc>
      </w:tr>
      <w:tr>
        <w:trPr>
          <w:trHeight w:val="209"/>
        </w:trPr>
        <w:tc>
          <w:tcPr>
            <w:tcW w:w="65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Ratio of EBITDA to combined fixed charges</w:t>
            </w:r>
          </w:p>
        </w:tc>
        <w:tc>
          <w:tcPr>
            <w:tcW w:w="3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9"/>
        </w:trPr>
        <w:tc>
          <w:tcPr>
            <w:tcW w:w="6580" w:type="dxa"/>
            <w:vAlign w:val="bottom"/>
            <w:gridSpan w:val="2"/>
          </w:tcPr>
          <w:p>
            <w:pPr>
              <w:ind w:left="420"/>
              <w:spacing w:after="0"/>
              <w:rPr>
                <w:sz w:val="20"/>
                <w:szCs w:val="20"/>
                <w:color w:val="auto"/>
              </w:rPr>
            </w:pPr>
            <w:r>
              <w:rPr>
                <w:rFonts w:ascii="Arial" w:cs="Arial" w:eastAsia="Arial" w:hAnsi="Arial"/>
                <w:sz w:val="17"/>
                <w:szCs w:val="17"/>
                <w:color w:val="auto"/>
              </w:rPr>
              <w:t>and preferred share dividends (4) (6)</w:t>
            </w:r>
          </w:p>
        </w:tc>
        <w:tc>
          <w:tcPr>
            <w:tcW w:w="3480" w:type="dxa"/>
            <w:vAlign w:val="bottom"/>
          </w:tcPr>
          <w:p>
            <w:pPr>
              <w:ind w:left="2280"/>
              <w:spacing w:after="0"/>
              <w:rPr>
                <w:sz w:val="20"/>
                <w:szCs w:val="20"/>
                <w:color w:val="auto"/>
              </w:rPr>
            </w:pPr>
            <w:r>
              <w:rPr>
                <w:rFonts w:ascii="Arial" w:cs="Arial" w:eastAsia="Arial" w:hAnsi="Arial"/>
                <w:sz w:val="17"/>
                <w:szCs w:val="17"/>
                <w:color w:val="auto"/>
              </w:rPr>
              <w:t>1.63x</w:t>
            </w:r>
          </w:p>
        </w:tc>
        <w:tc>
          <w:tcPr>
            <w:tcW w:w="1360" w:type="dxa"/>
            <w:vAlign w:val="bottom"/>
          </w:tcPr>
          <w:p>
            <w:pPr>
              <w:ind w:left="740"/>
              <w:spacing w:after="0"/>
              <w:rPr>
                <w:sz w:val="20"/>
                <w:szCs w:val="20"/>
                <w:color w:val="auto"/>
              </w:rPr>
            </w:pPr>
            <w:r>
              <w:rPr>
                <w:rFonts w:ascii="Arial" w:cs="Arial" w:eastAsia="Arial" w:hAnsi="Arial"/>
                <w:sz w:val="17"/>
                <w:szCs w:val="17"/>
                <w:color w:val="auto"/>
                <w:w w:val="89"/>
              </w:rPr>
              <w:t>1.36x (5)</w:t>
            </w:r>
          </w:p>
        </w:tc>
      </w:tr>
      <w:tr>
        <w:trPr>
          <w:trHeight w:val="209"/>
        </w:trPr>
        <w:tc>
          <w:tcPr>
            <w:tcW w:w="65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Administrative expense as a percentage of total revenues</w:t>
            </w:r>
          </w:p>
        </w:tc>
        <w:tc>
          <w:tcPr>
            <w:tcW w:w="348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3.74%</w:t>
            </w:r>
          </w:p>
        </w:tc>
        <w:tc>
          <w:tcPr>
            <w:tcW w:w="1360" w:type="dxa"/>
            <w:vAlign w:val="bottom"/>
            <w:shd w:val="clear" w:color="auto" w:fill="CCEEFF"/>
          </w:tcPr>
          <w:p>
            <w:pPr>
              <w:ind w:left="740"/>
              <w:spacing w:after="0"/>
              <w:rPr>
                <w:sz w:val="20"/>
                <w:szCs w:val="20"/>
                <w:color w:val="auto"/>
              </w:rPr>
            </w:pPr>
            <w:r>
              <w:rPr>
                <w:rFonts w:ascii="Arial" w:cs="Arial" w:eastAsia="Arial" w:hAnsi="Arial"/>
                <w:sz w:val="17"/>
                <w:szCs w:val="17"/>
                <w:color w:val="auto"/>
              </w:rPr>
              <w:t>4.30%</w:t>
            </w:r>
          </w:p>
        </w:tc>
      </w:tr>
      <w:tr>
        <w:trPr>
          <w:trHeight w:val="105"/>
        </w:trPr>
        <w:tc>
          <w:tcPr>
            <w:tcW w:w="940" w:type="dxa"/>
            <w:vAlign w:val="bottom"/>
            <w:tcBorders>
              <w:bottom w:val="single" w:sz="8" w:color="auto"/>
            </w:tcBorders>
          </w:tcPr>
          <w:p>
            <w:pPr>
              <w:spacing w:after="0"/>
              <w:rPr>
                <w:sz w:val="9"/>
                <w:szCs w:val="9"/>
                <w:color w:val="auto"/>
              </w:rPr>
            </w:pPr>
          </w:p>
        </w:tc>
        <w:tc>
          <w:tcPr>
            <w:tcW w:w="56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360" w:type="dxa"/>
            <w:vAlign w:val="bottom"/>
          </w:tcPr>
          <w:p>
            <w:pPr>
              <w:spacing w:after="0"/>
              <w:rPr>
                <w:sz w:val="9"/>
                <w:szCs w:val="9"/>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0" w:lineRule="exact"/>
        <w:rPr>
          <w:sz w:val="20"/>
          <w:szCs w:val="20"/>
          <w:color w:val="auto"/>
        </w:rPr>
      </w:pPr>
    </w:p>
    <w:p>
      <w:pPr>
        <w:ind w:left="440" w:hanging="435"/>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Series A Preferred Shares were redeemed on June 13, 2003.</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Total debt includes mortgages and construction loans payable, notes payable, senior notes and debentures and 5.25% convertible subordinated debentures.</w:t>
      </w:r>
    </w:p>
    <w:p>
      <w:pPr>
        <w:spacing w:after="0" w:line="36" w:lineRule="exact"/>
        <w:rPr>
          <w:rFonts w:ascii="Arial" w:cs="Arial" w:eastAsia="Arial" w:hAnsi="Arial"/>
          <w:sz w:val="15"/>
          <w:szCs w:val="15"/>
          <w:color w:val="auto"/>
        </w:rPr>
      </w:pPr>
    </w:p>
    <w:p>
      <w:pPr>
        <w:ind w:left="440" w:hanging="435"/>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Santana Row construction loan retired on November 19, 2002.</w:t>
      </w:r>
    </w:p>
    <w:p>
      <w:pPr>
        <w:spacing w:after="0" w:line="13" w:lineRule="exact"/>
        <w:rPr>
          <w:rFonts w:ascii="Arial" w:cs="Arial" w:eastAsia="Arial" w:hAnsi="Arial"/>
          <w:sz w:val="17"/>
          <w:szCs w:val="17"/>
          <w:color w:val="auto"/>
        </w:rPr>
      </w:pPr>
    </w:p>
    <w:p>
      <w:pPr>
        <w:ind w:left="440" w:right="20" w:hanging="435"/>
        <w:spacing w:after="0" w:line="256"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Earnings consist of income before gain (loss) on sale of real estate and fixed charges. Fixed charges consist of interest on borrowed funds (including capitalized interest), amortization of debt discount and expense and the portion of rent expense representing an interest factor. Preferred share dividends consist of dividends paid on outstanding Series A preferred shares and Series B preferred shares.</w:t>
      </w:r>
    </w:p>
    <w:p>
      <w:pPr>
        <w:spacing w:after="0" w:line="1" w:lineRule="exact"/>
        <w:rPr>
          <w:rFonts w:ascii="Arial" w:cs="Arial" w:eastAsia="Arial" w:hAnsi="Arial"/>
          <w:sz w:val="17"/>
          <w:szCs w:val="17"/>
          <w:color w:val="auto"/>
        </w:rPr>
      </w:pPr>
    </w:p>
    <w:p>
      <w:pPr>
        <w:ind w:left="440" w:hanging="435"/>
        <w:spacing w:after="0"/>
        <w:tabs>
          <w:tab w:leader="none" w:pos="44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an $8.5 million restructuring charge incurred in the first quarter of 2002. Excluding this charge the ratio of earnings to fixed charges would have been</w:t>
      </w:r>
    </w:p>
    <w:p>
      <w:pPr>
        <w:spacing w:after="0" w:line="36" w:lineRule="exact"/>
        <w:rPr>
          <w:rFonts w:ascii="Arial" w:cs="Arial" w:eastAsia="Arial" w:hAnsi="Arial"/>
          <w:sz w:val="15"/>
          <w:szCs w:val="15"/>
          <w:color w:val="auto"/>
        </w:rPr>
      </w:pPr>
    </w:p>
    <w:p>
      <w:pPr>
        <w:ind w:left="440" w:right="60"/>
        <w:spacing w:after="0" w:line="256" w:lineRule="auto"/>
        <w:rPr>
          <w:rFonts w:ascii="Arial" w:cs="Arial" w:eastAsia="Arial" w:hAnsi="Arial"/>
          <w:sz w:val="15"/>
          <w:szCs w:val="15"/>
          <w:color w:val="auto"/>
        </w:rPr>
      </w:pPr>
      <w:r>
        <w:rPr>
          <w:rFonts w:ascii="Arial" w:cs="Arial" w:eastAsia="Arial" w:hAnsi="Arial"/>
          <w:sz w:val="17"/>
          <w:szCs w:val="17"/>
          <w:color w:val="auto"/>
        </w:rPr>
        <w:t>1.39x, the ratio of earnings to combined fixed charges and preferred share dividends would have been 1.18x and the ratio of EBITDA to combined fixed charges and preferred share dividends would have been 1.49x.</w:t>
      </w:r>
    </w:p>
    <w:p>
      <w:pPr>
        <w:spacing w:after="0" w:line="1" w:lineRule="exact"/>
        <w:rPr>
          <w:rFonts w:ascii="Arial" w:cs="Arial" w:eastAsia="Arial" w:hAnsi="Arial"/>
          <w:sz w:val="15"/>
          <w:szCs w:val="15"/>
          <w:color w:val="auto"/>
        </w:rPr>
      </w:pPr>
    </w:p>
    <w:p>
      <w:pPr>
        <w:ind w:left="440" w:hanging="435"/>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 Glossary of Terms for reconciliation of EBITDA to net income.</w:t>
      </w:r>
    </w:p>
    <w:p>
      <w:pPr>
        <w:sectPr>
          <w:pgSz w:w="11900" w:h="16838" w:orient="portrait"/>
          <w:cols w:equalWidth="0" w:num="1">
            <w:col w:w="11420"/>
          </w:cols>
          <w:pgMar w:left="240" w:top="271"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Maturity</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Effective Rate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87"/>
              </w:rPr>
              <w:t>(in thousands)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7"/>
                <w:szCs w:val="17"/>
                <w:b w:val="1"/>
                <w:bCs w:val="1"/>
                <w:color w:val="auto"/>
                <w:w w:val="89"/>
              </w:rPr>
              <w:t>Mortgage Loans</w:t>
            </w:r>
          </w:p>
        </w:tc>
        <w:tc>
          <w:tcPr>
            <w:tcW w:w="1760" w:type="dxa"/>
            <w:vAlign w:val="bottom"/>
            <w:tcBorders>
              <w:bottom w:val="single" w:sz="8" w:color="CCEEFF"/>
            </w:tcBorders>
            <w:gridSpan w:val="4"/>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60" w:type="dxa"/>
            <w:vAlign w:val="bottom"/>
            <w:gridSpan w:val="7"/>
          </w:tcPr>
          <w:p>
            <w:pPr>
              <w:ind w:left="420"/>
              <w:spacing w:after="0"/>
              <w:rPr>
                <w:sz w:val="20"/>
                <w:szCs w:val="20"/>
                <w:color w:val="auto"/>
              </w:rPr>
            </w:pPr>
            <w:r>
              <w:rPr>
                <w:rFonts w:ascii="Arial" w:cs="Arial" w:eastAsia="Arial" w:hAnsi="Arial"/>
                <w:sz w:val="17"/>
                <w:szCs w:val="17"/>
                <w:color w:val="auto"/>
              </w:rPr>
              <w:t>Leesburg Plaza</w:t>
            </w:r>
          </w:p>
        </w:tc>
        <w:tc>
          <w:tcPr>
            <w:tcW w:w="3520" w:type="dxa"/>
            <w:vAlign w:val="bottom"/>
            <w:gridSpan w:val="3"/>
          </w:tcPr>
          <w:p>
            <w:pPr>
              <w:jc w:val="right"/>
              <w:ind w:right="460"/>
              <w:spacing w:after="0"/>
              <w:rPr>
                <w:sz w:val="20"/>
                <w:szCs w:val="20"/>
                <w:color w:val="auto"/>
              </w:rPr>
            </w:pPr>
            <w:r>
              <w:rPr>
                <w:rFonts w:ascii="Arial" w:cs="Arial" w:eastAsia="Arial" w:hAnsi="Arial"/>
                <w:sz w:val="17"/>
                <w:szCs w:val="17"/>
                <w:color w:val="auto"/>
              </w:rPr>
              <w:t>10/01/08</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6.510%</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9,900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shd w:val="clear" w:color="auto" w:fill="CCEEFF"/>
          </w:tcPr>
          <w:p>
            <w:pPr>
              <w:ind w:left="420"/>
              <w:spacing w:after="0"/>
              <w:rPr>
                <w:sz w:val="20"/>
                <w:szCs w:val="20"/>
                <w:color w:val="auto"/>
              </w:rPr>
            </w:pPr>
            <w:r>
              <w:rPr>
                <w:rFonts w:ascii="Arial" w:cs="Arial" w:eastAsia="Arial" w:hAnsi="Arial"/>
                <w:sz w:val="17"/>
                <w:szCs w:val="17"/>
                <w:color w:val="auto"/>
              </w:rPr>
              <w:t>164 E Houston Street</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10/06/08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tcPr>
          <w:p>
            <w:pPr>
              <w:ind w:left="420"/>
              <w:spacing w:after="0"/>
              <w:rPr>
                <w:sz w:val="20"/>
                <w:szCs w:val="20"/>
                <w:color w:val="auto"/>
              </w:rPr>
            </w:pPr>
            <w:r>
              <w:rPr>
                <w:rFonts w:ascii="Arial" w:cs="Arial" w:eastAsia="Arial" w:hAnsi="Arial"/>
                <w:sz w:val="17"/>
                <w:szCs w:val="17"/>
                <w:color w:val="auto"/>
              </w:rPr>
              <w:t>Federal Plaza</w:t>
            </w:r>
          </w:p>
        </w:tc>
        <w:tc>
          <w:tcPr>
            <w:tcW w:w="3520" w:type="dxa"/>
            <w:vAlign w:val="bottom"/>
            <w:gridSpan w:val="3"/>
          </w:tcPr>
          <w:p>
            <w:pPr>
              <w:jc w:val="right"/>
              <w:ind w:right="460"/>
              <w:spacing w:after="0"/>
              <w:rPr>
                <w:sz w:val="20"/>
                <w:szCs w:val="20"/>
                <w:color w:val="auto"/>
              </w:rPr>
            </w:pPr>
            <w:r>
              <w:rPr>
                <w:rFonts w:ascii="Arial" w:cs="Arial" w:eastAsia="Arial" w:hAnsi="Arial"/>
                <w:sz w:val="17"/>
                <w:szCs w:val="17"/>
                <w:color w:val="auto"/>
              </w:rPr>
              <w:t>06/01/11</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6.750%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35,732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shd w:val="clear" w:color="auto" w:fill="CCEEFF"/>
          </w:tcPr>
          <w:p>
            <w:pPr>
              <w:ind w:left="420"/>
              <w:spacing w:after="0"/>
              <w:rPr>
                <w:sz w:val="20"/>
                <w:szCs w:val="20"/>
                <w:color w:val="auto"/>
              </w:rPr>
            </w:pPr>
            <w:r>
              <w:rPr>
                <w:rFonts w:ascii="Arial" w:cs="Arial" w:eastAsia="Arial" w:hAnsi="Arial"/>
                <w:sz w:val="17"/>
                <w:szCs w:val="17"/>
                <w:color w:val="auto"/>
              </w:rPr>
              <w:t>Tysons Station</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09/01/11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6,812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tcPr>
          <w:p>
            <w:pPr>
              <w:ind w:left="420"/>
              <w:spacing w:after="0"/>
              <w:rPr>
                <w:sz w:val="20"/>
                <w:szCs w:val="20"/>
                <w:color w:val="auto"/>
              </w:rPr>
            </w:pPr>
            <w:r>
              <w:rPr>
                <w:rFonts w:ascii="Arial" w:cs="Arial" w:eastAsia="Arial" w:hAnsi="Arial"/>
                <w:sz w:val="17"/>
                <w:szCs w:val="17"/>
                <w:color w:val="auto"/>
              </w:rPr>
              <w:t>Barracks Road</w:t>
            </w:r>
          </w:p>
        </w:tc>
        <w:tc>
          <w:tcPr>
            <w:tcW w:w="3520" w:type="dxa"/>
            <w:vAlign w:val="bottom"/>
            <w:gridSpan w:val="3"/>
          </w:tcPr>
          <w:p>
            <w:pPr>
              <w:jc w:val="right"/>
              <w:ind w:right="460"/>
              <w:spacing w:after="0"/>
              <w:rPr>
                <w:sz w:val="20"/>
                <w:szCs w:val="20"/>
                <w:color w:val="auto"/>
              </w:rPr>
            </w:pPr>
            <w:r>
              <w:rPr>
                <w:rFonts w:ascii="Arial" w:cs="Arial" w:eastAsia="Arial" w:hAnsi="Arial"/>
                <w:sz w:val="17"/>
                <w:szCs w:val="17"/>
                <w:color w:val="auto"/>
              </w:rPr>
              <w:t>11/01/15</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7.950%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44,300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shd w:val="clear" w:color="auto" w:fill="CCEEFF"/>
          </w:tcPr>
          <w:p>
            <w:pPr>
              <w:ind w:left="420"/>
              <w:spacing w:after="0"/>
              <w:rPr>
                <w:sz w:val="20"/>
                <w:szCs w:val="20"/>
                <w:color w:val="auto"/>
              </w:rPr>
            </w:pPr>
            <w:r>
              <w:rPr>
                <w:rFonts w:ascii="Arial" w:cs="Arial" w:eastAsia="Arial" w:hAnsi="Arial"/>
                <w:sz w:val="17"/>
                <w:szCs w:val="17"/>
                <w:color w:val="auto"/>
              </w:rPr>
              <w:t>Hauppauge</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11/01/15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16,700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tcPr>
          <w:p>
            <w:pPr>
              <w:ind w:left="420"/>
              <w:spacing w:after="0"/>
              <w:rPr>
                <w:sz w:val="20"/>
                <w:szCs w:val="20"/>
                <w:color w:val="auto"/>
              </w:rPr>
            </w:pPr>
            <w:r>
              <w:rPr>
                <w:rFonts w:ascii="Arial" w:cs="Arial" w:eastAsia="Arial" w:hAnsi="Arial"/>
                <w:sz w:val="17"/>
                <w:szCs w:val="17"/>
                <w:color w:val="auto"/>
              </w:rPr>
              <w:t>Lawrence Park</w:t>
            </w:r>
          </w:p>
        </w:tc>
        <w:tc>
          <w:tcPr>
            <w:tcW w:w="3520" w:type="dxa"/>
            <w:vAlign w:val="bottom"/>
            <w:gridSpan w:val="3"/>
          </w:tcPr>
          <w:p>
            <w:pPr>
              <w:jc w:val="right"/>
              <w:ind w:right="460"/>
              <w:spacing w:after="0"/>
              <w:rPr>
                <w:sz w:val="20"/>
                <w:szCs w:val="20"/>
                <w:color w:val="auto"/>
              </w:rPr>
            </w:pPr>
            <w:r>
              <w:rPr>
                <w:rFonts w:ascii="Arial" w:cs="Arial" w:eastAsia="Arial" w:hAnsi="Arial"/>
                <w:sz w:val="17"/>
                <w:szCs w:val="17"/>
                <w:color w:val="auto"/>
              </w:rPr>
              <w:t>11/01/15</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7.950%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31,400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shd w:val="clear" w:color="auto" w:fill="CCEEFF"/>
          </w:tcPr>
          <w:p>
            <w:pPr>
              <w:ind w:left="420"/>
              <w:spacing w:after="0"/>
              <w:rPr>
                <w:sz w:val="20"/>
                <w:szCs w:val="20"/>
                <w:color w:val="auto"/>
              </w:rPr>
            </w:pPr>
            <w:r>
              <w:rPr>
                <w:rFonts w:ascii="Arial" w:cs="Arial" w:eastAsia="Arial" w:hAnsi="Arial"/>
                <w:sz w:val="17"/>
                <w:szCs w:val="17"/>
                <w:color w:val="auto"/>
              </w:rPr>
              <w:t>Wildwood</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11/01/15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27,600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tcPr>
          <w:p>
            <w:pPr>
              <w:ind w:left="420"/>
              <w:spacing w:after="0"/>
              <w:rPr>
                <w:sz w:val="20"/>
                <w:szCs w:val="20"/>
                <w:color w:val="auto"/>
              </w:rPr>
            </w:pPr>
            <w:r>
              <w:rPr>
                <w:rFonts w:ascii="Arial" w:cs="Arial" w:eastAsia="Arial" w:hAnsi="Arial"/>
                <w:sz w:val="17"/>
                <w:szCs w:val="17"/>
                <w:color w:val="auto"/>
              </w:rPr>
              <w:t>Wynnewood</w:t>
            </w:r>
          </w:p>
        </w:tc>
        <w:tc>
          <w:tcPr>
            <w:tcW w:w="3520" w:type="dxa"/>
            <w:vAlign w:val="bottom"/>
            <w:gridSpan w:val="3"/>
          </w:tcPr>
          <w:p>
            <w:pPr>
              <w:jc w:val="right"/>
              <w:ind w:right="460"/>
              <w:spacing w:after="0"/>
              <w:rPr>
                <w:sz w:val="20"/>
                <w:szCs w:val="20"/>
                <w:color w:val="auto"/>
              </w:rPr>
            </w:pPr>
            <w:r>
              <w:rPr>
                <w:rFonts w:ascii="Arial" w:cs="Arial" w:eastAsia="Arial" w:hAnsi="Arial"/>
                <w:sz w:val="17"/>
                <w:szCs w:val="17"/>
                <w:color w:val="auto"/>
              </w:rPr>
              <w:t>11/01/15</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7.950%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32,000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shd w:val="clear" w:color="auto" w:fill="CCEEFF"/>
          </w:tcPr>
          <w:p>
            <w:pPr>
              <w:ind w:left="420"/>
              <w:spacing w:after="0"/>
              <w:rPr>
                <w:sz w:val="20"/>
                <w:szCs w:val="20"/>
                <w:color w:val="auto"/>
              </w:rPr>
            </w:pPr>
            <w:r>
              <w:rPr>
                <w:rFonts w:ascii="Arial" w:cs="Arial" w:eastAsia="Arial" w:hAnsi="Arial"/>
                <w:sz w:val="17"/>
                <w:szCs w:val="17"/>
                <w:color w:val="auto"/>
              </w:rPr>
              <w:t>Brick Plaza</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11/01/15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gridSpan w:val="7"/>
          </w:tcPr>
          <w:p>
            <w:pPr>
              <w:ind w:left="420"/>
              <w:spacing w:after="0"/>
              <w:rPr>
                <w:sz w:val="20"/>
                <w:szCs w:val="20"/>
                <w:color w:val="auto"/>
              </w:rPr>
            </w:pPr>
            <w:r>
              <w:rPr>
                <w:rFonts w:ascii="Arial" w:cs="Arial" w:eastAsia="Arial" w:hAnsi="Arial"/>
                <w:sz w:val="17"/>
                <w:szCs w:val="17"/>
                <w:color w:val="auto"/>
              </w:rPr>
              <w:t>Mount Vernon</w:t>
            </w:r>
          </w:p>
        </w:tc>
        <w:tc>
          <w:tcPr>
            <w:tcW w:w="3520" w:type="dxa"/>
            <w:vAlign w:val="bottom"/>
            <w:gridSpan w:val="3"/>
          </w:tcPr>
          <w:p>
            <w:pPr>
              <w:jc w:val="right"/>
              <w:ind w:right="460"/>
              <w:spacing w:after="0"/>
              <w:rPr>
                <w:sz w:val="20"/>
                <w:szCs w:val="20"/>
                <w:color w:val="auto"/>
              </w:rPr>
            </w:pPr>
            <w:r>
              <w:rPr>
                <w:rFonts w:ascii="Arial" w:cs="Arial" w:eastAsia="Arial" w:hAnsi="Arial"/>
                <w:sz w:val="17"/>
                <w:szCs w:val="17"/>
                <w:color w:val="auto"/>
              </w:rPr>
              <w:t>04/15/28</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5.660%</w:t>
            </w:r>
          </w:p>
        </w:tc>
        <w:tc>
          <w:tcPr>
            <w:tcW w:w="580" w:type="dxa"/>
            <w:vAlign w:val="bottom"/>
            <w:gridSpan w:val="2"/>
          </w:tcPr>
          <w:p>
            <w:pPr>
              <w:ind w:left="20"/>
              <w:spacing w:after="0"/>
              <w:rPr>
                <w:sz w:val="20"/>
                <w:szCs w:val="20"/>
                <w:color w:val="auto"/>
              </w:rPr>
            </w:pPr>
            <w:r>
              <w:rPr>
                <w:rFonts w:ascii="Arial" w:cs="Arial" w:eastAsia="Arial" w:hAnsi="Arial"/>
                <w:sz w:val="17"/>
                <w:szCs w:val="17"/>
                <w:color w:val="auto"/>
              </w:rPr>
              <w:t>(a)</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13,210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250,904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02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7"/>
                <w:szCs w:val="17"/>
                <w:b w:val="1"/>
                <w:bCs w:val="1"/>
                <w:color w:val="auto"/>
                <w:w w:val="86"/>
              </w:rPr>
              <w:t>Notes payable</w:t>
            </w:r>
          </w:p>
        </w:tc>
        <w:tc>
          <w:tcPr>
            <w:tcW w:w="1940" w:type="dxa"/>
            <w:vAlign w:val="bottom"/>
            <w:tcBorders>
              <w:bottom w:val="single" w:sz="8" w:color="CCEEFF"/>
            </w:tcBorders>
            <w:gridSpan w:val="5"/>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60" w:type="dxa"/>
            <w:vAlign w:val="bottom"/>
            <w:gridSpan w:val="7"/>
          </w:tcPr>
          <w:p>
            <w:pPr>
              <w:ind w:left="420"/>
              <w:spacing w:after="0"/>
              <w:rPr>
                <w:sz w:val="20"/>
                <w:szCs w:val="20"/>
                <w:color w:val="auto"/>
              </w:rPr>
            </w:pPr>
            <w:r>
              <w:rPr>
                <w:rFonts w:ascii="Arial" w:cs="Arial" w:eastAsia="Arial" w:hAnsi="Arial"/>
                <w:sz w:val="17"/>
                <w:szCs w:val="17"/>
                <w:color w:val="auto"/>
              </w:rPr>
              <w:t>Revolving credit facilities</w:t>
            </w:r>
          </w:p>
        </w:tc>
        <w:tc>
          <w:tcPr>
            <w:tcW w:w="3520" w:type="dxa"/>
            <w:vAlign w:val="bottom"/>
            <w:gridSpan w:val="3"/>
          </w:tcPr>
          <w:p>
            <w:pPr>
              <w:jc w:val="right"/>
              <w:ind w:right="460"/>
              <w:spacing w:after="0"/>
              <w:rPr>
                <w:sz w:val="20"/>
                <w:szCs w:val="20"/>
                <w:color w:val="auto"/>
              </w:rPr>
            </w:pPr>
            <w:r>
              <w:rPr>
                <w:rFonts w:ascii="Arial" w:cs="Arial" w:eastAsia="Arial" w:hAnsi="Arial"/>
                <w:sz w:val="17"/>
                <w:szCs w:val="17"/>
                <w:color w:val="auto"/>
              </w:rPr>
              <w:t>12/19/03</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libor + .80%</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207,000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shd w:val="clear" w:color="auto" w:fill="CCEEFF"/>
          </w:tcPr>
          <w:p>
            <w:pPr>
              <w:ind w:left="420"/>
              <w:spacing w:after="0"/>
              <w:rPr>
                <w:sz w:val="20"/>
                <w:szCs w:val="20"/>
                <w:color w:val="auto"/>
              </w:rPr>
            </w:pPr>
            <w:r>
              <w:rPr>
                <w:rFonts w:ascii="Arial" w:cs="Arial" w:eastAsia="Arial" w:hAnsi="Arial"/>
                <w:sz w:val="17"/>
                <w:szCs w:val="17"/>
                <w:color w:val="auto"/>
              </w:rPr>
              <w:t>Term note with banks</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12/19/03</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6.22%</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60" w:type="dxa"/>
            <w:vAlign w:val="bottom"/>
            <w:gridSpan w:val="7"/>
          </w:tcPr>
          <w:p>
            <w:pPr>
              <w:ind w:left="420"/>
              <w:spacing w:after="0"/>
              <w:rPr>
                <w:sz w:val="20"/>
                <w:szCs w:val="20"/>
                <w:color w:val="auto"/>
              </w:rPr>
            </w:pPr>
            <w:r>
              <w:rPr>
                <w:rFonts w:ascii="Arial" w:cs="Arial" w:eastAsia="Arial" w:hAnsi="Arial"/>
                <w:sz w:val="17"/>
                <w:szCs w:val="17"/>
                <w:color w:val="auto"/>
              </w:rPr>
              <w:t>Note issued in connection with</w:t>
            </w:r>
          </w:p>
        </w:tc>
        <w:tc>
          <w:tcPr>
            <w:tcW w:w="2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7"/>
          </w:tcPr>
          <w:p>
            <w:pPr>
              <w:ind w:left="640"/>
              <w:spacing w:after="0"/>
              <w:rPr>
                <w:sz w:val="20"/>
                <w:szCs w:val="20"/>
                <w:color w:val="auto"/>
              </w:rPr>
            </w:pPr>
            <w:r>
              <w:rPr>
                <w:rFonts w:ascii="Arial" w:cs="Arial" w:eastAsia="Arial" w:hAnsi="Arial"/>
                <w:sz w:val="17"/>
                <w:szCs w:val="17"/>
                <w:color w:val="auto"/>
              </w:rPr>
              <w:t>renovation of Perring Plaza</w:t>
            </w:r>
          </w:p>
        </w:tc>
        <w:tc>
          <w:tcPr>
            <w:tcW w:w="3520" w:type="dxa"/>
            <w:vAlign w:val="bottom"/>
            <w:gridSpan w:val="3"/>
          </w:tcPr>
          <w:p>
            <w:pPr>
              <w:jc w:val="right"/>
              <w:ind w:right="460"/>
              <w:spacing w:after="0"/>
              <w:rPr>
                <w:sz w:val="20"/>
                <w:szCs w:val="20"/>
                <w:color w:val="auto"/>
              </w:rPr>
            </w:pPr>
            <w:r>
              <w:rPr>
                <w:rFonts w:ascii="Arial" w:cs="Arial" w:eastAsia="Arial" w:hAnsi="Arial"/>
                <w:sz w:val="17"/>
                <w:szCs w:val="17"/>
                <w:color w:val="auto"/>
              </w:rPr>
              <w:t>01/31/13</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10.00%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2,180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gridSpan w:val="7"/>
            <w:shd w:val="clear" w:color="auto" w:fill="CCEEFF"/>
          </w:tcPr>
          <w:p>
            <w:pPr>
              <w:ind w:left="420"/>
              <w:spacing w:after="0"/>
              <w:rPr>
                <w:sz w:val="20"/>
                <w:szCs w:val="20"/>
                <w:color w:val="auto"/>
              </w:rPr>
            </w:pPr>
            <w:r>
              <w:rPr>
                <w:rFonts w:ascii="Arial" w:cs="Arial" w:eastAsia="Arial" w:hAnsi="Arial"/>
                <w:sz w:val="17"/>
                <w:szCs w:val="17"/>
                <w:color w:val="auto"/>
              </w:rPr>
              <w:t>Escondido (Municipal bonds)</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10/01/16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3.060%</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60" w:type="dxa"/>
            <w:vAlign w:val="bottom"/>
            <w:gridSpan w:val="7"/>
          </w:tcPr>
          <w:p>
            <w:pPr>
              <w:ind w:left="420"/>
              <w:spacing w:after="0"/>
              <w:rPr>
                <w:sz w:val="20"/>
                <w:szCs w:val="20"/>
                <w:color w:val="auto"/>
              </w:rPr>
            </w:pPr>
            <w:r>
              <w:rPr>
                <w:rFonts w:ascii="Arial" w:cs="Arial" w:eastAsia="Arial" w:hAnsi="Arial"/>
                <w:sz w:val="17"/>
                <w:szCs w:val="17"/>
                <w:color w:val="auto"/>
              </w:rPr>
              <w:t>Other</w:t>
            </w:r>
          </w:p>
        </w:tc>
        <w:tc>
          <w:tcPr>
            <w:tcW w:w="23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7"/>
                <w:szCs w:val="17"/>
                <w:color w:val="auto"/>
              </w:rPr>
              <w:t>various</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various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343,625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680" w:type="dxa"/>
            <w:vAlign w:val="bottom"/>
            <w:tcBorders>
              <w:bottom w:val="single" w:sz="8" w:color="auto"/>
            </w:tcBorders>
            <w:gridSpan w:val="5"/>
            <w:shd w:val="clear" w:color="auto" w:fill="CCEEFF"/>
          </w:tcPr>
          <w:p>
            <w:pPr>
              <w:spacing w:after="0" w:line="170" w:lineRule="exact"/>
              <w:rPr>
                <w:sz w:val="20"/>
                <w:szCs w:val="20"/>
                <w:color w:val="auto"/>
              </w:rPr>
            </w:pPr>
            <w:r>
              <w:rPr>
                <w:rFonts w:ascii="Arial" w:cs="Arial" w:eastAsia="Arial" w:hAnsi="Arial"/>
                <w:sz w:val="17"/>
                <w:szCs w:val="17"/>
                <w:b w:val="1"/>
                <w:bCs w:val="1"/>
                <w:color w:val="auto"/>
                <w:w w:val="89"/>
              </w:rPr>
              <w:t>Unsecured Public Debt</w:t>
            </w:r>
          </w:p>
        </w:tc>
        <w:tc>
          <w:tcPr>
            <w:tcW w:w="1280" w:type="dxa"/>
            <w:vAlign w:val="bottom"/>
            <w:tcBorders>
              <w:bottom w:val="single" w:sz="8" w:color="CCEEFF"/>
            </w:tcBorders>
            <w:gridSpan w:val="2"/>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60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87"/>
              </w:rPr>
              <w:t>Notes and Debentures</w:t>
            </w:r>
          </w:p>
        </w:tc>
        <w:tc>
          <w:tcPr>
            <w:tcW w:w="1360" w:type="dxa"/>
            <w:vAlign w:val="bottom"/>
            <w:gridSpan w:val="3"/>
          </w:tcPr>
          <w:p>
            <w:pPr>
              <w:spacing w:after="0"/>
              <w:rPr>
                <w:sz w:val="24"/>
                <w:szCs w:val="24"/>
                <w:color w:val="auto"/>
              </w:rPr>
            </w:pPr>
          </w:p>
        </w:tc>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gridSpan w:val="7"/>
            <w:shd w:val="clear" w:color="auto" w:fill="CCEEFF"/>
          </w:tcPr>
          <w:p>
            <w:pPr>
              <w:ind w:left="420"/>
              <w:spacing w:after="0"/>
              <w:rPr>
                <w:sz w:val="20"/>
                <w:szCs w:val="20"/>
                <w:color w:val="auto"/>
              </w:rPr>
            </w:pPr>
            <w:r>
              <w:rPr>
                <w:rFonts w:ascii="Arial" w:cs="Arial" w:eastAsia="Arial" w:hAnsi="Arial"/>
                <w:sz w:val="17"/>
                <w:szCs w:val="17"/>
                <w:color w:val="auto"/>
              </w:rPr>
              <w:t>6.74% Medium Term Notes (d)</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03/10/04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6.370%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39,500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60" w:type="dxa"/>
            <w:vAlign w:val="bottom"/>
            <w:gridSpan w:val="7"/>
          </w:tcPr>
          <w:p>
            <w:pPr>
              <w:ind w:left="420"/>
              <w:spacing w:after="0"/>
              <w:rPr>
                <w:sz w:val="20"/>
                <w:szCs w:val="20"/>
                <w:color w:val="auto"/>
              </w:rPr>
            </w:pPr>
            <w:r>
              <w:rPr>
                <w:rFonts w:ascii="Arial" w:cs="Arial" w:eastAsia="Arial" w:hAnsi="Arial"/>
                <w:sz w:val="17"/>
                <w:szCs w:val="17"/>
                <w:color w:val="auto"/>
              </w:rPr>
              <w:t>6.625% Notes (fixed)</w:t>
            </w:r>
          </w:p>
        </w:tc>
        <w:tc>
          <w:tcPr>
            <w:tcW w:w="3520" w:type="dxa"/>
            <w:vAlign w:val="bottom"/>
            <w:gridSpan w:val="3"/>
          </w:tcPr>
          <w:p>
            <w:pPr>
              <w:jc w:val="right"/>
              <w:ind w:right="460"/>
              <w:spacing w:after="0"/>
              <w:rPr>
                <w:sz w:val="20"/>
                <w:szCs w:val="20"/>
                <w:color w:val="auto"/>
              </w:rPr>
            </w:pPr>
            <w:r>
              <w:rPr>
                <w:rFonts w:ascii="Arial" w:cs="Arial" w:eastAsia="Arial" w:hAnsi="Arial"/>
                <w:sz w:val="17"/>
                <w:szCs w:val="17"/>
                <w:color w:val="auto"/>
              </w:rPr>
              <w:t>12/01/05</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6.625%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shd w:val="clear" w:color="auto" w:fill="CCEEFF"/>
          </w:tcPr>
          <w:p>
            <w:pPr>
              <w:ind w:left="420"/>
              <w:spacing w:after="0"/>
              <w:rPr>
                <w:sz w:val="20"/>
                <w:szCs w:val="20"/>
                <w:color w:val="auto"/>
              </w:rPr>
            </w:pPr>
            <w:r>
              <w:rPr>
                <w:rFonts w:ascii="Arial" w:cs="Arial" w:eastAsia="Arial" w:hAnsi="Arial"/>
                <w:sz w:val="17"/>
                <w:szCs w:val="17"/>
                <w:color w:val="auto"/>
              </w:rPr>
              <w:t>6.99% Medium Term Notes (d)</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03/10/06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6.894%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40,500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tcPr>
          <w:p>
            <w:pPr>
              <w:ind w:left="420"/>
              <w:spacing w:after="0"/>
              <w:rPr>
                <w:sz w:val="20"/>
                <w:szCs w:val="20"/>
                <w:color w:val="auto"/>
              </w:rPr>
            </w:pPr>
            <w:r>
              <w:rPr>
                <w:rFonts w:ascii="Arial" w:cs="Arial" w:eastAsia="Arial" w:hAnsi="Arial"/>
                <w:sz w:val="17"/>
                <w:szCs w:val="17"/>
                <w:color w:val="auto"/>
              </w:rPr>
              <w:t>6.125% Notes (e)</w:t>
            </w:r>
          </w:p>
        </w:tc>
        <w:tc>
          <w:tcPr>
            <w:tcW w:w="3520" w:type="dxa"/>
            <w:vAlign w:val="bottom"/>
            <w:gridSpan w:val="3"/>
          </w:tcPr>
          <w:p>
            <w:pPr>
              <w:jc w:val="right"/>
              <w:ind w:right="460"/>
              <w:spacing w:after="0"/>
              <w:rPr>
                <w:sz w:val="20"/>
                <w:szCs w:val="20"/>
                <w:color w:val="auto"/>
              </w:rPr>
            </w:pPr>
            <w:r>
              <w:rPr>
                <w:rFonts w:ascii="Arial" w:cs="Arial" w:eastAsia="Arial" w:hAnsi="Arial"/>
                <w:sz w:val="17"/>
                <w:szCs w:val="17"/>
                <w:color w:val="auto"/>
              </w:rPr>
              <w:t>11/15/07</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6.325%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150,000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shd w:val="clear" w:color="auto" w:fill="CCEEFF"/>
          </w:tcPr>
          <w:p>
            <w:pPr>
              <w:ind w:left="420"/>
              <w:spacing w:after="0"/>
              <w:rPr>
                <w:sz w:val="20"/>
                <w:szCs w:val="20"/>
                <w:color w:val="auto"/>
              </w:rPr>
            </w:pPr>
            <w:r>
              <w:rPr>
                <w:rFonts w:ascii="Arial" w:cs="Arial" w:eastAsia="Arial" w:hAnsi="Arial"/>
                <w:sz w:val="17"/>
                <w:szCs w:val="17"/>
                <w:color w:val="auto"/>
              </w:rPr>
              <w:t>8.75% Notes</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12/01/09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8.750%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tcPr>
          <w:p>
            <w:pPr>
              <w:ind w:left="420"/>
              <w:spacing w:after="0"/>
              <w:rPr>
                <w:sz w:val="20"/>
                <w:szCs w:val="20"/>
                <w:color w:val="auto"/>
              </w:rPr>
            </w:pPr>
            <w:r>
              <w:rPr>
                <w:rFonts w:ascii="Arial" w:cs="Arial" w:eastAsia="Arial" w:hAnsi="Arial"/>
                <w:sz w:val="17"/>
                <w:szCs w:val="17"/>
                <w:color w:val="auto"/>
              </w:rPr>
              <w:t>7.48% Debentures</w:t>
            </w:r>
          </w:p>
        </w:tc>
        <w:tc>
          <w:tcPr>
            <w:tcW w:w="3520" w:type="dxa"/>
            <w:vAlign w:val="bottom"/>
            <w:gridSpan w:val="3"/>
          </w:tcPr>
          <w:p>
            <w:pPr>
              <w:jc w:val="right"/>
              <w:ind w:right="460"/>
              <w:spacing w:after="0"/>
              <w:rPr>
                <w:sz w:val="20"/>
                <w:szCs w:val="20"/>
                <w:color w:val="auto"/>
              </w:rPr>
            </w:pPr>
            <w:r>
              <w:rPr>
                <w:rFonts w:ascii="Arial" w:cs="Arial" w:eastAsia="Arial" w:hAnsi="Arial"/>
                <w:sz w:val="17"/>
                <w:szCs w:val="17"/>
                <w:color w:val="auto"/>
              </w:rPr>
              <w:t>08/15/26</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7.480%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7"/>
            <w:shd w:val="clear" w:color="auto" w:fill="CCEEFF"/>
          </w:tcPr>
          <w:p>
            <w:pPr>
              <w:ind w:left="420"/>
              <w:spacing w:after="0"/>
              <w:rPr>
                <w:sz w:val="20"/>
                <w:szCs w:val="20"/>
                <w:color w:val="auto"/>
              </w:rPr>
            </w:pPr>
            <w:r>
              <w:rPr>
                <w:rFonts w:ascii="Arial" w:cs="Arial" w:eastAsia="Arial" w:hAnsi="Arial"/>
                <w:sz w:val="17"/>
                <w:szCs w:val="17"/>
                <w:color w:val="auto"/>
              </w:rPr>
              <w:t>6.82% Medium Term Notes</w:t>
            </w:r>
          </w:p>
        </w:tc>
        <w:tc>
          <w:tcPr>
            <w:tcW w:w="352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08/01/27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6.820%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535,000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89"/>
              </w:rPr>
              <w:t>Weighted average</w:t>
            </w:r>
          </w:p>
        </w:tc>
        <w:tc>
          <w:tcPr>
            <w:tcW w:w="0" w:type="dxa"/>
            <w:vAlign w:val="bottom"/>
          </w:tcPr>
          <w:p>
            <w:pPr>
              <w:spacing w:after="0"/>
              <w:rPr>
                <w:sz w:val="1"/>
                <w:szCs w:val="1"/>
                <w:color w:val="auto"/>
              </w:rPr>
            </w:pPr>
          </w:p>
        </w:tc>
      </w:tr>
      <w:tr>
        <w:trPr>
          <w:trHeight w:val="232"/>
        </w:trPr>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1"/>
              </w:rPr>
              <w:t>interest rate</w:t>
            </w:r>
          </w:p>
        </w:tc>
        <w:tc>
          <w:tcPr>
            <w:tcW w:w="0" w:type="dxa"/>
            <w:vAlign w:val="bottom"/>
          </w:tcPr>
          <w:p>
            <w:pPr>
              <w:spacing w:after="0"/>
              <w:rPr>
                <w:sz w:val="1"/>
                <w:szCs w:val="1"/>
                <w:color w:val="auto"/>
              </w:rPr>
            </w:pPr>
          </w:p>
        </w:tc>
      </w:tr>
      <w:tr>
        <w:trPr>
          <w:trHeight w:val="93"/>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fixed rate debt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913,129</w:t>
            </w: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80.84%</w:t>
            </w:r>
          </w:p>
        </w:tc>
        <w:tc>
          <w:tcPr>
            <w:tcW w:w="132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7.24%</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520" w:type="dxa"/>
            <w:vAlign w:val="bottom"/>
            <w:gridSpan w:val="3"/>
          </w:tcPr>
          <w:p>
            <w:pPr>
              <w:ind w:left="420"/>
              <w:spacing w:after="0"/>
              <w:rPr>
                <w:sz w:val="20"/>
                <w:szCs w:val="20"/>
                <w:color w:val="auto"/>
              </w:rPr>
            </w:pPr>
            <w:r>
              <w:rPr>
                <w:rFonts w:ascii="Arial" w:cs="Arial" w:eastAsia="Arial" w:hAnsi="Arial"/>
                <w:sz w:val="17"/>
                <w:szCs w:val="17"/>
                <w:color w:val="auto"/>
              </w:rPr>
              <w:t>Total variable rate debt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216,400</w:t>
            </w:r>
          </w:p>
        </w:tc>
        <w:tc>
          <w:tcPr>
            <w:tcW w:w="1140" w:type="dxa"/>
            <w:vAlign w:val="bottom"/>
            <w:gridSpan w:val="4"/>
          </w:tcPr>
          <w:p>
            <w:pPr>
              <w:jc w:val="right"/>
              <w:ind w:right="240"/>
              <w:spacing w:after="0"/>
              <w:rPr>
                <w:sz w:val="20"/>
                <w:szCs w:val="20"/>
                <w:color w:val="auto"/>
              </w:rPr>
            </w:pPr>
            <w:r>
              <w:rPr>
                <w:rFonts w:ascii="Arial" w:cs="Arial" w:eastAsia="Arial" w:hAnsi="Arial"/>
                <w:sz w:val="17"/>
                <w:szCs w:val="17"/>
                <w:color w:val="auto"/>
              </w:rPr>
              <w:t>19.16%</w:t>
            </w:r>
          </w:p>
        </w:tc>
        <w:tc>
          <w:tcPr>
            <w:tcW w:w="1320" w:type="dxa"/>
            <w:vAlign w:val="bottom"/>
            <w:gridSpan w:val="3"/>
          </w:tcPr>
          <w:p>
            <w:pPr>
              <w:ind w:left="720"/>
              <w:spacing w:after="0"/>
              <w:rPr>
                <w:sz w:val="20"/>
                <w:szCs w:val="20"/>
                <w:color w:val="auto"/>
              </w:rPr>
            </w:pPr>
            <w:r>
              <w:rPr>
                <w:rFonts w:ascii="Arial" w:cs="Arial" w:eastAsia="Arial" w:hAnsi="Arial"/>
                <w:sz w:val="17"/>
                <w:szCs w:val="17"/>
                <w:color w:val="auto"/>
                <w:w w:val="90"/>
              </w:rPr>
              <w:t>2.18%(f)</w:t>
            </w: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debt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1,129,529</w:t>
            </w: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100.00%</w:t>
            </w:r>
          </w:p>
        </w:tc>
        <w:tc>
          <w:tcPr>
            <w:tcW w:w="132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960" w:type="dxa"/>
            <w:vAlign w:val="bottom"/>
            <w:gridSpan w:val="7"/>
            <w:shd w:val="clear" w:color="auto" w:fill="CCEEFF"/>
          </w:tcPr>
          <w:p>
            <w:pPr>
              <w:spacing w:after="0" w:line="170" w:lineRule="exact"/>
              <w:rPr>
                <w:sz w:val="20"/>
                <w:szCs w:val="20"/>
                <w:color w:val="auto"/>
              </w:rPr>
            </w:pPr>
            <w:r>
              <w:rPr>
                <w:rFonts w:ascii="Arial" w:cs="Arial" w:eastAsia="Arial" w:hAnsi="Arial"/>
                <w:sz w:val="17"/>
                <w:szCs w:val="17"/>
                <w:b w:val="1"/>
                <w:bCs w:val="1"/>
                <w:color w:val="auto"/>
              </w:rPr>
              <w:t>Capital lease obligations</w:t>
            </w:r>
          </w:p>
        </w:tc>
        <w:tc>
          <w:tcPr>
            <w:tcW w:w="2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gridSpan w:val="3"/>
          </w:tcPr>
          <w:p>
            <w:pPr>
              <w:jc w:val="right"/>
              <w:ind w:right="260"/>
              <w:spacing w:after="0"/>
              <w:rPr>
                <w:sz w:val="20"/>
                <w:szCs w:val="20"/>
                <w:color w:val="auto"/>
              </w:rPr>
            </w:pPr>
            <w:r>
              <w:rPr>
                <w:rFonts w:ascii="Arial" w:cs="Arial" w:eastAsia="Arial" w:hAnsi="Arial"/>
                <w:sz w:val="17"/>
                <w:szCs w:val="17"/>
                <w:color w:val="auto"/>
              </w:rPr>
              <w:t>Various through 2077 (g)</w:t>
            </w:r>
          </w:p>
        </w:tc>
        <w:tc>
          <w:tcPr>
            <w:tcW w:w="10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gridSpan w:val="2"/>
          </w:tcPr>
          <w:p>
            <w:pPr>
              <w:ind w:left="480"/>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104,271</w:t>
            </w: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debt and capital lease obligations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1,233,800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8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5177790</wp:posOffset>
            </wp:positionH>
            <wp:positionV relativeFrom="paragraph">
              <wp:posOffset>-4937760</wp:posOffset>
            </wp:positionV>
            <wp:extent cx="12700" cy="292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-4937760</wp:posOffset>
            </wp:positionV>
            <wp:extent cx="12700" cy="292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-4937760</wp:posOffset>
            </wp:positionV>
            <wp:extent cx="20955" cy="292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-3577590</wp:posOffset>
            </wp:positionV>
            <wp:extent cx="12700" cy="292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-3577590</wp:posOffset>
            </wp:positionV>
            <wp:extent cx="12700" cy="29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-3577590</wp:posOffset>
            </wp:positionV>
            <wp:extent cx="20955" cy="292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-1884680</wp:posOffset>
            </wp:positionV>
            <wp:extent cx="12700" cy="292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-1884680</wp:posOffset>
            </wp:positionV>
            <wp:extent cx="12700" cy="292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-1884680</wp:posOffset>
            </wp:positionV>
            <wp:extent cx="20955" cy="292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-864235</wp:posOffset>
            </wp:positionV>
            <wp:extent cx="12700" cy="292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-864235</wp:posOffset>
            </wp:positionV>
            <wp:extent cx="12700" cy="292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-864235</wp:posOffset>
            </wp:positionV>
            <wp:extent cx="20955" cy="292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-864235</wp:posOffset>
            </wp:positionV>
            <wp:extent cx="12700" cy="292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6156325</wp:posOffset>
            </wp:positionH>
            <wp:positionV relativeFrom="paragraph">
              <wp:posOffset>-864235</wp:posOffset>
            </wp:positionV>
            <wp:extent cx="37465" cy="29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6413500</wp:posOffset>
            </wp:positionH>
            <wp:positionV relativeFrom="paragraph">
              <wp:posOffset>-864235</wp:posOffset>
            </wp:positionV>
            <wp:extent cx="12700" cy="292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-864235</wp:posOffset>
            </wp:positionV>
            <wp:extent cx="37465" cy="292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5177790</wp:posOffset>
            </wp:positionH>
            <wp:positionV relativeFrom="paragraph">
              <wp:posOffset>-167640</wp:posOffset>
            </wp:positionV>
            <wp:extent cx="12700" cy="292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-167640</wp:posOffset>
            </wp:positionV>
            <wp:extent cx="12700" cy="292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-167640</wp:posOffset>
            </wp:positionV>
            <wp:extent cx="20955" cy="292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955" cy="29210"/>
                    </a:xfrm>
                    <a:prstGeom prst="rect">
                      <a:avLst/>
                    </a:prstGeom>
                    <a:noFill/>
                  </pic:spPr>
                </pic:pic>
              </a:graphicData>
            </a:graphic>
          </wp:anchor>
        </w:drawing>
      </w:r>
    </w:p>
    <w:p>
      <w:pPr>
        <w:spacing w:after="0" w:line="76" w:lineRule="exact"/>
        <w:rPr>
          <w:sz w:val="20"/>
          <w:szCs w:val="20"/>
          <w:color w:val="auto"/>
        </w:rPr>
      </w:pPr>
    </w:p>
    <w:p>
      <w:pPr>
        <w:ind w:left="440" w:hanging="435"/>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interest rate is fixed at 5.66% for the first ten years and then is reset to a market rate. The lender has the option to call the loan after year ten.</w:t>
      </w:r>
    </w:p>
    <w:p>
      <w:pPr>
        <w:spacing w:after="0" w:line="19" w:lineRule="exact"/>
        <w:rPr>
          <w:rFonts w:ascii="Arial" w:cs="Arial" w:eastAsia="Arial" w:hAnsi="Arial"/>
          <w:sz w:val="17"/>
          <w:szCs w:val="17"/>
          <w:color w:val="auto"/>
        </w:rPr>
      </w:pPr>
    </w:p>
    <w:p>
      <w:pPr>
        <w:ind w:left="440" w:hanging="435"/>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LIBOR plus 95 basis points. The Trust purchased interest rate swaps or hedges on this note, thereby locking in the LIBOR interest rate of 5.27%.</w:t>
      </w:r>
    </w:p>
    <w:p>
      <w:pPr>
        <w:spacing w:after="0" w:line="13" w:lineRule="exact"/>
        <w:rPr>
          <w:rFonts w:ascii="Arial" w:cs="Arial" w:eastAsia="Arial" w:hAnsi="Arial"/>
          <w:sz w:val="17"/>
          <w:szCs w:val="17"/>
          <w:color w:val="auto"/>
        </w:rPr>
      </w:pPr>
    </w:p>
    <w:p>
      <w:pPr>
        <w:ind w:left="440" w:right="320" w:hanging="435"/>
        <w:spacing w:after="0" w:line="256"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bonds bear interest at a variable rate determined weekly to be the interest rate which would enable the bonds to be remarketed at 100% of their principal amount. The weighted average interest rate for the six months ended June 30, 2003, was 3.06%</w:t>
      </w:r>
    </w:p>
    <w:p>
      <w:pPr>
        <w:spacing w:after="0" w:line="1" w:lineRule="exact"/>
        <w:rPr>
          <w:rFonts w:ascii="Arial" w:cs="Arial" w:eastAsia="Arial" w:hAnsi="Arial"/>
          <w:sz w:val="17"/>
          <w:szCs w:val="17"/>
          <w:color w:val="auto"/>
        </w:rPr>
      </w:pPr>
    </w:p>
    <w:p>
      <w:pPr>
        <w:ind w:left="440" w:hanging="435"/>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Trust purchased interest rate swaps at issuance, thereby reducing the effective interest rate on these notes.</w:t>
      </w:r>
    </w:p>
    <w:p>
      <w:pPr>
        <w:spacing w:after="0" w:line="13" w:lineRule="exact"/>
        <w:rPr>
          <w:rFonts w:ascii="Arial" w:cs="Arial" w:eastAsia="Arial" w:hAnsi="Arial"/>
          <w:sz w:val="17"/>
          <w:szCs w:val="17"/>
          <w:color w:val="auto"/>
        </w:rPr>
      </w:pPr>
    </w:p>
    <w:p>
      <w:pPr>
        <w:ind w:left="440" w:right="340" w:hanging="435"/>
        <w:spacing w:after="0" w:line="256"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Trust purchased an interest rate lock to hedge the planned note offering. The $1.5 million settlement of this hedge is being amortized into the November 2002 note offering thereby increasing the effective interest rate on these notes to 6.325%.</w:t>
      </w:r>
    </w:p>
    <w:p>
      <w:pPr>
        <w:spacing w:after="0" w:line="1" w:lineRule="exact"/>
        <w:rPr>
          <w:rFonts w:ascii="Arial" w:cs="Arial" w:eastAsia="Arial" w:hAnsi="Arial"/>
          <w:sz w:val="17"/>
          <w:szCs w:val="17"/>
          <w:color w:val="auto"/>
        </w:rPr>
      </w:pPr>
    </w:p>
    <w:p>
      <w:pPr>
        <w:ind w:left="440" w:hanging="435"/>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Weighted average interest rate on variable rate debt as of June 30, 2003.</w:t>
      </w:r>
    </w:p>
    <w:p>
      <w:pPr>
        <w:spacing w:after="0" w:line="13" w:lineRule="exact"/>
        <w:rPr>
          <w:rFonts w:ascii="Arial" w:cs="Arial" w:eastAsia="Arial" w:hAnsi="Arial"/>
          <w:sz w:val="17"/>
          <w:szCs w:val="17"/>
          <w:color w:val="auto"/>
        </w:rPr>
      </w:pPr>
    </w:p>
    <w:p>
      <w:pPr>
        <w:ind w:left="440" w:right="300" w:hanging="435"/>
        <w:spacing w:after="0" w:line="273"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Weighted average interest rate on capital lease obligations is 9.7% on a stated basis and 13.2% including performance based participation interest paid by the Trust.</w:t>
      </w:r>
    </w:p>
    <w:p>
      <w:pPr>
        <w:sectPr>
          <w:pgSz w:w="11900" w:h="16838" w:orient="portrait"/>
          <w:cols w:equalWidth="0" w:num="1">
            <w:col w:w="11420"/>
          </w:cols>
          <w:pgMar w:left="240" w:top="271" w:right="239" w:bottom="1077"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271" w:right="239" w:bottom="1077"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MATURITIES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Cumulative</w:t>
            </w:r>
          </w:p>
        </w:tc>
      </w:tr>
      <w:tr>
        <w:trPr>
          <w:trHeight w:val="144"/>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85"/>
              </w:rPr>
              <w:t>Scheduled</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160" w:type="dxa"/>
            <w:vAlign w:val="bottom"/>
            <w:gridSpan w:val="2"/>
          </w:tcPr>
          <w:p>
            <w:pPr>
              <w:jc w:val="right"/>
              <w:ind w:right="1480"/>
              <w:spacing w:after="0" w:line="144" w:lineRule="exact"/>
              <w:rPr>
                <w:sz w:val="20"/>
                <w:szCs w:val="20"/>
                <w:color w:val="auto"/>
              </w:rPr>
            </w:pPr>
            <w:r>
              <w:rPr>
                <w:rFonts w:ascii="Arial" w:cs="Arial" w:eastAsia="Arial" w:hAnsi="Arial"/>
                <w:sz w:val="13"/>
                <w:szCs w:val="13"/>
                <w:b w:val="1"/>
                <w:bCs w:val="1"/>
                <w:color w:val="auto"/>
              </w:rPr>
              <w:t>Percent of</w:t>
            </w: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Percent of</w:t>
            </w:r>
          </w:p>
        </w:tc>
      </w:tr>
      <w:tr>
        <w:trPr>
          <w:trHeight w:val="168"/>
        </w:trPr>
        <w:tc>
          <w:tcPr>
            <w:tcW w:w="1980" w:type="dxa"/>
            <w:vAlign w:val="bottom"/>
            <w:gridSpan w:val="3"/>
          </w:tcPr>
          <w:p>
            <w:pPr>
              <w:ind w:left="260"/>
              <w:spacing w:after="0"/>
              <w:rPr>
                <w:sz w:val="20"/>
                <w:szCs w:val="20"/>
                <w:color w:val="auto"/>
              </w:rPr>
            </w:pPr>
            <w:r>
              <w:rPr>
                <w:rFonts w:ascii="Arial" w:cs="Arial" w:eastAsia="Arial" w:hAnsi="Arial"/>
                <w:sz w:val="13"/>
                <w:szCs w:val="13"/>
                <w:b w:val="1"/>
                <w:bCs w:val="1"/>
                <w:color w:val="auto"/>
              </w:rPr>
              <w:t>Year</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90"/>
              </w:rPr>
              <w:t>Amortization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right"/>
              <w:ind w:right="1520"/>
              <w:spacing w:after="0"/>
              <w:rPr>
                <w:sz w:val="20"/>
                <w:szCs w:val="20"/>
                <w:color w:val="auto"/>
              </w:rPr>
            </w:pPr>
            <w:r>
              <w:rPr>
                <w:rFonts w:ascii="Arial" w:cs="Arial" w:eastAsia="Arial" w:hAnsi="Arial"/>
                <w:sz w:val="13"/>
                <w:szCs w:val="13"/>
                <w:b w:val="1"/>
                <w:bCs w:val="1"/>
                <w:color w:val="auto"/>
                <w:w w:val="91"/>
              </w:rPr>
              <w:t>Maturities</w:t>
            </w:r>
          </w:p>
        </w:tc>
        <w:tc>
          <w:tcPr>
            <w:tcW w:w="100" w:type="dxa"/>
            <w:vAlign w:val="bottom"/>
          </w:tcPr>
          <w:p>
            <w:pPr>
              <w:spacing w:after="0"/>
              <w:rPr>
                <w:sz w:val="14"/>
                <w:szCs w:val="14"/>
                <w:color w:val="auto"/>
              </w:rPr>
            </w:pPr>
          </w:p>
        </w:tc>
        <w:tc>
          <w:tcPr>
            <w:tcW w:w="2100" w:type="dxa"/>
            <w:vAlign w:val="bottom"/>
            <w:gridSpan w:val="2"/>
          </w:tcPr>
          <w:p>
            <w:pPr>
              <w:jc w:val="right"/>
              <w:ind w:right="1660"/>
              <w:spacing w:after="0"/>
              <w:rPr>
                <w:sz w:val="20"/>
                <w:szCs w:val="20"/>
                <w:color w:val="auto"/>
              </w:rPr>
            </w:pPr>
            <w:r>
              <w:rPr>
                <w:rFonts w:ascii="Arial" w:cs="Arial" w:eastAsia="Arial" w:hAnsi="Arial"/>
                <w:sz w:val="13"/>
                <w:szCs w:val="13"/>
                <w:b w:val="1"/>
                <w:bCs w:val="1"/>
                <w:color w:val="auto"/>
              </w:rPr>
              <w:t>Total</w:t>
            </w:r>
          </w:p>
        </w:tc>
        <w:tc>
          <w:tcPr>
            <w:tcW w:w="2160" w:type="dxa"/>
            <w:vAlign w:val="bottom"/>
            <w:gridSpan w:val="2"/>
          </w:tcPr>
          <w:p>
            <w:pPr>
              <w:jc w:val="right"/>
              <w:ind w:right="1360"/>
              <w:spacing w:after="0"/>
              <w:rPr>
                <w:sz w:val="20"/>
                <w:szCs w:val="20"/>
                <w:color w:val="auto"/>
              </w:rPr>
            </w:pPr>
            <w:r>
              <w:rPr>
                <w:rFonts w:ascii="Arial" w:cs="Arial" w:eastAsia="Arial" w:hAnsi="Arial"/>
                <w:sz w:val="13"/>
                <w:szCs w:val="13"/>
                <w:b w:val="1"/>
                <w:bCs w:val="1"/>
                <w:color w:val="auto"/>
                <w:w w:val="92"/>
              </w:rPr>
              <w:t>Debt Expiring</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Debt Expiring</w:t>
            </w:r>
          </w:p>
        </w:tc>
      </w:tr>
      <w:tr>
        <w:trPr>
          <w:trHeight w:val="93"/>
        </w:trPr>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98"/>
        </w:trPr>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2003</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w w:val="98"/>
              </w:rPr>
              <w:t>332,000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w w:val="98"/>
              </w:rPr>
              <w:t>332,601 (1)</w:t>
            </w:r>
          </w:p>
        </w:tc>
        <w:tc>
          <w:tcPr>
            <w:tcW w:w="216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29.5%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w:t>
            </w:r>
          </w:p>
        </w:tc>
      </w:tr>
      <w:tr>
        <w:trPr>
          <w:trHeight w:val="209"/>
        </w:trPr>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2004</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3,068</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right"/>
              <w:ind w:right="1420"/>
              <w:spacing w:after="0"/>
              <w:rPr>
                <w:sz w:val="20"/>
                <w:szCs w:val="20"/>
                <w:color w:val="auto"/>
              </w:rPr>
            </w:pPr>
            <w:r>
              <w:rPr>
                <w:rFonts w:ascii="Arial" w:cs="Arial" w:eastAsia="Arial" w:hAnsi="Arial"/>
                <w:sz w:val="17"/>
                <w:szCs w:val="17"/>
                <w:color w:val="auto"/>
              </w:rPr>
              <w:t>39,500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42,568</w:t>
            </w:r>
          </w:p>
        </w:tc>
        <w:tc>
          <w:tcPr>
            <w:tcW w:w="1420" w:type="dxa"/>
            <w:vAlign w:val="bottom"/>
          </w:tcPr>
          <w:p>
            <w:pPr>
              <w:spacing w:after="0"/>
              <w:rPr>
                <w:sz w:val="18"/>
                <w:szCs w:val="18"/>
                <w:color w:val="auto"/>
              </w:rPr>
            </w:pPr>
          </w:p>
        </w:tc>
        <w:tc>
          <w:tcPr>
            <w:tcW w:w="2160" w:type="dxa"/>
            <w:vAlign w:val="bottom"/>
            <w:gridSpan w:val="2"/>
          </w:tcPr>
          <w:p>
            <w:pPr>
              <w:jc w:val="right"/>
              <w:ind w:right="1220"/>
              <w:spacing w:after="0"/>
              <w:rPr>
                <w:sz w:val="20"/>
                <w:szCs w:val="20"/>
                <w:color w:val="auto"/>
              </w:rPr>
            </w:pPr>
            <w:r>
              <w:rPr>
                <w:rFonts w:ascii="Arial" w:cs="Arial" w:eastAsia="Arial" w:hAnsi="Arial"/>
                <w:sz w:val="17"/>
                <w:szCs w:val="17"/>
                <w:color w:val="auto"/>
              </w:rPr>
              <w:t>3.8%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33.3%</w:t>
            </w:r>
          </w:p>
        </w:tc>
      </w:tr>
      <w:tr>
        <w:trPr>
          <w:trHeight w:val="209"/>
        </w:trPr>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2005</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3,336</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20"/>
              <w:spacing w:after="0"/>
              <w:rPr>
                <w:sz w:val="20"/>
                <w:szCs w:val="20"/>
                <w:color w:val="auto"/>
              </w:rPr>
            </w:pPr>
            <w:r>
              <w:rPr>
                <w:rFonts w:ascii="Arial" w:cs="Arial" w:eastAsia="Arial" w:hAnsi="Arial"/>
                <w:sz w:val="17"/>
                <w:szCs w:val="17"/>
                <w:color w:val="auto"/>
              </w:rPr>
              <w:t>40,000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43,336</w:t>
            </w:r>
          </w:p>
        </w:tc>
        <w:tc>
          <w:tcPr>
            <w:tcW w:w="14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37.1%</w:t>
            </w:r>
          </w:p>
        </w:tc>
      </w:tr>
      <w:tr>
        <w:trPr>
          <w:trHeight w:val="209"/>
        </w:trPr>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2006</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3,700</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right"/>
              <w:ind w:right="1420"/>
              <w:spacing w:after="0"/>
              <w:rPr>
                <w:sz w:val="20"/>
                <w:szCs w:val="20"/>
                <w:color w:val="auto"/>
              </w:rPr>
            </w:pPr>
            <w:r>
              <w:rPr>
                <w:rFonts w:ascii="Arial" w:cs="Arial" w:eastAsia="Arial" w:hAnsi="Arial"/>
                <w:sz w:val="17"/>
                <w:szCs w:val="17"/>
                <w:color w:val="auto"/>
              </w:rPr>
              <w:t>40,500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44,200</w:t>
            </w:r>
          </w:p>
        </w:tc>
        <w:tc>
          <w:tcPr>
            <w:tcW w:w="1420" w:type="dxa"/>
            <w:vAlign w:val="bottom"/>
          </w:tcPr>
          <w:p>
            <w:pPr>
              <w:spacing w:after="0"/>
              <w:rPr>
                <w:sz w:val="18"/>
                <w:szCs w:val="18"/>
                <w:color w:val="auto"/>
              </w:rPr>
            </w:pPr>
          </w:p>
        </w:tc>
        <w:tc>
          <w:tcPr>
            <w:tcW w:w="2160" w:type="dxa"/>
            <w:vAlign w:val="bottom"/>
            <w:gridSpan w:val="2"/>
          </w:tcPr>
          <w:p>
            <w:pPr>
              <w:jc w:val="right"/>
              <w:ind w:right="1220"/>
              <w:spacing w:after="0"/>
              <w:rPr>
                <w:sz w:val="20"/>
                <w:szCs w:val="20"/>
                <w:color w:val="auto"/>
              </w:rPr>
            </w:pPr>
            <w:r>
              <w:rPr>
                <w:rFonts w:ascii="Arial" w:cs="Arial" w:eastAsia="Arial" w:hAnsi="Arial"/>
                <w:sz w:val="17"/>
                <w:szCs w:val="17"/>
                <w:color w:val="auto"/>
              </w:rPr>
              <w:t>3.9%</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41.0%</w:t>
            </w:r>
          </w:p>
        </w:tc>
      </w:tr>
      <w:tr>
        <w:trPr>
          <w:trHeight w:val="209"/>
        </w:trPr>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2007</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20"/>
              <w:spacing w:after="0"/>
              <w:rPr>
                <w:sz w:val="20"/>
                <w:szCs w:val="20"/>
                <w:color w:val="auto"/>
              </w:rPr>
            </w:pPr>
            <w:r>
              <w:rPr>
                <w:rFonts w:ascii="Arial" w:cs="Arial" w:eastAsia="Arial" w:hAnsi="Arial"/>
                <w:sz w:val="17"/>
                <w:szCs w:val="17"/>
                <w:color w:val="auto"/>
              </w:rPr>
              <w:t>150,000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153,991</w:t>
            </w:r>
          </w:p>
        </w:tc>
        <w:tc>
          <w:tcPr>
            <w:tcW w:w="14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13.7%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54.7%</w:t>
            </w:r>
          </w:p>
        </w:tc>
      </w:tr>
      <w:tr>
        <w:trPr>
          <w:trHeight w:val="209"/>
        </w:trPr>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2008</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4,241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right"/>
              <w:ind w:right="1420"/>
              <w:spacing w:after="0"/>
              <w:rPr>
                <w:sz w:val="20"/>
                <w:szCs w:val="20"/>
                <w:color w:val="auto"/>
              </w:rPr>
            </w:pPr>
            <w:r>
              <w:rPr>
                <w:rFonts w:ascii="Arial" w:cs="Arial" w:eastAsia="Arial" w:hAnsi="Arial"/>
                <w:sz w:val="17"/>
                <w:szCs w:val="17"/>
                <w:color w:val="auto"/>
              </w:rPr>
              <w:t>9,541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13,782</w:t>
            </w:r>
          </w:p>
        </w:tc>
        <w:tc>
          <w:tcPr>
            <w:tcW w:w="1420" w:type="dxa"/>
            <w:vAlign w:val="bottom"/>
          </w:tcPr>
          <w:p>
            <w:pPr>
              <w:spacing w:after="0"/>
              <w:rPr>
                <w:sz w:val="18"/>
                <w:szCs w:val="18"/>
                <w:color w:val="auto"/>
              </w:rPr>
            </w:pPr>
          </w:p>
        </w:tc>
        <w:tc>
          <w:tcPr>
            <w:tcW w:w="2160" w:type="dxa"/>
            <w:vAlign w:val="bottom"/>
            <w:gridSpan w:val="2"/>
          </w:tcPr>
          <w:p>
            <w:pPr>
              <w:jc w:val="right"/>
              <w:ind w:right="1220"/>
              <w:spacing w:after="0"/>
              <w:rPr>
                <w:sz w:val="20"/>
                <w:szCs w:val="20"/>
                <w:color w:val="auto"/>
              </w:rPr>
            </w:pPr>
            <w:r>
              <w:rPr>
                <w:rFonts w:ascii="Arial" w:cs="Arial" w:eastAsia="Arial" w:hAnsi="Arial"/>
                <w:sz w:val="17"/>
                <w:szCs w:val="17"/>
                <w:color w:val="auto"/>
              </w:rPr>
              <w:t>1.2%</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55.9%</w:t>
            </w:r>
          </w:p>
        </w:tc>
      </w:tr>
      <w:tr>
        <w:trPr>
          <w:trHeight w:val="209"/>
        </w:trPr>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2009</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4,437</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20"/>
              <w:spacing w:after="0"/>
              <w:rPr>
                <w:sz w:val="20"/>
                <w:szCs w:val="20"/>
                <w:color w:val="auto"/>
              </w:rPr>
            </w:pPr>
            <w:r>
              <w:rPr>
                <w:rFonts w:ascii="Arial" w:cs="Arial" w:eastAsia="Arial" w:hAnsi="Arial"/>
                <w:sz w:val="17"/>
                <w:szCs w:val="17"/>
                <w:color w:val="auto"/>
              </w:rPr>
              <w:t>175,045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179,482</w:t>
            </w:r>
          </w:p>
        </w:tc>
        <w:tc>
          <w:tcPr>
            <w:tcW w:w="14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15.9%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71.8%</w:t>
            </w:r>
          </w:p>
        </w:tc>
      </w:tr>
      <w:tr>
        <w:trPr>
          <w:trHeight w:val="209"/>
        </w:trPr>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2010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4,789</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right"/>
              <w:ind w:right="1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4,789</w:t>
            </w:r>
          </w:p>
        </w:tc>
        <w:tc>
          <w:tcPr>
            <w:tcW w:w="1420" w:type="dxa"/>
            <w:vAlign w:val="bottom"/>
          </w:tcPr>
          <w:p>
            <w:pPr>
              <w:spacing w:after="0"/>
              <w:rPr>
                <w:sz w:val="18"/>
                <w:szCs w:val="18"/>
                <w:color w:val="auto"/>
              </w:rPr>
            </w:pPr>
          </w:p>
        </w:tc>
        <w:tc>
          <w:tcPr>
            <w:tcW w:w="2160" w:type="dxa"/>
            <w:vAlign w:val="bottom"/>
            <w:gridSpan w:val="2"/>
          </w:tcPr>
          <w:p>
            <w:pPr>
              <w:jc w:val="right"/>
              <w:ind w:right="1220"/>
              <w:spacing w:after="0"/>
              <w:rPr>
                <w:sz w:val="20"/>
                <w:szCs w:val="20"/>
                <w:color w:val="auto"/>
              </w:rPr>
            </w:pPr>
            <w:r>
              <w:rPr>
                <w:rFonts w:ascii="Arial" w:cs="Arial" w:eastAsia="Arial" w:hAnsi="Arial"/>
                <w:sz w:val="17"/>
                <w:szCs w:val="17"/>
                <w:color w:val="auto"/>
              </w:rPr>
              <w:t>0.4%</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72.2%</w:t>
            </w:r>
          </w:p>
        </w:tc>
      </w:tr>
      <w:tr>
        <w:trPr>
          <w:trHeight w:val="209"/>
        </w:trPr>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2011</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4,670</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20"/>
              <w:spacing w:after="0"/>
              <w:rPr>
                <w:sz w:val="20"/>
                <w:szCs w:val="20"/>
                <w:color w:val="auto"/>
              </w:rPr>
            </w:pPr>
            <w:r>
              <w:rPr>
                <w:rFonts w:ascii="Arial" w:cs="Arial" w:eastAsia="Arial" w:hAnsi="Arial"/>
                <w:sz w:val="17"/>
                <w:szCs w:val="17"/>
                <w:color w:val="auto"/>
              </w:rPr>
              <w:t>37,236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41,906</w:t>
            </w:r>
          </w:p>
        </w:tc>
        <w:tc>
          <w:tcPr>
            <w:tcW w:w="14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75.9%</w:t>
            </w:r>
          </w:p>
        </w:tc>
      </w:tr>
      <w:tr>
        <w:trPr>
          <w:trHeight w:val="209"/>
        </w:trPr>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2012</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4,638</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right"/>
              <w:ind w:right="15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4,638</w:t>
            </w:r>
          </w:p>
        </w:tc>
        <w:tc>
          <w:tcPr>
            <w:tcW w:w="1420" w:type="dxa"/>
            <w:vAlign w:val="bottom"/>
          </w:tcPr>
          <w:p>
            <w:pPr>
              <w:spacing w:after="0"/>
              <w:rPr>
                <w:sz w:val="18"/>
                <w:szCs w:val="18"/>
                <w:color w:val="auto"/>
              </w:rPr>
            </w:pPr>
          </w:p>
        </w:tc>
        <w:tc>
          <w:tcPr>
            <w:tcW w:w="2160" w:type="dxa"/>
            <w:vAlign w:val="bottom"/>
            <w:gridSpan w:val="2"/>
          </w:tcPr>
          <w:p>
            <w:pPr>
              <w:jc w:val="right"/>
              <w:ind w:right="1220"/>
              <w:spacing w:after="0"/>
              <w:rPr>
                <w:sz w:val="20"/>
                <w:szCs w:val="20"/>
                <w:color w:val="auto"/>
              </w:rPr>
            </w:pPr>
            <w:r>
              <w:rPr>
                <w:rFonts w:ascii="Arial" w:cs="Arial" w:eastAsia="Arial" w:hAnsi="Arial"/>
                <w:sz w:val="17"/>
                <w:szCs w:val="17"/>
                <w:color w:val="auto"/>
              </w:rPr>
              <w:t>0.4%</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76.3%</w:t>
            </w:r>
          </w:p>
        </w:tc>
      </w:tr>
      <w:tr>
        <w:trPr>
          <w:trHeight w:val="209"/>
        </w:trPr>
        <w:tc>
          <w:tcPr>
            <w:tcW w:w="1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Thereafter</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23,029</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20"/>
              <w:spacing w:after="0"/>
              <w:rPr>
                <w:sz w:val="20"/>
                <w:szCs w:val="20"/>
                <w:color w:val="auto"/>
              </w:rPr>
            </w:pPr>
            <w:r>
              <w:rPr>
                <w:rFonts w:ascii="Arial" w:cs="Arial" w:eastAsia="Arial" w:hAnsi="Arial"/>
                <w:sz w:val="17"/>
                <w:szCs w:val="17"/>
                <w:color w:val="auto"/>
              </w:rPr>
              <w:t>245,207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268,236</w:t>
            </w:r>
          </w:p>
        </w:tc>
        <w:tc>
          <w:tcPr>
            <w:tcW w:w="14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23.7%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105"/>
        </w:trPr>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98"/>
        </w:trPr>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1980" w:type="dxa"/>
            <w:vAlign w:val="bottom"/>
            <w:gridSpan w:val="3"/>
            <w:shd w:val="clear" w:color="auto" w:fill="CCEEFF"/>
          </w:tcPr>
          <w:p>
            <w:pPr>
              <w:jc w:val="right"/>
              <w:ind w:right="1220"/>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100" w:type="dxa"/>
            <w:vAlign w:val="bottom"/>
            <w:gridSpan w:val="2"/>
            <w:shd w:val="clear" w:color="auto" w:fill="CCEEFF"/>
          </w:tcPr>
          <w:p>
            <w:pPr>
              <w:jc w:val="right"/>
              <w:ind w:right="1420"/>
              <w:spacing w:after="0"/>
              <w:rPr>
                <w:sz w:val="20"/>
                <w:szCs w:val="20"/>
                <w:color w:val="auto"/>
              </w:rPr>
            </w:pPr>
            <w:r>
              <w:rPr>
                <w:rFonts w:ascii="Arial" w:cs="Arial" w:eastAsia="Arial" w:hAnsi="Arial"/>
                <w:sz w:val="17"/>
                <w:szCs w:val="17"/>
                <w:color w:val="auto"/>
                <w:w w:val="87"/>
              </w:rPr>
              <w:t>1,069,029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1,129,529</w:t>
            </w:r>
          </w:p>
        </w:tc>
        <w:tc>
          <w:tcPr>
            <w:tcW w:w="14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20"/>
              <w:spacing w:after="0"/>
              <w:rPr>
                <w:sz w:val="20"/>
                <w:szCs w:val="20"/>
                <w:color w:val="auto"/>
              </w:rPr>
            </w:pPr>
            <w:r>
              <w:rPr>
                <w:rFonts w:ascii="Arial" w:cs="Arial" w:eastAsia="Arial" w:hAnsi="Arial"/>
                <w:sz w:val="17"/>
                <w:szCs w:val="17"/>
                <w:color w:val="auto"/>
              </w:rPr>
              <w:t>100.00%</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27"/>
        </w:trPr>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06"/>
        </w:trPr>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-167640</wp:posOffset>
            </wp:positionV>
            <wp:extent cx="12700" cy="292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-167640</wp:posOffset>
            </wp:positionV>
            <wp:extent cx="12700" cy="292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-167640</wp:posOffset>
            </wp:positionV>
            <wp:extent cx="20955" cy="292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-167640</wp:posOffset>
            </wp:positionV>
            <wp:extent cx="527050" cy="292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7050" cy="29210"/>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-167640</wp:posOffset>
            </wp:positionV>
            <wp:extent cx="12700" cy="292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-167640</wp:posOffset>
            </wp:positionV>
            <wp:extent cx="20955" cy="292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-167640</wp:posOffset>
            </wp:positionV>
            <wp:extent cx="37465" cy="292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-167640</wp:posOffset>
            </wp:positionV>
            <wp:extent cx="12700" cy="292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-167640</wp:posOffset>
            </wp:positionV>
            <wp:extent cx="37465" cy="292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0" w:lineRule="exact"/>
        <w:rPr>
          <w:sz w:val="20"/>
          <w:szCs w:val="20"/>
          <w:color w:val="auto"/>
        </w:rPr>
      </w:pPr>
    </w:p>
    <w:p>
      <w:pPr>
        <w:ind w:left="440" w:hanging="435"/>
        <w:spacing w:after="0"/>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$207 million balance on revolving credit facility and $125 million balance on term loan.</w:t>
      </w:r>
    </w:p>
    <w:p>
      <w:pPr>
        <w:sectPr>
          <w:pgSz w:w="11900" w:h="16838" w:orient="portrait"/>
          <w:cols w:equalWidth="0" w:num="1">
            <w:col w:w="11420"/>
          </w:cols>
          <w:pgMar w:left="240" w:top="271"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Current and Future Redevelopment Opportunities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Redevelopment Opportunities (1) ($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7"/>
              </w:rPr>
              <w:t>Projected</w:t>
            </w: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Projected</w:t>
            </w:r>
          </w:p>
        </w:tc>
        <w:tc>
          <w:tcPr>
            <w:tcW w:w="420" w:type="dxa"/>
            <w:vAlign w:val="bottom"/>
            <w:gridSpan w:val="2"/>
          </w:tcPr>
          <w:p>
            <w:pPr>
              <w:ind w:left="20"/>
              <w:spacing w:after="0"/>
              <w:rPr>
                <w:sz w:val="20"/>
                <w:szCs w:val="20"/>
                <w:color w:val="auto"/>
              </w:rPr>
            </w:pPr>
            <w:r>
              <w:rPr>
                <w:rFonts w:ascii="Arial" w:cs="Arial" w:eastAsia="Arial" w:hAnsi="Arial"/>
                <w:sz w:val="13"/>
                <w:szCs w:val="13"/>
                <w:b w:val="1"/>
                <w:bCs w:val="1"/>
                <w:color w:val="auto"/>
                <w:w w:val="84"/>
              </w:rPr>
              <w:t>Cost to</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b w:val="1"/>
                <w:bCs w:val="1"/>
                <w:color w:val="auto"/>
              </w:rPr>
              <w:t>Anticipated</w:t>
            </w:r>
          </w:p>
        </w:tc>
      </w:tr>
      <w:tr>
        <w:trPr>
          <w:trHeight w:val="168"/>
        </w:trPr>
        <w:tc>
          <w:tcPr>
            <w:tcW w:w="76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3"/>
                <w:szCs w:val="13"/>
                <w:b w:val="1"/>
                <w:bCs w:val="1"/>
                <w:color w:val="auto"/>
              </w:rPr>
              <w:t>Property</w:t>
            </w:r>
          </w:p>
        </w:tc>
        <w:tc>
          <w:tcPr>
            <w:tcW w:w="6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auto"/>
              </w:rPr>
              <w:t>Location</w:t>
            </w:r>
          </w:p>
        </w:tc>
        <w:tc>
          <w:tcPr>
            <w:tcW w:w="1340" w:type="dxa"/>
            <w:vAlign w:val="bottom"/>
          </w:tcPr>
          <w:p>
            <w:pPr>
              <w:spacing w:after="0"/>
              <w:rPr>
                <w:sz w:val="14"/>
                <w:szCs w:val="14"/>
                <w:color w:val="auto"/>
              </w:rPr>
            </w:pPr>
          </w:p>
        </w:tc>
        <w:tc>
          <w:tcPr>
            <w:tcW w:w="2500" w:type="dxa"/>
            <w:vAlign w:val="bottom"/>
            <w:gridSpan w:val="2"/>
          </w:tcPr>
          <w:p>
            <w:pPr>
              <w:ind w:left="120"/>
              <w:spacing w:after="0"/>
              <w:rPr>
                <w:sz w:val="20"/>
                <w:szCs w:val="20"/>
                <w:color w:val="auto"/>
              </w:rPr>
            </w:pPr>
            <w:r>
              <w:rPr>
                <w:rFonts w:ascii="Arial" w:cs="Arial" w:eastAsia="Arial" w:hAnsi="Arial"/>
                <w:sz w:val="13"/>
                <w:szCs w:val="13"/>
                <w:b w:val="1"/>
                <w:bCs w:val="1"/>
                <w:color w:val="auto"/>
              </w:rPr>
              <w:t>Opportunity</w:t>
            </w:r>
          </w:p>
        </w:tc>
        <w:tc>
          <w:tcPr>
            <w:tcW w:w="9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ROI (2)</w:t>
            </w:r>
          </w:p>
        </w:tc>
        <w:tc>
          <w:tcPr>
            <w:tcW w:w="800" w:type="dxa"/>
            <w:vAlign w:val="bottom"/>
            <w:gridSpan w:val="3"/>
          </w:tcPr>
          <w:p>
            <w:pPr>
              <w:ind w:left="40"/>
              <w:spacing w:after="0"/>
              <w:rPr>
                <w:sz w:val="20"/>
                <w:szCs w:val="20"/>
                <w:color w:val="auto"/>
              </w:rPr>
            </w:pPr>
            <w:r>
              <w:rPr>
                <w:rFonts w:ascii="Arial" w:cs="Arial" w:eastAsia="Arial" w:hAnsi="Arial"/>
                <w:sz w:val="13"/>
                <w:szCs w:val="13"/>
                <w:b w:val="1"/>
                <w:bCs w:val="1"/>
                <w:color w:val="auto"/>
              </w:rPr>
              <w:t>Cost (1)</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85"/>
              </w:rPr>
              <w:t>Date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w w:val="91"/>
              </w:rPr>
              <w:t>Stabilization (3)</w:t>
            </w:r>
          </w:p>
        </w:tc>
      </w:tr>
      <w:tr>
        <w:trPr>
          <w:trHeight w:val="93"/>
        </w:trPr>
        <w:tc>
          <w:tcPr>
            <w:tcW w:w="7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6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98"/>
        </w:trPr>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09"/>
        </w:trPr>
        <w:tc>
          <w:tcPr>
            <w:tcW w:w="4220" w:type="dxa"/>
            <w:vAlign w:val="bottom"/>
            <w:gridSpan w:val="6"/>
            <w:shd w:val="clear" w:color="auto" w:fill="CCEEFF"/>
          </w:tcPr>
          <w:p>
            <w:pPr>
              <w:spacing w:after="0"/>
              <w:rPr>
                <w:sz w:val="20"/>
                <w:szCs w:val="20"/>
                <w:color w:val="auto"/>
              </w:rPr>
            </w:pPr>
            <w:r>
              <w:rPr>
                <w:rFonts w:ascii="Arial" w:cs="Arial" w:eastAsia="Arial" w:hAnsi="Arial"/>
                <w:sz w:val="17"/>
                <w:szCs w:val="17"/>
                <w:b w:val="1"/>
                <w:bCs w:val="1"/>
                <w:i w:val="1"/>
                <w:iCs w:val="1"/>
                <w:color w:val="auto"/>
              </w:rPr>
              <w:t>Projects Anticipated to Stabilize in 2003</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305"/>
        </w:trPr>
        <w:tc>
          <w:tcPr>
            <w:tcW w:w="2280" w:type="dxa"/>
            <w:vAlign w:val="bottom"/>
            <w:gridSpan w:val="3"/>
          </w:tcPr>
          <w:p>
            <w:pPr>
              <w:spacing w:after="0"/>
              <w:rPr>
                <w:sz w:val="20"/>
                <w:szCs w:val="20"/>
                <w:color w:val="auto"/>
              </w:rPr>
            </w:pPr>
            <w:r>
              <w:rPr>
                <w:rFonts w:ascii="Arial" w:cs="Arial" w:eastAsia="Arial" w:hAnsi="Arial"/>
                <w:sz w:val="17"/>
                <w:szCs w:val="17"/>
                <w:color w:val="auto"/>
              </w:rPr>
              <w:t>Congressional Plaza</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Rockville, MD</w:t>
            </w:r>
          </w:p>
        </w:tc>
        <w:tc>
          <w:tcPr>
            <w:tcW w:w="3840" w:type="dxa"/>
            <w:vAlign w:val="bottom"/>
            <w:gridSpan w:val="3"/>
          </w:tcPr>
          <w:p>
            <w:pPr>
              <w:ind w:left="40"/>
              <w:spacing w:after="0"/>
              <w:rPr>
                <w:sz w:val="20"/>
                <w:szCs w:val="20"/>
                <w:color w:val="auto"/>
              </w:rPr>
            </w:pPr>
            <w:r>
              <w:rPr>
                <w:rFonts w:ascii="Arial" w:cs="Arial" w:eastAsia="Arial" w:hAnsi="Arial"/>
                <w:sz w:val="17"/>
                <w:szCs w:val="17"/>
                <w:color w:val="auto"/>
              </w:rPr>
              <w:t>Addition of 146-unit apartment building and</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Arial" w:cs="Arial" w:eastAsia="Arial" w:hAnsi="Arial"/>
                <w:sz w:val="17"/>
                <w:szCs w:val="17"/>
                <w:color w:val="auto"/>
              </w:rPr>
              <w:t>structured parking in existing parking field</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12.4</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w w:val="96"/>
              </w:rPr>
              <w:t>12.1</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2003</w:t>
            </w:r>
          </w:p>
        </w:tc>
      </w:tr>
      <w:tr>
        <w:trPr>
          <w:trHeight w:val="202"/>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Bethesda Row</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Bethesda, MD</w:t>
            </w:r>
          </w:p>
        </w:tc>
        <w:tc>
          <w:tcPr>
            <w:tcW w:w="38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Grocery expansion, new pad site, GLA expansion</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8"/>
        </w:trPr>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and re-tenanting (restaurant)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2003</w:t>
            </w:r>
          </w:p>
        </w:tc>
      </w:tr>
      <w:tr>
        <w:trPr>
          <w:trHeight w:val="209"/>
        </w:trPr>
        <w:tc>
          <w:tcPr>
            <w:tcW w:w="2280" w:type="dxa"/>
            <w:vAlign w:val="bottom"/>
            <w:gridSpan w:val="3"/>
          </w:tcPr>
          <w:p>
            <w:pPr>
              <w:spacing w:after="0"/>
              <w:rPr>
                <w:sz w:val="20"/>
                <w:szCs w:val="20"/>
                <w:color w:val="auto"/>
              </w:rPr>
            </w:pPr>
            <w:r>
              <w:rPr>
                <w:rFonts w:ascii="Arial" w:cs="Arial" w:eastAsia="Arial" w:hAnsi="Arial"/>
                <w:sz w:val="17"/>
                <w:szCs w:val="17"/>
                <w:color w:val="auto"/>
              </w:rPr>
              <w:t>Ellisburg Circle</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Cherry Hill, NJ</w:t>
            </w:r>
          </w:p>
        </w:tc>
        <w:tc>
          <w:tcPr>
            <w:tcW w:w="3840" w:type="dxa"/>
            <w:vAlign w:val="bottom"/>
            <w:gridSpan w:val="3"/>
          </w:tcPr>
          <w:p>
            <w:pPr>
              <w:ind w:left="40"/>
              <w:spacing w:after="0"/>
              <w:rPr>
                <w:sz w:val="20"/>
                <w:szCs w:val="20"/>
                <w:color w:val="auto"/>
              </w:rPr>
            </w:pPr>
            <w:r>
              <w:rPr>
                <w:rFonts w:ascii="Arial" w:cs="Arial" w:eastAsia="Arial" w:hAnsi="Arial"/>
                <w:sz w:val="17"/>
                <w:szCs w:val="17"/>
                <w:color w:val="auto"/>
                <w:w w:val="94"/>
              </w:rPr>
              <w:t>Re-tenanting (new grocer) and associated expansion</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2.3</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1.3</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2003</w:t>
            </w:r>
          </w:p>
        </w:tc>
      </w:tr>
      <w:tr>
        <w:trPr>
          <w:trHeight w:val="200"/>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Lawrence Park</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Broomall, PA</w:t>
            </w:r>
          </w:p>
        </w:tc>
        <w:tc>
          <w:tcPr>
            <w:tcW w:w="38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New pad site (drug store), common area</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8"/>
        </w:trPr>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improvements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2003</w:t>
            </w:r>
          </w:p>
        </w:tc>
      </w:tr>
      <w:tr>
        <w:trPr>
          <w:trHeight w:val="200"/>
        </w:trPr>
        <w:tc>
          <w:tcPr>
            <w:tcW w:w="2280" w:type="dxa"/>
            <w:vAlign w:val="bottom"/>
            <w:gridSpan w:val="3"/>
          </w:tcPr>
          <w:p>
            <w:pPr>
              <w:spacing w:after="0"/>
              <w:rPr>
                <w:sz w:val="20"/>
                <w:szCs w:val="20"/>
                <w:color w:val="auto"/>
              </w:rPr>
            </w:pPr>
            <w:r>
              <w:rPr>
                <w:rFonts w:ascii="Arial" w:cs="Arial" w:eastAsia="Arial" w:hAnsi="Arial"/>
                <w:sz w:val="17"/>
                <w:szCs w:val="17"/>
                <w:color w:val="auto"/>
              </w:rPr>
              <w:t>Dedham Plaza</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Dedham, MA</w:t>
            </w:r>
          </w:p>
        </w:tc>
        <w:tc>
          <w:tcPr>
            <w:tcW w:w="3840" w:type="dxa"/>
            <w:vAlign w:val="bottom"/>
            <w:gridSpan w:val="3"/>
          </w:tcPr>
          <w:p>
            <w:pPr>
              <w:ind w:left="40"/>
              <w:spacing w:after="0"/>
              <w:rPr>
                <w:sz w:val="20"/>
                <w:szCs w:val="20"/>
                <w:color w:val="auto"/>
              </w:rPr>
            </w:pPr>
            <w:r>
              <w:rPr>
                <w:rFonts w:ascii="Arial" w:cs="Arial" w:eastAsia="Arial" w:hAnsi="Arial"/>
                <w:sz w:val="17"/>
                <w:szCs w:val="17"/>
                <w:color w:val="auto"/>
              </w:rPr>
              <w:t>Tenant re-location (electronics), parking lot and</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Arial" w:cs="Arial" w:eastAsia="Arial" w:hAnsi="Arial"/>
                <w:sz w:val="17"/>
                <w:szCs w:val="17"/>
                <w:color w:val="auto"/>
              </w:rPr>
              <w:t>common area improvements</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1.1</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2003</w:t>
            </w:r>
          </w:p>
        </w:tc>
      </w:tr>
      <w:tr>
        <w:trPr>
          <w:trHeight w:val="210"/>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Finley Square</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Downers Grove, IL</w:t>
            </w:r>
          </w:p>
        </w:tc>
        <w:tc>
          <w:tcPr>
            <w:tcW w:w="38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Re-tenanting (office supply)</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2003</w:t>
            </w:r>
          </w:p>
        </w:tc>
      </w:tr>
      <w:tr>
        <w:trPr>
          <w:trHeight w:val="209"/>
        </w:trPr>
        <w:tc>
          <w:tcPr>
            <w:tcW w:w="2280" w:type="dxa"/>
            <w:vAlign w:val="bottom"/>
            <w:gridSpan w:val="3"/>
          </w:tcPr>
          <w:p>
            <w:pPr>
              <w:spacing w:after="0"/>
              <w:rPr>
                <w:sz w:val="20"/>
                <w:szCs w:val="20"/>
                <w:color w:val="auto"/>
              </w:rPr>
            </w:pPr>
            <w:r>
              <w:rPr>
                <w:rFonts w:ascii="Arial" w:cs="Arial" w:eastAsia="Arial" w:hAnsi="Arial"/>
                <w:sz w:val="17"/>
                <w:szCs w:val="17"/>
                <w:color w:val="auto"/>
              </w:rPr>
              <w:t>Governor Plaza</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Glen Burnie, MD</w:t>
            </w:r>
          </w:p>
        </w:tc>
        <w:tc>
          <w:tcPr>
            <w:tcW w:w="3840" w:type="dxa"/>
            <w:vAlign w:val="bottom"/>
            <w:gridSpan w:val="3"/>
          </w:tcPr>
          <w:p>
            <w:pPr>
              <w:ind w:left="40"/>
              <w:spacing w:after="0"/>
              <w:rPr>
                <w:sz w:val="20"/>
                <w:szCs w:val="20"/>
                <w:color w:val="auto"/>
              </w:rPr>
            </w:pPr>
            <w:r>
              <w:rPr>
                <w:rFonts w:ascii="Arial" w:cs="Arial" w:eastAsia="Arial" w:hAnsi="Arial"/>
                <w:sz w:val="17"/>
                <w:szCs w:val="17"/>
                <w:color w:val="auto"/>
              </w:rPr>
              <w:t>New pad sites (furniture and grocer)</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2003</w:t>
            </w:r>
          </w:p>
        </w:tc>
      </w:tr>
      <w:tr>
        <w:trPr>
          <w:trHeight w:val="209"/>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Quince Orchard</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Gaithersburg, MD</w:t>
            </w:r>
          </w:p>
        </w:tc>
        <w:tc>
          <w:tcPr>
            <w:tcW w:w="38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Pad site re-tenanting (drug store)</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2003</w:t>
            </w:r>
          </w:p>
        </w:tc>
      </w:tr>
      <w:tr>
        <w:trPr>
          <w:trHeight w:val="209"/>
        </w:trPr>
        <w:tc>
          <w:tcPr>
            <w:tcW w:w="2280" w:type="dxa"/>
            <w:vAlign w:val="bottom"/>
            <w:gridSpan w:val="3"/>
          </w:tcPr>
          <w:p>
            <w:pPr>
              <w:spacing w:after="0"/>
              <w:rPr>
                <w:sz w:val="20"/>
                <w:szCs w:val="20"/>
                <w:color w:val="auto"/>
              </w:rPr>
            </w:pPr>
            <w:r>
              <w:rPr>
                <w:rFonts w:ascii="Arial" w:cs="Arial" w:eastAsia="Arial" w:hAnsi="Arial"/>
                <w:sz w:val="17"/>
                <w:szCs w:val="17"/>
                <w:color w:val="auto"/>
              </w:rPr>
              <w:t>Wildwood</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Bethesda, MD</w:t>
            </w:r>
          </w:p>
        </w:tc>
        <w:tc>
          <w:tcPr>
            <w:tcW w:w="3840" w:type="dxa"/>
            <w:vAlign w:val="bottom"/>
            <w:gridSpan w:val="3"/>
          </w:tcPr>
          <w:p>
            <w:pPr>
              <w:ind w:left="40"/>
              <w:spacing w:after="0"/>
              <w:rPr>
                <w:sz w:val="20"/>
                <w:szCs w:val="20"/>
                <w:color w:val="auto"/>
              </w:rPr>
            </w:pPr>
            <w:r>
              <w:rPr>
                <w:rFonts w:ascii="Arial" w:cs="Arial" w:eastAsia="Arial" w:hAnsi="Arial"/>
                <w:sz w:val="17"/>
                <w:szCs w:val="17"/>
                <w:color w:val="auto"/>
              </w:rPr>
              <w:t>Pad expansion and re-tenanting (bank)</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37%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0.4</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0.0</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2003</w:t>
            </w:r>
          </w:p>
        </w:tc>
      </w:tr>
      <w:tr>
        <w:trPr>
          <w:trHeight w:val="209"/>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Old Town Center</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Los Gatos, CA</w:t>
            </w:r>
          </w:p>
        </w:tc>
        <w:tc>
          <w:tcPr>
            <w:tcW w:w="38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Re-tenanting (office) and site improvements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2003</w:t>
            </w:r>
          </w:p>
        </w:tc>
      </w:tr>
      <w:tr>
        <w:trPr>
          <w:trHeight w:val="105"/>
        </w:trPr>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6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98"/>
        </w:trPr>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09"/>
        </w:trPr>
        <w:tc>
          <w:tcPr>
            <w:tcW w:w="4220" w:type="dxa"/>
            <w:vAlign w:val="bottom"/>
            <w:gridSpan w:val="6"/>
            <w:shd w:val="clear" w:color="auto" w:fill="CCEEFF"/>
          </w:tcPr>
          <w:p>
            <w:pPr>
              <w:ind w:left="420"/>
              <w:spacing w:after="0"/>
              <w:rPr>
                <w:sz w:val="20"/>
                <w:szCs w:val="20"/>
                <w:color w:val="auto"/>
              </w:rPr>
            </w:pPr>
            <w:r>
              <w:rPr>
                <w:rFonts w:ascii="Arial" w:cs="Arial" w:eastAsia="Arial" w:hAnsi="Arial"/>
                <w:sz w:val="17"/>
                <w:szCs w:val="17"/>
                <w:b w:val="1"/>
                <w:bCs w:val="1"/>
                <w:i w:val="1"/>
                <w:iCs w:val="1"/>
                <w:color w:val="auto"/>
                <w:w w:val="88"/>
              </w:rPr>
              <w:t>Subtotal: Projects Anticipated to Stabilize in 2003 (4)</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21.7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27"/>
        </w:trPr>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6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01"/>
        </w:trPr>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09"/>
        </w:trPr>
        <w:tc>
          <w:tcPr>
            <w:tcW w:w="4220" w:type="dxa"/>
            <w:vAlign w:val="bottom"/>
            <w:gridSpan w:val="6"/>
            <w:shd w:val="clear" w:color="auto" w:fill="CCEEFF"/>
          </w:tcPr>
          <w:p>
            <w:pPr>
              <w:spacing w:after="0"/>
              <w:rPr>
                <w:sz w:val="20"/>
                <w:szCs w:val="20"/>
                <w:color w:val="auto"/>
              </w:rPr>
            </w:pPr>
            <w:r>
              <w:rPr>
                <w:rFonts w:ascii="Arial" w:cs="Arial" w:eastAsia="Arial" w:hAnsi="Arial"/>
                <w:sz w:val="17"/>
                <w:szCs w:val="17"/>
                <w:b w:val="1"/>
                <w:bCs w:val="1"/>
                <w:i w:val="1"/>
                <w:iCs w:val="1"/>
                <w:color w:val="auto"/>
              </w:rPr>
              <w:t>Projects Anticipated to Stabilize in 2004</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305"/>
        </w:trPr>
        <w:tc>
          <w:tcPr>
            <w:tcW w:w="2280" w:type="dxa"/>
            <w:vAlign w:val="bottom"/>
            <w:gridSpan w:val="3"/>
          </w:tcPr>
          <w:p>
            <w:pPr>
              <w:spacing w:after="0"/>
              <w:rPr>
                <w:sz w:val="20"/>
                <w:szCs w:val="20"/>
                <w:color w:val="auto"/>
              </w:rPr>
            </w:pPr>
            <w:r>
              <w:rPr>
                <w:rFonts w:ascii="Arial" w:cs="Arial" w:eastAsia="Arial" w:hAnsi="Arial"/>
                <w:sz w:val="17"/>
                <w:szCs w:val="17"/>
                <w:color w:val="auto"/>
              </w:rPr>
              <w:t>Santana Row Phase II</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San Jose, CA</w:t>
            </w:r>
          </w:p>
        </w:tc>
        <w:tc>
          <w:tcPr>
            <w:tcW w:w="3840" w:type="dxa"/>
            <w:vAlign w:val="bottom"/>
            <w:gridSpan w:val="3"/>
          </w:tcPr>
          <w:p>
            <w:pPr>
              <w:ind w:left="40"/>
              <w:spacing w:after="0"/>
              <w:rPr>
                <w:sz w:val="20"/>
                <w:szCs w:val="20"/>
                <w:color w:val="auto"/>
              </w:rPr>
            </w:pPr>
            <w:r>
              <w:rPr>
                <w:rFonts w:ascii="Arial" w:cs="Arial" w:eastAsia="Arial" w:hAnsi="Arial"/>
                <w:sz w:val="17"/>
                <w:szCs w:val="17"/>
                <w:color w:val="auto"/>
              </w:rPr>
              <w:t>Two new pad sites (Best Buy and The Container</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40" w:type="dxa"/>
            <w:vAlign w:val="bottom"/>
            <w:gridSpan w:val="3"/>
          </w:tcPr>
          <w:p>
            <w:pPr>
              <w:ind w:left="240"/>
              <w:spacing w:after="0"/>
              <w:rPr>
                <w:sz w:val="20"/>
                <w:szCs w:val="20"/>
                <w:color w:val="auto"/>
              </w:rPr>
            </w:pPr>
            <w:r>
              <w:rPr>
                <w:rFonts w:ascii="Arial" w:cs="Arial" w:eastAsia="Arial" w:hAnsi="Arial"/>
                <w:sz w:val="17"/>
                <w:szCs w:val="17"/>
                <w:color w:val="auto"/>
              </w:rPr>
              <w:t>Store) and additional parking</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26.4</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6.9</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2004</w:t>
            </w:r>
          </w:p>
        </w:tc>
      </w:tr>
      <w:tr>
        <w:trPr>
          <w:trHeight w:val="210"/>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Third Street Promenade</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Santa Monica, CA</w:t>
            </w:r>
          </w:p>
        </w:tc>
        <w:tc>
          <w:tcPr>
            <w:tcW w:w="38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Retail redevelopment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2004</w:t>
            </w:r>
          </w:p>
        </w:tc>
      </w:tr>
      <w:tr>
        <w:trPr>
          <w:trHeight w:val="209"/>
        </w:trPr>
        <w:tc>
          <w:tcPr>
            <w:tcW w:w="2280" w:type="dxa"/>
            <w:vAlign w:val="bottom"/>
            <w:gridSpan w:val="3"/>
          </w:tcPr>
          <w:p>
            <w:pPr>
              <w:spacing w:after="0"/>
              <w:rPr>
                <w:sz w:val="20"/>
                <w:szCs w:val="20"/>
                <w:color w:val="auto"/>
              </w:rPr>
            </w:pPr>
            <w:r>
              <w:rPr>
                <w:rFonts w:ascii="Arial" w:cs="Arial" w:eastAsia="Arial" w:hAnsi="Arial"/>
                <w:sz w:val="17"/>
                <w:szCs w:val="17"/>
                <w:color w:val="auto"/>
              </w:rPr>
              <w:t>Andorra</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Philadelphia, PA</w:t>
            </w:r>
          </w:p>
        </w:tc>
        <w:tc>
          <w:tcPr>
            <w:tcW w:w="3840" w:type="dxa"/>
            <w:vAlign w:val="bottom"/>
            <w:gridSpan w:val="3"/>
          </w:tcPr>
          <w:p>
            <w:pPr>
              <w:ind w:left="40"/>
              <w:spacing w:after="0"/>
              <w:rPr>
                <w:sz w:val="20"/>
                <w:szCs w:val="20"/>
                <w:color w:val="auto"/>
              </w:rPr>
            </w:pPr>
            <w:r>
              <w:rPr>
                <w:rFonts w:ascii="Arial" w:cs="Arial" w:eastAsia="Arial" w:hAnsi="Arial"/>
                <w:sz w:val="17"/>
                <w:szCs w:val="17"/>
                <w:color w:val="auto"/>
              </w:rPr>
              <w:t>Expansion and re-tenanting (new health club)</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4.0</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0.2</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2004</w:t>
            </w:r>
          </w:p>
        </w:tc>
      </w:tr>
      <w:tr>
        <w:trPr>
          <w:trHeight w:val="200"/>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Garden Market</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Western Springs, IL</w:t>
            </w:r>
          </w:p>
        </w:tc>
        <w:tc>
          <w:tcPr>
            <w:tcW w:w="38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w w:val="99"/>
              </w:rPr>
              <w:t>Expansion, re-tenanting (new grocer) and new pad</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8"/>
        </w:trPr>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site (existing drug store)</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2004</w:t>
            </w:r>
          </w:p>
        </w:tc>
      </w:tr>
      <w:tr>
        <w:trPr>
          <w:trHeight w:val="209"/>
        </w:trPr>
        <w:tc>
          <w:tcPr>
            <w:tcW w:w="2280" w:type="dxa"/>
            <w:vAlign w:val="bottom"/>
            <w:gridSpan w:val="3"/>
          </w:tcPr>
          <w:p>
            <w:pPr>
              <w:spacing w:after="0"/>
              <w:rPr>
                <w:sz w:val="20"/>
                <w:szCs w:val="20"/>
                <w:color w:val="auto"/>
              </w:rPr>
            </w:pPr>
            <w:r>
              <w:rPr>
                <w:rFonts w:ascii="Arial" w:cs="Arial" w:eastAsia="Arial" w:hAnsi="Arial"/>
                <w:sz w:val="17"/>
                <w:szCs w:val="17"/>
                <w:color w:val="auto"/>
              </w:rPr>
              <w:t>Bristol Plaza</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Bristol, CT</w:t>
            </w:r>
          </w:p>
        </w:tc>
        <w:tc>
          <w:tcPr>
            <w:tcW w:w="3840" w:type="dxa"/>
            <w:vAlign w:val="bottom"/>
            <w:gridSpan w:val="3"/>
          </w:tcPr>
          <w:p>
            <w:pPr>
              <w:ind w:left="40"/>
              <w:spacing w:after="0"/>
              <w:rPr>
                <w:sz w:val="20"/>
                <w:szCs w:val="20"/>
                <w:color w:val="auto"/>
              </w:rPr>
            </w:pPr>
            <w:r>
              <w:rPr>
                <w:rFonts w:ascii="Arial" w:cs="Arial" w:eastAsia="Arial" w:hAnsi="Arial"/>
                <w:sz w:val="17"/>
                <w:szCs w:val="17"/>
                <w:color w:val="auto"/>
              </w:rPr>
              <w:t>Grocer relocation, canopy and façade renovation</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1.9</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0.0</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2004</w:t>
            </w:r>
          </w:p>
        </w:tc>
      </w:tr>
      <w:tr>
        <w:trPr>
          <w:trHeight w:val="209"/>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Greenlawn Plaza</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Greenlawn, NY</w:t>
            </w:r>
          </w:p>
        </w:tc>
        <w:tc>
          <w:tcPr>
            <w:tcW w:w="38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New pad site (child care center)</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2004</w:t>
            </w:r>
          </w:p>
        </w:tc>
      </w:tr>
      <w:tr>
        <w:trPr>
          <w:trHeight w:val="209"/>
        </w:trPr>
        <w:tc>
          <w:tcPr>
            <w:tcW w:w="2280" w:type="dxa"/>
            <w:vAlign w:val="bottom"/>
            <w:gridSpan w:val="3"/>
          </w:tcPr>
          <w:p>
            <w:pPr>
              <w:spacing w:after="0"/>
              <w:rPr>
                <w:sz w:val="20"/>
                <w:szCs w:val="20"/>
                <w:color w:val="auto"/>
              </w:rPr>
            </w:pPr>
            <w:r>
              <w:rPr>
                <w:rFonts w:ascii="Arial" w:cs="Arial" w:eastAsia="Arial" w:hAnsi="Arial"/>
                <w:sz w:val="17"/>
                <w:szCs w:val="17"/>
                <w:color w:val="auto"/>
              </w:rPr>
              <w:t>Bethesda Row</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Bethesda, MD</w:t>
            </w:r>
          </w:p>
        </w:tc>
        <w:tc>
          <w:tcPr>
            <w:tcW w:w="3840" w:type="dxa"/>
            <w:vAlign w:val="bottom"/>
            <w:gridSpan w:val="3"/>
          </w:tcPr>
          <w:p>
            <w:pPr>
              <w:ind w:left="40"/>
              <w:spacing w:after="0"/>
              <w:rPr>
                <w:sz w:val="20"/>
                <w:szCs w:val="20"/>
                <w:color w:val="auto"/>
              </w:rPr>
            </w:pPr>
            <w:r>
              <w:rPr>
                <w:rFonts w:ascii="Arial" w:cs="Arial" w:eastAsia="Arial" w:hAnsi="Arial"/>
                <w:sz w:val="17"/>
                <w:szCs w:val="17"/>
                <w:color w:val="auto"/>
              </w:rPr>
              <w:t>New pad site (fitness equipment)</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0.8</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0.1</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2004</w:t>
            </w:r>
          </w:p>
        </w:tc>
      </w:tr>
      <w:tr>
        <w:trPr>
          <w:trHeight w:val="209"/>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Willow Lawn</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Richmond, VA</w:t>
            </w:r>
          </w:p>
        </w:tc>
        <w:tc>
          <w:tcPr>
            <w:tcW w:w="38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Grocery expansion</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2004</w:t>
            </w:r>
          </w:p>
        </w:tc>
      </w:tr>
      <w:tr>
        <w:trPr>
          <w:trHeight w:val="209"/>
        </w:trPr>
        <w:tc>
          <w:tcPr>
            <w:tcW w:w="2280" w:type="dxa"/>
            <w:vAlign w:val="bottom"/>
            <w:gridSpan w:val="3"/>
          </w:tcPr>
          <w:p>
            <w:pPr>
              <w:spacing w:after="0"/>
              <w:rPr>
                <w:sz w:val="20"/>
                <w:szCs w:val="20"/>
                <w:color w:val="auto"/>
              </w:rPr>
            </w:pPr>
            <w:r>
              <w:rPr>
                <w:rFonts w:ascii="Arial" w:cs="Arial" w:eastAsia="Arial" w:hAnsi="Arial"/>
                <w:sz w:val="17"/>
                <w:szCs w:val="17"/>
                <w:color w:val="auto"/>
              </w:rPr>
              <w:t>Laurel</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Laurel, MD</w:t>
            </w:r>
          </w:p>
        </w:tc>
        <w:tc>
          <w:tcPr>
            <w:tcW w:w="3840" w:type="dxa"/>
            <w:vAlign w:val="bottom"/>
            <w:gridSpan w:val="3"/>
          </w:tcPr>
          <w:p>
            <w:pPr>
              <w:ind w:left="40"/>
              <w:spacing w:after="0"/>
              <w:rPr>
                <w:sz w:val="20"/>
                <w:szCs w:val="20"/>
                <w:color w:val="auto"/>
              </w:rPr>
            </w:pPr>
            <w:r>
              <w:rPr>
                <w:rFonts w:ascii="Arial" w:cs="Arial" w:eastAsia="Arial" w:hAnsi="Arial"/>
                <w:sz w:val="17"/>
                <w:szCs w:val="17"/>
                <w:color w:val="auto"/>
              </w:rPr>
              <w:t>Grocery expansion</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98%</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0.4</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0.4</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2004</w:t>
            </w:r>
          </w:p>
        </w:tc>
      </w:tr>
      <w:tr>
        <w:trPr>
          <w:trHeight w:val="209"/>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Lawrence Park</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Broomall, PA</w:t>
            </w:r>
          </w:p>
        </w:tc>
        <w:tc>
          <w:tcPr>
            <w:tcW w:w="38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Grocery expansion</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2004</w:t>
            </w:r>
          </w:p>
        </w:tc>
      </w:tr>
      <w:tr>
        <w:trPr>
          <w:trHeight w:val="215"/>
        </w:trPr>
        <w:tc>
          <w:tcPr>
            <w:tcW w:w="2280" w:type="dxa"/>
            <w:vAlign w:val="bottom"/>
            <w:gridSpan w:val="3"/>
          </w:tcPr>
          <w:p>
            <w:pPr>
              <w:spacing w:after="0"/>
              <w:rPr>
                <w:sz w:val="20"/>
                <w:szCs w:val="20"/>
                <w:color w:val="auto"/>
              </w:rPr>
            </w:pPr>
            <w:r>
              <w:rPr>
                <w:rFonts w:ascii="Arial" w:cs="Arial" w:eastAsia="Arial" w:hAnsi="Arial"/>
                <w:sz w:val="17"/>
                <w:szCs w:val="17"/>
                <w:color w:val="auto"/>
              </w:rPr>
              <w:t>Hauppauge Shopping Center</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Hauppauge, NY</w:t>
            </w:r>
          </w:p>
        </w:tc>
        <w:tc>
          <w:tcPr>
            <w:tcW w:w="3840" w:type="dxa"/>
            <w:vAlign w:val="bottom"/>
            <w:gridSpan w:val="3"/>
          </w:tcPr>
          <w:p>
            <w:pPr>
              <w:ind w:left="40"/>
              <w:spacing w:after="0"/>
              <w:rPr>
                <w:sz w:val="20"/>
                <w:szCs w:val="20"/>
                <w:color w:val="auto"/>
              </w:rPr>
            </w:pPr>
            <w:r>
              <w:rPr>
                <w:rFonts w:ascii="Arial" w:cs="Arial" w:eastAsia="Arial" w:hAnsi="Arial"/>
                <w:sz w:val="17"/>
                <w:szCs w:val="17"/>
                <w:color w:val="auto"/>
              </w:rPr>
              <w:t>Pad site re-tenanting (restaurant)</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0.3</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0.0</w:t>
            </w:r>
          </w:p>
        </w:tc>
        <w:tc>
          <w:tcPr>
            <w:tcW w:w="1180" w:type="dxa"/>
            <w:vAlign w:val="bottom"/>
            <w:gridSpan w:val="3"/>
          </w:tcPr>
          <w:p>
            <w:pPr>
              <w:jc w:val="right"/>
              <w:spacing w:after="0"/>
              <w:rPr>
                <w:sz w:val="20"/>
                <w:szCs w:val="20"/>
                <w:color w:val="auto"/>
              </w:rPr>
            </w:pPr>
            <w:r>
              <w:rPr>
                <w:rFonts w:ascii="Arial" w:cs="Arial" w:eastAsia="Arial" w:hAnsi="Arial"/>
                <w:sz w:val="17"/>
                <w:szCs w:val="17"/>
                <w:color w:val="auto"/>
              </w:rPr>
              <w:t>2004</w:t>
            </w:r>
          </w:p>
        </w:tc>
      </w:tr>
      <w:tr>
        <w:trPr>
          <w:trHeight w:val="98"/>
        </w:trPr>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98"/>
        </w:trPr>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09"/>
        </w:trPr>
        <w:tc>
          <w:tcPr>
            <w:tcW w:w="4220" w:type="dxa"/>
            <w:vAlign w:val="bottom"/>
            <w:gridSpan w:val="6"/>
            <w:shd w:val="clear" w:color="auto" w:fill="CCEEFF"/>
          </w:tcPr>
          <w:p>
            <w:pPr>
              <w:ind w:left="420"/>
              <w:spacing w:after="0"/>
              <w:rPr>
                <w:sz w:val="20"/>
                <w:szCs w:val="20"/>
                <w:color w:val="auto"/>
              </w:rPr>
            </w:pPr>
            <w:r>
              <w:rPr>
                <w:rFonts w:ascii="Arial" w:cs="Arial" w:eastAsia="Arial" w:hAnsi="Arial"/>
                <w:sz w:val="17"/>
                <w:szCs w:val="17"/>
                <w:b w:val="1"/>
                <w:bCs w:val="1"/>
                <w:i w:val="1"/>
                <w:iCs w:val="1"/>
                <w:color w:val="auto"/>
                <w:w w:val="88"/>
              </w:rPr>
              <w:t>Subtotal: Projects Anticipated to Stabilize in 2004 (4)</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20.5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27"/>
        </w:trPr>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6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01"/>
        </w:trPr>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09"/>
        </w:trPr>
        <w:tc>
          <w:tcPr>
            <w:tcW w:w="4220" w:type="dxa"/>
            <w:vAlign w:val="bottom"/>
            <w:gridSpan w:val="6"/>
            <w:shd w:val="clear" w:color="auto" w:fill="CCEEFF"/>
          </w:tcPr>
          <w:p>
            <w:pPr>
              <w:spacing w:after="0"/>
              <w:rPr>
                <w:sz w:val="20"/>
                <w:szCs w:val="20"/>
                <w:color w:val="auto"/>
              </w:rPr>
            </w:pPr>
            <w:r>
              <w:rPr>
                <w:rFonts w:ascii="Arial" w:cs="Arial" w:eastAsia="Arial" w:hAnsi="Arial"/>
                <w:sz w:val="17"/>
                <w:szCs w:val="17"/>
                <w:b w:val="1"/>
                <w:bCs w:val="1"/>
                <w:i w:val="1"/>
                <w:iCs w:val="1"/>
                <w:color w:val="auto"/>
                <w:w w:val="88"/>
              </w:rPr>
              <w:t>Total: Projects Anticipated to Stabilize in 2003 and 2004 (4)</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42.2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27"/>
        </w:trPr>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6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01"/>
        </w:trPr>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09"/>
        </w:trPr>
        <w:tc>
          <w:tcPr>
            <w:tcW w:w="4220" w:type="dxa"/>
            <w:vAlign w:val="bottom"/>
            <w:gridSpan w:val="6"/>
            <w:shd w:val="clear" w:color="auto" w:fill="CCEEFF"/>
          </w:tcPr>
          <w:p>
            <w:pPr>
              <w:spacing w:after="0"/>
              <w:rPr>
                <w:sz w:val="20"/>
                <w:szCs w:val="20"/>
                <w:color w:val="auto"/>
              </w:rPr>
            </w:pPr>
            <w:r>
              <w:rPr>
                <w:rFonts w:ascii="Arial" w:cs="Arial" w:eastAsia="Arial" w:hAnsi="Arial"/>
                <w:sz w:val="17"/>
                <w:szCs w:val="17"/>
                <w:b w:val="1"/>
                <w:bCs w:val="1"/>
                <w:i w:val="1"/>
                <w:iCs w:val="1"/>
                <w:color w:val="auto"/>
                <w:w w:val="88"/>
              </w:rPr>
              <w:t>Potential Future Redevelopments Stabilizing After 2004 (5)</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312"/>
        </w:trPr>
        <w:tc>
          <w:tcPr>
            <w:tcW w:w="2280" w:type="dxa"/>
            <w:vAlign w:val="bottom"/>
            <w:gridSpan w:val="3"/>
          </w:tcPr>
          <w:p>
            <w:pPr>
              <w:spacing w:after="0"/>
              <w:rPr>
                <w:sz w:val="20"/>
                <w:szCs w:val="20"/>
                <w:color w:val="auto"/>
              </w:rPr>
            </w:pPr>
            <w:r>
              <w:rPr>
                <w:rFonts w:ascii="Arial" w:cs="Arial" w:eastAsia="Arial" w:hAnsi="Arial"/>
                <w:sz w:val="17"/>
                <w:szCs w:val="17"/>
                <w:color w:val="auto"/>
              </w:rPr>
              <w:t>Bala Cynwyd</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Bala Cynwyd, PA</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0"/>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4"/>
              </w:rPr>
              <w:t>Bethesda Row—Future Phases</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Bethesda, MD</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2280" w:type="dxa"/>
            <w:vAlign w:val="bottom"/>
            <w:gridSpan w:val="3"/>
          </w:tcPr>
          <w:p>
            <w:pPr>
              <w:spacing w:after="0"/>
              <w:rPr>
                <w:sz w:val="20"/>
                <w:szCs w:val="20"/>
                <w:color w:val="auto"/>
              </w:rPr>
            </w:pPr>
            <w:r>
              <w:rPr>
                <w:rFonts w:ascii="Arial" w:cs="Arial" w:eastAsia="Arial" w:hAnsi="Arial"/>
                <w:sz w:val="17"/>
                <w:szCs w:val="17"/>
                <w:color w:val="auto"/>
              </w:rPr>
              <w:t>Brunswick Shopping Center</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North Brunswick, NJ</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Houston Street</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San Antonio, TX</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2280" w:type="dxa"/>
            <w:vAlign w:val="bottom"/>
            <w:gridSpan w:val="3"/>
          </w:tcPr>
          <w:p>
            <w:pPr>
              <w:spacing w:after="0"/>
              <w:rPr>
                <w:sz w:val="20"/>
                <w:szCs w:val="20"/>
                <w:color w:val="auto"/>
              </w:rPr>
            </w:pPr>
            <w:r>
              <w:rPr>
                <w:rFonts w:ascii="Arial" w:cs="Arial" w:eastAsia="Arial" w:hAnsi="Arial"/>
                <w:sz w:val="17"/>
                <w:szCs w:val="17"/>
                <w:color w:val="auto"/>
              </w:rPr>
              <w:t>Mount Vernon/South Valley</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Alexandria, VA</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Rockville Town Square</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Rockville, MD</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2280" w:type="dxa"/>
            <w:vAlign w:val="bottom"/>
            <w:gridSpan w:val="3"/>
          </w:tcPr>
          <w:p>
            <w:pPr>
              <w:spacing w:after="0"/>
              <w:rPr>
                <w:sz w:val="20"/>
                <w:szCs w:val="20"/>
                <w:color w:val="auto"/>
              </w:rPr>
            </w:pPr>
            <w:r>
              <w:rPr>
                <w:rFonts w:ascii="Arial" w:cs="Arial" w:eastAsia="Arial" w:hAnsi="Arial"/>
                <w:sz w:val="17"/>
                <w:szCs w:val="17"/>
                <w:color w:val="auto"/>
              </w:rPr>
              <w:t>Rutgers Plaza</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Franklin, NJ</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228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8"/>
              </w:rPr>
              <w:t>Santana Row—Future Phases</w:t>
            </w:r>
          </w:p>
        </w:tc>
        <w:tc>
          <w:tcPr>
            <w:tcW w:w="19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San Jose, CA</w:t>
            </w: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2280" w:type="dxa"/>
            <w:vAlign w:val="bottom"/>
            <w:gridSpan w:val="3"/>
          </w:tcPr>
          <w:p>
            <w:pPr>
              <w:spacing w:after="0"/>
              <w:rPr>
                <w:sz w:val="20"/>
                <w:szCs w:val="20"/>
                <w:color w:val="auto"/>
              </w:rPr>
            </w:pPr>
            <w:r>
              <w:rPr>
                <w:rFonts w:ascii="Arial" w:cs="Arial" w:eastAsia="Arial" w:hAnsi="Arial"/>
                <w:sz w:val="17"/>
                <w:szCs w:val="17"/>
                <w:color w:val="auto"/>
              </w:rPr>
              <w:t>The Village at Shirlington</w:t>
            </w:r>
          </w:p>
        </w:tc>
        <w:tc>
          <w:tcPr>
            <w:tcW w:w="1940" w:type="dxa"/>
            <w:vAlign w:val="bottom"/>
            <w:gridSpan w:val="3"/>
          </w:tcPr>
          <w:p>
            <w:pPr>
              <w:ind w:left="160"/>
              <w:spacing w:after="0"/>
              <w:rPr>
                <w:sz w:val="20"/>
                <w:szCs w:val="20"/>
                <w:color w:val="auto"/>
              </w:rPr>
            </w:pPr>
            <w:r>
              <w:rPr>
                <w:rFonts w:ascii="Arial" w:cs="Arial" w:eastAsia="Arial" w:hAnsi="Arial"/>
                <w:sz w:val="17"/>
                <w:szCs w:val="17"/>
                <w:color w:val="auto"/>
              </w:rPr>
              <w:t>Arlington, VA</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5119370</wp:posOffset>
            </wp:positionH>
            <wp:positionV relativeFrom="paragraph">
              <wp:posOffset>-4137025</wp:posOffset>
            </wp:positionV>
            <wp:extent cx="12700" cy="292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5451475</wp:posOffset>
            </wp:positionH>
            <wp:positionV relativeFrom="paragraph">
              <wp:posOffset>-4137025</wp:posOffset>
            </wp:positionV>
            <wp:extent cx="37465" cy="292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-4137025</wp:posOffset>
            </wp:positionV>
            <wp:extent cx="12700" cy="292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-4137025</wp:posOffset>
            </wp:positionV>
            <wp:extent cx="12700" cy="292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-4137025</wp:posOffset>
            </wp:positionV>
            <wp:extent cx="20955" cy="292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-4137025</wp:posOffset>
            </wp:positionV>
            <wp:extent cx="12700" cy="292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-4137025</wp:posOffset>
            </wp:positionV>
            <wp:extent cx="12700" cy="292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-4137025</wp:posOffset>
            </wp:positionV>
            <wp:extent cx="20955" cy="292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-1781175</wp:posOffset>
            </wp:positionV>
            <wp:extent cx="12700" cy="292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5451475</wp:posOffset>
            </wp:positionH>
            <wp:positionV relativeFrom="paragraph">
              <wp:posOffset>-1781175</wp:posOffset>
            </wp:positionV>
            <wp:extent cx="37465" cy="292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-1781175</wp:posOffset>
            </wp:positionV>
            <wp:extent cx="12700" cy="292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-1781175</wp:posOffset>
            </wp:positionV>
            <wp:extent cx="12700" cy="292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-1781175</wp:posOffset>
            </wp:positionV>
            <wp:extent cx="20955" cy="292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-1781175</wp:posOffset>
            </wp:positionV>
            <wp:extent cx="12700" cy="292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-1781175</wp:posOffset>
            </wp:positionV>
            <wp:extent cx="12700" cy="292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-1781175</wp:posOffset>
            </wp:positionV>
            <wp:extent cx="20955" cy="292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-1490345</wp:posOffset>
            </wp:positionV>
            <wp:extent cx="12700" cy="29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5451475</wp:posOffset>
            </wp:positionH>
            <wp:positionV relativeFrom="paragraph">
              <wp:posOffset>-1490345</wp:posOffset>
            </wp:positionV>
            <wp:extent cx="37465" cy="292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-1490345</wp:posOffset>
            </wp:positionV>
            <wp:extent cx="12700" cy="292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-1490345</wp:posOffset>
            </wp:positionV>
            <wp:extent cx="12700" cy="292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-1490345</wp:posOffset>
            </wp:positionV>
            <wp:extent cx="20955" cy="292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-1490345</wp:posOffset>
            </wp:positionV>
            <wp:extent cx="12700" cy="292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-1490345</wp:posOffset>
            </wp:positionV>
            <wp:extent cx="12700" cy="292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-1490345</wp:posOffset>
            </wp:positionV>
            <wp:extent cx="20955" cy="292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5975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7535" cy="8255"/>
                    </a:xfrm>
                    <a:prstGeom prst="rect">
                      <a:avLst/>
                    </a:prstGeom>
                    <a:noFill/>
                  </pic:spPr>
                </pic:pic>
              </a:graphicData>
            </a:graphic>
          </wp:anchor>
        </w:drawing>
      </w:r>
    </w:p>
    <w:p>
      <w:pPr>
        <w:spacing w:after="0" w:line="187" w:lineRule="exact"/>
        <w:rPr>
          <w:sz w:val="20"/>
          <w:szCs w:val="20"/>
          <w:color w:val="auto"/>
        </w:rPr>
      </w:pPr>
    </w:p>
    <w:p>
      <w:pPr>
        <w:jc w:val="both"/>
        <w:ind w:left="440" w:right="240" w:hanging="435"/>
        <w:spacing w:after="0" w:line="293" w:lineRule="auto"/>
        <w:tabs>
          <w:tab w:leader="none" w:pos="440"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5"/>
          <w:szCs w:val="15"/>
          <w:b w:val="1"/>
          <w:bCs w:val="1"/>
          <w:i w:val="1"/>
          <w:iCs w:val="1"/>
          <w:color w:val="auto"/>
        </w:rPr>
      </w:pPr>
    </w:p>
    <w:p>
      <w:pPr>
        <w:ind w:left="440" w:right="100" w:hanging="435"/>
        <w:spacing w:after="0" w:line="272" w:lineRule="auto"/>
        <w:tabs>
          <w:tab w:leader="none" w:pos="440"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previously in place for the redevelopment space or space taken out of service as a result of the redevelopment. Projected ROI does NOT include peripheral impacts, such as the impact on future lease rollovers at the property or the impact on the long-term value of the property.</w:t>
      </w:r>
    </w:p>
    <w:p>
      <w:pPr>
        <w:spacing w:after="0" w:line="2" w:lineRule="exact"/>
        <w:rPr>
          <w:rFonts w:ascii="Arial" w:cs="Arial" w:eastAsia="Arial" w:hAnsi="Arial"/>
          <w:sz w:val="16"/>
          <w:szCs w:val="16"/>
          <w:b w:val="1"/>
          <w:bCs w:val="1"/>
          <w:i w:val="1"/>
          <w:iCs w:val="1"/>
          <w:color w:val="auto"/>
        </w:rPr>
      </w:pPr>
    </w:p>
    <w:p>
      <w:pPr>
        <w:ind w:left="440" w:hanging="435"/>
        <w:spacing w:after="0"/>
        <w:tabs>
          <w:tab w:leader="none" w:pos="44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The year in which 95% occupancy of the redeveloped space is anticipated to be achieved.</w:t>
      </w:r>
    </w:p>
    <w:p>
      <w:pPr>
        <w:spacing w:after="0" w:line="13" w:lineRule="exact"/>
        <w:rPr>
          <w:rFonts w:ascii="Arial" w:cs="Arial" w:eastAsia="Arial" w:hAnsi="Arial"/>
          <w:sz w:val="17"/>
          <w:szCs w:val="17"/>
          <w:b w:val="1"/>
          <w:bCs w:val="1"/>
          <w:i w:val="1"/>
          <w:iCs w:val="1"/>
          <w:color w:val="auto"/>
        </w:rPr>
      </w:pPr>
    </w:p>
    <w:p>
      <w:pPr>
        <w:ind w:left="440" w:hanging="435"/>
        <w:spacing w:after="0"/>
        <w:tabs>
          <w:tab w:leader="none" w:pos="44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All subtotals and totals reflect projected cost weighted-average ROIs.</w:t>
      </w:r>
    </w:p>
    <w:p>
      <w:pPr>
        <w:spacing w:after="0" w:line="13" w:lineRule="exact"/>
        <w:rPr>
          <w:rFonts w:ascii="Arial" w:cs="Arial" w:eastAsia="Arial" w:hAnsi="Arial"/>
          <w:sz w:val="17"/>
          <w:szCs w:val="17"/>
          <w:b w:val="1"/>
          <w:bCs w:val="1"/>
          <w:i w:val="1"/>
          <w:iCs w:val="1"/>
          <w:color w:val="auto"/>
        </w:rPr>
      </w:pPr>
    </w:p>
    <w:p>
      <w:pPr>
        <w:ind w:left="440" w:right="160" w:hanging="435"/>
        <w:spacing w:after="0" w:line="273" w:lineRule="auto"/>
        <w:tabs>
          <w:tab w:leader="none" w:pos="44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1"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Santana Row Summary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960" w:right="60" w:hanging="1946"/>
        <w:spacing w:after="0" w:line="286" w:lineRule="auto"/>
        <w:tabs>
          <w:tab w:leader="none" w:pos="1940" w:val="left"/>
        </w:tabs>
        <w:rPr>
          <w:sz w:val="20"/>
          <w:szCs w:val="20"/>
          <w:color w:val="auto"/>
        </w:rPr>
      </w:pPr>
      <w:r>
        <w:rPr>
          <w:rFonts w:ascii="Arial" w:cs="Arial" w:eastAsia="Arial" w:hAnsi="Arial"/>
          <w:sz w:val="17"/>
          <w:szCs w:val="17"/>
          <w:b w:val="1"/>
          <w:bCs w:val="1"/>
          <w:u w:val="single" w:color="auto"/>
          <w:color w:val="auto"/>
        </w:rPr>
        <w:t>Property Description:</w:t>
      </w:r>
      <w:r>
        <w:rPr>
          <w:sz w:val="20"/>
          <w:szCs w:val="20"/>
          <w:color w:val="auto"/>
        </w:rPr>
        <w:tab/>
      </w:r>
      <w:r>
        <w:rPr>
          <w:rFonts w:ascii="Arial" w:cs="Arial" w:eastAsia="Arial" w:hAnsi="Arial"/>
          <w:sz w:val="16"/>
          <w:szCs w:val="16"/>
          <w:color w:val="auto"/>
        </w:rPr>
        <w:t>A multi-phased, mixed-use development built on 42 acres in San Jose, California, in the heart of the Silicon Valley. Phase I of the property consists of a 1,500 foot long "main street" and eight buildings comprising approximately 444,000 square feet of retail, 255 residential units, and a 213-room boutique hotel. Phase II consists of two pad sites comprising approximately 84,000 square feet of retail space and 275 additional parking spaces. Phase II is 95% pre-leased to Best Buy and The Container Store.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Summary (1)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10"/>
          </w:tcPr>
          <w:p>
            <w:pPr>
              <w:jc w:val="center"/>
              <w:ind w:right="300"/>
              <w:spacing w:after="0"/>
              <w:rPr>
                <w:sz w:val="20"/>
                <w:szCs w:val="20"/>
                <w:color w:val="auto"/>
              </w:rPr>
            </w:pPr>
            <w:r>
              <w:rPr>
                <w:rFonts w:ascii="Arial" w:cs="Arial" w:eastAsia="Arial" w:hAnsi="Arial"/>
                <w:sz w:val="13"/>
                <w:szCs w:val="13"/>
                <w:b w:val="1"/>
                <w:bCs w:val="1"/>
                <w:color w:val="auto"/>
                <w:w w:val="89"/>
              </w:rPr>
              <w:t>Total Retail Square Footage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Occupied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8"/>
          </w:tcPr>
          <w:p>
            <w:pPr>
              <w:spacing w:after="0"/>
              <w:rPr>
                <w:sz w:val="20"/>
                <w:szCs w:val="20"/>
                <w:color w:val="auto"/>
              </w:rPr>
            </w:pPr>
            <w:r>
              <w:rPr>
                <w:rFonts w:ascii="Arial" w:cs="Arial" w:eastAsia="Arial" w:hAnsi="Arial"/>
                <w:sz w:val="13"/>
                <w:szCs w:val="13"/>
                <w:b w:val="1"/>
                <w:bCs w:val="1"/>
                <w:color w:val="auto"/>
              </w:rPr>
              <w:t>Leased (Unoccupied)</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6"/>
          </w:tcPr>
          <w:p>
            <w:pPr>
              <w:jc w:val="right"/>
              <w:ind w:right="680"/>
              <w:spacing w:after="0"/>
              <w:rPr>
                <w:sz w:val="20"/>
                <w:szCs w:val="20"/>
                <w:color w:val="auto"/>
              </w:rPr>
            </w:pPr>
            <w:r>
              <w:rPr>
                <w:rFonts w:ascii="Arial" w:cs="Arial" w:eastAsia="Arial" w:hAnsi="Arial"/>
                <w:sz w:val="13"/>
                <w:szCs w:val="13"/>
                <w:b w:val="1"/>
                <w:bCs w:val="1"/>
                <w:color w:val="auto"/>
                <w:w w:val="91"/>
              </w:rPr>
              <w:t>Available to Lease</w:t>
            </w:r>
          </w:p>
        </w:tc>
      </w:tr>
      <w:tr>
        <w:trPr>
          <w:trHeight w:val="93"/>
        </w:trPr>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53"/>
        </w:trPr>
        <w:tc>
          <w:tcPr>
            <w:tcW w:w="300" w:type="dxa"/>
            <w:vAlign w:val="bottom"/>
          </w:tcPr>
          <w:p>
            <w:pPr>
              <w:spacing w:after="0"/>
              <w:rPr>
                <w:sz w:val="22"/>
                <w:szCs w:val="22"/>
                <w:color w:val="auto"/>
              </w:rPr>
            </w:pPr>
          </w:p>
        </w:tc>
        <w:tc>
          <w:tcPr>
            <w:tcW w:w="2020" w:type="dxa"/>
            <w:vAlign w:val="bottom"/>
            <w:gridSpan w:val="6"/>
          </w:tcPr>
          <w:p>
            <w:pPr>
              <w:jc w:val="center"/>
              <w:ind w:right="460"/>
              <w:spacing w:after="0"/>
              <w:rPr>
                <w:sz w:val="20"/>
                <w:szCs w:val="20"/>
                <w:color w:val="auto"/>
              </w:rPr>
            </w:pPr>
            <w:r>
              <w:rPr>
                <w:rFonts w:ascii="Arial" w:cs="Arial" w:eastAsia="Arial" w:hAnsi="Arial"/>
                <w:sz w:val="13"/>
                <w:szCs w:val="13"/>
                <w:b w:val="1"/>
                <w:bCs w:val="1"/>
                <w:color w:val="auto"/>
                <w:w w:val="91"/>
              </w:rPr>
              <w:t>Building/Description</w:t>
            </w:r>
          </w:p>
        </w:tc>
        <w:tc>
          <w:tcPr>
            <w:tcW w:w="5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3"/>
              </w:rPr>
              <w:t>Stores</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Square Feet</w:t>
            </w:r>
          </w:p>
        </w:tc>
        <w:tc>
          <w:tcPr>
            <w:tcW w:w="840" w:type="dxa"/>
            <w:vAlign w:val="bottom"/>
            <w:gridSpan w:val="4"/>
          </w:tcPr>
          <w:p>
            <w:pPr>
              <w:spacing w:after="0"/>
              <w:rPr>
                <w:sz w:val="20"/>
                <w:szCs w:val="20"/>
                <w:color w:val="auto"/>
              </w:rPr>
            </w:pPr>
            <w:r>
              <w:rPr>
                <w:rFonts w:ascii="Arial" w:cs="Arial" w:eastAsia="Arial" w:hAnsi="Arial"/>
                <w:sz w:val="13"/>
                <w:szCs w:val="13"/>
                <w:b w:val="1"/>
                <w:bCs w:val="1"/>
                <w:color w:val="auto"/>
              </w:rPr>
              <w:t>% Leased</w:t>
            </w:r>
          </w:p>
        </w:tc>
        <w:tc>
          <w:tcPr>
            <w:tcW w:w="5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Stores</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Square Feet</w:t>
            </w:r>
          </w:p>
        </w:tc>
        <w:tc>
          <w:tcPr>
            <w:tcW w:w="900" w:type="dxa"/>
            <w:vAlign w:val="bottom"/>
            <w:gridSpan w:val="4"/>
          </w:tcPr>
          <w:p>
            <w:pPr>
              <w:ind w:left="20"/>
              <w:spacing w:after="0"/>
              <w:rPr>
                <w:sz w:val="20"/>
                <w:szCs w:val="20"/>
                <w:color w:val="auto"/>
              </w:rPr>
            </w:pPr>
            <w:r>
              <w:rPr>
                <w:rFonts w:ascii="Arial" w:cs="Arial" w:eastAsia="Arial" w:hAnsi="Arial"/>
                <w:sz w:val="13"/>
                <w:szCs w:val="13"/>
                <w:b w:val="1"/>
                <w:bCs w:val="1"/>
                <w:color w:val="auto"/>
              </w:rPr>
              <w:t>% of Total</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8"/>
              </w:rPr>
              <w:t>Stores</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85"/>
              </w:rPr>
              <w:t>Square Feet</w:t>
            </w:r>
          </w:p>
        </w:tc>
        <w:tc>
          <w:tcPr>
            <w:tcW w:w="180" w:type="dxa"/>
            <w:vAlign w:val="bottom"/>
          </w:tcPr>
          <w:p>
            <w:pPr>
              <w:spacing w:after="0"/>
              <w:rPr>
                <w:sz w:val="22"/>
                <w:szCs w:val="22"/>
                <w:color w:val="auto"/>
              </w:rPr>
            </w:pPr>
          </w:p>
        </w:tc>
        <w:tc>
          <w:tcPr>
            <w:tcW w:w="880" w:type="dxa"/>
            <w:vAlign w:val="bottom"/>
            <w:gridSpan w:val="4"/>
          </w:tcPr>
          <w:p>
            <w:pPr>
              <w:spacing w:after="0"/>
              <w:rPr>
                <w:sz w:val="20"/>
                <w:szCs w:val="20"/>
                <w:color w:val="auto"/>
              </w:rPr>
            </w:pPr>
            <w:r>
              <w:rPr>
                <w:rFonts w:ascii="Arial" w:cs="Arial" w:eastAsia="Arial" w:hAnsi="Arial"/>
                <w:sz w:val="13"/>
                <w:szCs w:val="13"/>
                <w:b w:val="1"/>
                <w:bCs w:val="1"/>
                <w:color w:val="auto"/>
              </w:rPr>
              <w:t>% of Total</w:t>
            </w:r>
          </w:p>
        </w:tc>
        <w:tc>
          <w:tcPr>
            <w:tcW w:w="4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3"/>
              </w:rPr>
              <w:t>Stores</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88"/>
              </w:rPr>
              <w:t>Square Feet</w:t>
            </w:r>
          </w:p>
        </w:tc>
        <w:tc>
          <w:tcPr>
            <w:tcW w:w="180" w:type="dxa"/>
            <w:vAlign w:val="bottom"/>
          </w:tcPr>
          <w:p>
            <w:pPr>
              <w:spacing w:after="0"/>
              <w:rPr>
                <w:sz w:val="22"/>
                <w:szCs w:val="2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3"/>
              </w:rPr>
              <w:t>% of Total</w:t>
            </w:r>
          </w:p>
        </w:tc>
      </w:tr>
      <w:tr>
        <w:trPr>
          <w:trHeight w:val="93"/>
        </w:trPr>
        <w:tc>
          <w:tcPr>
            <w:tcW w:w="3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9"/>
        </w:trPr>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1</w:t>
            </w:r>
          </w:p>
        </w:tc>
        <w:tc>
          <w:tcPr>
            <w:tcW w:w="2020" w:type="dxa"/>
            <w:vAlign w:val="bottom"/>
            <w:gridSpan w:val="6"/>
            <w:shd w:val="clear" w:color="auto" w:fill="CCEEFF"/>
          </w:tcPr>
          <w:p>
            <w:pPr>
              <w:ind w:left="40"/>
              <w:spacing w:after="0"/>
              <w:rPr>
                <w:sz w:val="20"/>
                <w:szCs w:val="20"/>
                <w:color w:val="auto"/>
              </w:rPr>
            </w:pPr>
            <w:r>
              <w:rPr>
                <w:rFonts w:ascii="Arial" w:cs="Arial" w:eastAsia="Arial" w:hAnsi="Arial"/>
                <w:sz w:val="17"/>
                <w:szCs w:val="17"/>
                <w:color w:val="auto"/>
              </w:rPr>
              <w:t>(Crate &amp; Barrel)</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0.0%</w:t>
            </w:r>
          </w:p>
        </w:tc>
      </w:tr>
      <w:tr>
        <w:trPr>
          <w:trHeight w:val="209"/>
        </w:trPr>
        <w:tc>
          <w:tcPr>
            <w:tcW w:w="300" w:type="dxa"/>
            <w:vAlign w:val="bottom"/>
          </w:tcPr>
          <w:p>
            <w:pPr>
              <w:ind w:left="220"/>
              <w:spacing w:after="0"/>
              <w:rPr>
                <w:sz w:val="20"/>
                <w:szCs w:val="20"/>
                <w:color w:val="auto"/>
              </w:rPr>
            </w:pPr>
            <w:r>
              <w:rPr>
                <w:rFonts w:ascii="Arial" w:cs="Arial" w:eastAsia="Arial" w:hAnsi="Arial"/>
                <w:sz w:val="15"/>
                <w:szCs w:val="15"/>
                <w:color w:val="auto"/>
                <w:w w:val="71"/>
              </w:rPr>
              <w:t>3</w:t>
            </w:r>
          </w:p>
        </w:tc>
        <w:tc>
          <w:tcPr>
            <w:tcW w:w="2020" w:type="dxa"/>
            <w:vAlign w:val="bottom"/>
            <w:gridSpan w:val="6"/>
          </w:tcPr>
          <w:p>
            <w:pPr>
              <w:ind w:left="40"/>
              <w:spacing w:after="0"/>
              <w:rPr>
                <w:sz w:val="20"/>
                <w:szCs w:val="20"/>
                <w:color w:val="auto"/>
              </w:rPr>
            </w:pPr>
            <w:r>
              <w:rPr>
                <w:rFonts w:ascii="Arial" w:cs="Arial" w:eastAsia="Arial" w:hAnsi="Arial"/>
                <w:sz w:val="17"/>
                <w:szCs w:val="17"/>
                <w:color w:val="auto"/>
              </w:rPr>
              <w:t>(Primarily luxury)</w:t>
            </w:r>
          </w:p>
        </w:tc>
        <w:tc>
          <w:tcPr>
            <w:tcW w:w="42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39,506</w:t>
            </w:r>
          </w:p>
        </w:tc>
        <w:tc>
          <w:tcPr>
            <w:tcW w:w="14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82.7%</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25,182</w:t>
            </w:r>
          </w:p>
        </w:tc>
        <w:tc>
          <w:tcPr>
            <w:tcW w:w="1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63.7%</w:t>
            </w:r>
          </w:p>
        </w:tc>
        <w:tc>
          <w:tcPr>
            <w:tcW w:w="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7,488</w:t>
            </w:r>
          </w:p>
        </w:tc>
        <w:tc>
          <w:tcPr>
            <w:tcW w:w="1040" w:type="dxa"/>
            <w:vAlign w:val="bottom"/>
            <w:gridSpan w:val="4"/>
          </w:tcPr>
          <w:p>
            <w:pPr>
              <w:jc w:val="right"/>
              <w:ind w:right="120"/>
              <w:spacing w:after="0"/>
              <w:rPr>
                <w:sz w:val="20"/>
                <w:szCs w:val="20"/>
                <w:color w:val="auto"/>
              </w:rPr>
            </w:pPr>
            <w:r>
              <w:rPr>
                <w:rFonts w:ascii="Arial" w:cs="Arial" w:eastAsia="Arial" w:hAnsi="Arial"/>
                <w:sz w:val="17"/>
                <w:szCs w:val="17"/>
                <w:color w:val="auto"/>
              </w:rPr>
              <w:t>19.0%</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6,836</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17.3%</w:t>
            </w:r>
          </w:p>
        </w:tc>
      </w:tr>
      <w:tr>
        <w:trPr>
          <w:trHeight w:val="209"/>
        </w:trPr>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4</w:t>
            </w:r>
          </w:p>
        </w:tc>
        <w:tc>
          <w:tcPr>
            <w:tcW w:w="2020" w:type="dxa"/>
            <w:vAlign w:val="bottom"/>
            <w:gridSpan w:val="6"/>
            <w:shd w:val="clear" w:color="auto" w:fill="CCEEFF"/>
          </w:tcPr>
          <w:p>
            <w:pPr>
              <w:ind w:left="40"/>
              <w:spacing w:after="0"/>
              <w:rPr>
                <w:sz w:val="20"/>
                <w:szCs w:val="20"/>
                <w:color w:val="auto"/>
              </w:rPr>
            </w:pPr>
            <w:r>
              <w:rPr>
                <w:rFonts w:ascii="Arial" w:cs="Arial" w:eastAsia="Arial" w:hAnsi="Arial"/>
                <w:sz w:val="17"/>
                <w:szCs w:val="17"/>
                <w:color w:val="auto"/>
              </w:rPr>
              <w:t>(Primarily luxury)</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33,974</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30,149</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88.7%</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3,825</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11.3%</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0.0%</w:t>
            </w:r>
          </w:p>
        </w:tc>
      </w:tr>
      <w:tr>
        <w:trPr>
          <w:trHeight w:val="209"/>
        </w:trPr>
        <w:tc>
          <w:tcPr>
            <w:tcW w:w="300" w:type="dxa"/>
            <w:vAlign w:val="bottom"/>
          </w:tcPr>
          <w:p>
            <w:pPr>
              <w:ind w:left="220"/>
              <w:spacing w:after="0"/>
              <w:rPr>
                <w:sz w:val="20"/>
                <w:szCs w:val="20"/>
                <w:color w:val="auto"/>
              </w:rPr>
            </w:pPr>
            <w:r>
              <w:rPr>
                <w:rFonts w:ascii="Arial" w:cs="Arial" w:eastAsia="Arial" w:hAnsi="Arial"/>
                <w:sz w:val="15"/>
                <w:szCs w:val="15"/>
                <w:color w:val="auto"/>
                <w:w w:val="71"/>
              </w:rPr>
              <w:t>5</w:t>
            </w:r>
          </w:p>
        </w:tc>
        <w:tc>
          <w:tcPr>
            <w:tcW w:w="2020" w:type="dxa"/>
            <w:vAlign w:val="bottom"/>
            <w:gridSpan w:val="6"/>
          </w:tcPr>
          <w:p>
            <w:pPr>
              <w:ind w:left="40"/>
              <w:spacing w:after="0"/>
              <w:rPr>
                <w:sz w:val="20"/>
                <w:szCs w:val="20"/>
                <w:color w:val="auto"/>
              </w:rPr>
            </w:pPr>
            <w:r>
              <w:rPr>
                <w:rFonts w:ascii="Arial" w:cs="Arial" w:eastAsia="Arial" w:hAnsi="Arial"/>
                <w:sz w:val="17"/>
                <w:szCs w:val="17"/>
                <w:color w:val="auto"/>
              </w:rPr>
              <w:t>(Hotel and lifestyle)</w:t>
            </w:r>
          </w:p>
        </w:tc>
        <w:tc>
          <w:tcPr>
            <w:tcW w:w="42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56,485</w:t>
            </w:r>
          </w:p>
        </w:tc>
        <w:tc>
          <w:tcPr>
            <w:tcW w:w="14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71.6%</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27,463</w:t>
            </w:r>
          </w:p>
        </w:tc>
        <w:tc>
          <w:tcPr>
            <w:tcW w:w="1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48.6%</w:t>
            </w:r>
          </w:p>
        </w:tc>
        <w:tc>
          <w:tcPr>
            <w:tcW w:w="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13,000</w:t>
            </w:r>
          </w:p>
        </w:tc>
        <w:tc>
          <w:tcPr>
            <w:tcW w:w="1040" w:type="dxa"/>
            <w:vAlign w:val="bottom"/>
            <w:gridSpan w:val="4"/>
          </w:tcPr>
          <w:p>
            <w:pPr>
              <w:jc w:val="right"/>
              <w:ind w:right="120"/>
              <w:spacing w:after="0"/>
              <w:rPr>
                <w:sz w:val="20"/>
                <w:szCs w:val="20"/>
                <w:color w:val="auto"/>
              </w:rPr>
            </w:pPr>
            <w:r>
              <w:rPr>
                <w:rFonts w:ascii="Arial" w:cs="Arial" w:eastAsia="Arial" w:hAnsi="Arial"/>
                <w:sz w:val="17"/>
                <w:szCs w:val="17"/>
                <w:color w:val="auto"/>
              </w:rPr>
              <w:t>23.0%</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16,022</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28.4%</w:t>
            </w:r>
          </w:p>
        </w:tc>
      </w:tr>
      <w:tr>
        <w:trPr>
          <w:trHeight w:val="209"/>
        </w:trPr>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6</w:t>
            </w:r>
          </w:p>
        </w:tc>
        <w:tc>
          <w:tcPr>
            <w:tcW w:w="2020" w:type="dxa"/>
            <w:vAlign w:val="bottom"/>
            <w:gridSpan w:val="6"/>
            <w:shd w:val="clear" w:color="auto" w:fill="CCEEFF"/>
          </w:tcPr>
          <w:p>
            <w:pPr>
              <w:ind w:left="40"/>
              <w:spacing w:after="0"/>
              <w:rPr>
                <w:sz w:val="20"/>
                <w:szCs w:val="20"/>
                <w:color w:val="auto"/>
              </w:rPr>
            </w:pPr>
            <w:r>
              <w:rPr>
                <w:rFonts w:ascii="Arial" w:cs="Arial" w:eastAsia="Arial" w:hAnsi="Arial"/>
                <w:sz w:val="17"/>
                <w:szCs w:val="17"/>
                <w:color w:val="auto"/>
              </w:rPr>
              <w:t>(Lifestyle)</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48,894</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85.7%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41,923</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85.7%</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6,971</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09"/>
        </w:trPr>
        <w:tc>
          <w:tcPr>
            <w:tcW w:w="300" w:type="dxa"/>
            <w:vAlign w:val="bottom"/>
          </w:tcPr>
          <w:p>
            <w:pPr>
              <w:ind w:left="220"/>
              <w:spacing w:after="0"/>
              <w:rPr>
                <w:sz w:val="20"/>
                <w:szCs w:val="20"/>
                <w:color w:val="auto"/>
              </w:rPr>
            </w:pPr>
            <w:r>
              <w:rPr>
                <w:rFonts w:ascii="Arial" w:cs="Arial" w:eastAsia="Arial" w:hAnsi="Arial"/>
                <w:sz w:val="15"/>
                <w:szCs w:val="15"/>
                <w:color w:val="auto"/>
                <w:w w:val="71"/>
              </w:rPr>
              <w:t>7</w:t>
            </w:r>
          </w:p>
        </w:tc>
        <w:tc>
          <w:tcPr>
            <w:tcW w:w="2020" w:type="dxa"/>
            <w:vAlign w:val="bottom"/>
            <w:gridSpan w:val="6"/>
          </w:tcPr>
          <w:p>
            <w:pPr>
              <w:ind w:left="40"/>
              <w:spacing w:after="0"/>
              <w:rPr>
                <w:sz w:val="20"/>
                <w:szCs w:val="20"/>
                <w:color w:val="auto"/>
              </w:rPr>
            </w:pPr>
            <w:r>
              <w:rPr>
                <w:rFonts w:ascii="Arial" w:cs="Arial" w:eastAsia="Arial" w:hAnsi="Arial"/>
                <w:sz w:val="17"/>
                <w:szCs w:val="17"/>
                <w:color w:val="auto"/>
              </w:rPr>
              <w:t>(Lifestyle)</w:t>
            </w:r>
          </w:p>
        </w:tc>
        <w:tc>
          <w:tcPr>
            <w:tcW w:w="420" w:type="dxa"/>
            <w:vAlign w:val="bottom"/>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87,837</w:t>
            </w:r>
          </w:p>
        </w:tc>
        <w:tc>
          <w:tcPr>
            <w:tcW w:w="14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87.7%</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57,124</w:t>
            </w:r>
          </w:p>
        </w:tc>
        <w:tc>
          <w:tcPr>
            <w:tcW w:w="1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65.0%</w:t>
            </w:r>
          </w:p>
        </w:tc>
        <w:tc>
          <w:tcPr>
            <w:tcW w:w="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19,913</w:t>
            </w:r>
          </w:p>
        </w:tc>
        <w:tc>
          <w:tcPr>
            <w:tcW w:w="1040" w:type="dxa"/>
            <w:vAlign w:val="bottom"/>
            <w:gridSpan w:val="4"/>
          </w:tcPr>
          <w:p>
            <w:pPr>
              <w:jc w:val="right"/>
              <w:ind w:right="120"/>
              <w:spacing w:after="0"/>
              <w:rPr>
                <w:sz w:val="20"/>
                <w:szCs w:val="20"/>
                <w:color w:val="auto"/>
              </w:rPr>
            </w:pPr>
            <w:r>
              <w:rPr>
                <w:rFonts w:ascii="Arial" w:cs="Arial" w:eastAsia="Arial" w:hAnsi="Arial"/>
                <w:sz w:val="17"/>
                <w:szCs w:val="17"/>
                <w:color w:val="auto"/>
              </w:rPr>
              <w:t>22.7%</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10,800</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12.3%</w:t>
            </w:r>
          </w:p>
        </w:tc>
      </w:tr>
      <w:tr>
        <w:trPr>
          <w:trHeight w:val="209"/>
        </w:trPr>
        <w:tc>
          <w:tcPr>
            <w:tcW w:w="3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8</w:t>
            </w:r>
          </w:p>
        </w:tc>
        <w:tc>
          <w:tcPr>
            <w:tcW w:w="2020" w:type="dxa"/>
            <w:vAlign w:val="bottom"/>
            <w:gridSpan w:val="6"/>
            <w:shd w:val="clear" w:color="auto" w:fill="CCEEFF"/>
          </w:tcPr>
          <w:p>
            <w:pPr>
              <w:ind w:left="40"/>
              <w:spacing w:after="0"/>
              <w:rPr>
                <w:sz w:val="20"/>
                <w:szCs w:val="20"/>
                <w:color w:val="auto"/>
              </w:rPr>
            </w:pPr>
            <w:r>
              <w:rPr>
                <w:rFonts w:ascii="Arial" w:cs="Arial" w:eastAsia="Arial" w:hAnsi="Arial"/>
                <w:sz w:val="17"/>
                <w:szCs w:val="17"/>
                <w:color w:val="auto"/>
              </w:rPr>
              <w:t>(Lifestyle)</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40,283</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98.3%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39,608</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98.3%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09"/>
        </w:trPr>
        <w:tc>
          <w:tcPr>
            <w:tcW w:w="2320" w:type="dxa"/>
            <w:vAlign w:val="bottom"/>
            <w:gridSpan w:val="7"/>
          </w:tcPr>
          <w:p>
            <w:pPr>
              <w:ind w:left="220"/>
              <w:spacing w:after="0"/>
              <w:rPr>
                <w:sz w:val="20"/>
                <w:szCs w:val="20"/>
                <w:color w:val="auto"/>
              </w:rPr>
            </w:pPr>
            <w:r>
              <w:rPr>
                <w:rFonts w:ascii="Arial" w:cs="Arial" w:eastAsia="Arial" w:hAnsi="Arial"/>
                <w:sz w:val="17"/>
                <w:szCs w:val="17"/>
                <w:color w:val="auto"/>
              </w:rPr>
              <w:t>13 (Restaurants &amp; lifestyle)</w:t>
            </w:r>
          </w:p>
        </w:tc>
        <w:tc>
          <w:tcPr>
            <w:tcW w:w="42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95,627</w:t>
            </w:r>
          </w:p>
        </w:tc>
        <w:tc>
          <w:tcPr>
            <w:tcW w:w="14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56.4%</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24,839</w:t>
            </w:r>
          </w:p>
        </w:tc>
        <w:tc>
          <w:tcPr>
            <w:tcW w:w="1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26.0%</w:t>
            </w:r>
          </w:p>
        </w:tc>
        <w:tc>
          <w:tcPr>
            <w:tcW w:w="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29,048</w:t>
            </w:r>
          </w:p>
        </w:tc>
        <w:tc>
          <w:tcPr>
            <w:tcW w:w="1040" w:type="dxa"/>
            <w:vAlign w:val="bottom"/>
            <w:gridSpan w:val="4"/>
          </w:tcPr>
          <w:p>
            <w:pPr>
              <w:jc w:val="right"/>
              <w:ind w:right="120"/>
              <w:spacing w:after="0"/>
              <w:rPr>
                <w:sz w:val="20"/>
                <w:szCs w:val="20"/>
                <w:color w:val="auto"/>
              </w:rPr>
            </w:pPr>
            <w:r>
              <w:rPr>
                <w:rFonts w:ascii="Arial" w:cs="Arial" w:eastAsia="Arial" w:hAnsi="Arial"/>
                <w:sz w:val="17"/>
                <w:szCs w:val="17"/>
                <w:color w:val="auto"/>
              </w:rPr>
              <w:t>30.4%</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41,740</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43.6%</w:t>
            </w:r>
          </w:p>
        </w:tc>
      </w:tr>
      <w:tr>
        <w:trPr>
          <w:trHeight w:val="209"/>
        </w:trPr>
        <w:tc>
          <w:tcPr>
            <w:tcW w:w="2320" w:type="dxa"/>
            <w:vAlign w:val="bottom"/>
            <w:gridSpan w:val="7"/>
            <w:shd w:val="clear" w:color="auto" w:fill="CCEEFF"/>
          </w:tcPr>
          <w:p>
            <w:pPr>
              <w:ind w:left="220"/>
              <w:spacing w:after="0"/>
              <w:rPr>
                <w:sz w:val="20"/>
                <w:szCs w:val="20"/>
                <w:color w:val="auto"/>
              </w:rPr>
            </w:pPr>
            <w:r>
              <w:rPr>
                <w:rFonts w:ascii="Arial" w:cs="Arial" w:eastAsia="Arial" w:hAnsi="Arial"/>
                <w:sz w:val="17"/>
                <w:szCs w:val="17"/>
                <w:color w:val="auto"/>
              </w:rPr>
              <w:t>Kiosks and Carts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69.2%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69.2%</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30.8%</w:t>
            </w:r>
          </w:p>
        </w:tc>
      </w:tr>
      <w:tr>
        <w:trPr>
          <w:trHeight w:val="105"/>
        </w:trPr>
        <w:tc>
          <w:tcPr>
            <w:tcW w:w="78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8"/>
        </w:trPr>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9"/>
        </w:trPr>
        <w:tc>
          <w:tcPr>
            <w:tcW w:w="2320" w:type="dxa"/>
            <w:vAlign w:val="bottom"/>
            <w:gridSpan w:val="7"/>
            <w:shd w:val="clear" w:color="auto" w:fill="CCEEFF"/>
          </w:tcPr>
          <w:p>
            <w:pPr>
              <w:spacing w:after="0"/>
              <w:rPr>
                <w:sz w:val="20"/>
                <w:szCs w:val="20"/>
                <w:color w:val="auto"/>
              </w:rPr>
            </w:pPr>
            <w:r>
              <w:rPr>
                <w:rFonts w:ascii="Arial" w:cs="Arial" w:eastAsia="Arial" w:hAnsi="Arial"/>
                <w:sz w:val="17"/>
                <w:szCs w:val="17"/>
                <w:b w:val="1"/>
                <w:bCs w:val="1"/>
                <w:color w:val="auto"/>
              </w:rPr>
              <w:t>Total Phase I Retail</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444,176</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81.2%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287,374</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64.7%</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73,274</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16.5%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83,528</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18.8%</w:t>
            </w:r>
          </w:p>
        </w:tc>
      </w:tr>
      <w:tr>
        <w:trPr>
          <w:trHeight w:val="219"/>
        </w:trPr>
        <w:tc>
          <w:tcPr>
            <w:tcW w:w="2320" w:type="dxa"/>
            <w:vAlign w:val="bottom"/>
            <w:gridSpan w:val="7"/>
          </w:tcPr>
          <w:p>
            <w:pPr>
              <w:spacing w:after="0"/>
              <w:rPr>
                <w:sz w:val="20"/>
                <w:szCs w:val="20"/>
                <w:color w:val="auto"/>
              </w:rPr>
            </w:pPr>
            <w:r>
              <w:rPr>
                <w:rFonts w:ascii="Arial" w:cs="Arial" w:eastAsia="Arial" w:hAnsi="Arial"/>
                <w:sz w:val="17"/>
                <w:szCs w:val="17"/>
                <w:b w:val="1"/>
                <w:bCs w:val="1"/>
                <w:color w:val="auto"/>
              </w:rPr>
              <w:t>Phase II Retail</w:t>
            </w:r>
          </w:p>
        </w:tc>
        <w:tc>
          <w:tcPr>
            <w:tcW w:w="42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84,171</w:t>
            </w:r>
          </w:p>
        </w:tc>
        <w:tc>
          <w:tcPr>
            <w:tcW w:w="14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95.5%</w:t>
            </w:r>
          </w:p>
        </w:tc>
        <w:tc>
          <w:tcPr>
            <w:tcW w:w="20" w:type="dxa"/>
            <w:vAlign w:val="bottom"/>
          </w:tcPr>
          <w:p>
            <w:pPr>
              <w:spacing w:after="0"/>
              <w:rPr>
                <w:sz w:val="19"/>
                <w:szCs w:val="19"/>
                <w:color w:val="auto"/>
              </w:rPr>
            </w:pPr>
          </w:p>
        </w:tc>
        <w:tc>
          <w:tcPr>
            <w:tcW w:w="56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80,371</w:t>
            </w:r>
          </w:p>
        </w:tc>
        <w:tc>
          <w:tcPr>
            <w:tcW w:w="1040" w:type="dxa"/>
            <w:vAlign w:val="bottom"/>
            <w:gridSpan w:val="4"/>
          </w:tcPr>
          <w:p>
            <w:pPr>
              <w:jc w:val="right"/>
              <w:ind w:right="120"/>
              <w:spacing w:after="0"/>
              <w:rPr>
                <w:sz w:val="20"/>
                <w:szCs w:val="20"/>
                <w:color w:val="auto"/>
              </w:rPr>
            </w:pPr>
            <w:r>
              <w:rPr>
                <w:rFonts w:ascii="Arial" w:cs="Arial" w:eastAsia="Arial" w:hAnsi="Arial"/>
                <w:sz w:val="17"/>
                <w:szCs w:val="17"/>
                <w:color w:val="auto"/>
              </w:rPr>
              <w:t>95.5%</w:t>
            </w: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3,800</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4.5%</w:t>
            </w:r>
          </w:p>
        </w:tc>
      </w:tr>
      <w:tr>
        <w:trPr>
          <w:trHeight w:val="94"/>
        </w:trPr>
        <w:tc>
          <w:tcPr>
            <w:tcW w:w="78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9"/>
        </w:trPr>
        <w:tc>
          <w:tcPr>
            <w:tcW w:w="2320" w:type="dxa"/>
            <w:vAlign w:val="bottom"/>
            <w:gridSpan w:val="7"/>
            <w:shd w:val="clear" w:color="auto" w:fill="CCEEFF"/>
          </w:tcPr>
          <w:p>
            <w:pPr>
              <w:spacing w:after="0"/>
              <w:rPr>
                <w:sz w:val="20"/>
                <w:szCs w:val="20"/>
                <w:color w:val="auto"/>
              </w:rPr>
            </w:pPr>
            <w:r>
              <w:rPr>
                <w:rFonts w:ascii="Arial" w:cs="Arial" w:eastAsia="Arial" w:hAnsi="Arial"/>
                <w:sz w:val="17"/>
                <w:szCs w:val="17"/>
                <w:b w:val="1"/>
                <w:bCs w:val="1"/>
                <w:color w:val="auto"/>
              </w:rPr>
              <w:t>Total Santana Row Retail</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528,347</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83.5%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287,374</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54.4%</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153,645</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29.1%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87,328</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16.5%</w:t>
            </w:r>
          </w:p>
        </w:tc>
      </w:tr>
      <w:tr>
        <w:trPr>
          <w:trHeight w:val="127"/>
        </w:trPr>
        <w:tc>
          <w:tcPr>
            <w:tcW w:w="78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415"/>
        </w:trPr>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2320" w:type="dxa"/>
            <w:vAlign w:val="bottom"/>
            <w:gridSpan w:val="7"/>
            <w:shd w:val="clear" w:color="auto" w:fill="CCEEFF"/>
          </w:tcPr>
          <w:p>
            <w:pPr>
              <w:spacing w:after="0" w:line="170" w:lineRule="exact"/>
              <w:rPr>
                <w:sz w:val="20"/>
                <w:szCs w:val="20"/>
                <w:color w:val="auto"/>
              </w:rPr>
            </w:pPr>
            <w:r>
              <w:rPr>
                <w:rFonts w:ascii="Arial" w:cs="Arial" w:eastAsia="Arial" w:hAnsi="Arial"/>
                <w:sz w:val="17"/>
                <w:szCs w:val="17"/>
                <w:b w:val="1"/>
                <w:bCs w:val="1"/>
                <w:color w:val="auto"/>
              </w:rPr>
              <w:t>Residential Summary (1)</w:t>
            </w: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68"/>
        </w:trPr>
        <w:tc>
          <w:tcPr>
            <w:tcW w:w="3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40" w:type="dxa"/>
            <w:vAlign w:val="bottom"/>
            <w:tcBorders>
              <w:top w:val="single" w:sz="8" w:color="CCEEFF"/>
            </w:tcBorders>
            <w:gridSpan w:val="10"/>
          </w:tcPr>
          <w:p>
            <w:pPr>
              <w:jc w:val="center"/>
              <w:ind w:right="300"/>
              <w:spacing w:after="0"/>
              <w:rPr>
                <w:sz w:val="20"/>
                <w:szCs w:val="20"/>
                <w:color w:val="auto"/>
              </w:rPr>
            </w:pPr>
            <w:r>
              <w:rPr>
                <w:rFonts w:ascii="Arial" w:cs="Arial" w:eastAsia="Arial" w:hAnsi="Arial"/>
                <w:sz w:val="13"/>
                <w:szCs w:val="13"/>
                <w:b w:val="1"/>
                <w:bCs w:val="1"/>
                <w:color w:val="auto"/>
                <w:w w:val="89"/>
              </w:rPr>
              <w:t>Total Residential Units</w:t>
            </w:r>
          </w:p>
        </w:tc>
        <w:tc>
          <w:tcPr>
            <w:tcW w:w="4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gridSpan w:val="2"/>
          </w:tcPr>
          <w:p>
            <w:pPr>
              <w:ind w:left="160"/>
              <w:spacing w:after="0"/>
              <w:rPr>
                <w:sz w:val="20"/>
                <w:szCs w:val="20"/>
                <w:color w:val="auto"/>
              </w:rPr>
            </w:pPr>
            <w:r>
              <w:rPr>
                <w:rFonts w:ascii="Arial" w:cs="Arial" w:eastAsia="Arial" w:hAnsi="Arial"/>
                <w:sz w:val="13"/>
                <w:szCs w:val="13"/>
                <w:b w:val="1"/>
                <w:bCs w:val="1"/>
                <w:color w:val="auto"/>
              </w:rPr>
              <w:t>Occupied</w:t>
            </w:r>
          </w:p>
        </w:tc>
        <w:tc>
          <w:tcPr>
            <w:tcW w:w="6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920" w:type="dxa"/>
            <w:vAlign w:val="bottom"/>
            <w:tcBorders>
              <w:top w:val="single" w:sz="8" w:color="CCEEFF"/>
            </w:tcBorders>
            <w:gridSpan w:val="8"/>
          </w:tcPr>
          <w:p>
            <w:pPr>
              <w:spacing w:after="0"/>
              <w:rPr>
                <w:sz w:val="20"/>
                <w:szCs w:val="20"/>
                <w:color w:val="auto"/>
              </w:rPr>
            </w:pPr>
            <w:r>
              <w:rPr>
                <w:rFonts w:ascii="Arial" w:cs="Arial" w:eastAsia="Arial" w:hAnsi="Arial"/>
                <w:sz w:val="13"/>
                <w:szCs w:val="13"/>
                <w:b w:val="1"/>
                <w:bCs w:val="1"/>
                <w:color w:val="auto"/>
              </w:rPr>
              <w:t>Leased (Unoccupied)</w:t>
            </w:r>
          </w:p>
        </w:tc>
        <w:tc>
          <w:tcPr>
            <w:tcW w:w="4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740" w:type="dxa"/>
            <w:vAlign w:val="bottom"/>
            <w:tcBorders>
              <w:top w:val="single" w:sz="8" w:color="CCEEFF"/>
            </w:tcBorders>
            <w:gridSpan w:val="6"/>
          </w:tcPr>
          <w:p>
            <w:pPr>
              <w:jc w:val="right"/>
              <w:ind w:right="680"/>
              <w:spacing w:after="0"/>
              <w:rPr>
                <w:sz w:val="20"/>
                <w:szCs w:val="20"/>
                <w:color w:val="auto"/>
              </w:rPr>
            </w:pPr>
            <w:r>
              <w:rPr>
                <w:rFonts w:ascii="Arial" w:cs="Arial" w:eastAsia="Arial" w:hAnsi="Arial"/>
                <w:sz w:val="13"/>
                <w:szCs w:val="13"/>
                <w:b w:val="1"/>
                <w:bCs w:val="1"/>
                <w:color w:val="auto"/>
                <w:w w:val="91"/>
              </w:rPr>
              <w:t>Available to Lease</w:t>
            </w:r>
          </w:p>
        </w:tc>
      </w:tr>
      <w:tr>
        <w:trPr>
          <w:trHeight w:val="80"/>
        </w:trPr>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gridSpan w:val="3"/>
          </w:tcPr>
          <w:p>
            <w:pPr>
              <w:spacing w:after="0"/>
              <w:rPr>
                <w:sz w:val="6"/>
                <w:szCs w:val="6"/>
                <w:color w:val="auto"/>
              </w:rPr>
            </w:pPr>
          </w:p>
        </w:tc>
        <w:tc>
          <w:tcPr>
            <w:tcW w:w="580" w:type="dxa"/>
            <w:vAlign w:val="bottom"/>
            <w:tcBorders>
              <w:bottom w:val="single" w:sz="8" w:color="auto"/>
            </w:tcBorders>
            <w:gridSpan w:val="4"/>
          </w:tcPr>
          <w:p>
            <w:pPr>
              <w:spacing w:after="0"/>
              <w:rPr>
                <w:sz w:val="6"/>
                <w:szCs w:val="6"/>
                <w:color w:val="auto"/>
              </w:rPr>
            </w:pPr>
          </w:p>
        </w:tc>
        <w:tc>
          <w:tcPr>
            <w:tcW w:w="820" w:type="dxa"/>
            <w:vAlign w:val="bottom"/>
            <w:tcBorders>
              <w:bottom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80" w:type="dxa"/>
            <w:vAlign w:val="bottom"/>
            <w:gridSpan w:val="3"/>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820" w:type="dxa"/>
            <w:vAlign w:val="bottom"/>
            <w:tcBorders>
              <w:bottom w:val="single" w:sz="8" w:color="auto"/>
            </w:tcBorders>
            <w:gridSpan w:val="2"/>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80" w:type="dxa"/>
            <w:vAlign w:val="bottom"/>
            <w:gridSpan w:val="3"/>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80" w:type="dxa"/>
            <w:vAlign w:val="bottom"/>
            <w:gridSpan w:val="3"/>
          </w:tcPr>
          <w:p>
            <w:pPr>
              <w:spacing w:after="0"/>
              <w:rPr>
                <w:sz w:val="6"/>
                <w:szCs w:val="6"/>
                <w:color w:val="auto"/>
              </w:rPr>
            </w:pPr>
          </w:p>
        </w:tc>
        <w:tc>
          <w:tcPr>
            <w:tcW w:w="48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gridSpan w:val="2"/>
          </w:tcPr>
          <w:p>
            <w:pPr>
              <w:spacing w:after="0"/>
              <w:rPr>
                <w:sz w:val="6"/>
                <w:szCs w:val="6"/>
                <w:color w:val="auto"/>
              </w:rPr>
            </w:pPr>
          </w:p>
        </w:tc>
      </w:tr>
      <w:tr>
        <w:trPr>
          <w:trHeight w:val="253"/>
        </w:trPr>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40" w:type="dxa"/>
            <w:vAlign w:val="bottom"/>
            <w:gridSpan w:val="5"/>
          </w:tcPr>
          <w:p>
            <w:pPr>
              <w:jc w:val="center"/>
              <w:ind w:right="940"/>
              <w:spacing w:after="0"/>
              <w:rPr>
                <w:sz w:val="20"/>
                <w:szCs w:val="20"/>
                <w:color w:val="auto"/>
              </w:rPr>
            </w:pPr>
            <w:r>
              <w:rPr>
                <w:rFonts w:ascii="Arial" w:cs="Arial" w:eastAsia="Arial" w:hAnsi="Arial"/>
                <w:sz w:val="13"/>
                <w:szCs w:val="13"/>
                <w:b w:val="1"/>
                <w:bCs w:val="1"/>
                <w:color w:val="auto"/>
                <w:w w:val="92"/>
              </w:rPr>
              <w:t>Building</w:t>
            </w:r>
          </w:p>
        </w:tc>
        <w:tc>
          <w:tcPr>
            <w:tcW w:w="5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Rent (2)</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Units</w:t>
            </w:r>
          </w:p>
        </w:tc>
        <w:tc>
          <w:tcPr>
            <w:tcW w:w="840" w:type="dxa"/>
            <w:vAlign w:val="bottom"/>
            <w:gridSpan w:val="4"/>
          </w:tcPr>
          <w:p>
            <w:pPr>
              <w:spacing w:after="0"/>
              <w:rPr>
                <w:sz w:val="20"/>
                <w:szCs w:val="20"/>
                <w:color w:val="auto"/>
              </w:rPr>
            </w:pPr>
            <w:r>
              <w:rPr>
                <w:rFonts w:ascii="Arial" w:cs="Arial" w:eastAsia="Arial" w:hAnsi="Arial"/>
                <w:sz w:val="13"/>
                <w:szCs w:val="13"/>
                <w:b w:val="1"/>
                <w:bCs w:val="1"/>
                <w:color w:val="auto"/>
              </w:rPr>
              <w:t>% Leased</w:t>
            </w:r>
          </w:p>
        </w:tc>
        <w:tc>
          <w:tcPr>
            <w:tcW w:w="5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Rent (3)</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Units</w:t>
            </w:r>
          </w:p>
        </w:tc>
        <w:tc>
          <w:tcPr>
            <w:tcW w:w="900" w:type="dxa"/>
            <w:vAlign w:val="bottom"/>
            <w:gridSpan w:val="4"/>
          </w:tcPr>
          <w:p>
            <w:pPr>
              <w:ind w:left="20"/>
              <w:spacing w:after="0"/>
              <w:rPr>
                <w:sz w:val="20"/>
                <w:szCs w:val="20"/>
                <w:color w:val="auto"/>
              </w:rPr>
            </w:pPr>
            <w:r>
              <w:rPr>
                <w:rFonts w:ascii="Arial" w:cs="Arial" w:eastAsia="Arial" w:hAnsi="Arial"/>
                <w:sz w:val="13"/>
                <w:szCs w:val="13"/>
                <w:b w:val="1"/>
                <w:bCs w:val="1"/>
                <w:color w:val="auto"/>
              </w:rPr>
              <w:t>% of Total</w:t>
            </w:r>
          </w:p>
        </w:tc>
        <w:tc>
          <w:tcPr>
            <w:tcW w:w="4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Rent (3)</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ind w:right="123"/>
              <w:spacing w:after="0"/>
              <w:rPr>
                <w:sz w:val="20"/>
                <w:szCs w:val="20"/>
                <w:color w:val="auto"/>
              </w:rPr>
            </w:pPr>
            <w:r>
              <w:rPr>
                <w:rFonts w:ascii="Arial" w:cs="Arial" w:eastAsia="Arial" w:hAnsi="Arial"/>
                <w:sz w:val="13"/>
                <w:szCs w:val="13"/>
                <w:b w:val="1"/>
                <w:bCs w:val="1"/>
                <w:color w:val="auto"/>
              </w:rPr>
              <w:t>Units</w:t>
            </w:r>
          </w:p>
        </w:tc>
        <w:tc>
          <w:tcPr>
            <w:tcW w:w="180" w:type="dxa"/>
            <w:vAlign w:val="bottom"/>
          </w:tcPr>
          <w:p>
            <w:pPr>
              <w:spacing w:after="0"/>
              <w:rPr>
                <w:sz w:val="22"/>
                <w:szCs w:val="22"/>
                <w:color w:val="auto"/>
              </w:rPr>
            </w:pPr>
          </w:p>
        </w:tc>
        <w:tc>
          <w:tcPr>
            <w:tcW w:w="880" w:type="dxa"/>
            <w:vAlign w:val="bottom"/>
            <w:gridSpan w:val="4"/>
          </w:tcPr>
          <w:p>
            <w:pPr>
              <w:spacing w:after="0"/>
              <w:rPr>
                <w:sz w:val="20"/>
                <w:szCs w:val="20"/>
                <w:color w:val="auto"/>
              </w:rPr>
            </w:pPr>
            <w:r>
              <w:rPr>
                <w:rFonts w:ascii="Arial" w:cs="Arial" w:eastAsia="Arial" w:hAnsi="Arial"/>
                <w:sz w:val="13"/>
                <w:szCs w:val="13"/>
                <w:b w:val="1"/>
                <w:bCs w:val="1"/>
                <w:color w:val="auto"/>
              </w:rPr>
              <w:t>% of Total</w:t>
            </w:r>
          </w:p>
        </w:tc>
        <w:tc>
          <w:tcPr>
            <w:tcW w:w="4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0"/>
              </w:rPr>
              <w:t>Rent (4)</w:t>
            </w:r>
          </w:p>
        </w:tc>
        <w:tc>
          <w:tcPr>
            <w:tcW w:w="140" w:type="dxa"/>
            <w:vAlign w:val="bottom"/>
          </w:tcPr>
          <w:p>
            <w:pPr>
              <w:spacing w:after="0"/>
              <w:rPr>
                <w:sz w:val="22"/>
                <w:szCs w:val="22"/>
                <w:color w:val="auto"/>
              </w:rPr>
            </w:pPr>
          </w:p>
        </w:tc>
        <w:tc>
          <w:tcPr>
            <w:tcW w:w="680" w:type="dxa"/>
            <w:vAlign w:val="bottom"/>
          </w:tcPr>
          <w:p>
            <w:pPr>
              <w:jc w:val="right"/>
              <w:ind w:right="125"/>
              <w:spacing w:after="0"/>
              <w:rPr>
                <w:sz w:val="20"/>
                <w:szCs w:val="20"/>
                <w:color w:val="auto"/>
              </w:rPr>
            </w:pPr>
            <w:r>
              <w:rPr>
                <w:rFonts w:ascii="Arial" w:cs="Arial" w:eastAsia="Arial" w:hAnsi="Arial"/>
                <w:sz w:val="13"/>
                <w:szCs w:val="13"/>
                <w:b w:val="1"/>
                <w:bCs w:val="1"/>
                <w:color w:val="auto"/>
              </w:rPr>
              <w:t>Units</w:t>
            </w:r>
          </w:p>
        </w:tc>
        <w:tc>
          <w:tcPr>
            <w:tcW w:w="180" w:type="dxa"/>
            <w:vAlign w:val="bottom"/>
          </w:tcPr>
          <w:p>
            <w:pPr>
              <w:spacing w:after="0"/>
              <w:rPr>
                <w:sz w:val="22"/>
                <w:szCs w:val="2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3"/>
              </w:rPr>
              <w:t>% of Total</w:t>
            </w:r>
          </w:p>
        </w:tc>
      </w:tr>
      <w:tr>
        <w:trPr>
          <w:trHeight w:val="93"/>
        </w:trPr>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9"/>
        </w:trPr>
        <w:tc>
          <w:tcPr>
            <w:tcW w:w="30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ind w:left="120"/>
              <w:spacing w:after="0"/>
              <w:rPr>
                <w:sz w:val="20"/>
                <w:szCs w:val="20"/>
                <w:color w:val="auto"/>
              </w:rPr>
            </w:pPr>
            <w:r>
              <w:rPr>
                <w:rFonts w:ascii="Arial" w:cs="Arial" w:eastAsia="Arial" w:hAnsi="Arial"/>
                <w:sz w:val="17"/>
                <w:szCs w:val="17"/>
                <w:color w:val="auto"/>
              </w:rPr>
              <w:t>3 (Lofts)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$ 2.02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98.0%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$ 1.92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92.9%</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$ 1.91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5.1%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$ 1.96</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09"/>
        </w:trPr>
        <w:tc>
          <w:tcPr>
            <w:tcW w:w="300" w:type="dxa"/>
            <w:vAlign w:val="bottom"/>
          </w:tcPr>
          <w:p>
            <w:pPr>
              <w:spacing w:after="0"/>
              <w:rPr>
                <w:sz w:val="18"/>
                <w:szCs w:val="18"/>
                <w:color w:val="auto"/>
              </w:rPr>
            </w:pPr>
          </w:p>
        </w:tc>
        <w:tc>
          <w:tcPr>
            <w:tcW w:w="2020" w:type="dxa"/>
            <w:vAlign w:val="bottom"/>
            <w:gridSpan w:val="6"/>
          </w:tcPr>
          <w:p>
            <w:pPr>
              <w:ind w:left="120"/>
              <w:spacing w:after="0"/>
              <w:rPr>
                <w:sz w:val="20"/>
                <w:szCs w:val="20"/>
                <w:color w:val="auto"/>
              </w:rPr>
            </w:pPr>
            <w:r>
              <w:rPr>
                <w:rFonts w:ascii="Arial" w:cs="Arial" w:eastAsia="Arial" w:hAnsi="Arial"/>
                <w:sz w:val="17"/>
                <w:szCs w:val="17"/>
                <w:color w:val="auto"/>
              </w:rPr>
              <w:t>4 (Lofts)</w:t>
            </w:r>
          </w:p>
        </w:tc>
        <w:tc>
          <w:tcPr>
            <w:tcW w:w="420" w:type="dxa"/>
            <w:vAlign w:val="bottom"/>
          </w:tcPr>
          <w:p>
            <w:pPr>
              <w:jc w:val="right"/>
              <w:spacing w:after="0"/>
              <w:rPr>
                <w:sz w:val="20"/>
                <w:szCs w:val="20"/>
                <w:color w:val="auto"/>
              </w:rPr>
            </w:pPr>
            <w:r>
              <w:rPr>
                <w:rFonts w:ascii="Arial" w:cs="Arial" w:eastAsia="Arial" w:hAnsi="Arial"/>
                <w:sz w:val="17"/>
                <w:szCs w:val="17"/>
                <w:color w:val="auto"/>
                <w:w w:val="84"/>
              </w:rPr>
              <w:t>$ 2.35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99.0%</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$ 2.21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92</w:t>
            </w:r>
          </w:p>
        </w:tc>
        <w:tc>
          <w:tcPr>
            <w:tcW w:w="1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92.0%</w:t>
            </w:r>
          </w:p>
        </w:tc>
        <w:tc>
          <w:tcPr>
            <w:tcW w:w="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$ 2.01</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7</w:t>
            </w:r>
          </w:p>
        </w:tc>
        <w:tc>
          <w:tcPr>
            <w:tcW w:w="1040" w:type="dxa"/>
            <w:vAlign w:val="bottom"/>
            <w:gridSpan w:val="4"/>
          </w:tcPr>
          <w:p>
            <w:pPr>
              <w:jc w:val="right"/>
              <w:ind w:right="120"/>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8"/>
              </w:rPr>
              <w:t>$ 2.01</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1.0%</w:t>
            </w:r>
          </w:p>
        </w:tc>
      </w:tr>
      <w:tr>
        <w:trPr>
          <w:trHeight w:val="209"/>
        </w:trPr>
        <w:tc>
          <w:tcPr>
            <w:tcW w:w="30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ind w:left="120"/>
              <w:spacing w:after="0"/>
              <w:rPr>
                <w:sz w:val="20"/>
                <w:szCs w:val="20"/>
                <w:color w:val="auto"/>
              </w:rPr>
            </w:pPr>
            <w:r>
              <w:rPr>
                <w:rFonts w:ascii="Arial" w:cs="Arial" w:eastAsia="Arial" w:hAnsi="Arial"/>
                <w:sz w:val="17"/>
                <w:szCs w:val="17"/>
                <w:color w:val="auto"/>
              </w:rPr>
              <w:t>6 (Villas)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$ 2.47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38.1%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$ 2.45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28.6%</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$ 2.12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9.5%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$ 2.45</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61.9%</w:t>
            </w:r>
          </w:p>
        </w:tc>
      </w:tr>
      <w:tr>
        <w:trPr>
          <w:trHeight w:val="215"/>
        </w:trPr>
        <w:tc>
          <w:tcPr>
            <w:tcW w:w="300" w:type="dxa"/>
            <w:vAlign w:val="bottom"/>
          </w:tcPr>
          <w:p>
            <w:pPr>
              <w:spacing w:after="0"/>
              <w:rPr>
                <w:sz w:val="18"/>
                <w:szCs w:val="18"/>
                <w:color w:val="auto"/>
              </w:rPr>
            </w:pPr>
          </w:p>
        </w:tc>
        <w:tc>
          <w:tcPr>
            <w:tcW w:w="2020" w:type="dxa"/>
            <w:vAlign w:val="bottom"/>
            <w:gridSpan w:val="6"/>
          </w:tcPr>
          <w:p>
            <w:pPr>
              <w:ind w:left="120"/>
              <w:spacing w:after="0"/>
              <w:rPr>
                <w:sz w:val="20"/>
                <w:szCs w:val="20"/>
                <w:color w:val="auto"/>
              </w:rPr>
            </w:pPr>
            <w:r>
              <w:rPr>
                <w:rFonts w:ascii="Arial" w:cs="Arial" w:eastAsia="Arial" w:hAnsi="Arial"/>
                <w:sz w:val="17"/>
                <w:szCs w:val="17"/>
                <w:color w:val="auto"/>
              </w:rPr>
              <w:t>8 (Townhouses)</w:t>
            </w:r>
          </w:p>
        </w:tc>
        <w:tc>
          <w:tcPr>
            <w:tcW w:w="420" w:type="dxa"/>
            <w:vAlign w:val="bottom"/>
          </w:tcPr>
          <w:p>
            <w:pPr>
              <w:jc w:val="right"/>
              <w:spacing w:after="0"/>
              <w:rPr>
                <w:sz w:val="20"/>
                <w:szCs w:val="20"/>
                <w:color w:val="auto"/>
              </w:rPr>
            </w:pPr>
            <w:r>
              <w:rPr>
                <w:rFonts w:ascii="Arial" w:cs="Arial" w:eastAsia="Arial" w:hAnsi="Arial"/>
                <w:sz w:val="17"/>
                <w:szCs w:val="17"/>
                <w:color w:val="auto"/>
                <w:w w:val="84"/>
              </w:rPr>
              <w:t>$ 2.20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7"/>
                <w:szCs w:val="17"/>
                <w:color w:val="auto"/>
              </w:rPr>
              <w:t>97.2%</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$ 2.19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75.0%</w:t>
            </w:r>
          </w:p>
        </w:tc>
        <w:tc>
          <w:tcPr>
            <w:tcW w:w="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$ 2.20</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8</w:t>
            </w:r>
          </w:p>
        </w:tc>
        <w:tc>
          <w:tcPr>
            <w:tcW w:w="1040" w:type="dxa"/>
            <w:vAlign w:val="bottom"/>
            <w:gridSpan w:val="4"/>
          </w:tcPr>
          <w:p>
            <w:pPr>
              <w:jc w:val="right"/>
              <w:ind w:right="120"/>
              <w:spacing w:after="0"/>
              <w:rPr>
                <w:sz w:val="20"/>
                <w:szCs w:val="20"/>
                <w:color w:val="auto"/>
              </w:rPr>
            </w:pPr>
            <w:r>
              <w:rPr>
                <w:rFonts w:ascii="Arial" w:cs="Arial" w:eastAsia="Arial" w:hAnsi="Arial"/>
                <w:sz w:val="17"/>
                <w:szCs w:val="17"/>
                <w:color w:val="auto"/>
              </w:rPr>
              <w:t>22.2%</w:t>
            </w: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8"/>
              </w:rPr>
              <w:t>$ 2.28</w:t>
            </w: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2.8%</w:t>
            </w:r>
          </w:p>
        </w:tc>
      </w:tr>
      <w:tr>
        <w:trPr>
          <w:trHeight w:val="98"/>
        </w:trPr>
        <w:tc>
          <w:tcPr>
            <w:tcW w:w="78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9"/>
        </w:trPr>
        <w:tc>
          <w:tcPr>
            <w:tcW w:w="2320" w:type="dxa"/>
            <w:vAlign w:val="bottom"/>
            <w:gridSpan w:val="7"/>
            <w:shd w:val="clear" w:color="auto" w:fill="CCEEFF"/>
          </w:tcPr>
          <w:p>
            <w:pPr>
              <w:spacing w:after="0"/>
              <w:rPr>
                <w:sz w:val="20"/>
                <w:szCs w:val="20"/>
                <w:color w:val="auto"/>
              </w:rPr>
            </w:pPr>
            <w:r>
              <w:rPr>
                <w:rFonts w:ascii="Arial" w:cs="Arial" w:eastAsia="Arial" w:hAnsi="Arial"/>
                <w:sz w:val="17"/>
                <w:szCs w:val="17"/>
                <w:b w:val="1"/>
                <w:bCs w:val="1"/>
                <w:color w:val="auto"/>
              </w:rPr>
              <w:t>Total Phase I Residential</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$ 2.22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93.3%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$ 2.09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84.7%</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$ 2.05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8.6%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$ 2.40</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127"/>
        </w:trPr>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-1787525</wp:posOffset>
            </wp:positionV>
            <wp:extent cx="12700" cy="292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-1787525</wp:posOffset>
            </wp:positionV>
            <wp:extent cx="12700" cy="292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-1787525</wp:posOffset>
            </wp:positionV>
            <wp:extent cx="20955" cy="292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-1787525</wp:posOffset>
            </wp:positionV>
            <wp:extent cx="12700" cy="292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1833880</wp:posOffset>
            </wp:positionH>
            <wp:positionV relativeFrom="paragraph">
              <wp:posOffset>-1787525</wp:posOffset>
            </wp:positionV>
            <wp:extent cx="12700" cy="292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-1787525</wp:posOffset>
            </wp:positionV>
            <wp:extent cx="12700" cy="292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-1787525</wp:posOffset>
            </wp:positionV>
            <wp:extent cx="37465" cy="292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-1787525</wp:posOffset>
            </wp:positionV>
            <wp:extent cx="12700" cy="292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-1787525</wp:posOffset>
            </wp:positionV>
            <wp:extent cx="12700" cy="292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-1787525</wp:posOffset>
            </wp:positionV>
            <wp:extent cx="20955" cy="292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-1787525</wp:posOffset>
            </wp:positionV>
            <wp:extent cx="12700" cy="292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-1787525</wp:posOffset>
            </wp:positionV>
            <wp:extent cx="12700" cy="292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-1787525</wp:posOffset>
            </wp:positionV>
            <wp:extent cx="12700" cy="292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-1787525</wp:posOffset>
            </wp:positionV>
            <wp:extent cx="37465" cy="292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-1787525</wp:posOffset>
            </wp:positionV>
            <wp:extent cx="12700" cy="292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-1787525</wp:posOffset>
            </wp:positionV>
            <wp:extent cx="12700" cy="292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-1787525</wp:posOffset>
            </wp:positionV>
            <wp:extent cx="20955" cy="292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-1787525</wp:posOffset>
            </wp:positionV>
            <wp:extent cx="12700" cy="292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-1787525</wp:posOffset>
            </wp:positionV>
            <wp:extent cx="12700" cy="292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-1787525</wp:posOffset>
            </wp:positionV>
            <wp:extent cx="12700" cy="29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-1787525</wp:posOffset>
            </wp:positionV>
            <wp:extent cx="37465" cy="292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-1787525</wp:posOffset>
            </wp:positionV>
            <wp:extent cx="12700" cy="292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-1787525</wp:posOffset>
            </wp:positionV>
            <wp:extent cx="12700" cy="29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-1787525</wp:posOffset>
            </wp:positionV>
            <wp:extent cx="20955" cy="292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6654165</wp:posOffset>
            </wp:positionH>
            <wp:positionV relativeFrom="paragraph">
              <wp:posOffset>-1787525</wp:posOffset>
            </wp:positionV>
            <wp:extent cx="12700" cy="29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-1787525</wp:posOffset>
            </wp:positionV>
            <wp:extent cx="12700" cy="29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-1787525</wp:posOffset>
            </wp:positionV>
            <wp:extent cx="12700" cy="29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7152005</wp:posOffset>
            </wp:positionH>
            <wp:positionV relativeFrom="paragraph">
              <wp:posOffset>-1787525</wp:posOffset>
            </wp:positionV>
            <wp:extent cx="37465" cy="29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-28575</wp:posOffset>
            </wp:positionV>
            <wp:extent cx="12700" cy="29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1734820</wp:posOffset>
            </wp:positionH>
            <wp:positionV relativeFrom="paragraph">
              <wp:posOffset>-28575</wp:posOffset>
            </wp:positionV>
            <wp:extent cx="12700" cy="29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-28575</wp:posOffset>
            </wp:positionV>
            <wp:extent cx="20955" cy="29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-28575</wp:posOffset>
            </wp:positionV>
            <wp:extent cx="12700"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1833880</wp:posOffset>
            </wp:positionH>
            <wp:positionV relativeFrom="paragraph">
              <wp:posOffset>-28575</wp:posOffset>
            </wp:positionV>
            <wp:extent cx="12700"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2357120</wp:posOffset>
            </wp:positionH>
            <wp:positionV relativeFrom="paragraph">
              <wp:posOffset>-28575</wp:posOffset>
            </wp:positionV>
            <wp:extent cx="12700" cy="29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-28575</wp:posOffset>
            </wp:positionV>
            <wp:extent cx="37465"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-28575</wp:posOffset>
            </wp:positionV>
            <wp:extent cx="12700"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-28575</wp:posOffset>
            </wp:positionV>
            <wp:extent cx="12700"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-28575</wp:posOffset>
            </wp:positionV>
            <wp:extent cx="2095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-28575</wp:posOffset>
            </wp:positionV>
            <wp:extent cx="12700"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-28575</wp:posOffset>
            </wp:positionV>
            <wp:extent cx="12700"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-28575</wp:posOffset>
            </wp:positionV>
            <wp:extent cx="12700"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-28575</wp:posOffset>
            </wp:positionV>
            <wp:extent cx="37465"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-28575</wp:posOffset>
            </wp:positionV>
            <wp:extent cx="12700"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-28575</wp:posOffset>
            </wp:positionV>
            <wp:extent cx="12700"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-28575</wp:posOffset>
            </wp:positionV>
            <wp:extent cx="20955"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-28575</wp:posOffset>
            </wp:positionV>
            <wp:extent cx="12700"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-28575</wp:posOffset>
            </wp:positionV>
            <wp:extent cx="12700"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-28575</wp:posOffset>
            </wp:positionV>
            <wp:extent cx="12700"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-28575</wp:posOffset>
            </wp:positionV>
            <wp:extent cx="3746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-28575</wp:posOffset>
            </wp:positionV>
            <wp:extent cx="12700"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-28575</wp:posOffset>
            </wp:positionV>
            <wp:extent cx="12700"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-28575</wp:posOffset>
            </wp:positionV>
            <wp:extent cx="2095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6654165</wp:posOffset>
            </wp:positionH>
            <wp:positionV relativeFrom="paragraph">
              <wp:posOffset>-28575</wp:posOffset>
            </wp:positionV>
            <wp:extent cx="12700"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-28575</wp:posOffset>
            </wp:positionV>
            <wp:extent cx="12700"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6778625</wp:posOffset>
            </wp:positionH>
            <wp:positionV relativeFrom="paragraph">
              <wp:posOffset>-28575</wp:posOffset>
            </wp:positionV>
            <wp:extent cx="12700"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7152005</wp:posOffset>
            </wp:positionH>
            <wp:positionV relativeFrom="paragraph">
              <wp:posOffset>-28575</wp:posOffset>
            </wp:positionV>
            <wp:extent cx="3746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Hotel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213 room boutique hotel owned and operated by the Valencia Group opened in the second quarter of 2003.</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Summary (as of June 30, 2003):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Anticipated</w:t>
            </w:r>
          </w:p>
        </w:tc>
        <w:tc>
          <w:tcPr>
            <w:tcW w:w="560" w:type="dxa"/>
            <w:vAlign w:val="bottom"/>
          </w:tcPr>
          <w:p>
            <w:pPr>
              <w:spacing w:after="0"/>
              <w:rPr>
                <w:sz w:val="12"/>
                <w:szCs w:val="12"/>
                <w:color w:val="auto"/>
              </w:rPr>
            </w:pPr>
          </w:p>
        </w:tc>
      </w:tr>
      <w:tr>
        <w:trPr>
          <w:trHeight w:val="144"/>
        </w:trPr>
        <w:tc>
          <w:tcPr>
            <w:tcW w:w="16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700" w:type="dxa"/>
            <w:vAlign w:val="bottom"/>
            <w:gridSpan w:val="4"/>
          </w:tcPr>
          <w:p>
            <w:pPr>
              <w:ind w:left="2920"/>
              <w:spacing w:after="0" w:line="144" w:lineRule="exact"/>
              <w:rPr>
                <w:sz w:val="20"/>
                <w:szCs w:val="20"/>
                <w:color w:val="auto"/>
              </w:rPr>
            </w:pPr>
            <w:r>
              <w:rPr>
                <w:rFonts w:ascii="Arial" w:cs="Arial" w:eastAsia="Arial" w:hAnsi="Arial"/>
                <w:sz w:val="13"/>
                <w:szCs w:val="13"/>
                <w:b w:val="1"/>
                <w:bCs w:val="1"/>
                <w:color w:val="auto"/>
              </w:rPr>
              <w:t>Projected</w:t>
            </w:r>
          </w:p>
        </w:tc>
        <w:tc>
          <w:tcPr>
            <w:tcW w:w="240" w:type="dxa"/>
            <w:vAlign w:val="bottom"/>
          </w:tcPr>
          <w:p>
            <w:pPr>
              <w:spacing w:after="0"/>
              <w:rPr>
                <w:sz w:val="12"/>
                <w:szCs w:val="12"/>
                <w:color w:val="auto"/>
              </w:rPr>
            </w:pPr>
          </w:p>
        </w:tc>
        <w:tc>
          <w:tcPr>
            <w:tcW w:w="48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3"/>
              </w:rPr>
              <w:t>Cost to</w:t>
            </w:r>
          </w:p>
        </w:tc>
        <w:tc>
          <w:tcPr>
            <w:tcW w:w="480" w:type="dxa"/>
            <w:vAlign w:val="bottom"/>
          </w:tcPr>
          <w:p>
            <w:pPr>
              <w:spacing w:after="0"/>
              <w:rPr>
                <w:sz w:val="12"/>
                <w:szCs w:val="12"/>
                <w:color w:val="auto"/>
              </w:rPr>
            </w:pPr>
          </w:p>
        </w:tc>
        <w:tc>
          <w:tcPr>
            <w:tcW w:w="1280" w:type="dxa"/>
            <w:vAlign w:val="bottom"/>
            <w:gridSpan w:val="2"/>
          </w:tcPr>
          <w:p>
            <w:pPr>
              <w:jc w:val="center"/>
              <w:ind w:right="620"/>
              <w:spacing w:after="0" w:line="144" w:lineRule="exact"/>
              <w:rPr>
                <w:sz w:val="20"/>
                <w:szCs w:val="20"/>
                <w:color w:val="auto"/>
              </w:rPr>
            </w:pPr>
            <w:r>
              <w:rPr>
                <w:rFonts w:ascii="Arial" w:cs="Arial" w:eastAsia="Arial" w:hAnsi="Arial"/>
                <w:sz w:val="13"/>
                <w:szCs w:val="13"/>
                <w:b w:val="1"/>
                <w:bCs w:val="1"/>
                <w:color w:val="auto"/>
                <w:w w:val="88"/>
              </w:rPr>
              <w:t>Stabilized</w:t>
            </w:r>
          </w:p>
        </w:tc>
        <w:tc>
          <w:tcPr>
            <w:tcW w:w="560" w:type="dxa"/>
            <w:vAlign w:val="bottom"/>
          </w:tcPr>
          <w:p>
            <w:pPr>
              <w:spacing w:after="0"/>
              <w:rPr>
                <w:sz w:val="12"/>
                <w:szCs w:val="12"/>
                <w:color w:val="auto"/>
              </w:rPr>
            </w:pPr>
          </w:p>
        </w:tc>
      </w:tr>
      <w:tr>
        <w:trPr>
          <w:trHeight w:val="168"/>
        </w:trPr>
        <w:tc>
          <w:tcPr>
            <w:tcW w:w="4680" w:type="dxa"/>
            <w:vAlign w:val="bottom"/>
            <w:gridSpan w:val="2"/>
          </w:tcPr>
          <w:p>
            <w:pPr>
              <w:spacing w:after="0"/>
              <w:rPr>
                <w:sz w:val="20"/>
                <w:szCs w:val="20"/>
                <w:color w:val="auto"/>
              </w:rPr>
            </w:pPr>
            <w:r>
              <w:rPr>
                <w:rFonts w:ascii="Arial" w:cs="Arial" w:eastAsia="Arial" w:hAnsi="Arial"/>
                <w:sz w:val="13"/>
                <w:szCs w:val="13"/>
                <w:b w:val="1"/>
                <w:bCs w:val="1"/>
                <w:color w:val="auto"/>
              </w:rPr>
              <w:t>All amounts $ million</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92"/>
              </w:rPr>
              <w:t>Date (6)</w:t>
            </w:r>
          </w:p>
        </w:tc>
        <w:tc>
          <w:tcPr>
            <w:tcW w:w="48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6"/>
              </w:rPr>
              <w:t>Yield</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88"/>
              </w:rPr>
              <w:t>Stabilized</w:t>
            </w:r>
          </w:p>
        </w:tc>
      </w:tr>
      <w:tr>
        <w:trPr>
          <w:trHeight w:val="93"/>
        </w:trPr>
        <w:tc>
          <w:tcPr>
            <w:tcW w:w="160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98"/>
        </w:trPr>
        <w:tc>
          <w:tcPr>
            <w:tcW w:w="16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09"/>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 Santana Row Phase I</w:t>
            </w:r>
          </w:p>
        </w:tc>
        <w:tc>
          <w:tcPr>
            <w:tcW w:w="3040" w:type="dxa"/>
            <w:vAlign w:val="bottom"/>
            <w:gridSpan w:val="2"/>
            <w:shd w:val="clear" w:color="auto" w:fill="CCEEFF"/>
          </w:tcPr>
          <w:p>
            <w:pPr>
              <w:ind w:left="29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5%</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r>
      <w:tr>
        <w:trPr>
          <w:trHeight w:val="215"/>
        </w:trPr>
        <w:tc>
          <w:tcPr>
            <w:tcW w:w="4680" w:type="dxa"/>
            <w:vAlign w:val="bottom"/>
            <w:gridSpan w:val="2"/>
          </w:tcPr>
          <w:p>
            <w:pPr>
              <w:ind w:left="260"/>
              <w:spacing w:after="0"/>
              <w:rPr>
                <w:sz w:val="20"/>
                <w:szCs w:val="20"/>
                <w:color w:val="auto"/>
              </w:rPr>
            </w:pPr>
            <w:r>
              <w:rPr>
                <w:rFonts w:ascii="Arial" w:cs="Arial" w:eastAsia="Arial" w:hAnsi="Arial"/>
                <w:sz w:val="17"/>
                <w:szCs w:val="17"/>
                <w:color w:val="auto"/>
              </w:rPr>
              <w:t>Santana Row Phase II</w:t>
            </w:r>
          </w:p>
        </w:tc>
        <w:tc>
          <w:tcPr>
            <w:tcW w:w="3040" w:type="dxa"/>
            <w:vAlign w:val="bottom"/>
            <w:gridSpan w:val="2"/>
          </w:tcPr>
          <w:p>
            <w:pPr>
              <w:ind w:left="29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26</w:t>
            </w:r>
          </w:p>
        </w:tc>
        <w:tc>
          <w:tcPr>
            <w:tcW w:w="24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c>
          <w:tcPr>
            <w:tcW w:w="1760" w:type="dxa"/>
            <w:vAlign w:val="bottom"/>
            <w:gridSpan w:val="3"/>
          </w:tcPr>
          <w:p>
            <w:pPr>
              <w:jc w:val="right"/>
              <w:ind w:right="480"/>
              <w:spacing w:after="0"/>
              <w:rPr>
                <w:sz w:val="20"/>
                <w:szCs w:val="20"/>
                <w:color w:val="auto"/>
              </w:rPr>
            </w:pPr>
            <w:r>
              <w:rPr>
                <w:rFonts w:ascii="Arial" w:cs="Arial" w:eastAsia="Arial" w:hAnsi="Arial"/>
                <w:sz w:val="17"/>
                <w:szCs w:val="17"/>
                <w:color w:val="auto"/>
              </w:rPr>
              <w:t>17%</w:t>
            </w:r>
          </w:p>
        </w:tc>
        <w:tc>
          <w:tcPr>
            <w:tcW w:w="560" w:type="dxa"/>
            <w:vAlign w:val="bottom"/>
          </w:tcPr>
          <w:p>
            <w:pPr>
              <w:jc w:val="right"/>
              <w:spacing w:after="0"/>
              <w:rPr>
                <w:sz w:val="20"/>
                <w:szCs w:val="20"/>
                <w:color w:val="auto"/>
              </w:rPr>
            </w:pPr>
            <w:r>
              <w:rPr>
                <w:rFonts w:ascii="Arial" w:cs="Arial" w:eastAsia="Arial" w:hAnsi="Arial"/>
                <w:sz w:val="17"/>
                <w:szCs w:val="17"/>
                <w:color w:val="auto"/>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5226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Notes:</w:t>
      </w:r>
    </w:p>
    <w:p>
      <w:pPr>
        <w:spacing w:after="0" w:line="20" w:lineRule="exact"/>
        <w:rPr>
          <w:sz w:val="20"/>
          <w:szCs w:val="20"/>
          <w:color w:val="auto"/>
        </w:rPr>
      </w:pPr>
    </w:p>
    <w:p>
      <w:pPr>
        <w:ind w:left="440" w:hanging="435"/>
        <w:spacing w:after="0"/>
        <w:tabs>
          <w:tab w:leader="none" w:pos="44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Retail and residential leasing summaries are as of July 25, 2003.</w:t>
      </w:r>
    </w:p>
    <w:p>
      <w:pPr>
        <w:spacing w:after="0" w:line="13" w:lineRule="exact"/>
        <w:rPr>
          <w:rFonts w:ascii="Arial" w:cs="Arial" w:eastAsia="Arial" w:hAnsi="Arial"/>
          <w:sz w:val="17"/>
          <w:szCs w:val="17"/>
          <w:b w:val="1"/>
          <w:bCs w:val="1"/>
          <w:i w:val="1"/>
          <w:iCs w:val="1"/>
          <w:color w:val="auto"/>
        </w:rPr>
      </w:pPr>
    </w:p>
    <w:p>
      <w:pPr>
        <w:ind w:left="440" w:hanging="435"/>
        <w:spacing w:after="0"/>
        <w:tabs>
          <w:tab w:leader="none" w:pos="44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Budgeted rents to meet Phase I stabilized yield target.</w:t>
      </w:r>
    </w:p>
    <w:p>
      <w:pPr>
        <w:spacing w:after="0" w:line="13" w:lineRule="exact"/>
        <w:rPr>
          <w:rFonts w:ascii="Arial" w:cs="Arial" w:eastAsia="Arial" w:hAnsi="Arial"/>
          <w:sz w:val="17"/>
          <w:szCs w:val="17"/>
          <w:b w:val="1"/>
          <w:bCs w:val="1"/>
          <w:i w:val="1"/>
          <w:iCs w:val="1"/>
          <w:color w:val="auto"/>
        </w:rPr>
      </w:pPr>
    </w:p>
    <w:p>
      <w:pPr>
        <w:ind w:left="440" w:hanging="435"/>
        <w:spacing w:after="0"/>
        <w:tabs>
          <w:tab w:leader="none" w:pos="44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Gross rents, though market conditions have dictated concessions of up to one month on a 12 month lease.</w:t>
      </w:r>
    </w:p>
    <w:p>
      <w:pPr>
        <w:spacing w:after="0" w:line="13" w:lineRule="exact"/>
        <w:rPr>
          <w:rFonts w:ascii="Arial" w:cs="Arial" w:eastAsia="Arial" w:hAnsi="Arial"/>
          <w:sz w:val="17"/>
          <w:szCs w:val="17"/>
          <w:b w:val="1"/>
          <w:bCs w:val="1"/>
          <w:i w:val="1"/>
          <w:iCs w:val="1"/>
          <w:color w:val="auto"/>
        </w:rPr>
      </w:pPr>
    </w:p>
    <w:p>
      <w:pPr>
        <w:ind w:left="440" w:hanging="435"/>
        <w:spacing w:after="0"/>
        <w:tabs>
          <w:tab w:leader="none" w:pos="44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Gross market rents.</w:t>
      </w:r>
    </w:p>
    <w:p>
      <w:pPr>
        <w:spacing w:after="0" w:line="13" w:lineRule="exact"/>
        <w:rPr>
          <w:rFonts w:ascii="Arial" w:cs="Arial" w:eastAsia="Arial" w:hAnsi="Arial"/>
          <w:sz w:val="17"/>
          <w:szCs w:val="17"/>
          <w:b w:val="1"/>
          <w:bCs w:val="1"/>
          <w:i w:val="1"/>
          <w:iCs w:val="1"/>
          <w:color w:val="auto"/>
        </w:rPr>
      </w:pPr>
    </w:p>
    <w:p>
      <w:pPr>
        <w:ind w:left="440" w:hanging="435"/>
        <w:spacing w:after="0"/>
        <w:tabs>
          <w:tab w:leader="none" w:pos="44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Phase I includes the cost of all land and substantial infrastructure for future phases, net of anticipated insurance proceeds.</w:t>
      </w:r>
    </w:p>
    <w:p>
      <w:pPr>
        <w:spacing w:after="0" w:line="13" w:lineRule="exact"/>
        <w:rPr>
          <w:rFonts w:ascii="Arial" w:cs="Arial" w:eastAsia="Arial" w:hAnsi="Arial"/>
          <w:sz w:val="17"/>
          <w:szCs w:val="17"/>
          <w:b w:val="1"/>
          <w:bCs w:val="1"/>
          <w:i w:val="1"/>
          <w:iCs w:val="1"/>
          <w:color w:val="auto"/>
        </w:rPr>
      </w:pPr>
    </w:p>
    <w:p>
      <w:pPr>
        <w:ind w:left="440" w:right="60" w:hanging="435"/>
        <w:spacing w:after="0" w:line="273" w:lineRule="auto"/>
        <w:tabs>
          <w:tab w:leader="none" w:pos="44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Phase I Cost to Date includes costs associated with the Building 7 fire and clean-up net of $88.8 million of insurance reimbursements received through July 15, 2003.</w:t>
      </w:r>
    </w:p>
    <w:p>
      <w:pPr>
        <w:sectPr>
          <w:pgSz w:w="11900" w:h="16838" w:orient="portrait"/>
          <w:cols w:equalWidth="0" w:num="1">
            <w:col w:w="11420"/>
          </w:cols>
          <w:pgMar w:left="240" w:top="271"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7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and Dispositions—Year to Date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Acquisitions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32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1320" w:type="dxa"/>
            <w:vAlign w:val="bottom"/>
          </w:tcPr>
          <w:p>
            <w:pPr>
              <w:spacing w:after="0"/>
              <w:rPr>
                <w:sz w:val="14"/>
                <w:szCs w:val="14"/>
                <w:color w:val="auto"/>
              </w:rPr>
            </w:pPr>
          </w:p>
        </w:tc>
        <w:tc>
          <w:tcPr>
            <w:tcW w:w="2060" w:type="dxa"/>
            <w:vAlign w:val="bottom"/>
            <w:gridSpan w:val="2"/>
          </w:tcPr>
          <w:p>
            <w:pPr>
              <w:ind w:left="80"/>
              <w:spacing w:after="0"/>
              <w:rPr>
                <w:sz w:val="20"/>
                <w:szCs w:val="20"/>
                <w:color w:val="auto"/>
              </w:rPr>
            </w:pPr>
            <w:r>
              <w:rPr>
                <w:rFonts w:ascii="Arial" w:cs="Arial" w:eastAsia="Arial" w:hAnsi="Arial"/>
                <w:sz w:val="13"/>
                <w:szCs w:val="13"/>
                <w:b w:val="1"/>
                <w:bCs w:val="1"/>
                <w:color w:val="auto"/>
              </w:rPr>
              <w:t>Property</w:t>
            </w:r>
          </w:p>
        </w:tc>
        <w:tc>
          <w:tcPr>
            <w:tcW w:w="1260" w:type="dxa"/>
            <w:vAlign w:val="bottom"/>
          </w:tcPr>
          <w:p>
            <w:pPr>
              <w:ind w:left="320"/>
              <w:spacing w:after="0"/>
              <w:rPr>
                <w:sz w:val="20"/>
                <w:szCs w:val="20"/>
                <w:color w:val="auto"/>
              </w:rPr>
            </w:pPr>
            <w:r>
              <w:rPr>
                <w:rFonts w:ascii="Arial" w:cs="Arial" w:eastAsia="Arial" w:hAnsi="Arial"/>
                <w:sz w:val="13"/>
                <w:szCs w:val="13"/>
                <w:b w:val="1"/>
                <w:bCs w:val="1"/>
                <w:color w:val="auto"/>
              </w:rPr>
              <w:t>City / State</w:t>
            </w:r>
          </w:p>
        </w:tc>
        <w:tc>
          <w:tcPr>
            <w:tcW w:w="32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3"/>
                <w:szCs w:val="13"/>
                <w:b w:val="1"/>
                <w:bCs w:val="1"/>
                <w:color w:val="auto"/>
              </w:rPr>
              <w:t>GLA</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w w:val="89"/>
              </w:rPr>
              <w:t>Acquisition price</w:t>
            </w:r>
          </w:p>
        </w:tc>
        <w:tc>
          <w:tcPr>
            <w:tcW w:w="3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0"/>
              </w:rPr>
              <w:t>Anchor tenant</w:t>
            </w:r>
          </w:p>
        </w:tc>
      </w:tr>
      <w:tr>
        <w:trPr>
          <w:trHeight w:val="93"/>
        </w:trPr>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r>
      <w:tr>
        <w:trPr>
          <w:trHeight w:val="241"/>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7"/>
              </w:rPr>
              <w:t>(in thousands)</w:t>
            </w:r>
          </w:p>
        </w:tc>
        <w:tc>
          <w:tcPr>
            <w:tcW w:w="3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09"/>
        </w:trPr>
        <w:tc>
          <w:tcPr>
            <w:tcW w:w="1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March 21, 2003</w:t>
            </w:r>
          </w:p>
        </w:tc>
        <w:tc>
          <w:tcPr>
            <w:tcW w:w="33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South Valley Shopping Center</w:t>
            </w: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Alexandria, VA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214,000</w:t>
            </w: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13,700</w:t>
            </w:r>
          </w:p>
        </w:tc>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Home Depot, TJ Maxx</w:t>
            </w:r>
          </w:p>
        </w:tc>
      </w:tr>
      <w:tr>
        <w:trPr>
          <w:trHeight w:val="215"/>
        </w:trPr>
        <w:tc>
          <w:tcPr>
            <w:tcW w:w="1320" w:type="dxa"/>
            <w:vAlign w:val="bottom"/>
            <w:gridSpan w:val="3"/>
          </w:tcPr>
          <w:p>
            <w:pPr>
              <w:spacing w:after="0"/>
              <w:rPr>
                <w:sz w:val="20"/>
                <w:szCs w:val="20"/>
                <w:color w:val="auto"/>
              </w:rPr>
            </w:pPr>
            <w:r>
              <w:rPr>
                <w:rFonts w:ascii="Arial" w:cs="Arial" w:eastAsia="Arial" w:hAnsi="Arial"/>
                <w:sz w:val="17"/>
                <w:szCs w:val="17"/>
                <w:color w:val="auto"/>
              </w:rPr>
              <w:t>March 31, 2003</w:t>
            </w:r>
          </w:p>
        </w:tc>
        <w:tc>
          <w:tcPr>
            <w:tcW w:w="3380" w:type="dxa"/>
            <w:vAlign w:val="bottom"/>
            <w:gridSpan w:val="3"/>
          </w:tcPr>
          <w:p>
            <w:pPr>
              <w:ind w:left="240"/>
              <w:spacing w:after="0"/>
              <w:rPr>
                <w:sz w:val="20"/>
                <w:szCs w:val="20"/>
                <w:color w:val="auto"/>
              </w:rPr>
            </w:pPr>
            <w:r>
              <w:rPr>
                <w:rFonts w:ascii="Arial" w:cs="Arial" w:eastAsia="Arial" w:hAnsi="Arial"/>
                <w:sz w:val="17"/>
                <w:szCs w:val="17"/>
                <w:color w:val="auto"/>
              </w:rPr>
              <w:t>Mount Vernon Plaza</w:t>
            </w:r>
          </w:p>
        </w:tc>
        <w:tc>
          <w:tcPr>
            <w:tcW w:w="1260" w:type="dxa"/>
            <w:vAlign w:val="bottom"/>
          </w:tcPr>
          <w:p>
            <w:pPr>
              <w:spacing w:after="0"/>
              <w:rPr>
                <w:sz w:val="20"/>
                <w:szCs w:val="20"/>
                <w:color w:val="auto"/>
              </w:rPr>
            </w:pPr>
            <w:r>
              <w:rPr>
                <w:rFonts w:ascii="Arial" w:cs="Arial" w:eastAsia="Arial" w:hAnsi="Arial"/>
                <w:sz w:val="17"/>
                <w:szCs w:val="17"/>
                <w:color w:val="auto"/>
              </w:rPr>
              <w:t>Alexandria, VA</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257,000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17,500</w:t>
            </w:r>
          </w:p>
        </w:tc>
        <w:tc>
          <w:tcPr>
            <w:tcW w:w="20" w:type="dxa"/>
            <w:vAlign w:val="bottom"/>
          </w:tcPr>
          <w:p>
            <w:pPr>
              <w:spacing w:after="0"/>
              <w:rPr>
                <w:sz w:val="18"/>
                <w:szCs w:val="18"/>
                <w:color w:val="auto"/>
              </w:rPr>
            </w:pPr>
          </w:p>
        </w:tc>
        <w:tc>
          <w:tcPr>
            <w:tcW w:w="3160" w:type="dxa"/>
            <w:vAlign w:val="bottom"/>
            <w:gridSpan w:val="2"/>
          </w:tcPr>
          <w:p>
            <w:pPr>
              <w:ind w:left="320"/>
              <w:spacing w:after="0"/>
              <w:rPr>
                <w:sz w:val="20"/>
                <w:szCs w:val="20"/>
                <w:color w:val="auto"/>
              </w:rPr>
            </w:pPr>
            <w:r>
              <w:rPr>
                <w:rFonts w:ascii="Arial" w:cs="Arial" w:eastAsia="Arial" w:hAnsi="Arial"/>
                <w:sz w:val="17"/>
                <w:szCs w:val="17"/>
                <w:color w:val="auto"/>
              </w:rPr>
              <w:t>Shoppers Food Warehouse</w:t>
            </w:r>
          </w:p>
        </w:tc>
      </w:tr>
      <w:tr>
        <w:trPr>
          <w:trHeight w:val="98"/>
        </w:trPr>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40" w:type="dxa"/>
            <w:vAlign w:val="bottom"/>
          </w:tcPr>
          <w:p>
            <w:pPr>
              <w:spacing w:after="0"/>
              <w:rPr>
                <w:sz w:val="8"/>
                <w:szCs w:val="8"/>
                <w:color w:val="auto"/>
              </w:rPr>
            </w:pPr>
          </w:p>
        </w:tc>
      </w:tr>
      <w:tr>
        <w:trPr>
          <w:trHeight w:val="98"/>
        </w:trPr>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40" w:type="dxa"/>
            <w:vAlign w:val="bottom"/>
          </w:tcPr>
          <w:p>
            <w:pPr>
              <w:spacing w:after="0"/>
              <w:rPr>
                <w:sz w:val="8"/>
                <w:szCs w:val="8"/>
                <w:color w:val="auto"/>
              </w:rPr>
            </w:pPr>
          </w:p>
        </w:tc>
      </w:tr>
      <w:tr>
        <w:trPr>
          <w:trHeight w:val="209"/>
        </w:trPr>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471,000</w:t>
            </w: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r>
        <w:trPr>
          <w:trHeight w:val="127"/>
        </w:trPr>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40" w:type="dxa"/>
            <w:vAlign w:val="bottom"/>
          </w:tcPr>
          <w:p>
            <w:pPr>
              <w:spacing w:after="0"/>
              <w:rPr>
                <w:sz w:val="11"/>
                <w:szCs w:val="11"/>
                <w:color w:val="auto"/>
              </w:rPr>
            </w:pPr>
          </w:p>
        </w:tc>
      </w:tr>
      <w:tr>
        <w:trPr>
          <w:trHeight w:val="415"/>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89"/>
        </w:trPr>
        <w:tc>
          <w:tcPr>
            <w:tcW w:w="1320" w:type="dxa"/>
            <w:vAlign w:val="bottom"/>
            <w:gridSpan w:val="3"/>
            <w:shd w:val="clear" w:color="auto" w:fill="CCEEFF"/>
          </w:tcPr>
          <w:p>
            <w:pPr>
              <w:spacing w:after="0" w:line="170" w:lineRule="exact"/>
              <w:rPr>
                <w:sz w:val="20"/>
                <w:szCs w:val="20"/>
                <w:color w:val="auto"/>
              </w:rPr>
            </w:pPr>
            <w:r>
              <w:rPr>
                <w:rFonts w:ascii="Arial" w:cs="Arial" w:eastAsia="Arial" w:hAnsi="Arial"/>
                <w:sz w:val="17"/>
                <w:szCs w:val="17"/>
                <w:b w:val="1"/>
                <w:bCs w:val="1"/>
                <w:color w:val="auto"/>
              </w:rPr>
              <w:t>Dispositions</w:t>
            </w:r>
          </w:p>
        </w:tc>
        <w:tc>
          <w:tcPr>
            <w:tcW w:w="1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r>
      <w:tr>
        <w:trPr>
          <w:trHeight w:val="365"/>
        </w:trPr>
        <w:tc>
          <w:tcPr>
            <w:tcW w:w="88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Date</w:t>
            </w:r>
          </w:p>
        </w:tc>
        <w:tc>
          <w:tcPr>
            <w:tcW w:w="44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gridSpan w:val="2"/>
          </w:tcPr>
          <w:p>
            <w:pPr>
              <w:ind w:left="80"/>
              <w:spacing w:after="0"/>
              <w:rPr>
                <w:sz w:val="20"/>
                <w:szCs w:val="20"/>
                <w:color w:val="auto"/>
              </w:rPr>
            </w:pPr>
            <w:r>
              <w:rPr>
                <w:rFonts w:ascii="Arial" w:cs="Arial" w:eastAsia="Arial" w:hAnsi="Arial"/>
                <w:sz w:val="13"/>
                <w:szCs w:val="13"/>
                <w:b w:val="1"/>
                <w:bCs w:val="1"/>
                <w:color w:val="auto"/>
              </w:rPr>
              <w:t>Property</w:t>
            </w:r>
          </w:p>
        </w:tc>
        <w:tc>
          <w:tcPr>
            <w:tcW w:w="1260" w:type="dxa"/>
            <w:vAlign w:val="bottom"/>
            <w:tcBorders>
              <w:top w:val="single" w:sz="8" w:color="CCEEFF"/>
            </w:tcBorders>
          </w:tcPr>
          <w:p>
            <w:pPr>
              <w:ind w:left="320"/>
              <w:spacing w:after="0"/>
              <w:rPr>
                <w:sz w:val="20"/>
                <w:szCs w:val="20"/>
                <w:color w:val="auto"/>
              </w:rPr>
            </w:pPr>
            <w:r>
              <w:rPr>
                <w:rFonts w:ascii="Arial" w:cs="Arial" w:eastAsia="Arial" w:hAnsi="Arial"/>
                <w:sz w:val="13"/>
                <w:szCs w:val="13"/>
                <w:b w:val="1"/>
                <w:bCs w:val="1"/>
                <w:color w:val="auto"/>
              </w:rPr>
              <w:t>City / State</w:t>
            </w:r>
          </w:p>
        </w:tc>
        <w:tc>
          <w:tcPr>
            <w:tcW w:w="3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jc w:val="right"/>
              <w:ind w:right="115"/>
              <w:spacing w:after="0"/>
              <w:rPr>
                <w:sz w:val="20"/>
                <w:szCs w:val="20"/>
                <w:color w:val="auto"/>
              </w:rPr>
            </w:pPr>
            <w:r>
              <w:rPr>
                <w:rFonts w:ascii="Arial" w:cs="Arial" w:eastAsia="Arial" w:hAnsi="Arial"/>
                <w:sz w:val="13"/>
                <w:szCs w:val="13"/>
                <w:b w:val="1"/>
                <w:bCs w:val="1"/>
                <w:color w:val="auto"/>
              </w:rPr>
              <w:t>GLA</w:t>
            </w:r>
          </w:p>
        </w:tc>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3"/>
                <w:szCs w:val="13"/>
                <w:b w:val="1"/>
                <w:bCs w:val="1"/>
                <w:color w:val="auto"/>
                <w:w w:val="87"/>
              </w:rPr>
              <w:t>Sales price</w:t>
            </w:r>
          </w:p>
        </w:tc>
        <w:tc>
          <w:tcPr>
            <w:tcW w:w="320" w:type="dxa"/>
            <w:vAlign w:val="bottom"/>
            <w:tcBorders>
              <w:top w:val="single" w:sz="8" w:color="CCEEFF"/>
            </w:tcBorders>
          </w:tcPr>
          <w:p>
            <w:pPr>
              <w:spacing w:after="0"/>
              <w:rPr>
                <w:sz w:val="24"/>
                <w:szCs w:val="24"/>
                <w:color w:val="auto"/>
              </w:rPr>
            </w:pPr>
          </w:p>
        </w:tc>
        <w:tc>
          <w:tcPr>
            <w:tcW w:w="2840" w:type="dxa"/>
            <w:vAlign w:val="bottom"/>
            <w:tcBorders>
              <w:top w:val="single" w:sz="8" w:color="CCEEFF"/>
            </w:tcBorders>
          </w:tcPr>
          <w:p>
            <w:pPr>
              <w:jc w:val="center"/>
              <w:spacing w:after="0"/>
              <w:rPr>
                <w:sz w:val="20"/>
                <w:szCs w:val="20"/>
                <w:color w:val="auto"/>
              </w:rPr>
            </w:pPr>
            <w:r>
              <w:rPr>
                <w:rFonts w:ascii="Arial" w:cs="Arial" w:eastAsia="Arial" w:hAnsi="Arial"/>
                <w:sz w:val="13"/>
                <w:szCs w:val="13"/>
                <w:b w:val="1"/>
                <w:bCs w:val="1"/>
                <w:color w:val="auto"/>
                <w:w w:val="90"/>
              </w:rPr>
              <w:t>Anchor tenant</w:t>
            </w:r>
          </w:p>
        </w:tc>
      </w:tr>
      <w:tr>
        <w:trPr>
          <w:trHeight w:val="93"/>
        </w:trPr>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r>
      <w:tr>
        <w:trPr>
          <w:trHeight w:val="241"/>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7"/>
              </w:rPr>
              <w:t>(in thousands)</w:t>
            </w:r>
          </w:p>
        </w:tc>
        <w:tc>
          <w:tcPr>
            <w:tcW w:w="3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09"/>
        </w:trPr>
        <w:tc>
          <w:tcPr>
            <w:tcW w:w="1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June 16, 2003</w:t>
            </w:r>
          </w:p>
        </w:tc>
        <w:tc>
          <w:tcPr>
            <w:tcW w:w="33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4929 Bethesda Avenue</w:t>
            </w:r>
          </w:p>
        </w:tc>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Bethesda, MD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n/a</w:t>
            </w:r>
          </w:p>
        </w:tc>
      </w:tr>
      <w:tr>
        <w:trPr>
          <w:trHeight w:val="127"/>
        </w:trPr>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-1107440</wp:posOffset>
            </wp:positionV>
            <wp:extent cx="12700"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-1107440</wp:posOffset>
            </wp:positionV>
            <wp:extent cx="12700"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-1107440</wp:posOffset>
            </wp:positionV>
            <wp:extent cx="12700"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-1107440</wp:posOffset>
            </wp:positionV>
            <wp:extent cx="12700"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-1107440</wp:posOffset>
            </wp:positionV>
            <wp:extent cx="2095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-28575</wp:posOffset>
            </wp:positionV>
            <wp:extent cx="12700"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-28575</wp:posOffset>
            </wp:positionV>
            <wp:extent cx="12700"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-28575</wp:posOffset>
            </wp:positionV>
            <wp:extent cx="12700"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-28575</wp:posOffset>
            </wp:positionV>
            <wp:extent cx="12700"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-28575</wp:posOffset>
            </wp:positionV>
            <wp:extent cx="2095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0955" cy="29210"/>
                    </a:xfrm>
                    <a:prstGeom prst="rect">
                      <a:avLst/>
                    </a:prstGeom>
                    <a:noFill/>
                  </pic:spPr>
                </pic:pic>
              </a:graphicData>
            </a:graphic>
          </wp:anchor>
        </w:drawing>
      </w:r>
    </w:p>
    <w:p>
      <w:pPr>
        <w:sectPr>
          <w:pgSz w:w="11900" w:h="16838" w:orient="portrait"/>
          <w:cols w:equalWidth="0" w:num="1">
            <w:col w:w="11420"/>
          </w:cols>
          <w:pgMar w:left="240" w:top="271"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Mortgage or</w:t>
            </w: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2"/>
              </w:rPr>
              <w:t>Grocery</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300"/>
              <w:spacing w:after="0"/>
              <w:rPr>
                <w:sz w:val="20"/>
                <w:szCs w:val="20"/>
                <w:color w:val="auto"/>
              </w:rPr>
            </w:pPr>
            <w:r>
              <w:rPr>
                <w:rFonts w:ascii="Arial" w:cs="Arial" w:eastAsia="Arial" w:hAnsi="Arial"/>
                <w:sz w:val="13"/>
                <w:szCs w:val="13"/>
                <w:b w:val="1"/>
                <w:bCs w:val="1"/>
                <w:color w:val="auto"/>
              </w:rPr>
              <w:t>Other</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2"/>
              </w:rPr>
              <w:t>Year</w:t>
            </w:r>
          </w:p>
        </w:tc>
        <w:tc>
          <w:tcPr>
            <w:tcW w:w="88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6"/>
              </w:rPr>
              <w:t>Total</w:t>
            </w: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b w:val="1"/>
                <w:bCs w:val="1"/>
                <w:color w:val="auto"/>
                <w:w w:val="89"/>
              </w:rPr>
              <w:t>Ownership</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tcPr>
          <w:p>
            <w:pPr>
              <w:jc w:val="right"/>
              <w:ind w:right="140"/>
              <w:spacing w:after="0" w:line="144"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Capital Lease</w:t>
            </w:r>
          </w:p>
        </w:tc>
        <w:tc>
          <w:tcPr>
            <w:tcW w:w="80" w:type="dxa"/>
            <w:vAlign w:val="bottom"/>
          </w:tcPr>
          <w:p>
            <w:pPr>
              <w:spacing w:after="0"/>
              <w:rPr>
                <w:sz w:val="12"/>
                <w:szCs w:val="12"/>
                <w:color w:val="auto"/>
              </w:rPr>
            </w:pPr>
          </w:p>
        </w:tc>
        <w:tc>
          <w:tcPr>
            <w:tcW w:w="56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Anchor</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20"/>
              <w:spacing w:after="0" w:line="144" w:lineRule="exact"/>
              <w:rPr>
                <w:sz w:val="20"/>
                <w:szCs w:val="20"/>
                <w:color w:val="auto"/>
              </w:rPr>
            </w:pPr>
            <w:r>
              <w:rPr>
                <w:rFonts w:ascii="Arial" w:cs="Arial" w:eastAsia="Arial" w:hAnsi="Arial"/>
                <w:sz w:val="13"/>
                <w:szCs w:val="13"/>
                <w:b w:val="1"/>
                <w:bCs w:val="1"/>
                <w:color w:val="auto"/>
              </w:rPr>
              <w:t>Principal</w:t>
            </w:r>
          </w:p>
        </w:tc>
      </w:tr>
      <w:tr>
        <w:trPr>
          <w:trHeight w:val="168"/>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3"/>
                <w:szCs w:val="13"/>
                <w:b w:val="1"/>
                <w:bCs w:val="1"/>
                <w:color w:val="auto"/>
              </w:rPr>
              <w:t>Property Name</w:t>
            </w:r>
          </w:p>
        </w:tc>
        <w:tc>
          <w:tcPr>
            <w:tcW w:w="260" w:type="dxa"/>
            <w:vAlign w:val="bottom"/>
          </w:tcPr>
          <w:p>
            <w:pPr>
              <w:spacing w:after="0"/>
              <w:rPr>
                <w:sz w:val="14"/>
                <w:szCs w:val="14"/>
                <w:color w:val="auto"/>
              </w:rPr>
            </w:pPr>
          </w:p>
        </w:tc>
        <w:tc>
          <w:tcPr>
            <w:tcW w:w="500" w:type="dxa"/>
            <w:vAlign w:val="bottom"/>
            <w:gridSpan w:val="4"/>
          </w:tcPr>
          <w:p>
            <w:pPr>
              <w:spacing w:after="0"/>
              <w:rPr>
                <w:sz w:val="20"/>
                <w:szCs w:val="20"/>
                <w:color w:val="auto"/>
              </w:rPr>
            </w:pPr>
            <w:r>
              <w:rPr>
                <w:rFonts w:ascii="Arial" w:cs="Arial" w:eastAsia="Arial" w:hAnsi="Arial"/>
                <w:sz w:val="13"/>
                <w:szCs w:val="13"/>
                <w:b w:val="1"/>
                <w:bCs w:val="1"/>
                <w:color w:val="auto"/>
              </w:rPr>
              <w:t>Type(1)</w:t>
            </w:r>
          </w:p>
        </w:tc>
        <w:tc>
          <w:tcPr>
            <w:tcW w:w="1880" w:type="dxa"/>
            <w:vAlign w:val="bottom"/>
          </w:tcPr>
          <w:p>
            <w:pPr>
              <w:ind w:left="460"/>
              <w:spacing w:after="0"/>
              <w:rPr>
                <w:sz w:val="20"/>
                <w:szCs w:val="20"/>
                <w:color w:val="auto"/>
              </w:rPr>
            </w:pPr>
            <w:r>
              <w:rPr>
                <w:rFonts w:ascii="Arial" w:cs="Arial" w:eastAsia="Arial" w:hAnsi="Arial"/>
                <w:sz w:val="13"/>
                <w:szCs w:val="13"/>
                <w:b w:val="1"/>
                <w:bCs w:val="1"/>
                <w:color w:val="auto"/>
              </w:rPr>
              <w:t>MSA Description</w:t>
            </w:r>
          </w:p>
        </w:tc>
        <w:tc>
          <w:tcPr>
            <w:tcW w:w="8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Acquired</w:t>
            </w: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Investment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5"/>
              </w:rPr>
              <w:t>Percentage</w:t>
            </w:r>
          </w:p>
        </w:tc>
        <w:tc>
          <w:tcPr>
            <w:tcW w:w="4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GLA (2)</w:t>
            </w:r>
          </w:p>
        </w:tc>
        <w:tc>
          <w:tcPr>
            <w:tcW w:w="6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Leased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Obligation</w:t>
            </w: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7"/>
              </w:rPr>
              <w:t>GLA (3)</w:t>
            </w:r>
          </w:p>
        </w:tc>
        <w:tc>
          <w:tcPr>
            <w:tcW w:w="1400" w:type="dxa"/>
            <w:vAlign w:val="bottom"/>
          </w:tcPr>
          <w:p>
            <w:pPr>
              <w:ind w:left="140"/>
              <w:spacing w:after="0"/>
              <w:rPr>
                <w:sz w:val="20"/>
                <w:szCs w:val="20"/>
                <w:color w:val="auto"/>
              </w:rPr>
            </w:pPr>
            <w:r>
              <w:rPr>
                <w:rFonts w:ascii="Arial" w:cs="Arial" w:eastAsia="Arial" w:hAnsi="Arial"/>
                <w:sz w:val="13"/>
                <w:szCs w:val="13"/>
                <w:b w:val="1"/>
                <w:bCs w:val="1"/>
                <w:color w:val="auto"/>
              </w:rPr>
              <w:t>Grocery Anchor (3)</w:t>
            </w:r>
          </w:p>
        </w:tc>
        <w:tc>
          <w:tcPr>
            <w:tcW w:w="80" w:type="dxa"/>
            <w:vAlign w:val="bottom"/>
          </w:tcPr>
          <w:p>
            <w:pPr>
              <w:spacing w:after="0"/>
              <w:rPr>
                <w:sz w:val="14"/>
                <w:szCs w:val="14"/>
                <w:color w:val="auto"/>
              </w:rPr>
            </w:pPr>
          </w:p>
        </w:tc>
        <w:tc>
          <w:tcPr>
            <w:tcW w:w="980" w:type="dxa"/>
            <w:vAlign w:val="bottom"/>
          </w:tcPr>
          <w:p>
            <w:pPr>
              <w:ind w:left="260"/>
              <w:spacing w:after="0"/>
              <w:rPr>
                <w:sz w:val="20"/>
                <w:szCs w:val="20"/>
                <w:color w:val="auto"/>
              </w:rPr>
            </w:pPr>
            <w:r>
              <w:rPr>
                <w:rFonts w:ascii="Arial" w:cs="Arial" w:eastAsia="Arial" w:hAnsi="Arial"/>
                <w:sz w:val="13"/>
                <w:szCs w:val="13"/>
                <w:b w:val="1"/>
                <w:bCs w:val="1"/>
                <w:color w:val="auto"/>
              </w:rPr>
              <w:t>Tenants</w:t>
            </w:r>
          </w:p>
        </w:tc>
      </w:tr>
      <w:tr>
        <w:trPr>
          <w:trHeight w:val="93"/>
        </w:trPr>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28"/>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(in</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57"/>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(in thousands)</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5"/>
              </w:rPr>
              <w:t>thousands)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31"/>
        </w:trPr>
        <w:tc>
          <w:tcPr>
            <w:tcW w:w="1160" w:type="dxa"/>
            <w:vAlign w:val="bottom"/>
            <w:tcBorders>
              <w:bottom w:val="single" w:sz="8" w:color="auto"/>
            </w:tcBorders>
            <w:gridSpan w:val="4"/>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3"/>
              </w:rPr>
              <w:t>Mid-Atlantic Region</w:t>
            </w:r>
          </w:p>
        </w:tc>
        <w:tc>
          <w:tcPr>
            <w:tcW w:w="1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left w:val="single" w:sz="8" w:color="CCEEFF"/>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r>
      <w:tr>
        <w:trPr>
          <w:trHeight w:val="228"/>
        </w:trPr>
        <w:tc>
          <w:tcPr>
            <w:tcW w:w="60" w:type="dxa"/>
            <w:vAlign w:val="bottom"/>
          </w:tcPr>
          <w:p>
            <w:pPr>
              <w:spacing w:after="0"/>
              <w:rPr>
                <w:sz w:val="19"/>
                <w:szCs w:val="19"/>
                <w:color w:val="auto"/>
              </w:rPr>
            </w:pPr>
          </w:p>
        </w:tc>
        <w:tc>
          <w:tcPr>
            <w:tcW w:w="2040" w:type="dxa"/>
            <w:vAlign w:val="bottom"/>
            <w:gridSpan w:val="9"/>
          </w:tcPr>
          <w:p>
            <w:pPr>
              <w:spacing w:after="0"/>
              <w:rPr>
                <w:sz w:val="20"/>
                <w:szCs w:val="20"/>
                <w:color w:val="auto"/>
              </w:rPr>
            </w:pPr>
            <w:r>
              <w:rPr>
                <w:rFonts w:ascii="Arial" w:cs="Arial" w:eastAsia="Arial" w:hAnsi="Arial"/>
                <w:sz w:val="13"/>
                <w:szCs w:val="13"/>
                <w:b w:val="1"/>
                <w:bCs w:val="1"/>
                <w:color w:val="auto"/>
              </w:rPr>
              <w:t>Washington Metropolitan Area</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28"/>
        </w:trPr>
        <w:tc>
          <w:tcPr>
            <w:tcW w:w="1340" w:type="dxa"/>
            <w:vAlign w:val="bottom"/>
            <w:gridSpan w:val="5"/>
            <w:shd w:val="clear" w:color="auto" w:fill="CCEEFF"/>
          </w:tcPr>
          <w:p>
            <w:pPr>
              <w:spacing w:after="0" w:line="128" w:lineRule="exact"/>
              <w:rPr>
                <w:sz w:val="20"/>
                <w:szCs w:val="20"/>
                <w:color w:val="auto"/>
              </w:rPr>
            </w:pPr>
            <w:r>
              <w:rPr>
                <w:rFonts w:ascii="Arial" w:cs="Arial" w:eastAsia="Arial" w:hAnsi="Arial"/>
                <w:sz w:val="13"/>
                <w:szCs w:val="13"/>
                <w:color w:val="auto"/>
              </w:rPr>
              <w:t>Bethesda Row</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Barnes &amp;</w:t>
            </w: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Noble /</w:t>
            </w: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Landmark</w:t>
            </w:r>
          </w:p>
        </w:tc>
      </w:tr>
      <w:tr>
        <w:trPr>
          <w:trHeight w:val="153"/>
        </w:trPr>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color w:val="auto"/>
              </w:rPr>
              <w:t>SR</w:t>
            </w:r>
          </w:p>
        </w:tc>
        <w:tc>
          <w:tcPr>
            <w:tcW w:w="1880" w:type="dxa"/>
            <w:vAlign w:val="bottom"/>
            <w:shd w:val="clear" w:color="auto" w:fill="CCEEFF"/>
          </w:tcPr>
          <w:p>
            <w:pPr>
              <w:spacing w:after="0"/>
              <w:rPr>
                <w:sz w:val="20"/>
                <w:szCs w:val="20"/>
                <w:color w:val="auto"/>
              </w:rPr>
            </w:pPr>
            <w:r>
              <w:rPr>
                <w:rFonts w:ascii="Arial" w:cs="Arial" w:eastAsia="Arial" w:hAnsi="Arial"/>
                <w:sz w:val="13"/>
                <w:szCs w:val="13"/>
                <w:color w:val="auto"/>
              </w:rPr>
              <w:t>Washington, DC-MD-VA-WV</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1993-98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78,487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427,000</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12,576</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40,000</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Giant Food</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Theater</w:t>
            </w:r>
          </w:p>
        </w:tc>
      </w:tr>
      <w:tr>
        <w:trPr>
          <w:trHeight w:val="135"/>
        </w:trPr>
        <w:tc>
          <w:tcPr>
            <w:tcW w:w="1340" w:type="dxa"/>
            <w:vAlign w:val="bottom"/>
            <w:gridSpan w:val="5"/>
          </w:tcPr>
          <w:p>
            <w:pPr>
              <w:spacing w:after="0" w:line="135" w:lineRule="exact"/>
              <w:rPr>
                <w:sz w:val="20"/>
                <w:szCs w:val="20"/>
                <w:color w:val="auto"/>
              </w:rPr>
            </w:pPr>
            <w:r>
              <w:rPr>
                <w:rFonts w:ascii="Arial" w:cs="Arial" w:eastAsia="Arial" w:hAnsi="Arial"/>
                <w:sz w:val="13"/>
                <w:szCs w:val="13"/>
                <w:color w:val="auto"/>
              </w:rPr>
              <w:t>Congressional Plaza</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3"/>
                <w:szCs w:val="13"/>
                <w:color w:val="auto"/>
              </w:rPr>
              <w:t>Buy Buy Baby</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 Container</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Store /</w:t>
            </w:r>
          </w:p>
        </w:tc>
      </w:tr>
      <w:tr>
        <w:trPr>
          <w:trHeight w:val="153"/>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SC Washington, DC-MD-VA-WV</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1965</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65,128</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55.8%</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339,000</w:t>
            </w:r>
          </w:p>
        </w:tc>
        <w:tc>
          <w:tcPr>
            <w:tcW w:w="4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95%</w:t>
            </w:r>
          </w:p>
        </w:tc>
        <w:tc>
          <w:tcPr>
            <w:tcW w:w="760" w:type="dxa"/>
            <w:vAlign w:val="bottom"/>
          </w:tcPr>
          <w:p>
            <w:pPr>
              <w:spacing w:after="0"/>
              <w:rPr>
                <w:sz w:val="13"/>
                <w:szCs w:val="13"/>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28,258</w:t>
            </w:r>
          </w:p>
        </w:tc>
        <w:tc>
          <w:tcPr>
            <w:tcW w:w="1400" w:type="dxa"/>
            <w:vAlign w:val="bottom"/>
          </w:tcPr>
          <w:p>
            <w:pPr>
              <w:spacing w:after="0"/>
              <w:rPr>
                <w:sz w:val="20"/>
                <w:szCs w:val="20"/>
                <w:color w:val="auto"/>
              </w:rPr>
            </w:pPr>
            <w:r>
              <w:rPr>
                <w:rFonts w:ascii="Arial" w:cs="Arial" w:eastAsia="Arial" w:hAnsi="Arial"/>
                <w:sz w:val="13"/>
                <w:szCs w:val="13"/>
                <w:color w:val="auto"/>
              </w:rPr>
              <w:t>Whole Foods</w:t>
            </w:r>
          </w:p>
        </w:tc>
        <w:tc>
          <w:tcPr>
            <w:tcW w:w="8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auto"/>
              </w:rPr>
              <w:t>Tower</w:t>
            </w:r>
          </w:p>
        </w:tc>
      </w:tr>
      <w:tr>
        <w:trPr>
          <w:trHeight w:val="144"/>
        </w:trPr>
        <w:tc>
          <w:tcPr>
            <w:tcW w:w="13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Courthouse Center</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80" w:type="dxa"/>
            <w:vAlign w:val="bottom"/>
            <w:tcBorders>
              <w:left w:val="single" w:sz="8" w:color="CCEEFF"/>
            </w:tcBorders>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SC Washington, DC-MD-VA-WV</w:t>
            </w:r>
          </w:p>
        </w:tc>
        <w:tc>
          <w:tcPr>
            <w:tcW w:w="68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1997</w:t>
            </w:r>
          </w:p>
        </w:tc>
        <w:tc>
          <w:tcPr>
            <w:tcW w:w="8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4,259</w:t>
            </w:r>
          </w:p>
        </w:tc>
        <w:tc>
          <w:tcPr>
            <w:tcW w:w="7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37,000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4"/>
        </w:trPr>
        <w:tc>
          <w:tcPr>
            <w:tcW w:w="1340" w:type="dxa"/>
            <w:vAlign w:val="bottom"/>
            <w:gridSpan w:val="5"/>
          </w:tcPr>
          <w:p>
            <w:pPr>
              <w:spacing w:after="0" w:line="144" w:lineRule="exact"/>
              <w:rPr>
                <w:sz w:val="20"/>
                <w:szCs w:val="20"/>
                <w:color w:val="auto"/>
              </w:rPr>
            </w:pPr>
            <w:r>
              <w:rPr>
                <w:rFonts w:ascii="Arial" w:cs="Arial" w:eastAsia="Arial" w:hAnsi="Arial"/>
                <w:sz w:val="13"/>
                <w:szCs w:val="13"/>
                <w:color w:val="auto"/>
              </w:rPr>
              <w:t>Falls Plaza</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SC</w:t>
            </w:r>
          </w:p>
        </w:tc>
        <w:tc>
          <w:tcPr>
            <w:tcW w:w="1880" w:type="dxa"/>
            <w:vAlign w:val="bottom"/>
          </w:tcPr>
          <w:p>
            <w:pPr>
              <w:spacing w:after="0" w:line="144" w:lineRule="exact"/>
              <w:rPr>
                <w:sz w:val="20"/>
                <w:szCs w:val="20"/>
                <w:color w:val="auto"/>
              </w:rPr>
            </w:pPr>
            <w:r>
              <w:rPr>
                <w:rFonts w:ascii="Arial" w:cs="Arial" w:eastAsia="Arial" w:hAnsi="Arial"/>
                <w:sz w:val="13"/>
                <w:szCs w:val="13"/>
                <w:color w:val="auto"/>
              </w:rPr>
              <w:t>Washington, DC-MD-VA-WV</w:t>
            </w:r>
          </w:p>
        </w:tc>
        <w:tc>
          <w:tcPr>
            <w:tcW w:w="680" w:type="dxa"/>
            <w:vAlign w:val="bottom"/>
            <w:gridSpan w:val="3"/>
          </w:tcPr>
          <w:p>
            <w:pPr>
              <w:jc w:val="right"/>
              <w:ind w:right="60"/>
              <w:spacing w:after="0" w:line="144" w:lineRule="exact"/>
              <w:rPr>
                <w:sz w:val="20"/>
                <w:szCs w:val="20"/>
                <w:color w:val="auto"/>
              </w:rPr>
            </w:pPr>
            <w:r>
              <w:rPr>
                <w:rFonts w:ascii="Arial" w:cs="Arial" w:eastAsia="Arial" w:hAnsi="Arial"/>
                <w:sz w:val="13"/>
                <w:szCs w:val="13"/>
                <w:color w:val="auto"/>
              </w:rPr>
              <w:t>1967</w:t>
            </w:r>
          </w:p>
        </w:tc>
        <w:tc>
          <w:tcPr>
            <w:tcW w:w="8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8,150</w:t>
            </w:r>
          </w:p>
        </w:tc>
        <w:tc>
          <w:tcPr>
            <w:tcW w:w="7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73,000</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100%</w:t>
            </w:r>
          </w:p>
        </w:tc>
        <w:tc>
          <w:tcPr>
            <w:tcW w:w="760" w:type="dxa"/>
            <w:vAlign w:val="bottom"/>
          </w:tcPr>
          <w:p>
            <w:pPr>
              <w:spacing w:after="0"/>
              <w:rPr>
                <w:sz w:val="12"/>
                <w:szCs w:val="12"/>
                <w:color w:val="auto"/>
              </w:rPr>
            </w:pPr>
          </w:p>
        </w:tc>
        <w:tc>
          <w:tcPr>
            <w:tcW w:w="64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51,385</w:t>
            </w:r>
          </w:p>
        </w:tc>
        <w:tc>
          <w:tcPr>
            <w:tcW w:w="1400" w:type="dxa"/>
            <w:vAlign w:val="bottom"/>
          </w:tcPr>
          <w:p>
            <w:pPr>
              <w:spacing w:after="0" w:line="144" w:lineRule="exact"/>
              <w:rPr>
                <w:sz w:val="20"/>
                <w:szCs w:val="20"/>
                <w:color w:val="auto"/>
              </w:rPr>
            </w:pPr>
            <w:r>
              <w:rPr>
                <w:rFonts w:ascii="Arial" w:cs="Arial" w:eastAsia="Arial" w:hAnsi="Arial"/>
                <w:sz w:val="13"/>
                <w:szCs w:val="13"/>
                <w:color w:val="auto"/>
              </w:rPr>
              <w:t>Giant Food</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13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Falls Plaza-East</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tcBorders>
              <w:left w:val="single" w:sz="8" w:color="CCEEFF"/>
            </w:tcBorders>
            <w:gridSpan w:val="2"/>
            <w:shd w:val="clear" w:color="auto" w:fill="CCEEFF"/>
          </w:tcPr>
          <w:p>
            <w:pPr>
              <w:ind w:left="80"/>
              <w:spacing w:after="0" w:line="144" w:lineRule="exact"/>
              <w:rPr>
                <w:sz w:val="20"/>
                <w:szCs w:val="20"/>
                <w:color w:val="auto"/>
              </w:rPr>
            </w:pPr>
            <w:r>
              <w:rPr>
                <w:rFonts w:ascii="Arial" w:cs="Arial" w:eastAsia="Arial" w:hAnsi="Arial"/>
                <w:sz w:val="13"/>
                <w:szCs w:val="13"/>
                <w:color w:val="auto"/>
              </w:rPr>
              <w:t>SC</w:t>
            </w:r>
          </w:p>
        </w:tc>
        <w:tc>
          <w:tcPr>
            <w:tcW w:w="18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Washington, DC-MD-VA-WV</w:t>
            </w:r>
          </w:p>
        </w:tc>
        <w:tc>
          <w:tcPr>
            <w:tcW w:w="68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1972</w:t>
            </w:r>
          </w:p>
        </w:tc>
        <w:tc>
          <w:tcPr>
            <w:tcW w:w="8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3,352</w:t>
            </w: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71,000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CVS / Staples</w:t>
            </w:r>
          </w:p>
        </w:tc>
      </w:tr>
      <w:tr>
        <w:trPr>
          <w:trHeight w:val="135"/>
        </w:trPr>
        <w:tc>
          <w:tcPr>
            <w:tcW w:w="1340" w:type="dxa"/>
            <w:vAlign w:val="bottom"/>
            <w:gridSpan w:val="5"/>
          </w:tcPr>
          <w:p>
            <w:pPr>
              <w:spacing w:after="0" w:line="135" w:lineRule="exact"/>
              <w:rPr>
                <w:sz w:val="20"/>
                <w:szCs w:val="20"/>
                <w:color w:val="auto"/>
              </w:rPr>
            </w:pPr>
            <w:r>
              <w:rPr>
                <w:rFonts w:ascii="Arial" w:cs="Arial" w:eastAsia="Arial" w:hAnsi="Arial"/>
                <w:sz w:val="13"/>
                <w:szCs w:val="13"/>
                <w:color w:val="auto"/>
              </w:rPr>
              <w:t>Federal Plaza</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3"/>
                <w:szCs w:val="13"/>
                <w:color w:val="auto"/>
              </w:rPr>
              <w:t>TJ Maxx /</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CompUSA /</w:t>
            </w:r>
          </w:p>
        </w:tc>
      </w:tr>
      <w:tr>
        <w:trPr>
          <w:trHeight w:val="153"/>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SC Washington, DC-MD-VA-WV</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1989</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61,901</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247,000</w:t>
            </w:r>
          </w:p>
        </w:tc>
        <w:tc>
          <w:tcPr>
            <w:tcW w:w="4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98%</w:t>
            </w:r>
          </w:p>
        </w:tc>
        <w:tc>
          <w:tcPr>
            <w:tcW w:w="760" w:type="dxa"/>
            <w:vAlign w:val="bottom"/>
          </w:tcPr>
          <w:p>
            <w:pPr>
              <w:jc w:val="right"/>
              <w:spacing w:after="0"/>
              <w:rPr>
                <w:sz w:val="20"/>
                <w:szCs w:val="20"/>
                <w:color w:val="auto"/>
              </w:rPr>
            </w:pPr>
            <w:r>
              <w:rPr>
                <w:rFonts w:ascii="Arial" w:cs="Arial" w:eastAsia="Arial" w:hAnsi="Arial"/>
                <w:sz w:val="13"/>
                <w:szCs w:val="13"/>
                <w:color w:val="auto"/>
              </w:rPr>
              <w:t>35,732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auto"/>
              </w:rPr>
              <w:t>Ross</w:t>
            </w:r>
          </w:p>
        </w:tc>
      </w:tr>
      <w:tr>
        <w:trPr>
          <w:trHeight w:val="135"/>
        </w:trPr>
        <w:tc>
          <w:tcPr>
            <w:tcW w:w="1340" w:type="dxa"/>
            <w:vAlign w:val="bottom"/>
            <w:gridSpan w:val="5"/>
            <w:shd w:val="clear" w:color="auto" w:fill="CCEEFF"/>
          </w:tcPr>
          <w:p>
            <w:pPr>
              <w:spacing w:after="0" w:line="135" w:lineRule="exact"/>
              <w:rPr>
                <w:sz w:val="20"/>
                <w:szCs w:val="20"/>
                <w:color w:val="auto"/>
              </w:rPr>
            </w:pPr>
            <w:r>
              <w:rPr>
                <w:rFonts w:ascii="Arial" w:cs="Arial" w:eastAsia="Arial" w:hAnsi="Arial"/>
                <w:sz w:val="13"/>
                <w:szCs w:val="13"/>
                <w:color w:val="auto"/>
              </w:rPr>
              <w:t>Friendship Center</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Borders /</w:t>
            </w: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Linens ‘n</w:t>
            </w: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Things /</w:t>
            </w:r>
          </w:p>
        </w:tc>
      </w:tr>
      <w:tr>
        <w:trPr>
          <w:trHeight w:val="153"/>
        </w:trPr>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80" w:type="dxa"/>
            <w:vAlign w:val="bottom"/>
            <w:tcBorders>
              <w:left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SR Washington, DC-MD-VA-WV</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2001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33,405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119,000</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Maggiano’s</w:t>
            </w:r>
          </w:p>
        </w:tc>
      </w:tr>
      <w:tr>
        <w:trPr>
          <w:trHeight w:val="135"/>
        </w:trPr>
        <w:tc>
          <w:tcPr>
            <w:tcW w:w="1340" w:type="dxa"/>
            <w:vAlign w:val="bottom"/>
            <w:gridSpan w:val="5"/>
          </w:tcPr>
          <w:p>
            <w:pPr>
              <w:spacing w:after="0" w:line="135" w:lineRule="exact"/>
              <w:rPr>
                <w:sz w:val="20"/>
                <w:szCs w:val="20"/>
                <w:color w:val="auto"/>
              </w:rPr>
            </w:pPr>
            <w:r>
              <w:rPr>
                <w:rFonts w:ascii="Arial" w:cs="Arial" w:eastAsia="Arial" w:hAnsi="Arial"/>
                <w:sz w:val="13"/>
                <w:szCs w:val="13"/>
                <w:color w:val="auto"/>
              </w:rPr>
              <w:t>Gaithersburg Square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3"/>
                <w:szCs w:val="13"/>
                <w:color w:val="auto"/>
              </w:rPr>
              <w:t>Bed, Bath &amp;</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Beyond /</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Borders /</w:t>
            </w:r>
          </w:p>
        </w:tc>
      </w:tr>
      <w:tr>
        <w:trPr>
          <w:trHeight w:val="153"/>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SC Washington, DC-MD-VA-WV</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1993</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23,812</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218,000</w:t>
            </w:r>
          </w:p>
        </w:tc>
        <w:tc>
          <w:tcPr>
            <w:tcW w:w="4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89%</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auto"/>
              </w:rPr>
              <w:t>Ross</w:t>
            </w:r>
          </w:p>
        </w:tc>
      </w:tr>
      <w:tr>
        <w:trPr>
          <w:trHeight w:val="144"/>
        </w:trPr>
        <w:tc>
          <w:tcPr>
            <w:tcW w:w="13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Idylwood Plaza</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80" w:type="dxa"/>
            <w:vAlign w:val="bottom"/>
            <w:tcBorders>
              <w:left w:val="single" w:sz="8" w:color="CCEEFF"/>
            </w:tcBorders>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SC Washington, DC-MD-VA-WV</w:t>
            </w:r>
          </w:p>
        </w:tc>
        <w:tc>
          <w:tcPr>
            <w:tcW w:w="68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1994</w:t>
            </w:r>
          </w:p>
        </w:tc>
        <w:tc>
          <w:tcPr>
            <w:tcW w:w="8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14,868</w:t>
            </w: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73,000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100%</w:t>
            </w:r>
          </w:p>
        </w:tc>
        <w:tc>
          <w:tcPr>
            <w:tcW w:w="7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29,556</w:t>
            </w:r>
          </w:p>
        </w:tc>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Whole Foods</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35"/>
        </w:trPr>
        <w:tc>
          <w:tcPr>
            <w:tcW w:w="1340" w:type="dxa"/>
            <w:vAlign w:val="bottom"/>
            <w:gridSpan w:val="5"/>
          </w:tcPr>
          <w:p>
            <w:pPr>
              <w:spacing w:after="0" w:line="135" w:lineRule="exact"/>
              <w:rPr>
                <w:sz w:val="20"/>
                <w:szCs w:val="20"/>
                <w:color w:val="auto"/>
              </w:rPr>
            </w:pPr>
            <w:r>
              <w:rPr>
                <w:rFonts w:ascii="Arial" w:cs="Arial" w:eastAsia="Arial" w:hAnsi="Arial"/>
                <w:sz w:val="13"/>
                <w:szCs w:val="13"/>
                <w:color w:val="auto"/>
              </w:rPr>
              <w:t>Laurel</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3"/>
                <w:szCs w:val="13"/>
                <w:color w:val="auto"/>
              </w:rPr>
              <w:t>Marshalls /</w:t>
            </w:r>
          </w:p>
        </w:tc>
      </w:tr>
      <w:tr>
        <w:trPr>
          <w:trHeight w:val="153"/>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SC Washington, DC-MD-VA-WV</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1986</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45,620</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99.9%</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384,000</w:t>
            </w:r>
          </w:p>
        </w:tc>
        <w:tc>
          <w:tcPr>
            <w:tcW w:w="4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94%</w:t>
            </w:r>
          </w:p>
        </w:tc>
        <w:tc>
          <w:tcPr>
            <w:tcW w:w="760" w:type="dxa"/>
            <w:vAlign w:val="bottom"/>
          </w:tcPr>
          <w:p>
            <w:pPr>
              <w:spacing w:after="0"/>
              <w:rPr>
                <w:sz w:val="13"/>
                <w:szCs w:val="13"/>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39,500</w:t>
            </w:r>
          </w:p>
        </w:tc>
        <w:tc>
          <w:tcPr>
            <w:tcW w:w="1400" w:type="dxa"/>
            <w:vAlign w:val="bottom"/>
          </w:tcPr>
          <w:p>
            <w:pPr>
              <w:spacing w:after="0"/>
              <w:rPr>
                <w:sz w:val="20"/>
                <w:szCs w:val="20"/>
                <w:color w:val="auto"/>
              </w:rPr>
            </w:pPr>
            <w:r>
              <w:rPr>
                <w:rFonts w:ascii="Arial" w:cs="Arial" w:eastAsia="Arial" w:hAnsi="Arial"/>
                <w:sz w:val="13"/>
                <w:szCs w:val="13"/>
                <w:color w:val="auto"/>
              </w:rPr>
              <w:t>Giant Food</w:t>
            </w:r>
          </w:p>
        </w:tc>
        <w:tc>
          <w:tcPr>
            <w:tcW w:w="8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auto"/>
              </w:rPr>
              <w:t>Toys R Us</w:t>
            </w:r>
          </w:p>
        </w:tc>
      </w:tr>
      <w:tr>
        <w:trPr>
          <w:trHeight w:val="144"/>
        </w:trPr>
        <w:tc>
          <w:tcPr>
            <w:tcW w:w="13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Leesburg Plaza</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80" w:type="dxa"/>
            <w:vAlign w:val="bottom"/>
            <w:tcBorders>
              <w:left w:val="single" w:sz="8" w:color="CCEEFF"/>
            </w:tcBorders>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SC Washington, DC-MD-VA-WV</w:t>
            </w:r>
          </w:p>
        </w:tc>
        <w:tc>
          <w:tcPr>
            <w:tcW w:w="68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1998</w:t>
            </w:r>
          </w:p>
        </w:tc>
        <w:tc>
          <w:tcPr>
            <w:tcW w:w="8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20,381</w:t>
            </w:r>
          </w:p>
        </w:tc>
        <w:tc>
          <w:tcPr>
            <w:tcW w:w="7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247,000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65%</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9,900</w:t>
            </w:r>
          </w:p>
        </w:tc>
        <w:tc>
          <w:tcPr>
            <w:tcW w:w="64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55,330</w:t>
            </w:r>
          </w:p>
        </w:tc>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Giant Food</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Peebles</w:t>
            </w:r>
          </w:p>
        </w:tc>
      </w:tr>
      <w:tr>
        <w:trPr>
          <w:trHeight w:val="135"/>
        </w:trPr>
        <w:tc>
          <w:tcPr>
            <w:tcW w:w="1340" w:type="dxa"/>
            <w:vAlign w:val="bottom"/>
            <w:gridSpan w:val="5"/>
          </w:tcPr>
          <w:p>
            <w:pPr>
              <w:spacing w:after="0" w:line="135" w:lineRule="exact"/>
              <w:rPr>
                <w:sz w:val="20"/>
                <w:szCs w:val="20"/>
                <w:color w:val="auto"/>
              </w:rPr>
            </w:pPr>
            <w:r>
              <w:rPr>
                <w:rFonts w:ascii="Arial" w:cs="Arial" w:eastAsia="Arial" w:hAnsi="Arial"/>
                <w:sz w:val="13"/>
                <w:szCs w:val="13"/>
                <w:color w:val="auto"/>
              </w:rPr>
              <w:t>Loehmann’s Plaza</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3"/>
                <w:szCs w:val="13"/>
                <w:color w:val="auto"/>
              </w:rPr>
              <w:t>Bally’s /</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Linens ‘n</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Things /</w:t>
            </w:r>
          </w:p>
        </w:tc>
      </w:tr>
      <w:tr>
        <w:trPr>
          <w:trHeight w:val="153"/>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SC Washington, DC-MD-VA-WV</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1983</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25,307</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242,000</w:t>
            </w:r>
          </w:p>
        </w:tc>
        <w:tc>
          <w:tcPr>
            <w:tcW w:w="4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100%</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auto"/>
              </w:rPr>
              <w:t>Loehmann’s</w:t>
            </w:r>
          </w:p>
        </w:tc>
      </w:tr>
      <w:tr>
        <w:trPr>
          <w:trHeight w:val="135"/>
        </w:trPr>
        <w:tc>
          <w:tcPr>
            <w:tcW w:w="1340" w:type="dxa"/>
            <w:vAlign w:val="bottom"/>
            <w:gridSpan w:val="5"/>
            <w:shd w:val="clear" w:color="auto" w:fill="CCEEFF"/>
          </w:tcPr>
          <w:p>
            <w:pPr>
              <w:spacing w:after="0" w:line="135" w:lineRule="exact"/>
              <w:rPr>
                <w:sz w:val="20"/>
                <w:szCs w:val="20"/>
                <w:color w:val="auto"/>
              </w:rPr>
            </w:pPr>
            <w:r>
              <w:rPr>
                <w:rFonts w:ascii="Arial" w:cs="Arial" w:eastAsia="Arial" w:hAnsi="Arial"/>
                <w:sz w:val="13"/>
                <w:szCs w:val="13"/>
                <w:color w:val="auto"/>
              </w:rPr>
              <w:t>Magruder’s Center</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Tuesday</w:t>
            </w:r>
          </w:p>
        </w:tc>
      </w:tr>
      <w:tr>
        <w:trPr>
          <w:trHeight w:val="153"/>
        </w:trPr>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80" w:type="dxa"/>
            <w:vAlign w:val="bottom"/>
            <w:tcBorders>
              <w:left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SC Washington, DC-MD-VA-WV</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1997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10,567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109,000</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w:t>
            </w:r>
          </w:p>
        </w:tc>
        <w:tc>
          <w:tcPr>
            <w:tcW w:w="7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30,750</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Magruders</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Morning</w:t>
            </w:r>
          </w:p>
        </w:tc>
      </w:tr>
      <w:tr>
        <w:trPr>
          <w:trHeight w:val="135"/>
        </w:trPr>
        <w:tc>
          <w:tcPr>
            <w:tcW w:w="1340" w:type="dxa"/>
            <w:vAlign w:val="bottom"/>
            <w:gridSpan w:val="5"/>
          </w:tcPr>
          <w:p>
            <w:pPr>
              <w:spacing w:after="0" w:line="135" w:lineRule="exact"/>
              <w:rPr>
                <w:sz w:val="20"/>
                <w:szCs w:val="20"/>
                <w:color w:val="auto"/>
              </w:rPr>
            </w:pPr>
            <w:r>
              <w:rPr>
                <w:rFonts w:ascii="Arial" w:cs="Arial" w:eastAsia="Arial" w:hAnsi="Arial"/>
                <w:sz w:val="13"/>
                <w:szCs w:val="13"/>
                <w:color w:val="auto"/>
              </w:rPr>
              <w:t>Mid-Pike Plaza</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3"/>
                <w:szCs w:val="13"/>
                <w:color w:val="auto"/>
              </w:rPr>
              <w:t>Linens ‘n</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Things /</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Toys R Us /</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Bally’s /</w:t>
            </w:r>
          </w:p>
        </w:tc>
      </w:tr>
      <w:tr>
        <w:trPr>
          <w:trHeight w:val="153"/>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SC Washington, DC-MD-VA-WV</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1982</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17,016</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304,000</w:t>
            </w:r>
          </w:p>
        </w:tc>
        <w:tc>
          <w:tcPr>
            <w:tcW w:w="4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100%</w:t>
            </w:r>
          </w:p>
        </w:tc>
        <w:tc>
          <w:tcPr>
            <w:tcW w:w="760" w:type="dxa"/>
            <w:vAlign w:val="bottom"/>
          </w:tcPr>
          <w:p>
            <w:pPr>
              <w:jc w:val="right"/>
              <w:spacing w:after="0"/>
              <w:rPr>
                <w:sz w:val="20"/>
                <w:szCs w:val="20"/>
                <w:color w:val="auto"/>
              </w:rPr>
            </w:pPr>
            <w:r>
              <w:rPr>
                <w:rFonts w:ascii="Arial" w:cs="Arial" w:eastAsia="Arial" w:hAnsi="Arial"/>
                <w:sz w:val="13"/>
                <w:szCs w:val="13"/>
                <w:color w:val="auto"/>
              </w:rPr>
              <w:t>10,041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auto"/>
              </w:rPr>
              <w:t>AC Moore</w:t>
            </w:r>
          </w:p>
        </w:tc>
      </w:tr>
      <w:tr>
        <w:trPr>
          <w:trHeight w:val="144"/>
        </w:trPr>
        <w:tc>
          <w:tcPr>
            <w:tcW w:w="13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Mount Vernon</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80" w:type="dxa"/>
            <w:vAlign w:val="bottom"/>
            <w:tcBorders>
              <w:left w:val="single" w:sz="8" w:color="CCEEFF"/>
            </w:tcBorders>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SC Washington, DC-MD-VA-WV</w:t>
            </w:r>
          </w:p>
        </w:tc>
        <w:tc>
          <w:tcPr>
            <w:tcW w:w="68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2003</w:t>
            </w:r>
          </w:p>
        </w:tc>
        <w:tc>
          <w:tcPr>
            <w:tcW w:w="8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19,525</w:t>
            </w:r>
          </w:p>
        </w:tc>
        <w:tc>
          <w:tcPr>
            <w:tcW w:w="7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254,000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67%</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13,210</w:t>
            </w:r>
          </w:p>
        </w:tc>
        <w:tc>
          <w:tcPr>
            <w:tcW w:w="64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53,692</w:t>
            </w:r>
          </w:p>
        </w:tc>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6"/>
              </w:rPr>
              <w:t>Shoppers Food Warehouse</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4"/>
        </w:trPr>
        <w:tc>
          <w:tcPr>
            <w:tcW w:w="1340" w:type="dxa"/>
            <w:vAlign w:val="bottom"/>
            <w:gridSpan w:val="5"/>
          </w:tcPr>
          <w:p>
            <w:pPr>
              <w:spacing w:after="0" w:line="144" w:lineRule="exact"/>
              <w:rPr>
                <w:sz w:val="20"/>
                <w:szCs w:val="20"/>
                <w:color w:val="auto"/>
              </w:rPr>
            </w:pPr>
            <w:r>
              <w:rPr>
                <w:rFonts w:ascii="Arial" w:cs="Arial" w:eastAsia="Arial" w:hAnsi="Arial"/>
                <w:sz w:val="13"/>
                <w:szCs w:val="13"/>
                <w:color w:val="auto"/>
              </w:rPr>
              <w:t>Old Keene Mill</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3"/>
          </w:tcPr>
          <w:p>
            <w:pPr>
              <w:ind w:left="80"/>
              <w:spacing w:after="0" w:line="144" w:lineRule="exact"/>
              <w:rPr>
                <w:sz w:val="20"/>
                <w:szCs w:val="20"/>
                <w:color w:val="auto"/>
              </w:rPr>
            </w:pPr>
            <w:r>
              <w:rPr>
                <w:rFonts w:ascii="Arial" w:cs="Arial" w:eastAsia="Arial" w:hAnsi="Arial"/>
                <w:sz w:val="13"/>
                <w:szCs w:val="13"/>
                <w:color w:val="auto"/>
              </w:rPr>
              <w:t>SC Washington, DC-MD-VA-WV</w:t>
            </w:r>
          </w:p>
        </w:tc>
        <w:tc>
          <w:tcPr>
            <w:tcW w:w="680" w:type="dxa"/>
            <w:vAlign w:val="bottom"/>
            <w:gridSpan w:val="3"/>
          </w:tcPr>
          <w:p>
            <w:pPr>
              <w:jc w:val="right"/>
              <w:ind w:right="60"/>
              <w:spacing w:after="0" w:line="144" w:lineRule="exact"/>
              <w:rPr>
                <w:sz w:val="20"/>
                <w:szCs w:val="20"/>
                <w:color w:val="auto"/>
              </w:rPr>
            </w:pPr>
            <w:r>
              <w:rPr>
                <w:rFonts w:ascii="Arial" w:cs="Arial" w:eastAsia="Arial" w:hAnsi="Arial"/>
                <w:sz w:val="13"/>
                <w:szCs w:val="13"/>
                <w:color w:val="auto"/>
              </w:rPr>
              <w:t>1976</w:t>
            </w:r>
          </w:p>
        </w:tc>
        <w:tc>
          <w:tcPr>
            <w:tcW w:w="8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5,046</w:t>
            </w:r>
          </w:p>
        </w:tc>
        <w:tc>
          <w:tcPr>
            <w:tcW w:w="7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92,000</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100%</w:t>
            </w:r>
          </w:p>
        </w:tc>
        <w:tc>
          <w:tcPr>
            <w:tcW w:w="760" w:type="dxa"/>
            <w:vAlign w:val="bottom"/>
          </w:tcPr>
          <w:p>
            <w:pPr>
              <w:spacing w:after="0"/>
              <w:rPr>
                <w:sz w:val="12"/>
                <w:szCs w:val="12"/>
                <w:color w:val="auto"/>
              </w:rPr>
            </w:pPr>
          </w:p>
        </w:tc>
        <w:tc>
          <w:tcPr>
            <w:tcW w:w="64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24,060</w:t>
            </w:r>
          </w:p>
        </w:tc>
        <w:tc>
          <w:tcPr>
            <w:tcW w:w="1400" w:type="dxa"/>
            <w:vAlign w:val="bottom"/>
          </w:tcPr>
          <w:p>
            <w:pPr>
              <w:spacing w:after="0" w:line="144" w:lineRule="exact"/>
              <w:rPr>
                <w:sz w:val="20"/>
                <w:szCs w:val="20"/>
                <w:color w:val="auto"/>
              </w:rPr>
            </w:pPr>
            <w:r>
              <w:rPr>
                <w:rFonts w:ascii="Arial" w:cs="Arial" w:eastAsia="Arial" w:hAnsi="Arial"/>
                <w:sz w:val="13"/>
                <w:szCs w:val="13"/>
                <w:color w:val="auto"/>
              </w:rPr>
              <w:t>Whole Foods</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1340" w:type="dxa"/>
            <w:vAlign w:val="bottom"/>
            <w:gridSpan w:val="5"/>
            <w:shd w:val="clear" w:color="auto" w:fill="CCEEFF"/>
          </w:tcPr>
          <w:p>
            <w:pPr>
              <w:spacing w:after="0" w:line="135" w:lineRule="exact"/>
              <w:rPr>
                <w:sz w:val="20"/>
                <w:szCs w:val="20"/>
                <w:color w:val="auto"/>
              </w:rPr>
            </w:pPr>
            <w:r>
              <w:rPr>
                <w:rFonts w:ascii="Arial" w:cs="Arial" w:eastAsia="Arial" w:hAnsi="Arial"/>
                <w:sz w:val="13"/>
                <w:szCs w:val="13"/>
                <w:color w:val="auto"/>
              </w:rPr>
              <w:t>Pan Am</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Micro Center /</w:t>
            </w:r>
          </w:p>
        </w:tc>
      </w:tr>
      <w:tr>
        <w:trPr>
          <w:trHeight w:val="153"/>
        </w:trPr>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80" w:type="dxa"/>
            <w:vAlign w:val="bottom"/>
            <w:tcBorders>
              <w:left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SC Washington, DC-MD-VA-WV</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1993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24,935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218,000</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c>
          <w:tcPr>
            <w:tcW w:w="7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32,725</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Safeway</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Michaels</w:t>
            </w:r>
          </w:p>
        </w:tc>
      </w:tr>
      <w:tr>
        <w:trPr>
          <w:trHeight w:val="135"/>
        </w:trPr>
        <w:tc>
          <w:tcPr>
            <w:tcW w:w="1340" w:type="dxa"/>
            <w:vAlign w:val="bottom"/>
            <w:gridSpan w:val="5"/>
          </w:tcPr>
          <w:p>
            <w:pPr>
              <w:spacing w:after="0" w:line="135" w:lineRule="exact"/>
              <w:rPr>
                <w:sz w:val="20"/>
                <w:szCs w:val="20"/>
                <w:color w:val="auto"/>
              </w:rPr>
            </w:pPr>
            <w:r>
              <w:rPr>
                <w:rFonts w:ascii="Arial" w:cs="Arial" w:eastAsia="Arial" w:hAnsi="Arial"/>
                <w:sz w:val="13"/>
                <w:szCs w:val="13"/>
                <w:color w:val="auto"/>
              </w:rPr>
              <w:t>Pentagon Row</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3"/>
                <w:szCs w:val="13"/>
                <w:color w:val="auto"/>
              </w:rPr>
              <w:t>Bally’s / Bed,</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Bath &amp;</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Beyond /</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DSW / Cost</w:t>
            </w:r>
          </w:p>
        </w:tc>
      </w:tr>
      <w:tr>
        <w:trPr>
          <w:trHeight w:val="153"/>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SR Washington, DC-MD-VA-WV</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1999</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86,737</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296,000</w:t>
            </w:r>
          </w:p>
        </w:tc>
        <w:tc>
          <w:tcPr>
            <w:tcW w:w="4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98%</w:t>
            </w:r>
          </w:p>
        </w:tc>
        <w:tc>
          <w:tcPr>
            <w:tcW w:w="760" w:type="dxa"/>
            <w:vAlign w:val="bottom"/>
          </w:tcPr>
          <w:p>
            <w:pPr>
              <w:spacing w:after="0"/>
              <w:rPr>
                <w:sz w:val="13"/>
                <w:szCs w:val="13"/>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44,623</w:t>
            </w:r>
          </w:p>
        </w:tc>
        <w:tc>
          <w:tcPr>
            <w:tcW w:w="1400" w:type="dxa"/>
            <w:vAlign w:val="bottom"/>
          </w:tcPr>
          <w:p>
            <w:pPr>
              <w:spacing w:after="0"/>
              <w:rPr>
                <w:sz w:val="20"/>
                <w:szCs w:val="20"/>
                <w:color w:val="auto"/>
              </w:rPr>
            </w:pPr>
            <w:r>
              <w:rPr>
                <w:rFonts w:ascii="Arial" w:cs="Arial" w:eastAsia="Arial" w:hAnsi="Arial"/>
                <w:sz w:val="13"/>
                <w:szCs w:val="13"/>
                <w:color w:val="auto"/>
              </w:rPr>
              <w:t>Harris Teeter</w:t>
            </w:r>
          </w:p>
        </w:tc>
        <w:tc>
          <w:tcPr>
            <w:tcW w:w="8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auto"/>
              </w:rPr>
              <w:t>Plus</w:t>
            </w:r>
          </w:p>
        </w:tc>
      </w:tr>
      <w:tr>
        <w:trPr>
          <w:trHeight w:val="135"/>
        </w:trPr>
        <w:tc>
          <w:tcPr>
            <w:tcW w:w="1340" w:type="dxa"/>
            <w:vAlign w:val="bottom"/>
            <w:gridSpan w:val="5"/>
            <w:shd w:val="clear" w:color="auto" w:fill="CCEEFF"/>
          </w:tcPr>
          <w:p>
            <w:pPr>
              <w:spacing w:after="0" w:line="135" w:lineRule="exact"/>
              <w:rPr>
                <w:sz w:val="20"/>
                <w:szCs w:val="20"/>
                <w:color w:val="auto"/>
              </w:rPr>
            </w:pPr>
            <w:r>
              <w:rPr>
                <w:rFonts w:ascii="Arial" w:cs="Arial" w:eastAsia="Arial" w:hAnsi="Arial"/>
                <w:sz w:val="13"/>
                <w:szCs w:val="13"/>
                <w:color w:val="auto"/>
              </w:rPr>
              <w:t>Pike 7</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Staples / TJ</w:t>
            </w: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Maxx /</w:t>
            </w:r>
          </w:p>
        </w:tc>
      </w:tr>
      <w:tr>
        <w:trPr>
          <w:trHeight w:val="153"/>
        </w:trPr>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80" w:type="dxa"/>
            <w:vAlign w:val="bottom"/>
            <w:tcBorders>
              <w:left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SC Washington, DC-MD-VA-WV</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1997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33,370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164,000</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Tower</w:t>
            </w:r>
          </w:p>
        </w:tc>
      </w:tr>
      <w:tr>
        <w:trPr>
          <w:trHeight w:val="135"/>
        </w:trPr>
        <w:tc>
          <w:tcPr>
            <w:tcW w:w="1340" w:type="dxa"/>
            <w:vAlign w:val="bottom"/>
            <w:gridSpan w:val="5"/>
          </w:tcPr>
          <w:p>
            <w:pPr>
              <w:spacing w:after="0" w:line="135" w:lineRule="exact"/>
              <w:rPr>
                <w:sz w:val="20"/>
                <w:szCs w:val="20"/>
                <w:color w:val="auto"/>
              </w:rPr>
            </w:pPr>
            <w:r>
              <w:rPr>
                <w:rFonts w:ascii="Arial" w:cs="Arial" w:eastAsia="Arial" w:hAnsi="Arial"/>
                <w:sz w:val="13"/>
                <w:szCs w:val="13"/>
                <w:color w:val="auto"/>
              </w:rPr>
              <w:t>Quince Orchard</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3"/>
                <w:szCs w:val="13"/>
                <w:color w:val="auto"/>
              </w:rPr>
              <w:t>Circuit City /</w:t>
            </w:r>
          </w:p>
        </w:tc>
      </w:tr>
      <w:tr>
        <w:trPr>
          <w:trHeight w:val="153"/>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SC Washington, DC-MD-VA-WV</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1993</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19,052</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241,000</w:t>
            </w:r>
          </w:p>
        </w:tc>
        <w:tc>
          <w:tcPr>
            <w:tcW w:w="4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97%</w:t>
            </w:r>
          </w:p>
        </w:tc>
        <w:tc>
          <w:tcPr>
            <w:tcW w:w="760" w:type="dxa"/>
            <w:vAlign w:val="bottom"/>
          </w:tcPr>
          <w:p>
            <w:pPr>
              <w:spacing w:after="0"/>
              <w:rPr>
                <w:sz w:val="13"/>
                <w:szCs w:val="13"/>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23,640</w:t>
            </w:r>
          </w:p>
        </w:tc>
        <w:tc>
          <w:tcPr>
            <w:tcW w:w="1400" w:type="dxa"/>
            <w:vAlign w:val="bottom"/>
          </w:tcPr>
          <w:p>
            <w:pPr>
              <w:spacing w:after="0"/>
              <w:rPr>
                <w:sz w:val="20"/>
                <w:szCs w:val="20"/>
                <w:color w:val="auto"/>
              </w:rPr>
            </w:pPr>
            <w:r>
              <w:rPr>
                <w:rFonts w:ascii="Arial" w:cs="Arial" w:eastAsia="Arial" w:hAnsi="Arial"/>
                <w:sz w:val="13"/>
                <w:szCs w:val="13"/>
                <w:color w:val="auto"/>
              </w:rPr>
              <w:t>Magruders</w:t>
            </w:r>
          </w:p>
        </w:tc>
        <w:tc>
          <w:tcPr>
            <w:tcW w:w="8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auto"/>
              </w:rPr>
              <w:t>Staples</w:t>
            </w:r>
          </w:p>
        </w:tc>
      </w:tr>
      <w:tr>
        <w:trPr>
          <w:trHeight w:val="144"/>
        </w:trPr>
        <w:tc>
          <w:tcPr>
            <w:tcW w:w="13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w w:val="93"/>
              </w:rPr>
              <w:t>Rollingwood Apartments</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80" w:type="dxa"/>
            <w:vAlign w:val="bottom"/>
            <w:tcBorders>
              <w:left w:val="single" w:sz="8" w:color="CCEEFF"/>
            </w:tcBorders>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SR Washington, DC-MD-VA-WV</w:t>
            </w:r>
          </w:p>
        </w:tc>
        <w:tc>
          <w:tcPr>
            <w:tcW w:w="68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1971</w:t>
            </w:r>
          </w:p>
        </w:tc>
        <w:tc>
          <w:tcPr>
            <w:tcW w:w="8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6,684</w:t>
            </w: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N/A</w:t>
            </w:r>
          </w:p>
        </w:tc>
        <w:tc>
          <w:tcPr>
            <w:tcW w:w="6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99%</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4"/>
        </w:trPr>
        <w:tc>
          <w:tcPr>
            <w:tcW w:w="1340" w:type="dxa"/>
            <w:vAlign w:val="bottom"/>
            <w:gridSpan w:val="5"/>
          </w:tcPr>
          <w:p>
            <w:pPr>
              <w:spacing w:after="0" w:line="144" w:lineRule="exact"/>
              <w:rPr>
                <w:sz w:val="20"/>
                <w:szCs w:val="20"/>
                <w:color w:val="auto"/>
              </w:rPr>
            </w:pPr>
            <w:r>
              <w:rPr>
                <w:rFonts w:ascii="Arial" w:cs="Arial" w:eastAsia="Arial" w:hAnsi="Arial"/>
                <w:sz w:val="13"/>
                <w:szCs w:val="13"/>
                <w:color w:val="auto"/>
              </w:rPr>
              <w:t>Sam’s Park &amp; Shop</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3"/>
          </w:tcPr>
          <w:p>
            <w:pPr>
              <w:ind w:left="80"/>
              <w:spacing w:after="0" w:line="144" w:lineRule="exact"/>
              <w:rPr>
                <w:sz w:val="20"/>
                <w:szCs w:val="20"/>
                <w:color w:val="auto"/>
              </w:rPr>
            </w:pPr>
            <w:r>
              <w:rPr>
                <w:rFonts w:ascii="Arial" w:cs="Arial" w:eastAsia="Arial" w:hAnsi="Arial"/>
                <w:sz w:val="13"/>
                <w:szCs w:val="13"/>
                <w:color w:val="auto"/>
              </w:rPr>
              <w:t>SR Washington, DC-MD-VA-WV</w:t>
            </w:r>
          </w:p>
        </w:tc>
        <w:tc>
          <w:tcPr>
            <w:tcW w:w="680" w:type="dxa"/>
            <w:vAlign w:val="bottom"/>
            <w:gridSpan w:val="3"/>
          </w:tcPr>
          <w:p>
            <w:pPr>
              <w:jc w:val="right"/>
              <w:ind w:right="60"/>
              <w:spacing w:after="0" w:line="144" w:lineRule="exact"/>
              <w:rPr>
                <w:sz w:val="20"/>
                <w:szCs w:val="20"/>
                <w:color w:val="auto"/>
              </w:rPr>
            </w:pPr>
            <w:r>
              <w:rPr>
                <w:rFonts w:ascii="Arial" w:cs="Arial" w:eastAsia="Arial" w:hAnsi="Arial"/>
                <w:sz w:val="13"/>
                <w:szCs w:val="13"/>
                <w:color w:val="auto"/>
              </w:rPr>
              <w:t>1995</w:t>
            </w:r>
          </w:p>
        </w:tc>
        <w:tc>
          <w:tcPr>
            <w:tcW w:w="8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11,785</w:t>
            </w:r>
          </w:p>
        </w:tc>
        <w:tc>
          <w:tcPr>
            <w:tcW w:w="7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50,000</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100%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line="144" w:lineRule="exact"/>
              <w:rPr>
                <w:sz w:val="20"/>
                <w:szCs w:val="20"/>
                <w:color w:val="auto"/>
              </w:rPr>
            </w:pPr>
            <w:r>
              <w:rPr>
                <w:rFonts w:ascii="Arial" w:cs="Arial" w:eastAsia="Arial" w:hAnsi="Arial"/>
                <w:sz w:val="13"/>
                <w:szCs w:val="13"/>
                <w:color w:val="auto"/>
              </w:rPr>
              <w:t>Petco</w:t>
            </w:r>
          </w:p>
        </w:tc>
      </w:tr>
      <w:tr>
        <w:trPr>
          <w:trHeight w:val="135"/>
        </w:trPr>
        <w:tc>
          <w:tcPr>
            <w:tcW w:w="1340" w:type="dxa"/>
            <w:vAlign w:val="bottom"/>
            <w:gridSpan w:val="5"/>
            <w:shd w:val="clear" w:color="auto" w:fill="CCEEFF"/>
          </w:tcPr>
          <w:p>
            <w:pPr>
              <w:spacing w:after="0" w:line="135" w:lineRule="exact"/>
              <w:rPr>
                <w:sz w:val="20"/>
                <w:szCs w:val="20"/>
                <w:color w:val="auto"/>
              </w:rPr>
            </w:pPr>
            <w:r>
              <w:rPr>
                <w:rFonts w:ascii="Arial" w:cs="Arial" w:eastAsia="Arial" w:hAnsi="Arial"/>
                <w:sz w:val="13"/>
                <w:szCs w:val="13"/>
                <w:color w:val="auto"/>
              </w:rPr>
              <w:t>South Valley</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Home Depot /</w:t>
            </w:r>
          </w:p>
        </w:tc>
      </w:tr>
      <w:tr>
        <w:trPr>
          <w:trHeight w:val="153"/>
        </w:trPr>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80" w:type="dxa"/>
            <w:vAlign w:val="bottom"/>
            <w:tcBorders>
              <w:left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SC Washington, DC-MD-VA-WV</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2003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14,139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218,000</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84%</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TJ Maxx</w:t>
            </w:r>
          </w:p>
        </w:tc>
      </w:tr>
      <w:tr>
        <w:trPr>
          <w:trHeight w:val="135"/>
        </w:trPr>
        <w:tc>
          <w:tcPr>
            <w:tcW w:w="1340" w:type="dxa"/>
            <w:vAlign w:val="bottom"/>
            <w:gridSpan w:val="5"/>
          </w:tcPr>
          <w:p>
            <w:pPr>
              <w:spacing w:after="0" w:line="135" w:lineRule="exact"/>
              <w:rPr>
                <w:sz w:val="20"/>
                <w:szCs w:val="20"/>
                <w:color w:val="auto"/>
              </w:rPr>
            </w:pPr>
            <w:r>
              <w:rPr>
                <w:rFonts w:ascii="Arial" w:cs="Arial" w:eastAsia="Arial" w:hAnsi="Arial"/>
                <w:sz w:val="13"/>
                <w:szCs w:val="13"/>
                <w:color w:val="auto"/>
              </w:rPr>
              <w:t>Tower</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3"/>
                <w:szCs w:val="13"/>
                <w:color w:val="auto"/>
              </w:rPr>
              <w:t>Virginia Fine</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Wine /</w:t>
            </w:r>
          </w:p>
        </w:tc>
      </w:tr>
      <w:tr>
        <w:trPr>
          <w:trHeight w:val="153"/>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SC Washington, DC-MD-VA-WV</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1998</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18,233</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109,000</w:t>
            </w:r>
          </w:p>
        </w:tc>
        <w:tc>
          <w:tcPr>
            <w:tcW w:w="4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91%</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auto"/>
              </w:rPr>
              <w:t>Talbot</w:t>
            </w:r>
          </w:p>
        </w:tc>
      </w:tr>
      <w:tr>
        <w:trPr>
          <w:trHeight w:val="144"/>
        </w:trPr>
        <w:tc>
          <w:tcPr>
            <w:tcW w:w="13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Tyson’s Station</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80" w:type="dxa"/>
            <w:vAlign w:val="bottom"/>
            <w:tcBorders>
              <w:left w:val="single" w:sz="8" w:color="CCEEFF"/>
            </w:tcBorders>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SC Washington, DC-MD-VA-WV</w:t>
            </w:r>
          </w:p>
        </w:tc>
        <w:tc>
          <w:tcPr>
            <w:tcW w:w="68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1978</w:t>
            </w:r>
          </w:p>
        </w:tc>
        <w:tc>
          <w:tcPr>
            <w:tcW w:w="8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3,350</w:t>
            </w: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50,000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100%</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6,812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Trader Joes</w:t>
            </w:r>
          </w:p>
        </w:tc>
      </w:tr>
      <w:tr>
        <w:trPr>
          <w:trHeight w:val="135"/>
        </w:trPr>
        <w:tc>
          <w:tcPr>
            <w:tcW w:w="1340" w:type="dxa"/>
            <w:vAlign w:val="bottom"/>
            <w:gridSpan w:val="5"/>
          </w:tcPr>
          <w:p>
            <w:pPr>
              <w:spacing w:after="0" w:line="135" w:lineRule="exact"/>
              <w:rPr>
                <w:sz w:val="20"/>
                <w:szCs w:val="20"/>
                <w:color w:val="auto"/>
              </w:rPr>
            </w:pPr>
            <w:r>
              <w:rPr>
                <w:rFonts w:ascii="Arial" w:cs="Arial" w:eastAsia="Arial" w:hAnsi="Arial"/>
                <w:sz w:val="13"/>
                <w:szCs w:val="13"/>
                <w:color w:val="auto"/>
              </w:rPr>
              <w:t>Village of Shirlington</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3"/>
                <w:szCs w:val="13"/>
                <w:color w:val="auto"/>
              </w:rPr>
              <w:t>Cineplex</w:t>
            </w:r>
          </w:p>
        </w:tc>
      </w:tr>
      <w:tr>
        <w:trPr>
          <w:trHeight w:val="153"/>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SR Washington, DC-MD-VA-WV</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1995</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32,662</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204,000</w:t>
            </w:r>
          </w:p>
        </w:tc>
        <w:tc>
          <w:tcPr>
            <w:tcW w:w="4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91%</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auto"/>
              </w:rPr>
              <w:t>Odeon</w:t>
            </w:r>
          </w:p>
        </w:tc>
      </w:tr>
      <w:tr>
        <w:trPr>
          <w:trHeight w:val="144"/>
        </w:trPr>
        <w:tc>
          <w:tcPr>
            <w:tcW w:w="13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Wildwood</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80" w:type="dxa"/>
            <w:vAlign w:val="bottom"/>
            <w:tcBorders>
              <w:left w:val="single" w:sz="8" w:color="CCEEFF"/>
            </w:tcBorders>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SC Washington, DC-MD-VA-WV</w:t>
            </w:r>
          </w:p>
        </w:tc>
        <w:tc>
          <w:tcPr>
            <w:tcW w:w="68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1969</w:t>
            </w:r>
          </w:p>
        </w:tc>
        <w:tc>
          <w:tcPr>
            <w:tcW w:w="8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16,226</w:t>
            </w: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86,000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99%</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27,600</w:t>
            </w:r>
          </w:p>
        </w:tc>
        <w:tc>
          <w:tcPr>
            <w:tcW w:w="64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20,000</w:t>
            </w:r>
          </w:p>
        </w:tc>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Sutton Place Gourmet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CVS</w:t>
            </w:r>
          </w:p>
        </w:tc>
      </w:tr>
      <w:tr>
        <w:trPr>
          <w:trHeight w:val="105"/>
        </w:trPr>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98"/>
        </w:trPr>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703,997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w w:val="93"/>
              </w:rPr>
              <w:t>4,872,000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93%</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31"/>
        </w:trPr>
        <w:tc>
          <w:tcPr>
            <w:tcW w:w="60" w:type="dxa"/>
            <w:vAlign w:val="bottom"/>
          </w:tcPr>
          <w:p>
            <w:pPr>
              <w:spacing w:after="0"/>
              <w:rPr>
                <w:sz w:val="11"/>
                <w:szCs w:val="11"/>
                <w:color w:val="auto"/>
              </w:rPr>
            </w:pPr>
          </w:p>
        </w:tc>
        <w:tc>
          <w:tcPr>
            <w:tcW w:w="1580" w:type="dxa"/>
            <w:vAlign w:val="bottom"/>
            <w:tcBorders>
              <w:bottom w:val="single" w:sz="8" w:color="auto"/>
            </w:tcBorders>
            <w:gridSpan w:val="6"/>
          </w:tcPr>
          <w:p>
            <w:pPr>
              <w:spacing w:after="0" w:line="131" w:lineRule="exact"/>
              <w:rPr>
                <w:sz w:val="20"/>
                <w:szCs w:val="20"/>
                <w:color w:val="auto"/>
              </w:rPr>
            </w:pPr>
            <w:r>
              <w:rPr>
                <w:rFonts w:ascii="Arial" w:cs="Arial" w:eastAsia="Arial" w:hAnsi="Arial"/>
                <w:sz w:val="13"/>
                <w:szCs w:val="13"/>
                <w:b w:val="1"/>
                <w:bCs w:val="1"/>
                <w:color w:val="auto"/>
                <w:w w:val="94"/>
              </w:rPr>
              <w:t>Mid-Atlantic Region -Other</w:t>
            </w:r>
          </w:p>
        </w:tc>
        <w:tc>
          <w:tcPr>
            <w:tcW w:w="460" w:type="dxa"/>
            <w:vAlign w:val="bottom"/>
            <w:gridSpan w:val="3"/>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28"/>
        </w:trPr>
        <w:tc>
          <w:tcPr>
            <w:tcW w:w="1340" w:type="dxa"/>
            <w:vAlign w:val="bottom"/>
            <w:gridSpan w:val="5"/>
            <w:shd w:val="clear" w:color="auto" w:fill="CCEEFF"/>
          </w:tcPr>
          <w:p>
            <w:pPr>
              <w:spacing w:after="0" w:line="128" w:lineRule="exact"/>
              <w:rPr>
                <w:sz w:val="20"/>
                <w:szCs w:val="20"/>
                <w:color w:val="auto"/>
              </w:rPr>
            </w:pPr>
            <w:r>
              <w:rPr>
                <w:rFonts w:ascii="Arial" w:cs="Arial" w:eastAsia="Arial" w:hAnsi="Arial"/>
                <w:sz w:val="13"/>
                <w:szCs w:val="13"/>
                <w:color w:val="auto"/>
              </w:rPr>
              <w:t>Governor Plaza</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Bally’s /</w:t>
            </w: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Comp USA</w:t>
            </w: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 Syms /</w:t>
            </w: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Office</w:t>
            </w:r>
          </w:p>
        </w:tc>
      </w:tr>
      <w:tr>
        <w:trPr>
          <w:trHeight w:val="153"/>
        </w:trPr>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80" w:type="dxa"/>
            <w:vAlign w:val="bottom"/>
            <w:tcBorders>
              <w:left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SC Baltimore, MD</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1985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18,233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268,000</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98%</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Depot</w:t>
            </w:r>
          </w:p>
        </w:tc>
      </w:tr>
      <w:tr>
        <w:trPr>
          <w:trHeight w:val="135"/>
        </w:trPr>
        <w:tc>
          <w:tcPr>
            <w:tcW w:w="1340" w:type="dxa"/>
            <w:vAlign w:val="bottom"/>
            <w:gridSpan w:val="5"/>
          </w:tcPr>
          <w:p>
            <w:pPr>
              <w:spacing w:after="0" w:line="135" w:lineRule="exact"/>
              <w:rPr>
                <w:sz w:val="20"/>
                <w:szCs w:val="20"/>
                <w:color w:val="auto"/>
              </w:rPr>
            </w:pPr>
            <w:r>
              <w:rPr>
                <w:rFonts w:ascii="Arial" w:cs="Arial" w:eastAsia="Arial" w:hAnsi="Arial"/>
                <w:sz w:val="13"/>
                <w:szCs w:val="13"/>
                <w:color w:val="auto"/>
              </w:rPr>
              <w:t>Perring Plaza</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3"/>
                <w:szCs w:val="13"/>
                <w:color w:val="auto"/>
              </w:rPr>
              <w:t>Home Depot /</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Burlington</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Coat</w:t>
            </w:r>
          </w:p>
        </w:tc>
      </w:tr>
      <w:tr>
        <w:trPr>
          <w:trHeight w:val="153"/>
        </w:trPr>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SC Baltimore, MD</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1985</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23,981</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99.9%</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412,000</w:t>
            </w:r>
          </w:p>
        </w:tc>
        <w:tc>
          <w:tcPr>
            <w:tcW w:w="4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88%</w:t>
            </w:r>
          </w:p>
        </w:tc>
        <w:tc>
          <w:tcPr>
            <w:tcW w:w="760" w:type="dxa"/>
            <w:vAlign w:val="bottom"/>
          </w:tcPr>
          <w:p>
            <w:pPr>
              <w:spacing w:after="0"/>
              <w:rPr>
                <w:sz w:val="13"/>
                <w:szCs w:val="13"/>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57,706</w:t>
            </w:r>
          </w:p>
        </w:tc>
        <w:tc>
          <w:tcPr>
            <w:tcW w:w="1400" w:type="dxa"/>
            <w:vAlign w:val="bottom"/>
          </w:tcPr>
          <w:p>
            <w:pPr>
              <w:spacing w:after="0"/>
              <w:rPr>
                <w:sz w:val="20"/>
                <w:szCs w:val="20"/>
                <w:color w:val="auto"/>
              </w:rPr>
            </w:pPr>
            <w:r>
              <w:rPr>
                <w:rFonts w:ascii="Arial" w:cs="Arial" w:eastAsia="Arial" w:hAnsi="Arial"/>
                <w:sz w:val="13"/>
                <w:szCs w:val="13"/>
                <w:color w:val="auto"/>
              </w:rPr>
              <w:t>Metro Foods</w:t>
            </w:r>
          </w:p>
        </w:tc>
        <w:tc>
          <w:tcPr>
            <w:tcW w:w="8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auto"/>
              </w:rPr>
              <w:t>Factory</w:t>
            </w:r>
          </w:p>
        </w:tc>
      </w:tr>
      <w:tr>
        <w:trPr>
          <w:trHeight w:val="135"/>
        </w:trPr>
        <w:tc>
          <w:tcPr>
            <w:tcW w:w="1340" w:type="dxa"/>
            <w:vAlign w:val="bottom"/>
            <w:gridSpan w:val="5"/>
            <w:shd w:val="clear" w:color="auto" w:fill="CCEEFF"/>
          </w:tcPr>
          <w:p>
            <w:pPr>
              <w:spacing w:after="0" w:line="135" w:lineRule="exact"/>
              <w:rPr>
                <w:sz w:val="20"/>
                <w:szCs w:val="20"/>
                <w:color w:val="auto"/>
              </w:rPr>
            </w:pPr>
            <w:r>
              <w:rPr>
                <w:rFonts w:ascii="Arial" w:cs="Arial" w:eastAsia="Arial" w:hAnsi="Arial"/>
                <w:sz w:val="13"/>
                <w:szCs w:val="13"/>
                <w:color w:val="auto"/>
              </w:rPr>
              <w:t>Barracks Road</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Bed, Bath &amp;</w:t>
            </w: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Beyond /</w:t>
            </w: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Barnes &amp;</w:t>
            </w: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Noble / Old</w:t>
            </w:r>
          </w:p>
        </w:tc>
      </w:tr>
      <w:tr>
        <w:trPr>
          <w:trHeight w:val="153"/>
        </w:trPr>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80" w:type="dxa"/>
            <w:vAlign w:val="bottom"/>
            <w:tcBorders>
              <w:left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SC Charlottesville, VA</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1985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39,529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483,000</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44,300</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91,032</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Harris Teeter / Kroger</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Navy</w:t>
            </w:r>
          </w:p>
        </w:tc>
      </w:tr>
      <w:tr>
        <w:trPr>
          <w:trHeight w:val="144"/>
        </w:trPr>
        <w:tc>
          <w:tcPr>
            <w:tcW w:w="1340" w:type="dxa"/>
            <w:vAlign w:val="bottom"/>
            <w:gridSpan w:val="5"/>
          </w:tcPr>
          <w:p>
            <w:pPr>
              <w:spacing w:after="0" w:line="144" w:lineRule="exact"/>
              <w:rPr>
                <w:sz w:val="20"/>
                <w:szCs w:val="20"/>
                <w:color w:val="auto"/>
              </w:rPr>
            </w:pPr>
            <w:r>
              <w:rPr>
                <w:rFonts w:ascii="Arial" w:cs="Arial" w:eastAsia="Arial" w:hAnsi="Arial"/>
                <w:sz w:val="13"/>
                <w:szCs w:val="13"/>
                <w:color w:val="auto"/>
              </w:rPr>
              <w:t>Winter Park</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3"/>
          </w:tcPr>
          <w:p>
            <w:pPr>
              <w:ind w:left="80"/>
              <w:spacing w:after="0" w:line="144" w:lineRule="exact"/>
              <w:rPr>
                <w:sz w:val="20"/>
                <w:szCs w:val="20"/>
                <w:color w:val="auto"/>
              </w:rPr>
            </w:pPr>
            <w:r>
              <w:rPr>
                <w:rFonts w:ascii="Arial" w:cs="Arial" w:eastAsia="Arial" w:hAnsi="Arial"/>
                <w:sz w:val="13"/>
                <w:szCs w:val="13"/>
                <w:color w:val="auto"/>
              </w:rPr>
              <w:t>SR Orlando, FL</w:t>
            </w:r>
          </w:p>
        </w:tc>
        <w:tc>
          <w:tcPr>
            <w:tcW w:w="680" w:type="dxa"/>
            <w:vAlign w:val="bottom"/>
            <w:gridSpan w:val="3"/>
          </w:tcPr>
          <w:p>
            <w:pPr>
              <w:jc w:val="right"/>
              <w:ind w:right="60"/>
              <w:spacing w:after="0" w:line="144" w:lineRule="exact"/>
              <w:rPr>
                <w:sz w:val="20"/>
                <w:szCs w:val="20"/>
                <w:color w:val="auto"/>
              </w:rPr>
            </w:pPr>
            <w:r>
              <w:rPr>
                <w:rFonts w:ascii="Arial" w:cs="Arial" w:eastAsia="Arial" w:hAnsi="Arial"/>
                <w:sz w:val="13"/>
                <w:szCs w:val="13"/>
                <w:color w:val="auto"/>
              </w:rPr>
              <w:t>1996</w:t>
            </w:r>
          </w:p>
        </w:tc>
        <w:tc>
          <w:tcPr>
            <w:tcW w:w="8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6,876</w:t>
            </w:r>
          </w:p>
        </w:tc>
        <w:tc>
          <w:tcPr>
            <w:tcW w:w="7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29,000</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100%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134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auto"/>
              </w:rPr>
              <w:t>Eastgate</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80" w:type="dxa"/>
            <w:vAlign w:val="bottom"/>
            <w:tcBorders>
              <w:left w:val="single" w:sz="8" w:color="CCEEFF"/>
            </w:tcBorders>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w w:val="99"/>
              </w:rPr>
              <w:t>SC Raleigh-Durham-Chapel Hill, NC</w:t>
            </w:r>
          </w:p>
        </w:tc>
        <w:tc>
          <w:tcPr>
            <w:tcW w:w="68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1986</w:t>
            </w:r>
          </w:p>
        </w:tc>
        <w:tc>
          <w:tcPr>
            <w:tcW w:w="8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15,229</w:t>
            </w:r>
          </w:p>
        </w:tc>
        <w:tc>
          <w:tcPr>
            <w:tcW w:w="7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159,000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93%</w:t>
            </w:r>
          </w:p>
        </w:tc>
        <w:tc>
          <w:tcPr>
            <w:tcW w:w="7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22,938</w:t>
            </w:r>
          </w:p>
        </w:tc>
        <w:tc>
          <w:tcPr>
            <w:tcW w:w="14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Southern Season (7)</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35"/>
        </w:trPr>
        <w:tc>
          <w:tcPr>
            <w:tcW w:w="1340" w:type="dxa"/>
            <w:vAlign w:val="bottom"/>
            <w:gridSpan w:val="5"/>
          </w:tcPr>
          <w:p>
            <w:pPr>
              <w:spacing w:after="0" w:line="135" w:lineRule="exact"/>
              <w:rPr>
                <w:sz w:val="20"/>
                <w:szCs w:val="20"/>
                <w:color w:val="auto"/>
              </w:rPr>
            </w:pPr>
            <w:r>
              <w:rPr>
                <w:rFonts w:ascii="Arial" w:cs="Arial" w:eastAsia="Arial" w:hAnsi="Arial"/>
                <w:sz w:val="13"/>
                <w:szCs w:val="13"/>
                <w:color w:val="auto"/>
              </w:rPr>
              <w:t>Shops at Willow Lawn</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3"/>
                <w:szCs w:val="13"/>
                <w:color w:val="auto"/>
              </w:rPr>
              <w:t>Dillard’s / Old</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Navy /</w:t>
            </w: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0"/>
              <w:spacing w:after="0" w:line="144" w:lineRule="exact"/>
              <w:rPr>
                <w:sz w:val="20"/>
                <w:szCs w:val="20"/>
                <w:color w:val="auto"/>
              </w:rPr>
            </w:pPr>
            <w:r>
              <w:rPr>
                <w:rFonts w:ascii="Arial" w:cs="Arial" w:eastAsia="Arial" w:hAnsi="Arial"/>
                <w:sz w:val="13"/>
                <w:szCs w:val="13"/>
                <w:color w:val="auto"/>
              </w:rPr>
              <w:t>Tower</w:t>
            </w:r>
          </w:p>
        </w:tc>
      </w:tr>
      <w:tr>
        <w:trPr>
          <w:trHeight w:val="164"/>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3"/>
          </w:tcPr>
          <w:p>
            <w:pPr>
              <w:ind w:left="80"/>
              <w:spacing w:after="0"/>
              <w:rPr>
                <w:sz w:val="20"/>
                <w:szCs w:val="20"/>
                <w:color w:val="auto"/>
              </w:rPr>
            </w:pPr>
            <w:r>
              <w:rPr>
                <w:rFonts w:ascii="Arial" w:cs="Arial" w:eastAsia="Arial" w:hAnsi="Arial"/>
                <w:sz w:val="13"/>
                <w:szCs w:val="13"/>
                <w:color w:val="auto"/>
              </w:rPr>
              <w:t>SC Richmond-Petersburg, VA</w:t>
            </w:r>
          </w:p>
        </w:tc>
        <w:tc>
          <w:tcPr>
            <w:tcW w:w="680" w:type="dxa"/>
            <w:vAlign w:val="bottom"/>
            <w:gridSpan w:val="3"/>
          </w:tcPr>
          <w:p>
            <w:pPr>
              <w:jc w:val="right"/>
              <w:ind w:right="60"/>
              <w:spacing w:after="0"/>
              <w:rPr>
                <w:sz w:val="20"/>
                <w:szCs w:val="20"/>
                <w:color w:val="auto"/>
              </w:rPr>
            </w:pPr>
            <w:r>
              <w:rPr>
                <w:rFonts w:ascii="Arial" w:cs="Arial" w:eastAsia="Arial" w:hAnsi="Arial"/>
                <w:sz w:val="13"/>
                <w:szCs w:val="13"/>
                <w:color w:val="auto"/>
              </w:rPr>
              <w:t>1983</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62,799</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99.9%</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492,000</w:t>
            </w:r>
          </w:p>
        </w:tc>
        <w:tc>
          <w:tcPr>
            <w:tcW w:w="4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87%</w:t>
            </w:r>
          </w:p>
        </w:tc>
        <w:tc>
          <w:tcPr>
            <w:tcW w:w="76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59,600</w:t>
            </w:r>
          </w:p>
        </w:tc>
        <w:tc>
          <w:tcPr>
            <w:tcW w:w="1400" w:type="dxa"/>
            <w:vAlign w:val="bottom"/>
          </w:tcPr>
          <w:p>
            <w:pPr>
              <w:spacing w:after="0"/>
              <w:rPr>
                <w:sz w:val="20"/>
                <w:szCs w:val="20"/>
                <w:color w:val="auto"/>
              </w:rPr>
            </w:pPr>
            <w:r>
              <w:rPr>
                <w:rFonts w:ascii="Arial" w:cs="Arial" w:eastAsia="Arial" w:hAnsi="Arial"/>
                <w:sz w:val="13"/>
                <w:szCs w:val="13"/>
                <w:color w:val="auto"/>
              </w:rPr>
              <w:t>Kroger</w:t>
            </w:r>
          </w:p>
        </w:tc>
        <w:tc>
          <w:tcPr>
            <w:tcW w:w="8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Arial" w:cs="Arial" w:eastAsia="Arial" w:hAnsi="Arial"/>
                <w:sz w:val="13"/>
                <w:szCs w:val="13"/>
                <w:color w:val="auto"/>
              </w:rPr>
              <w:t>Records</w:t>
            </w:r>
          </w:p>
        </w:tc>
      </w:tr>
      <w:tr>
        <w:trPr>
          <w:trHeight w:val="93"/>
        </w:trPr>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98"/>
        </w:trPr>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166,647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w w:val="93"/>
              </w:rPr>
              <w:t>1,843,000</w:t>
            </w: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93%</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4"/>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line="144" w:lineRule="exact"/>
              <w:rPr>
                <w:sz w:val="20"/>
                <w:szCs w:val="20"/>
                <w:color w:val="auto"/>
              </w:rPr>
            </w:pPr>
            <w:r>
              <w:rPr>
                <w:rFonts w:ascii="Arial" w:cs="Arial" w:eastAsia="Arial" w:hAnsi="Arial"/>
                <w:sz w:val="13"/>
                <w:szCs w:val="13"/>
                <w:b w:val="1"/>
                <w:bCs w:val="1"/>
                <w:color w:val="auto"/>
              </w:rPr>
              <w:t>Total Mid-Atlantic Region</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870,644</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4" w:lineRule="exact"/>
              <w:rPr>
                <w:sz w:val="20"/>
                <w:szCs w:val="20"/>
                <w:color w:val="auto"/>
              </w:rPr>
            </w:pPr>
            <w:r>
              <w:rPr>
                <w:rFonts w:ascii="Arial" w:cs="Arial" w:eastAsia="Arial" w:hAnsi="Arial"/>
                <w:sz w:val="13"/>
                <w:szCs w:val="13"/>
                <w:color w:val="auto"/>
                <w:w w:val="93"/>
              </w:rPr>
              <w:t>6,715,000</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93%</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1"/>
        </w:trPr>
        <w:tc>
          <w:tcPr>
            <w:tcW w:w="1340" w:type="dxa"/>
            <w:vAlign w:val="bottom"/>
            <w:gridSpan w:val="5"/>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Northeast Region</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r>
      <w:tr>
        <w:trPr>
          <w:trHeight w:val="228"/>
        </w:trPr>
        <w:tc>
          <w:tcPr>
            <w:tcW w:w="60" w:type="dxa"/>
            <w:vAlign w:val="bottom"/>
          </w:tcPr>
          <w:p>
            <w:pPr>
              <w:spacing w:after="0"/>
              <w:rPr>
                <w:sz w:val="19"/>
                <w:szCs w:val="19"/>
                <w:color w:val="auto"/>
              </w:rPr>
            </w:pPr>
          </w:p>
        </w:tc>
        <w:tc>
          <w:tcPr>
            <w:tcW w:w="2040" w:type="dxa"/>
            <w:vAlign w:val="bottom"/>
            <w:gridSpan w:val="9"/>
          </w:tcPr>
          <w:p>
            <w:pPr>
              <w:spacing w:after="0"/>
              <w:rPr>
                <w:sz w:val="20"/>
                <w:szCs w:val="20"/>
                <w:color w:val="auto"/>
              </w:rPr>
            </w:pPr>
            <w:r>
              <w:rPr>
                <w:rFonts w:ascii="Arial" w:cs="Arial" w:eastAsia="Arial" w:hAnsi="Arial"/>
                <w:sz w:val="13"/>
                <w:szCs w:val="13"/>
                <w:b w:val="1"/>
                <w:bCs w:val="1"/>
                <w:color w:val="auto"/>
              </w:rPr>
              <w:t>Philadelphia Metropolitan Area</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37"/>
        </w:trPr>
        <w:tc>
          <w:tcPr>
            <w:tcW w:w="1340" w:type="dxa"/>
            <w:vAlign w:val="bottom"/>
            <w:gridSpan w:val="5"/>
            <w:shd w:val="clear" w:color="auto" w:fill="CCEEFF"/>
          </w:tcPr>
          <w:p>
            <w:pPr>
              <w:spacing w:after="0" w:line="137" w:lineRule="exact"/>
              <w:rPr>
                <w:sz w:val="20"/>
                <w:szCs w:val="20"/>
                <w:color w:val="auto"/>
              </w:rPr>
            </w:pPr>
            <w:r>
              <w:rPr>
                <w:rFonts w:ascii="Arial" w:cs="Arial" w:eastAsia="Arial" w:hAnsi="Arial"/>
                <w:sz w:val="13"/>
                <w:szCs w:val="13"/>
                <w:color w:val="auto"/>
              </w:rPr>
              <w:t>Andorra</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180" w:type="dxa"/>
            <w:vAlign w:val="bottom"/>
            <w:tcBorders>
              <w:left w:val="single" w:sz="8" w:color="CCEEFF"/>
            </w:tcBorders>
            <w:gridSpan w:val="3"/>
            <w:shd w:val="clear" w:color="auto" w:fill="CCEEFF"/>
          </w:tcPr>
          <w:p>
            <w:pPr>
              <w:ind w:left="80"/>
              <w:spacing w:after="0" w:line="137" w:lineRule="exact"/>
              <w:rPr>
                <w:sz w:val="20"/>
                <w:szCs w:val="20"/>
                <w:color w:val="auto"/>
              </w:rPr>
            </w:pPr>
            <w:r>
              <w:rPr>
                <w:rFonts w:ascii="Arial" w:cs="Arial" w:eastAsia="Arial" w:hAnsi="Arial"/>
                <w:sz w:val="13"/>
                <w:szCs w:val="13"/>
                <w:color w:val="auto"/>
              </w:rPr>
              <w:t>SC Philadelphia, PA-NJ</w:t>
            </w:r>
          </w:p>
        </w:tc>
        <w:tc>
          <w:tcPr>
            <w:tcW w:w="680" w:type="dxa"/>
            <w:vAlign w:val="bottom"/>
            <w:gridSpan w:val="3"/>
            <w:shd w:val="clear" w:color="auto" w:fill="CCEEFF"/>
          </w:tcPr>
          <w:p>
            <w:pPr>
              <w:jc w:val="right"/>
              <w:ind w:right="60"/>
              <w:spacing w:after="0" w:line="137" w:lineRule="exact"/>
              <w:rPr>
                <w:sz w:val="20"/>
                <w:szCs w:val="20"/>
                <w:color w:val="auto"/>
              </w:rPr>
            </w:pPr>
            <w:r>
              <w:rPr>
                <w:rFonts w:ascii="Arial" w:cs="Arial" w:eastAsia="Arial" w:hAnsi="Arial"/>
                <w:sz w:val="13"/>
                <w:szCs w:val="13"/>
                <w:color w:val="auto"/>
              </w:rPr>
              <w:t>1988</w:t>
            </w:r>
          </w:p>
        </w:tc>
        <w:tc>
          <w:tcPr>
            <w:tcW w:w="8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color w:val="auto"/>
              </w:rPr>
              <w:t>19,153</w:t>
            </w:r>
          </w:p>
        </w:tc>
        <w:tc>
          <w:tcPr>
            <w:tcW w:w="7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3"/>
                <w:szCs w:val="13"/>
                <w:color w:val="auto"/>
              </w:rPr>
              <w:t>99.9%</w:t>
            </w:r>
          </w:p>
        </w:tc>
        <w:tc>
          <w:tcPr>
            <w:tcW w:w="5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color w:val="auto"/>
              </w:rPr>
              <w:t>259,000</w:t>
            </w:r>
          </w:p>
        </w:tc>
        <w:tc>
          <w:tcPr>
            <w:tcW w:w="4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37" w:lineRule="exact"/>
              <w:rPr>
                <w:sz w:val="20"/>
                <w:szCs w:val="20"/>
                <w:color w:val="auto"/>
              </w:rPr>
            </w:pPr>
            <w:r>
              <w:rPr>
                <w:rFonts w:ascii="Arial" w:cs="Arial" w:eastAsia="Arial" w:hAnsi="Arial"/>
                <w:sz w:val="13"/>
                <w:szCs w:val="13"/>
                <w:color w:val="auto"/>
              </w:rPr>
              <w:t>96%</w:t>
            </w:r>
          </w:p>
        </w:tc>
        <w:tc>
          <w:tcPr>
            <w:tcW w:w="7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80"/>
              <w:spacing w:after="0" w:line="137" w:lineRule="exact"/>
              <w:rPr>
                <w:sz w:val="20"/>
                <w:szCs w:val="20"/>
                <w:color w:val="auto"/>
              </w:rPr>
            </w:pPr>
            <w:r>
              <w:rPr>
                <w:rFonts w:ascii="Arial" w:cs="Arial" w:eastAsia="Arial" w:hAnsi="Arial"/>
                <w:sz w:val="13"/>
                <w:szCs w:val="13"/>
                <w:color w:val="auto"/>
              </w:rPr>
              <w:t>23,542</w:t>
            </w:r>
          </w:p>
        </w:tc>
        <w:tc>
          <w:tcPr>
            <w:tcW w:w="14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Acme Markets</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Kohl’s</w:t>
            </w:r>
          </w:p>
        </w:tc>
      </w:tr>
      <w:tr>
        <w:trPr>
          <w:trHeight w:val="144"/>
        </w:trPr>
        <w:tc>
          <w:tcPr>
            <w:tcW w:w="1340" w:type="dxa"/>
            <w:vAlign w:val="bottom"/>
            <w:gridSpan w:val="5"/>
          </w:tcPr>
          <w:p>
            <w:pPr>
              <w:spacing w:after="0" w:line="144" w:lineRule="exact"/>
              <w:rPr>
                <w:sz w:val="20"/>
                <w:szCs w:val="20"/>
                <w:color w:val="auto"/>
              </w:rPr>
            </w:pPr>
            <w:r>
              <w:rPr>
                <w:rFonts w:ascii="Arial" w:cs="Arial" w:eastAsia="Arial" w:hAnsi="Arial"/>
                <w:sz w:val="13"/>
                <w:szCs w:val="13"/>
                <w:color w:val="auto"/>
              </w:rPr>
              <w:t>Bala Cynwyd</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3"/>
          </w:tcPr>
          <w:p>
            <w:pPr>
              <w:ind w:left="80"/>
              <w:spacing w:after="0" w:line="144" w:lineRule="exact"/>
              <w:rPr>
                <w:sz w:val="20"/>
                <w:szCs w:val="20"/>
                <w:color w:val="auto"/>
              </w:rPr>
            </w:pPr>
            <w:r>
              <w:rPr>
                <w:rFonts w:ascii="Arial" w:cs="Arial" w:eastAsia="Arial" w:hAnsi="Arial"/>
                <w:sz w:val="13"/>
                <w:szCs w:val="13"/>
                <w:color w:val="auto"/>
              </w:rPr>
              <w:t>SC Philadelphia, PA-NJ</w:t>
            </w:r>
          </w:p>
        </w:tc>
        <w:tc>
          <w:tcPr>
            <w:tcW w:w="680" w:type="dxa"/>
            <w:vAlign w:val="bottom"/>
            <w:gridSpan w:val="3"/>
          </w:tcPr>
          <w:p>
            <w:pPr>
              <w:jc w:val="right"/>
              <w:ind w:right="60"/>
              <w:spacing w:after="0" w:line="144" w:lineRule="exact"/>
              <w:rPr>
                <w:sz w:val="20"/>
                <w:szCs w:val="20"/>
                <w:color w:val="auto"/>
              </w:rPr>
            </w:pPr>
            <w:r>
              <w:rPr>
                <w:rFonts w:ascii="Arial" w:cs="Arial" w:eastAsia="Arial" w:hAnsi="Arial"/>
                <w:sz w:val="13"/>
                <w:szCs w:val="13"/>
                <w:color w:val="auto"/>
              </w:rPr>
              <w:t>1993</w:t>
            </w:r>
          </w:p>
        </w:tc>
        <w:tc>
          <w:tcPr>
            <w:tcW w:w="8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23,917</w:t>
            </w:r>
          </w:p>
        </w:tc>
        <w:tc>
          <w:tcPr>
            <w:tcW w:w="78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281,000</w:t>
            </w:r>
          </w:p>
        </w:tc>
        <w:tc>
          <w:tcPr>
            <w:tcW w:w="40" w:type="dxa"/>
            <w:vAlign w:val="bottom"/>
          </w:tcPr>
          <w:p>
            <w:pPr>
              <w:spacing w:after="0"/>
              <w:rPr>
                <w:sz w:val="12"/>
                <w:szCs w:val="12"/>
                <w:color w:val="auto"/>
              </w:rPr>
            </w:pPr>
          </w:p>
        </w:tc>
        <w:tc>
          <w:tcPr>
            <w:tcW w:w="64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100%</w:t>
            </w:r>
          </w:p>
        </w:tc>
        <w:tc>
          <w:tcPr>
            <w:tcW w:w="760" w:type="dxa"/>
            <w:vAlign w:val="bottom"/>
          </w:tcPr>
          <w:p>
            <w:pPr>
              <w:spacing w:after="0"/>
              <w:rPr>
                <w:sz w:val="12"/>
                <w:szCs w:val="12"/>
                <w:color w:val="auto"/>
              </w:rPr>
            </w:pPr>
          </w:p>
        </w:tc>
        <w:tc>
          <w:tcPr>
            <w:tcW w:w="64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45,000</w:t>
            </w:r>
          </w:p>
        </w:tc>
        <w:tc>
          <w:tcPr>
            <w:tcW w:w="1400" w:type="dxa"/>
            <w:vAlign w:val="bottom"/>
          </w:tcPr>
          <w:p>
            <w:pPr>
              <w:spacing w:after="0" w:line="144" w:lineRule="exact"/>
              <w:rPr>
                <w:sz w:val="20"/>
                <w:szCs w:val="20"/>
                <w:color w:val="auto"/>
              </w:rPr>
            </w:pPr>
            <w:r>
              <w:rPr>
                <w:rFonts w:ascii="Arial" w:cs="Arial" w:eastAsia="Arial" w:hAnsi="Arial"/>
                <w:sz w:val="13"/>
                <w:szCs w:val="13"/>
                <w:color w:val="auto"/>
              </w:rPr>
              <w:t>Acme Markets</w:t>
            </w:r>
          </w:p>
        </w:tc>
        <w:tc>
          <w:tcPr>
            <w:tcW w:w="80" w:type="dxa"/>
            <w:vAlign w:val="bottom"/>
          </w:tcPr>
          <w:p>
            <w:pPr>
              <w:spacing w:after="0"/>
              <w:rPr>
                <w:sz w:val="12"/>
                <w:szCs w:val="12"/>
                <w:color w:val="auto"/>
              </w:rPr>
            </w:pPr>
          </w:p>
        </w:tc>
        <w:tc>
          <w:tcPr>
            <w:tcW w:w="980" w:type="dxa"/>
            <w:vAlign w:val="bottom"/>
          </w:tcPr>
          <w:p>
            <w:pPr>
              <w:spacing w:after="0" w:line="144" w:lineRule="exact"/>
              <w:rPr>
                <w:sz w:val="20"/>
                <w:szCs w:val="20"/>
                <w:color w:val="auto"/>
              </w:rPr>
            </w:pPr>
            <w:r>
              <w:rPr>
                <w:rFonts w:ascii="Arial" w:cs="Arial" w:eastAsia="Arial" w:hAnsi="Arial"/>
                <w:sz w:val="13"/>
                <w:szCs w:val="13"/>
                <w:color w:val="auto"/>
              </w:rPr>
              <w:t>Lord &amp; Taylor</w:t>
            </w:r>
          </w:p>
        </w:tc>
      </w:tr>
      <w:tr>
        <w:trPr>
          <w:trHeight w:val="135"/>
        </w:trPr>
        <w:tc>
          <w:tcPr>
            <w:tcW w:w="1340" w:type="dxa"/>
            <w:vAlign w:val="bottom"/>
            <w:gridSpan w:val="5"/>
            <w:shd w:val="clear" w:color="auto" w:fill="CCEEFF"/>
          </w:tcPr>
          <w:p>
            <w:pPr>
              <w:spacing w:after="0" w:line="135" w:lineRule="exact"/>
              <w:rPr>
                <w:sz w:val="20"/>
                <w:szCs w:val="20"/>
                <w:color w:val="auto"/>
              </w:rPr>
            </w:pPr>
            <w:r>
              <w:rPr>
                <w:rFonts w:ascii="Arial" w:cs="Arial" w:eastAsia="Arial" w:hAnsi="Arial"/>
                <w:sz w:val="13"/>
                <w:szCs w:val="13"/>
                <w:color w:val="auto"/>
              </w:rPr>
              <w:t>Ellisburg Circle</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Bed, Bath &amp;</w:t>
            </w:r>
          </w:p>
        </w:tc>
      </w:tr>
      <w:tr>
        <w:trPr>
          <w:trHeight w:val="144"/>
        </w:trPr>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Beyond /</w:t>
            </w:r>
          </w:p>
        </w:tc>
      </w:tr>
      <w:tr>
        <w:trPr>
          <w:trHeight w:val="153"/>
        </w:trPr>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80" w:type="dxa"/>
            <w:vAlign w:val="bottom"/>
            <w:tcBorders>
              <w:left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SC Philadelphia, PA-NJ</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1992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27,029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264,000</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w:t>
            </w:r>
          </w:p>
        </w:tc>
        <w:tc>
          <w:tcPr>
            <w:tcW w:w="7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47,366</w:t>
            </w:r>
          </w:p>
        </w:tc>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Genuardi’s</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Ross</w:t>
            </w:r>
          </w:p>
        </w:tc>
      </w:tr>
    </w:tbl>
    <w:p>
      <w:pPr>
        <w:sectPr>
          <w:pgSz w:w="11900" w:h="16838" w:orient="portrait"/>
          <w:cols w:equalWidth="0" w:num="1">
            <w:col w:w="11420"/>
          </w:cols>
          <w:pgMar w:left="240" w:top="271"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600" w:type="dxa"/>
            <w:vAlign w:val="bottom"/>
            <w:gridSpan w:val="3"/>
          </w:tcPr>
          <w:p>
            <w:pPr>
              <w:spacing w:after="0"/>
              <w:rPr>
                <w:sz w:val="20"/>
                <w:szCs w:val="20"/>
                <w:color w:val="auto"/>
              </w:rPr>
            </w:pPr>
            <w:r>
              <w:rPr>
                <w:rFonts w:ascii="Arial" w:cs="Arial" w:eastAsia="Arial" w:hAnsi="Arial"/>
                <w:sz w:val="13"/>
                <w:szCs w:val="13"/>
                <w:color w:val="auto"/>
              </w:rPr>
              <w:t>Feasterville</w:t>
            </w:r>
          </w:p>
        </w:tc>
        <w:tc>
          <w:tcPr>
            <w:tcW w:w="2560" w:type="dxa"/>
            <w:vAlign w:val="bottom"/>
          </w:tcPr>
          <w:p>
            <w:pPr>
              <w:ind w:left="280"/>
              <w:spacing w:after="0"/>
              <w:rPr>
                <w:sz w:val="20"/>
                <w:szCs w:val="20"/>
                <w:color w:val="auto"/>
              </w:rPr>
            </w:pPr>
            <w:r>
              <w:rPr>
                <w:rFonts w:ascii="Arial" w:cs="Arial" w:eastAsia="Arial" w:hAnsi="Arial"/>
                <w:sz w:val="13"/>
                <w:szCs w:val="13"/>
                <w:color w:val="auto"/>
              </w:rPr>
              <w:t>SC Philadelphia, PA-NJ</w:t>
            </w:r>
          </w:p>
        </w:tc>
        <w:tc>
          <w:tcPr>
            <w:tcW w:w="500" w:type="dxa"/>
            <w:vAlign w:val="bottom"/>
          </w:tcPr>
          <w:p>
            <w:pPr>
              <w:jc w:val="right"/>
              <w:spacing w:after="0"/>
              <w:rPr>
                <w:sz w:val="20"/>
                <w:szCs w:val="20"/>
                <w:color w:val="auto"/>
              </w:rPr>
            </w:pPr>
            <w:r>
              <w:rPr>
                <w:rFonts w:ascii="Arial" w:cs="Arial" w:eastAsia="Arial" w:hAnsi="Arial"/>
                <w:sz w:val="13"/>
                <w:szCs w:val="13"/>
                <w:color w:val="auto"/>
              </w:rPr>
              <w:t>1980</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11,625</w:t>
            </w:r>
          </w:p>
        </w:tc>
        <w:tc>
          <w:tcPr>
            <w:tcW w:w="640" w:type="dxa"/>
            <w:vAlign w:val="bottom"/>
          </w:tcPr>
          <w:p>
            <w:pPr>
              <w:jc w:val="right"/>
              <w:spacing w:after="0"/>
              <w:rPr>
                <w:sz w:val="20"/>
                <w:szCs w:val="20"/>
                <w:color w:val="auto"/>
              </w:rPr>
            </w:pPr>
            <w:r>
              <w:rPr>
                <w:rFonts w:ascii="Arial" w:cs="Arial" w:eastAsia="Arial" w:hAnsi="Arial"/>
                <w:sz w:val="13"/>
                <w:szCs w:val="13"/>
                <w:color w:val="auto"/>
              </w:rPr>
              <w:t>100.0%</w:t>
            </w: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111,000</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100%</w:t>
            </w:r>
          </w:p>
        </w:tc>
        <w:tc>
          <w:tcPr>
            <w:tcW w:w="7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52,694</w:t>
            </w:r>
          </w:p>
        </w:tc>
        <w:tc>
          <w:tcPr>
            <w:tcW w:w="1320" w:type="dxa"/>
            <w:vAlign w:val="bottom"/>
          </w:tcPr>
          <w:p>
            <w:pPr>
              <w:ind w:left="40"/>
              <w:spacing w:after="0"/>
              <w:rPr>
                <w:sz w:val="20"/>
                <w:szCs w:val="20"/>
                <w:color w:val="auto"/>
              </w:rPr>
            </w:pPr>
            <w:r>
              <w:rPr>
                <w:rFonts w:ascii="Arial" w:cs="Arial" w:eastAsia="Arial" w:hAnsi="Arial"/>
                <w:sz w:val="13"/>
                <w:szCs w:val="13"/>
                <w:color w:val="auto"/>
              </w:rPr>
              <w:t>Genuardi’s</w:t>
            </w:r>
          </w:p>
        </w:tc>
        <w:tc>
          <w:tcPr>
            <w:tcW w:w="1180" w:type="dxa"/>
            <w:vAlign w:val="bottom"/>
          </w:tcPr>
          <w:p>
            <w:pPr>
              <w:ind w:left="200"/>
              <w:spacing w:after="0"/>
              <w:rPr>
                <w:sz w:val="20"/>
                <w:szCs w:val="20"/>
                <w:color w:val="auto"/>
              </w:rPr>
            </w:pPr>
            <w:r>
              <w:rPr>
                <w:rFonts w:ascii="Arial" w:cs="Arial" w:eastAsia="Arial" w:hAnsi="Arial"/>
                <w:sz w:val="13"/>
                <w:szCs w:val="13"/>
                <w:color w:val="auto"/>
              </w:rPr>
              <w:t>OfficeMax</w:t>
            </w:r>
          </w:p>
        </w:tc>
      </w:tr>
      <w:tr>
        <w:trPr>
          <w:trHeight w:val="144"/>
        </w:trPr>
        <w:tc>
          <w:tcPr>
            <w:tcW w:w="160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Flourtown</w:t>
            </w:r>
          </w:p>
        </w:tc>
        <w:tc>
          <w:tcPr>
            <w:tcW w:w="256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rPr>
              <w:t>SC Philadelphia, PA-NJ</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1980</w:t>
            </w:r>
          </w:p>
        </w:tc>
        <w:tc>
          <w:tcPr>
            <w:tcW w:w="10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8,732</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191,000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53%</w:t>
            </w: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41,511</w:t>
            </w:r>
          </w:p>
        </w:tc>
        <w:tc>
          <w:tcPr>
            <w:tcW w:w="13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Genuardi’s</w:t>
            </w:r>
          </w:p>
        </w:tc>
        <w:tc>
          <w:tcPr>
            <w:tcW w:w="1180" w:type="dxa"/>
            <w:vAlign w:val="bottom"/>
            <w:shd w:val="clear" w:color="auto" w:fill="CCEEFF"/>
          </w:tcPr>
          <w:p>
            <w:pPr>
              <w:spacing w:after="0"/>
              <w:rPr>
                <w:sz w:val="12"/>
                <w:szCs w:val="12"/>
                <w:color w:val="auto"/>
              </w:rPr>
            </w:pPr>
          </w:p>
        </w:tc>
      </w:tr>
      <w:tr>
        <w:trPr>
          <w:trHeight w:val="135"/>
        </w:trPr>
        <w:tc>
          <w:tcPr>
            <w:tcW w:w="1600" w:type="dxa"/>
            <w:vAlign w:val="bottom"/>
            <w:gridSpan w:val="3"/>
          </w:tcPr>
          <w:p>
            <w:pPr>
              <w:spacing w:after="0" w:line="135" w:lineRule="exact"/>
              <w:rPr>
                <w:sz w:val="20"/>
                <w:szCs w:val="20"/>
                <w:color w:val="auto"/>
              </w:rPr>
            </w:pPr>
            <w:r>
              <w:rPr>
                <w:rFonts w:ascii="Arial" w:cs="Arial" w:eastAsia="Arial" w:hAnsi="Arial"/>
                <w:sz w:val="13"/>
                <w:szCs w:val="13"/>
                <w:color w:val="auto"/>
              </w:rPr>
              <w:t>Langhorne Square</w:t>
            </w:r>
          </w:p>
        </w:tc>
        <w:tc>
          <w:tcPr>
            <w:tcW w:w="2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80" w:type="dxa"/>
            <w:vAlign w:val="bottom"/>
          </w:tcPr>
          <w:p>
            <w:pPr>
              <w:ind w:left="200"/>
              <w:spacing w:after="0" w:line="135" w:lineRule="exact"/>
              <w:rPr>
                <w:sz w:val="20"/>
                <w:szCs w:val="20"/>
                <w:color w:val="auto"/>
              </w:rPr>
            </w:pPr>
            <w:r>
              <w:rPr>
                <w:rFonts w:ascii="Arial" w:cs="Arial" w:eastAsia="Arial" w:hAnsi="Arial"/>
                <w:sz w:val="13"/>
                <w:szCs w:val="13"/>
                <w:color w:val="auto"/>
              </w:rPr>
              <w:t>Marshalls /</w:t>
            </w:r>
          </w:p>
        </w:tc>
      </w:tr>
      <w:tr>
        <w:trPr>
          <w:trHeight w:val="144"/>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ind w:left="40"/>
              <w:spacing w:after="0" w:line="144" w:lineRule="exact"/>
              <w:rPr>
                <w:sz w:val="20"/>
                <w:szCs w:val="20"/>
                <w:color w:val="auto"/>
              </w:rPr>
            </w:pPr>
            <w:r>
              <w:rPr>
                <w:rFonts w:ascii="Arial" w:cs="Arial" w:eastAsia="Arial" w:hAnsi="Arial"/>
                <w:sz w:val="13"/>
                <w:szCs w:val="13"/>
                <w:color w:val="auto"/>
              </w:rPr>
              <w:t>Redner’s Warehouse</w:t>
            </w:r>
          </w:p>
        </w:tc>
        <w:tc>
          <w:tcPr>
            <w:tcW w:w="1180" w:type="dxa"/>
            <w:vAlign w:val="bottom"/>
          </w:tcPr>
          <w:p>
            <w:pPr>
              <w:ind w:left="400"/>
              <w:spacing w:after="0" w:line="144" w:lineRule="exact"/>
              <w:rPr>
                <w:sz w:val="20"/>
                <w:szCs w:val="20"/>
                <w:color w:val="auto"/>
              </w:rPr>
            </w:pPr>
            <w:r>
              <w:rPr>
                <w:rFonts w:ascii="Arial" w:cs="Arial" w:eastAsia="Arial" w:hAnsi="Arial"/>
                <w:sz w:val="13"/>
                <w:szCs w:val="13"/>
                <w:color w:val="auto"/>
              </w:rPr>
              <w:t>Drug</w:t>
            </w:r>
          </w:p>
        </w:tc>
      </w:tr>
      <w:tr>
        <w:trPr>
          <w:trHeight w:val="153"/>
        </w:trPr>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ind w:left="280"/>
              <w:spacing w:after="0"/>
              <w:rPr>
                <w:sz w:val="20"/>
                <w:szCs w:val="20"/>
                <w:color w:val="auto"/>
              </w:rPr>
            </w:pPr>
            <w:r>
              <w:rPr>
                <w:rFonts w:ascii="Arial" w:cs="Arial" w:eastAsia="Arial" w:hAnsi="Arial"/>
                <w:sz w:val="13"/>
                <w:szCs w:val="13"/>
                <w:color w:val="auto"/>
              </w:rPr>
              <w:t>SC Philadelphia, PA-NJ</w:t>
            </w:r>
          </w:p>
        </w:tc>
        <w:tc>
          <w:tcPr>
            <w:tcW w:w="500" w:type="dxa"/>
            <w:vAlign w:val="bottom"/>
          </w:tcPr>
          <w:p>
            <w:pPr>
              <w:jc w:val="right"/>
              <w:spacing w:after="0"/>
              <w:rPr>
                <w:sz w:val="20"/>
                <w:szCs w:val="20"/>
                <w:color w:val="auto"/>
              </w:rPr>
            </w:pPr>
            <w:r>
              <w:rPr>
                <w:rFonts w:ascii="Arial" w:cs="Arial" w:eastAsia="Arial" w:hAnsi="Arial"/>
                <w:sz w:val="13"/>
                <w:szCs w:val="13"/>
                <w:color w:val="auto"/>
              </w:rPr>
              <w:t>1985</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17,565</w:t>
            </w:r>
          </w:p>
        </w:tc>
        <w:tc>
          <w:tcPr>
            <w:tcW w:w="640" w:type="dxa"/>
            <w:vAlign w:val="bottom"/>
          </w:tcPr>
          <w:p>
            <w:pPr>
              <w:jc w:val="right"/>
              <w:spacing w:after="0"/>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216,000</w:t>
            </w:r>
          </w:p>
        </w:tc>
        <w:tc>
          <w:tcPr>
            <w:tcW w:w="8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93%</w:t>
            </w:r>
          </w:p>
        </w:tc>
        <w:tc>
          <w:tcPr>
            <w:tcW w:w="7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55,000</w:t>
            </w:r>
          </w:p>
        </w:tc>
        <w:tc>
          <w:tcPr>
            <w:tcW w:w="1320" w:type="dxa"/>
            <w:vAlign w:val="bottom"/>
          </w:tcPr>
          <w:p>
            <w:pPr>
              <w:ind w:left="240"/>
              <w:spacing w:after="0"/>
              <w:rPr>
                <w:sz w:val="20"/>
                <w:szCs w:val="20"/>
                <w:color w:val="auto"/>
              </w:rPr>
            </w:pPr>
            <w:r>
              <w:rPr>
                <w:rFonts w:ascii="Arial" w:cs="Arial" w:eastAsia="Arial" w:hAnsi="Arial"/>
                <w:sz w:val="13"/>
                <w:szCs w:val="13"/>
                <w:color w:val="auto"/>
              </w:rPr>
              <w:t>Mkts.</w:t>
            </w:r>
          </w:p>
        </w:tc>
        <w:tc>
          <w:tcPr>
            <w:tcW w:w="1180" w:type="dxa"/>
            <w:vAlign w:val="bottom"/>
          </w:tcPr>
          <w:p>
            <w:pPr>
              <w:ind w:left="400"/>
              <w:spacing w:after="0"/>
              <w:rPr>
                <w:sz w:val="20"/>
                <w:szCs w:val="20"/>
                <w:color w:val="auto"/>
              </w:rPr>
            </w:pPr>
            <w:r>
              <w:rPr>
                <w:rFonts w:ascii="Arial" w:cs="Arial" w:eastAsia="Arial" w:hAnsi="Arial"/>
                <w:sz w:val="13"/>
                <w:szCs w:val="13"/>
                <w:color w:val="auto"/>
              </w:rPr>
              <w:t>Emporium</w:t>
            </w:r>
          </w:p>
        </w:tc>
      </w:tr>
      <w:tr>
        <w:trPr>
          <w:trHeight w:val="135"/>
        </w:trPr>
        <w:tc>
          <w:tcPr>
            <w:tcW w:w="16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Lawrence Park</w:t>
            </w:r>
          </w:p>
        </w:tc>
        <w:tc>
          <w:tcPr>
            <w:tcW w:w="2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CHI / TJ</w:t>
            </w:r>
          </w:p>
        </w:tc>
      </w:tr>
      <w:tr>
        <w:trPr>
          <w:trHeight w:val="153"/>
        </w:trPr>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SC Philadelphia, PA-NJ</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24,189</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333,000</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31,400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43,359</w:t>
            </w: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Acme Markets</w:t>
            </w:r>
          </w:p>
        </w:tc>
        <w:tc>
          <w:tcPr>
            <w:tcW w:w="11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Maxx</w:t>
            </w:r>
          </w:p>
        </w:tc>
      </w:tr>
      <w:tr>
        <w:trPr>
          <w:trHeight w:val="135"/>
        </w:trPr>
        <w:tc>
          <w:tcPr>
            <w:tcW w:w="1600" w:type="dxa"/>
            <w:vAlign w:val="bottom"/>
            <w:gridSpan w:val="3"/>
          </w:tcPr>
          <w:p>
            <w:pPr>
              <w:spacing w:after="0" w:line="135" w:lineRule="exact"/>
              <w:rPr>
                <w:sz w:val="20"/>
                <w:szCs w:val="20"/>
                <w:color w:val="auto"/>
              </w:rPr>
            </w:pPr>
            <w:r>
              <w:rPr>
                <w:rFonts w:ascii="Arial" w:cs="Arial" w:eastAsia="Arial" w:hAnsi="Arial"/>
                <w:sz w:val="13"/>
                <w:szCs w:val="13"/>
                <w:color w:val="auto"/>
              </w:rPr>
              <w:t>Northeast</w:t>
            </w:r>
          </w:p>
        </w:tc>
        <w:tc>
          <w:tcPr>
            <w:tcW w:w="2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80" w:type="dxa"/>
            <w:vAlign w:val="bottom"/>
          </w:tcPr>
          <w:p>
            <w:pPr>
              <w:ind w:left="200"/>
              <w:spacing w:after="0" w:line="135" w:lineRule="exact"/>
              <w:rPr>
                <w:sz w:val="20"/>
                <w:szCs w:val="20"/>
                <w:color w:val="auto"/>
              </w:rPr>
            </w:pPr>
            <w:r>
              <w:rPr>
                <w:rFonts w:ascii="Arial" w:cs="Arial" w:eastAsia="Arial" w:hAnsi="Arial"/>
                <w:sz w:val="13"/>
                <w:szCs w:val="13"/>
                <w:color w:val="auto"/>
              </w:rPr>
              <w:t>Burlington</w:t>
            </w:r>
          </w:p>
        </w:tc>
      </w:tr>
      <w:tr>
        <w:trPr>
          <w:trHeight w:val="144"/>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ind w:left="400"/>
              <w:spacing w:after="0" w:line="144" w:lineRule="exact"/>
              <w:rPr>
                <w:sz w:val="20"/>
                <w:szCs w:val="20"/>
                <w:color w:val="auto"/>
              </w:rPr>
            </w:pPr>
            <w:r>
              <w:rPr>
                <w:rFonts w:ascii="Arial" w:cs="Arial" w:eastAsia="Arial" w:hAnsi="Arial"/>
                <w:sz w:val="13"/>
                <w:szCs w:val="13"/>
                <w:color w:val="auto"/>
              </w:rPr>
              <w:t>Coat /</w:t>
            </w:r>
          </w:p>
        </w:tc>
      </w:tr>
      <w:tr>
        <w:trPr>
          <w:trHeight w:val="144"/>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ind w:left="400"/>
              <w:spacing w:after="0" w:line="144" w:lineRule="exact"/>
              <w:rPr>
                <w:sz w:val="20"/>
                <w:szCs w:val="20"/>
                <w:color w:val="auto"/>
              </w:rPr>
            </w:pPr>
            <w:r>
              <w:rPr>
                <w:rFonts w:ascii="Arial" w:cs="Arial" w:eastAsia="Arial" w:hAnsi="Arial"/>
                <w:sz w:val="13"/>
                <w:szCs w:val="13"/>
                <w:color w:val="auto"/>
              </w:rPr>
              <w:t>Marshalls /</w:t>
            </w:r>
          </w:p>
        </w:tc>
      </w:tr>
      <w:tr>
        <w:trPr>
          <w:trHeight w:val="144"/>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ind w:left="400"/>
              <w:spacing w:after="0" w:line="144" w:lineRule="exact"/>
              <w:rPr>
                <w:sz w:val="20"/>
                <w:szCs w:val="20"/>
                <w:color w:val="auto"/>
              </w:rPr>
            </w:pPr>
            <w:r>
              <w:rPr>
                <w:rFonts w:ascii="Arial" w:cs="Arial" w:eastAsia="Arial" w:hAnsi="Arial"/>
                <w:sz w:val="13"/>
                <w:szCs w:val="13"/>
                <w:color w:val="auto"/>
              </w:rPr>
              <w:t>Tower</w:t>
            </w:r>
          </w:p>
        </w:tc>
      </w:tr>
      <w:tr>
        <w:trPr>
          <w:trHeight w:val="153"/>
        </w:trPr>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ind w:left="280"/>
              <w:spacing w:after="0"/>
              <w:rPr>
                <w:sz w:val="20"/>
                <w:szCs w:val="20"/>
                <w:color w:val="auto"/>
              </w:rPr>
            </w:pPr>
            <w:r>
              <w:rPr>
                <w:rFonts w:ascii="Arial" w:cs="Arial" w:eastAsia="Arial" w:hAnsi="Arial"/>
                <w:sz w:val="13"/>
                <w:szCs w:val="13"/>
                <w:color w:val="auto"/>
              </w:rPr>
              <w:t>SC Philadelphia, PA-NJ</w:t>
            </w:r>
          </w:p>
        </w:tc>
        <w:tc>
          <w:tcPr>
            <w:tcW w:w="500" w:type="dxa"/>
            <w:vAlign w:val="bottom"/>
          </w:tcPr>
          <w:p>
            <w:pPr>
              <w:jc w:val="right"/>
              <w:spacing w:after="0"/>
              <w:rPr>
                <w:sz w:val="20"/>
                <w:szCs w:val="20"/>
                <w:color w:val="auto"/>
              </w:rPr>
            </w:pPr>
            <w:r>
              <w:rPr>
                <w:rFonts w:ascii="Arial" w:cs="Arial" w:eastAsia="Arial" w:hAnsi="Arial"/>
                <w:sz w:val="13"/>
                <w:szCs w:val="13"/>
                <w:color w:val="auto"/>
              </w:rPr>
              <w:t>1983</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21,673</w:t>
            </w:r>
          </w:p>
        </w:tc>
        <w:tc>
          <w:tcPr>
            <w:tcW w:w="640" w:type="dxa"/>
            <w:vAlign w:val="bottom"/>
          </w:tcPr>
          <w:p>
            <w:pPr>
              <w:jc w:val="right"/>
              <w:spacing w:after="0"/>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292,000</w:t>
            </w:r>
          </w:p>
        </w:tc>
        <w:tc>
          <w:tcPr>
            <w:tcW w:w="8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98%</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80" w:type="dxa"/>
            <w:vAlign w:val="bottom"/>
          </w:tcPr>
          <w:p>
            <w:pPr>
              <w:ind w:left="400"/>
              <w:spacing w:after="0"/>
              <w:rPr>
                <w:sz w:val="20"/>
                <w:szCs w:val="20"/>
                <w:color w:val="auto"/>
              </w:rPr>
            </w:pPr>
            <w:r>
              <w:rPr>
                <w:rFonts w:ascii="Arial" w:cs="Arial" w:eastAsia="Arial" w:hAnsi="Arial"/>
                <w:sz w:val="13"/>
                <w:szCs w:val="13"/>
                <w:color w:val="auto"/>
              </w:rPr>
              <w:t>Records</w:t>
            </w:r>
          </w:p>
        </w:tc>
      </w:tr>
      <w:tr>
        <w:trPr>
          <w:trHeight w:val="135"/>
        </w:trPr>
        <w:tc>
          <w:tcPr>
            <w:tcW w:w="16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Willow Grove</w:t>
            </w:r>
          </w:p>
        </w:tc>
        <w:tc>
          <w:tcPr>
            <w:tcW w:w="2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Barnes &amp;</w:t>
            </w:r>
          </w:p>
        </w:tc>
      </w:tr>
      <w:tr>
        <w:trPr>
          <w:trHeight w:val="144"/>
        </w:trPr>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Noble /</w:t>
            </w:r>
          </w:p>
        </w:tc>
      </w:tr>
      <w:tr>
        <w:trPr>
          <w:trHeight w:val="144"/>
        </w:trPr>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Marshalls /</w:t>
            </w:r>
          </w:p>
        </w:tc>
      </w:tr>
      <w:tr>
        <w:trPr>
          <w:trHeight w:val="153"/>
        </w:trPr>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SC Philadelphia, PA-NJ</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26,004</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215,000</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1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Toys R Us</w:t>
            </w:r>
          </w:p>
        </w:tc>
      </w:tr>
      <w:tr>
        <w:trPr>
          <w:trHeight w:val="135"/>
        </w:trPr>
        <w:tc>
          <w:tcPr>
            <w:tcW w:w="1600" w:type="dxa"/>
            <w:vAlign w:val="bottom"/>
            <w:gridSpan w:val="3"/>
          </w:tcPr>
          <w:p>
            <w:pPr>
              <w:spacing w:after="0" w:line="135" w:lineRule="exact"/>
              <w:rPr>
                <w:sz w:val="20"/>
                <w:szCs w:val="20"/>
                <w:color w:val="auto"/>
              </w:rPr>
            </w:pPr>
            <w:r>
              <w:rPr>
                <w:rFonts w:ascii="Arial" w:cs="Arial" w:eastAsia="Arial" w:hAnsi="Arial"/>
                <w:sz w:val="13"/>
                <w:szCs w:val="13"/>
                <w:color w:val="auto"/>
              </w:rPr>
              <w:t>Wynnewood</w:t>
            </w:r>
          </w:p>
        </w:tc>
        <w:tc>
          <w:tcPr>
            <w:tcW w:w="2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80" w:type="dxa"/>
            <w:vAlign w:val="bottom"/>
          </w:tcPr>
          <w:p>
            <w:pPr>
              <w:ind w:left="200"/>
              <w:spacing w:after="0" w:line="135" w:lineRule="exact"/>
              <w:rPr>
                <w:sz w:val="20"/>
                <w:szCs w:val="20"/>
                <w:color w:val="auto"/>
              </w:rPr>
            </w:pPr>
            <w:r>
              <w:rPr>
                <w:rFonts w:ascii="Arial" w:cs="Arial" w:eastAsia="Arial" w:hAnsi="Arial"/>
                <w:sz w:val="13"/>
                <w:szCs w:val="13"/>
                <w:color w:val="auto"/>
              </w:rPr>
              <w:t>Bed, Bath &amp;</w:t>
            </w:r>
          </w:p>
        </w:tc>
      </w:tr>
      <w:tr>
        <w:trPr>
          <w:trHeight w:val="144"/>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ind w:left="400"/>
              <w:spacing w:after="0" w:line="144" w:lineRule="exact"/>
              <w:rPr>
                <w:sz w:val="20"/>
                <w:szCs w:val="20"/>
                <w:color w:val="auto"/>
              </w:rPr>
            </w:pPr>
            <w:r>
              <w:rPr>
                <w:rFonts w:ascii="Arial" w:cs="Arial" w:eastAsia="Arial" w:hAnsi="Arial"/>
                <w:sz w:val="13"/>
                <w:szCs w:val="13"/>
                <w:color w:val="auto"/>
              </w:rPr>
              <w:t>Beyond /</w:t>
            </w:r>
          </w:p>
        </w:tc>
      </w:tr>
      <w:tr>
        <w:trPr>
          <w:trHeight w:val="144"/>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ind w:left="400"/>
              <w:spacing w:after="0" w:line="144" w:lineRule="exact"/>
              <w:rPr>
                <w:sz w:val="20"/>
                <w:szCs w:val="20"/>
                <w:color w:val="auto"/>
              </w:rPr>
            </w:pPr>
            <w:r>
              <w:rPr>
                <w:rFonts w:ascii="Arial" w:cs="Arial" w:eastAsia="Arial" w:hAnsi="Arial"/>
                <w:sz w:val="13"/>
                <w:szCs w:val="13"/>
                <w:color w:val="auto"/>
              </w:rPr>
              <w:t>Borders /</w:t>
            </w:r>
          </w:p>
        </w:tc>
      </w:tr>
      <w:tr>
        <w:trPr>
          <w:trHeight w:val="164"/>
        </w:trPr>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tcPr>
          <w:p>
            <w:pPr>
              <w:ind w:left="280"/>
              <w:spacing w:after="0"/>
              <w:rPr>
                <w:sz w:val="20"/>
                <w:szCs w:val="20"/>
                <w:color w:val="auto"/>
              </w:rPr>
            </w:pPr>
            <w:r>
              <w:rPr>
                <w:rFonts w:ascii="Arial" w:cs="Arial" w:eastAsia="Arial" w:hAnsi="Arial"/>
                <w:sz w:val="13"/>
                <w:szCs w:val="13"/>
                <w:color w:val="auto"/>
              </w:rPr>
              <w:t>SC Philadelphia, PA-NJ</w:t>
            </w:r>
          </w:p>
        </w:tc>
        <w:tc>
          <w:tcPr>
            <w:tcW w:w="500" w:type="dxa"/>
            <w:vAlign w:val="bottom"/>
          </w:tcPr>
          <w:p>
            <w:pPr>
              <w:jc w:val="right"/>
              <w:spacing w:after="0"/>
              <w:rPr>
                <w:sz w:val="20"/>
                <w:szCs w:val="20"/>
                <w:color w:val="auto"/>
              </w:rPr>
            </w:pPr>
            <w:r>
              <w:rPr>
                <w:rFonts w:ascii="Arial" w:cs="Arial" w:eastAsia="Arial" w:hAnsi="Arial"/>
                <w:sz w:val="13"/>
                <w:szCs w:val="13"/>
                <w:color w:val="auto"/>
              </w:rPr>
              <w:t>1996</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35,144</w:t>
            </w:r>
          </w:p>
        </w:tc>
        <w:tc>
          <w:tcPr>
            <w:tcW w:w="640" w:type="dxa"/>
            <w:vAlign w:val="bottom"/>
          </w:tcPr>
          <w:p>
            <w:pPr>
              <w:jc w:val="right"/>
              <w:spacing w:after="0"/>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255,000</w:t>
            </w: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99%</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32,000</w:t>
            </w:r>
          </w:p>
        </w:tc>
        <w:tc>
          <w:tcPr>
            <w:tcW w:w="500" w:type="dxa"/>
            <w:vAlign w:val="bottom"/>
          </w:tcPr>
          <w:p>
            <w:pPr>
              <w:jc w:val="right"/>
              <w:spacing w:after="0"/>
              <w:rPr>
                <w:sz w:val="20"/>
                <w:szCs w:val="20"/>
                <w:color w:val="auto"/>
              </w:rPr>
            </w:pPr>
            <w:r>
              <w:rPr>
                <w:rFonts w:ascii="Arial" w:cs="Arial" w:eastAsia="Arial" w:hAnsi="Arial"/>
                <w:sz w:val="13"/>
                <w:szCs w:val="13"/>
                <w:color w:val="auto"/>
              </w:rPr>
              <w:t>98,000</w:t>
            </w:r>
          </w:p>
        </w:tc>
        <w:tc>
          <w:tcPr>
            <w:tcW w:w="1320" w:type="dxa"/>
            <w:vAlign w:val="bottom"/>
          </w:tcPr>
          <w:p>
            <w:pPr>
              <w:ind w:left="40"/>
              <w:spacing w:after="0"/>
              <w:rPr>
                <w:sz w:val="20"/>
                <w:szCs w:val="20"/>
                <w:color w:val="auto"/>
              </w:rPr>
            </w:pPr>
            <w:r>
              <w:rPr>
                <w:rFonts w:ascii="Arial" w:cs="Arial" w:eastAsia="Arial" w:hAnsi="Arial"/>
                <w:sz w:val="13"/>
                <w:szCs w:val="13"/>
                <w:color w:val="auto"/>
              </w:rPr>
              <w:t>Genuardi’s</w:t>
            </w:r>
          </w:p>
        </w:tc>
        <w:tc>
          <w:tcPr>
            <w:tcW w:w="1180" w:type="dxa"/>
            <w:vAlign w:val="bottom"/>
          </w:tcPr>
          <w:p>
            <w:pPr>
              <w:ind w:left="400"/>
              <w:spacing w:after="0"/>
              <w:rPr>
                <w:sz w:val="20"/>
                <w:szCs w:val="20"/>
                <w:color w:val="auto"/>
              </w:rPr>
            </w:pPr>
            <w:r>
              <w:rPr>
                <w:rFonts w:ascii="Arial" w:cs="Arial" w:eastAsia="Arial" w:hAnsi="Arial"/>
                <w:sz w:val="13"/>
                <w:szCs w:val="13"/>
                <w:color w:val="auto"/>
              </w:rPr>
              <w:t>Old Navy</w:t>
            </w:r>
          </w:p>
        </w:tc>
      </w:tr>
      <w:tr>
        <w:trPr>
          <w:trHeight w:val="93"/>
        </w:trPr>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98"/>
        </w:trPr>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144"/>
        </w:trPr>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215,031</w:t>
            </w:r>
          </w:p>
        </w:tc>
        <w:tc>
          <w:tcPr>
            <w:tcW w:w="6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w w:val="93"/>
              </w:rPr>
              <w:t>2,417,000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95%</w:t>
            </w: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31"/>
        </w:trPr>
        <w:tc>
          <w:tcPr>
            <w:tcW w:w="60" w:type="dxa"/>
            <w:vAlign w:val="bottom"/>
          </w:tcPr>
          <w:p>
            <w:pPr>
              <w:spacing w:after="0"/>
              <w:rPr>
                <w:sz w:val="11"/>
                <w:szCs w:val="11"/>
                <w:color w:val="auto"/>
              </w:rPr>
            </w:pPr>
          </w:p>
        </w:tc>
        <w:tc>
          <w:tcPr>
            <w:tcW w:w="154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New York /New Jersey</w:t>
            </w:r>
          </w:p>
        </w:tc>
        <w:tc>
          <w:tcPr>
            <w:tcW w:w="2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0"/>
        </w:trPr>
        <w:tc>
          <w:tcPr>
            <w:tcW w:w="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37"/>
        </w:trPr>
        <w:tc>
          <w:tcPr>
            <w:tcW w:w="1600" w:type="dxa"/>
            <w:vAlign w:val="bottom"/>
            <w:gridSpan w:val="3"/>
            <w:shd w:val="clear" w:color="auto" w:fill="CCEEFF"/>
          </w:tcPr>
          <w:p>
            <w:pPr>
              <w:spacing w:after="0" w:line="137" w:lineRule="exact"/>
              <w:rPr>
                <w:sz w:val="20"/>
                <w:szCs w:val="20"/>
                <w:color w:val="auto"/>
              </w:rPr>
            </w:pPr>
            <w:r>
              <w:rPr>
                <w:rFonts w:ascii="Arial" w:cs="Arial" w:eastAsia="Arial" w:hAnsi="Arial"/>
                <w:sz w:val="13"/>
                <w:szCs w:val="13"/>
                <w:color w:val="auto"/>
              </w:rPr>
              <w:t>Allwood</w:t>
            </w:r>
          </w:p>
        </w:tc>
        <w:tc>
          <w:tcPr>
            <w:tcW w:w="2560" w:type="dxa"/>
            <w:vAlign w:val="bottom"/>
            <w:shd w:val="clear" w:color="auto" w:fill="CCEEFF"/>
          </w:tcPr>
          <w:p>
            <w:pPr>
              <w:ind w:left="280"/>
              <w:spacing w:after="0" w:line="137" w:lineRule="exact"/>
              <w:rPr>
                <w:sz w:val="20"/>
                <w:szCs w:val="20"/>
                <w:color w:val="auto"/>
              </w:rPr>
            </w:pPr>
            <w:r>
              <w:rPr>
                <w:rFonts w:ascii="Arial" w:cs="Arial" w:eastAsia="Arial" w:hAnsi="Arial"/>
                <w:sz w:val="13"/>
                <w:szCs w:val="13"/>
                <w:color w:val="auto"/>
              </w:rPr>
              <w:t>SC Bergen-Passaic, NJ</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1988</w:t>
            </w:r>
          </w:p>
        </w:tc>
        <w:tc>
          <w:tcPr>
            <w:tcW w:w="102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3"/>
                <w:szCs w:val="13"/>
                <w:color w:val="auto"/>
              </w:rPr>
              <w:t>4,265</w:t>
            </w:r>
          </w:p>
        </w:tc>
        <w:tc>
          <w:tcPr>
            <w:tcW w:w="640" w:type="dxa"/>
            <w:vAlign w:val="bottom"/>
            <w:shd w:val="clear" w:color="auto" w:fill="CCEEFF"/>
          </w:tcPr>
          <w:p>
            <w:pPr>
              <w:jc w:val="right"/>
              <w:ind w:right="35"/>
              <w:spacing w:after="0" w:line="137" w:lineRule="exact"/>
              <w:rPr>
                <w:sz w:val="20"/>
                <w:szCs w:val="20"/>
                <w:color w:val="auto"/>
              </w:rPr>
            </w:pPr>
            <w:r>
              <w:rPr>
                <w:rFonts w:ascii="Arial" w:cs="Arial" w:eastAsia="Arial" w:hAnsi="Arial"/>
                <w:sz w:val="13"/>
                <w:szCs w:val="13"/>
                <w:color w:val="auto"/>
              </w:rPr>
              <w:t>(6)</w:t>
            </w:r>
          </w:p>
        </w:tc>
        <w:tc>
          <w:tcPr>
            <w:tcW w:w="5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3"/>
                <w:szCs w:val="13"/>
                <w:color w:val="auto"/>
              </w:rPr>
              <w:t>52,000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60"/>
              <w:spacing w:after="0" w:line="137" w:lineRule="exact"/>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jc w:val="right"/>
              <w:ind w:right="35"/>
              <w:spacing w:after="0" w:line="137" w:lineRule="exact"/>
              <w:rPr>
                <w:sz w:val="20"/>
                <w:szCs w:val="20"/>
                <w:color w:val="auto"/>
              </w:rPr>
            </w:pPr>
            <w:r>
              <w:rPr>
                <w:rFonts w:ascii="Arial" w:cs="Arial" w:eastAsia="Arial" w:hAnsi="Arial"/>
                <w:sz w:val="13"/>
                <w:szCs w:val="13"/>
                <w:color w:val="auto"/>
              </w:rPr>
              <w:t>3,507</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25,025</w:t>
            </w:r>
          </w:p>
        </w:tc>
        <w:tc>
          <w:tcPr>
            <w:tcW w:w="1320" w:type="dxa"/>
            <w:vAlign w:val="bottom"/>
            <w:shd w:val="clear" w:color="auto" w:fill="CCEEFF"/>
          </w:tcPr>
          <w:p>
            <w:pPr>
              <w:ind w:left="40"/>
              <w:spacing w:after="0" w:line="137" w:lineRule="exact"/>
              <w:rPr>
                <w:sz w:val="20"/>
                <w:szCs w:val="20"/>
                <w:color w:val="auto"/>
              </w:rPr>
            </w:pPr>
            <w:r>
              <w:rPr>
                <w:rFonts w:ascii="Arial" w:cs="Arial" w:eastAsia="Arial" w:hAnsi="Arial"/>
                <w:sz w:val="13"/>
                <w:szCs w:val="13"/>
                <w:color w:val="auto"/>
              </w:rPr>
              <w:t>Stop &amp; Shop</w:t>
            </w:r>
          </w:p>
        </w:tc>
        <w:tc>
          <w:tcPr>
            <w:tcW w:w="1180" w:type="dxa"/>
            <w:vAlign w:val="bottom"/>
            <w:shd w:val="clear" w:color="auto" w:fill="CCEEFF"/>
          </w:tcPr>
          <w:p>
            <w:pPr>
              <w:ind w:left="200"/>
              <w:spacing w:after="0" w:line="137" w:lineRule="exact"/>
              <w:rPr>
                <w:sz w:val="20"/>
                <w:szCs w:val="20"/>
                <w:color w:val="auto"/>
              </w:rPr>
            </w:pPr>
            <w:r>
              <w:rPr>
                <w:rFonts w:ascii="Arial" w:cs="Arial" w:eastAsia="Arial" w:hAnsi="Arial"/>
                <w:sz w:val="13"/>
                <w:szCs w:val="13"/>
                <w:color w:val="auto"/>
              </w:rPr>
              <w:t>Mandee Shop</w:t>
            </w:r>
          </w:p>
        </w:tc>
      </w:tr>
      <w:tr>
        <w:trPr>
          <w:trHeight w:val="135"/>
        </w:trPr>
        <w:tc>
          <w:tcPr>
            <w:tcW w:w="1600" w:type="dxa"/>
            <w:vAlign w:val="bottom"/>
            <w:gridSpan w:val="3"/>
          </w:tcPr>
          <w:p>
            <w:pPr>
              <w:spacing w:after="0" w:line="135" w:lineRule="exact"/>
              <w:rPr>
                <w:sz w:val="20"/>
                <w:szCs w:val="20"/>
                <w:color w:val="auto"/>
              </w:rPr>
            </w:pPr>
            <w:r>
              <w:rPr>
                <w:rFonts w:ascii="Arial" w:cs="Arial" w:eastAsia="Arial" w:hAnsi="Arial"/>
                <w:sz w:val="13"/>
                <w:szCs w:val="13"/>
                <w:color w:val="auto"/>
              </w:rPr>
              <w:t>Clifton</w:t>
            </w:r>
          </w:p>
        </w:tc>
        <w:tc>
          <w:tcPr>
            <w:tcW w:w="2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80" w:type="dxa"/>
            <w:vAlign w:val="bottom"/>
          </w:tcPr>
          <w:p>
            <w:pPr>
              <w:ind w:left="200"/>
              <w:spacing w:after="0" w:line="135" w:lineRule="exact"/>
              <w:rPr>
                <w:sz w:val="20"/>
                <w:szCs w:val="20"/>
                <w:color w:val="auto"/>
              </w:rPr>
            </w:pPr>
            <w:r>
              <w:rPr>
                <w:rFonts w:ascii="Arial" w:cs="Arial" w:eastAsia="Arial" w:hAnsi="Arial"/>
                <w:sz w:val="13"/>
                <w:szCs w:val="13"/>
                <w:color w:val="auto"/>
              </w:rPr>
              <w:t>Drug Fair /</w:t>
            </w:r>
          </w:p>
        </w:tc>
      </w:tr>
      <w:tr>
        <w:trPr>
          <w:trHeight w:val="144"/>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ind w:left="400"/>
              <w:spacing w:after="0" w:line="144" w:lineRule="exact"/>
              <w:rPr>
                <w:sz w:val="20"/>
                <w:szCs w:val="20"/>
                <w:color w:val="auto"/>
              </w:rPr>
            </w:pPr>
            <w:r>
              <w:rPr>
                <w:rFonts w:ascii="Arial" w:cs="Arial" w:eastAsia="Arial" w:hAnsi="Arial"/>
                <w:sz w:val="13"/>
                <w:szCs w:val="13"/>
                <w:color w:val="auto"/>
              </w:rPr>
              <w:t>Dollar</w:t>
            </w:r>
          </w:p>
        </w:tc>
      </w:tr>
      <w:tr>
        <w:trPr>
          <w:trHeight w:val="153"/>
        </w:trPr>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ind w:left="280"/>
              <w:spacing w:after="0"/>
              <w:rPr>
                <w:sz w:val="20"/>
                <w:szCs w:val="20"/>
                <w:color w:val="auto"/>
              </w:rPr>
            </w:pPr>
            <w:r>
              <w:rPr>
                <w:rFonts w:ascii="Arial" w:cs="Arial" w:eastAsia="Arial" w:hAnsi="Arial"/>
                <w:sz w:val="13"/>
                <w:szCs w:val="13"/>
                <w:color w:val="auto"/>
              </w:rPr>
              <w:t>SC Bergen-Passaic, NJ</w:t>
            </w:r>
          </w:p>
        </w:tc>
        <w:tc>
          <w:tcPr>
            <w:tcW w:w="500" w:type="dxa"/>
            <w:vAlign w:val="bottom"/>
          </w:tcPr>
          <w:p>
            <w:pPr>
              <w:jc w:val="right"/>
              <w:spacing w:after="0"/>
              <w:rPr>
                <w:sz w:val="20"/>
                <w:szCs w:val="20"/>
                <w:color w:val="auto"/>
              </w:rPr>
            </w:pPr>
            <w:r>
              <w:rPr>
                <w:rFonts w:ascii="Arial" w:cs="Arial" w:eastAsia="Arial" w:hAnsi="Arial"/>
                <w:sz w:val="13"/>
                <w:szCs w:val="13"/>
                <w:color w:val="auto"/>
              </w:rPr>
              <w:t>1988</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4,949</w:t>
            </w:r>
          </w:p>
        </w:tc>
        <w:tc>
          <w:tcPr>
            <w:tcW w:w="640" w:type="dxa"/>
            <w:vAlign w:val="bottom"/>
          </w:tcPr>
          <w:p>
            <w:pPr>
              <w:jc w:val="right"/>
              <w:ind w:right="35"/>
              <w:spacing w:after="0"/>
              <w:rPr>
                <w:sz w:val="20"/>
                <w:szCs w:val="20"/>
                <w:color w:val="auto"/>
              </w:rPr>
            </w:pPr>
            <w:r>
              <w:rPr>
                <w:rFonts w:ascii="Arial" w:cs="Arial" w:eastAsia="Arial" w:hAnsi="Arial"/>
                <w:sz w:val="13"/>
                <w:szCs w:val="13"/>
                <w:color w:val="auto"/>
              </w:rPr>
              <w:t>(6)</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80,000</w:t>
            </w:r>
          </w:p>
        </w:tc>
        <w:tc>
          <w:tcPr>
            <w:tcW w:w="8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93%</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3,262</w:t>
            </w:r>
          </w:p>
        </w:tc>
        <w:tc>
          <w:tcPr>
            <w:tcW w:w="500" w:type="dxa"/>
            <w:vAlign w:val="bottom"/>
          </w:tcPr>
          <w:p>
            <w:pPr>
              <w:jc w:val="right"/>
              <w:spacing w:after="0"/>
              <w:rPr>
                <w:sz w:val="20"/>
                <w:szCs w:val="20"/>
                <w:color w:val="auto"/>
              </w:rPr>
            </w:pPr>
            <w:r>
              <w:rPr>
                <w:rFonts w:ascii="Arial" w:cs="Arial" w:eastAsia="Arial" w:hAnsi="Arial"/>
                <w:sz w:val="13"/>
                <w:szCs w:val="13"/>
                <w:color w:val="auto"/>
              </w:rPr>
              <w:t>26,500</w:t>
            </w:r>
          </w:p>
        </w:tc>
        <w:tc>
          <w:tcPr>
            <w:tcW w:w="1320" w:type="dxa"/>
            <w:vAlign w:val="bottom"/>
          </w:tcPr>
          <w:p>
            <w:pPr>
              <w:ind w:left="40"/>
              <w:spacing w:after="0"/>
              <w:rPr>
                <w:sz w:val="20"/>
                <w:szCs w:val="20"/>
                <w:color w:val="auto"/>
              </w:rPr>
            </w:pPr>
            <w:r>
              <w:rPr>
                <w:rFonts w:ascii="Arial" w:cs="Arial" w:eastAsia="Arial" w:hAnsi="Arial"/>
                <w:sz w:val="13"/>
                <w:szCs w:val="13"/>
                <w:color w:val="auto"/>
              </w:rPr>
              <w:t>Acme Markets</w:t>
            </w:r>
          </w:p>
        </w:tc>
        <w:tc>
          <w:tcPr>
            <w:tcW w:w="1180" w:type="dxa"/>
            <w:vAlign w:val="bottom"/>
          </w:tcPr>
          <w:p>
            <w:pPr>
              <w:ind w:left="400"/>
              <w:spacing w:after="0"/>
              <w:rPr>
                <w:sz w:val="20"/>
                <w:szCs w:val="20"/>
                <w:color w:val="auto"/>
              </w:rPr>
            </w:pPr>
            <w:r>
              <w:rPr>
                <w:rFonts w:ascii="Arial" w:cs="Arial" w:eastAsia="Arial" w:hAnsi="Arial"/>
                <w:sz w:val="13"/>
                <w:szCs w:val="13"/>
                <w:color w:val="auto"/>
              </w:rPr>
              <w:t>Express</w:t>
            </w:r>
          </w:p>
        </w:tc>
      </w:tr>
      <w:tr>
        <w:trPr>
          <w:trHeight w:val="135"/>
        </w:trPr>
        <w:tc>
          <w:tcPr>
            <w:tcW w:w="16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Blue Star</w:t>
            </w:r>
          </w:p>
        </w:tc>
        <w:tc>
          <w:tcPr>
            <w:tcW w:w="2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Kohl’s /</w:t>
            </w:r>
          </w:p>
        </w:tc>
      </w:tr>
      <w:tr>
        <w:trPr>
          <w:trHeight w:val="144"/>
        </w:trPr>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Michaels /</w:t>
            </w:r>
          </w:p>
        </w:tc>
      </w:tr>
      <w:tr>
        <w:trPr>
          <w:trHeight w:val="144"/>
        </w:trPr>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Toys R Us /</w:t>
            </w:r>
          </w:p>
        </w:tc>
      </w:tr>
      <w:tr>
        <w:trPr>
          <w:trHeight w:val="153"/>
        </w:trPr>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56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8"/>
              </w:rPr>
              <w:t>SC Middlesex-Somerset-Hunterdon, NJ</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39,229</w:t>
            </w: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407,000</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26,769</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43,365</w:t>
            </w: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Shop Rite</w:t>
            </w:r>
          </w:p>
        </w:tc>
        <w:tc>
          <w:tcPr>
            <w:tcW w:w="11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Marshalls</w:t>
            </w:r>
          </w:p>
        </w:tc>
      </w:tr>
      <w:tr>
        <w:trPr>
          <w:trHeight w:val="144"/>
        </w:trPr>
        <w:tc>
          <w:tcPr>
            <w:tcW w:w="1600" w:type="dxa"/>
            <w:vAlign w:val="bottom"/>
            <w:gridSpan w:val="3"/>
          </w:tcPr>
          <w:p>
            <w:pPr>
              <w:spacing w:after="0" w:line="144" w:lineRule="exact"/>
              <w:rPr>
                <w:sz w:val="20"/>
                <w:szCs w:val="20"/>
                <w:color w:val="auto"/>
              </w:rPr>
            </w:pPr>
            <w:r>
              <w:rPr>
                <w:rFonts w:ascii="Arial" w:cs="Arial" w:eastAsia="Arial" w:hAnsi="Arial"/>
                <w:sz w:val="13"/>
                <w:szCs w:val="13"/>
                <w:color w:val="auto"/>
              </w:rPr>
              <w:t>Brunswick</w:t>
            </w:r>
          </w:p>
        </w:tc>
        <w:tc>
          <w:tcPr>
            <w:tcW w:w="2560" w:type="dxa"/>
            <w:vAlign w:val="bottom"/>
          </w:tcPr>
          <w:p>
            <w:pPr>
              <w:ind w:left="280"/>
              <w:spacing w:after="0" w:line="144" w:lineRule="exact"/>
              <w:rPr>
                <w:sz w:val="20"/>
                <w:szCs w:val="20"/>
                <w:color w:val="auto"/>
              </w:rPr>
            </w:pPr>
            <w:r>
              <w:rPr>
                <w:rFonts w:ascii="Arial" w:cs="Arial" w:eastAsia="Arial" w:hAnsi="Arial"/>
                <w:sz w:val="13"/>
                <w:szCs w:val="13"/>
                <w:color w:val="auto"/>
                <w:w w:val="98"/>
              </w:rPr>
              <w:t>SC Middlesex-Somerset-Hunterdon, NJ</w:t>
            </w: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1988</w:t>
            </w:r>
          </w:p>
        </w:tc>
        <w:tc>
          <w:tcPr>
            <w:tcW w:w="102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21,097</w:t>
            </w:r>
          </w:p>
        </w:tc>
        <w:tc>
          <w:tcPr>
            <w:tcW w:w="640" w:type="dxa"/>
            <w:vAlign w:val="bottom"/>
          </w:tcPr>
          <w:p>
            <w:pPr>
              <w:jc w:val="right"/>
              <w:ind w:right="35"/>
              <w:spacing w:after="0" w:line="144" w:lineRule="exact"/>
              <w:rPr>
                <w:sz w:val="20"/>
                <w:szCs w:val="20"/>
                <w:color w:val="auto"/>
              </w:rPr>
            </w:pPr>
            <w:r>
              <w:rPr>
                <w:rFonts w:ascii="Arial" w:cs="Arial" w:eastAsia="Arial" w:hAnsi="Arial"/>
                <w:sz w:val="13"/>
                <w:szCs w:val="13"/>
                <w:color w:val="auto"/>
              </w:rPr>
              <w:t>(6)</w:t>
            </w:r>
          </w:p>
        </w:tc>
        <w:tc>
          <w:tcPr>
            <w:tcW w:w="5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303,000</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91%</w:t>
            </w:r>
          </w:p>
        </w:tc>
        <w:tc>
          <w:tcPr>
            <w:tcW w:w="700" w:type="dxa"/>
            <w:vAlign w:val="bottom"/>
          </w:tcPr>
          <w:p>
            <w:pPr>
              <w:jc w:val="right"/>
              <w:ind w:right="35"/>
              <w:spacing w:after="0" w:line="144" w:lineRule="exact"/>
              <w:rPr>
                <w:sz w:val="20"/>
                <w:szCs w:val="20"/>
                <w:color w:val="auto"/>
              </w:rPr>
            </w:pPr>
            <w:r>
              <w:rPr>
                <w:rFonts w:ascii="Arial" w:cs="Arial" w:eastAsia="Arial" w:hAnsi="Arial"/>
                <w:sz w:val="13"/>
                <w:szCs w:val="13"/>
                <w:color w:val="auto"/>
              </w:rPr>
              <w:t>11,144</w:t>
            </w: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55,345</w:t>
            </w:r>
          </w:p>
        </w:tc>
        <w:tc>
          <w:tcPr>
            <w:tcW w:w="1320" w:type="dxa"/>
            <w:vAlign w:val="bottom"/>
          </w:tcPr>
          <w:p>
            <w:pPr>
              <w:ind w:left="40"/>
              <w:spacing w:after="0" w:line="144" w:lineRule="exact"/>
              <w:rPr>
                <w:sz w:val="20"/>
                <w:szCs w:val="20"/>
                <w:color w:val="auto"/>
              </w:rPr>
            </w:pPr>
            <w:r>
              <w:rPr>
                <w:rFonts w:ascii="Arial" w:cs="Arial" w:eastAsia="Arial" w:hAnsi="Arial"/>
                <w:sz w:val="13"/>
                <w:szCs w:val="13"/>
                <w:color w:val="auto"/>
              </w:rPr>
              <w:t>A&amp;P</w:t>
            </w:r>
          </w:p>
        </w:tc>
        <w:tc>
          <w:tcPr>
            <w:tcW w:w="1180" w:type="dxa"/>
            <w:vAlign w:val="bottom"/>
          </w:tcPr>
          <w:p>
            <w:pPr>
              <w:spacing w:after="0"/>
              <w:rPr>
                <w:sz w:val="12"/>
                <w:szCs w:val="12"/>
                <w:color w:val="auto"/>
              </w:rPr>
            </w:pPr>
          </w:p>
        </w:tc>
      </w:tr>
      <w:tr>
        <w:trPr>
          <w:trHeight w:val="144"/>
        </w:trPr>
        <w:tc>
          <w:tcPr>
            <w:tcW w:w="160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Rutgers</w:t>
            </w:r>
          </w:p>
        </w:tc>
        <w:tc>
          <w:tcPr>
            <w:tcW w:w="256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w w:val="98"/>
              </w:rPr>
              <w:t>SC Middlesex-Somerset-Hunterdon, NJ</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1988</w:t>
            </w:r>
          </w:p>
        </w:tc>
        <w:tc>
          <w:tcPr>
            <w:tcW w:w="10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15,919</w:t>
            </w:r>
          </w:p>
        </w:tc>
        <w:tc>
          <w:tcPr>
            <w:tcW w:w="6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(6)</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217,000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12,909</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44,456</w:t>
            </w:r>
          </w:p>
        </w:tc>
        <w:tc>
          <w:tcPr>
            <w:tcW w:w="13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Edwards Super Food</w:t>
            </w:r>
          </w:p>
        </w:tc>
        <w:tc>
          <w:tcPr>
            <w:tcW w:w="1180" w:type="dxa"/>
            <w:vAlign w:val="bottom"/>
            <w:shd w:val="clear" w:color="auto" w:fill="CCEEFF"/>
          </w:tcPr>
          <w:p>
            <w:pPr>
              <w:ind w:left="200"/>
              <w:spacing w:after="0" w:line="144" w:lineRule="exact"/>
              <w:rPr>
                <w:sz w:val="20"/>
                <w:szCs w:val="20"/>
                <w:color w:val="auto"/>
              </w:rPr>
            </w:pPr>
            <w:r>
              <w:rPr>
                <w:rFonts w:ascii="Arial" w:cs="Arial" w:eastAsia="Arial" w:hAnsi="Arial"/>
                <w:sz w:val="13"/>
                <w:szCs w:val="13"/>
                <w:color w:val="auto"/>
              </w:rPr>
              <w:t>Kmart</w:t>
            </w:r>
          </w:p>
        </w:tc>
      </w:tr>
      <w:tr>
        <w:trPr>
          <w:trHeight w:val="135"/>
        </w:trPr>
        <w:tc>
          <w:tcPr>
            <w:tcW w:w="1600" w:type="dxa"/>
            <w:vAlign w:val="bottom"/>
            <w:gridSpan w:val="3"/>
          </w:tcPr>
          <w:p>
            <w:pPr>
              <w:spacing w:after="0" w:line="135" w:lineRule="exact"/>
              <w:rPr>
                <w:sz w:val="20"/>
                <w:szCs w:val="20"/>
                <w:color w:val="auto"/>
              </w:rPr>
            </w:pPr>
            <w:r>
              <w:rPr>
                <w:rFonts w:ascii="Arial" w:cs="Arial" w:eastAsia="Arial" w:hAnsi="Arial"/>
                <w:sz w:val="13"/>
                <w:szCs w:val="13"/>
                <w:color w:val="auto"/>
              </w:rPr>
              <w:t>Brick Plaza</w:t>
            </w:r>
          </w:p>
        </w:tc>
        <w:tc>
          <w:tcPr>
            <w:tcW w:w="2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80" w:type="dxa"/>
            <w:vAlign w:val="bottom"/>
          </w:tcPr>
          <w:p>
            <w:pPr>
              <w:ind w:left="200"/>
              <w:spacing w:after="0" w:line="135" w:lineRule="exact"/>
              <w:rPr>
                <w:sz w:val="20"/>
                <w:szCs w:val="20"/>
                <w:color w:val="auto"/>
              </w:rPr>
            </w:pPr>
            <w:r>
              <w:rPr>
                <w:rFonts w:ascii="Arial" w:cs="Arial" w:eastAsia="Arial" w:hAnsi="Arial"/>
                <w:sz w:val="13"/>
                <w:szCs w:val="13"/>
                <w:color w:val="auto"/>
              </w:rPr>
              <w:t>Loews Theatre</w:t>
            </w:r>
          </w:p>
        </w:tc>
      </w:tr>
      <w:tr>
        <w:trPr>
          <w:trHeight w:val="144"/>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ind w:left="400"/>
              <w:spacing w:after="0" w:line="144" w:lineRule="exact"/>
              <w:rPr>
                <w:sz w:val="20"/>
                <w:szCs w:val="20"/>
                <w:color w:val="auto"/>
              </w:rPr>
            </w:pPr>
            <w:r>
              <w:rPr>
                <w:rFonts w:ascii="Arial" w:cs="Arial" w:eastAsia="Arial" w:hAnsi="Arial"/>
                <w:sz w:val="13"/>
                <w:szCs w:val="13"/>
                <w:color w:val="auto"/>
              </w:rPr>
              <w:t>/</w:t>
            </w:r>
          </w:p>
        </w:tc>
      </w:tr>
      <w:tr>
        <w:trPr>
          <w:trHeight w:val="144"/>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ind w:left="400"/>
              <w:spacing w:after="0" w:line="144" w:lineRule="exact"/>
              <w:rPr>
                <w:sz w:val="20"/>
                <w:szCs w:val="20"/>
                <w:color w:val="auto"/>
              </w:rPr>
            </w:pPr>
            <w:r>
              <w:rPr>
                <w:rFonts w:ascii="Arial" w:cs="Arial" w:eastAsia="Arial" w:hAnsi="Arial"/>
                <w:sz w:val="13"/>
                <w:szCs w:val="13"/>
                <w:color w:val="auto"/>
                <w:w w:val="90"/>
              </w:rPr>
              <w:t>Barnes&amp;Noble</w:t>
            </w:r>
          </w:p>
        </w:tc>
      </w:tr>
      <w:tr>
        <w:trPr>
          <w:trHeight w:val="144"/>
        </w:trPr>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ind w:left="400"/>
              <w:spacing w:after="0" w:line="144" w:lineRule="exact"/>
              <w:rPr>
                <w:sz w:val="20"/>
                <w:szCs w:val="20"/>
                <w:color w:val="auto"/>
              </w:rPr>
            </w:pPr>
            <w:r>
              <w:rPr>
                <w:rFonts w:ascii="Arial" w:cs="Arial" w:eastAsia="Arial" w:hAnsi="Arial"/>
                <w:sz w:val="13"/>
                <w:szCs w:val="13"/>
                <w:color w:val="auto"/>
              </w:rPr>
              <w:t>/ Sports</w:t>
            </w:r>
          </w:p>
        </w:tc>
      </w:tr>
      <w:tr>
        <w:trPr>
          <w:trHeight w:val="153"/>
        </w:trPr>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ind w:left="280"/>
              <w:spacing w:after="0"/>
              <w:rPr>
                <w:sz w:val="20"/>
                <w:szCs w:val="20"/>
                <w:color w:val="auto"/>
              </w:rPr>
            </w:pPr>
            <w:r>
              <w:rPr>
                <w:rFonts w:ascii="Arial" w:cs="Arial" w:eastAsia="Arial" w:hAnsi="Arial"/>
                <w:sz w:val="13"/>
                <w:szCs w:val="13"/>
                <w:color w:val="auto"/>
              </w:rPr>
              <w:t>SC Monmouth-Ocean, NJ</w:t>
            </w:r>
          </w:p>
        </w:tc>
        <w:tc>
          <w:tcPr>
            <w:tcW w:w="500" w:type="dxa"/>
            <w:vAlign w:val="bottom"/>
          </w:tcPr>
          <w:p>
            <w:pPr>
              <w:jc w:val="right"/>
              <w:spacing w:after="0"/>
              <w:rPr>
                <w:sz w:val="20"/>
                <w:szCs w:val="20"/>
                <w:color w:val="auto"/>
              </w:rPr>
            </w:pPr>
            <w:r>
              <w:rPr>
                <w:rFonts w:ascii="Arial" w:cs="Arial" w:eastAsia="Arial" w:hAnsi="Arial"/>
                <w:sz w:val="13"/>
                <w:szCs w:val="13"/>
                <w:color w:val="auto"/>
              </w:rPr>
              <w:t>1989</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53,755</w:t>
            </w:r>
          </w:p>
        </w:tc>
        <w:tc>
          <w:tcPr>
            <w:tcW w:w="640" w:type="dxa"/>
            <w:vAlign w:val="bottom"/>
          </w:tcPr>
          <w:p>
            <w:pPr>
              <w:jc w:val="right"/>
              <w:spacing w:after="0"/>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409,000</w:t>
            </w:r>
          </w:p>
        </w:tc>
        <w:tc>
          <w:tcPr>
            <w:tcW w:w="8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91%</w:t>
            </w: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33,000</w:t>
            </w:r>
          </w:p>
        </w:tc>
        <w:tc>
          <w:tcPr>
            <w:tcW w:w="500" w:type="dxa"/>
            <w:vAlign w:val="bottom"/>
          </w:tcPr>
          <w:p>
            <w:pPr>
              <w:jc w:val="right"/>
              <w:spacing w:after="0"/>
              <w:rPr>
                <w:sz w:val="20"/>
                <w:szCs w:val="20"/>
                <w:color w:val="auto"/>
              </w:rPr>
            </w:pPr>
            <w:r>
              <w:rPr>
                <w:rFonts w:ascii="Arial" w:cs="Arial" w:eastAsia="Arial" w:hAnsi="Arial"/>
                <w:sz w:val="13"/>
                <w:szCs w:val="13"/>
                <w:color w:val="auto"/>
              </w:rPr>
              <w:t>66,110</w:t>
            </w:r>
          </w:p>
        </w:tc>
        <w:tc>
          <w:tcPr>
            <w:tcW w:w="1320" w:type="dxa"/>
            <w:vAlign w:val="bottom"/>
          </w:tcPr>
          <w:p>
            <w:pPr>
              <w:ind w:left="40"/>
              <w:spacing w:after="0"/>
              <w:rPr>
                <w:sz w:val="20"/>
                <w:szCs w:val="20"/>
                <w:color w:val="auto"/>
              </w:rPr>
            </w:pPr>
            <w:r>
              <w:rPr>
                <w:rFonts w:ascii="Arial" w:cs="Arial" w:eastAsia="Arial" w:hAnsi="Arial"/>
                <w:sz w:val="13"/>
                <w:szCs w:val="13"/>
                <w:color w:val="auto"/>
              </w:rPr>
              <w:t>A&amp;P</w:t>
            </w:r>
          </w:p>
        </w:tc>
        <w:tc>
          <w:tcPr>
            <w:tcW w:w="1180" w:type="dxa"/>
            <w:vAlign w:val="bottom"/>
          </w:tcPr>
          <w:p>
            <w:pPr>
              <w:ind w:left="400"/>
              <w:spacing w:after="0"/>
              <w:rPr>
                <w:sz w:val="20"/>
                <w:szCs w:val="20"/>
                <w:color w:val="auto"/>
              </w:rPr>
            </w:pPr>
            <w:r>
              <w:rPr>
                <w:rFonts w:ascii="Arial" w:cs="Arial" w:eastAsia="Arial" w:hAnsi="Arial"/>
                <w:sz w:val="13"/>
                <w:szCs w:val="13"/>
                <w:color w:val="auto"/>
              </w:rPr>
              <w:t>Authority</w:t>
            </w:r>
          </w:p>
        </w:tc>
      </w:tr>
      <w:tr>
        <w:trPr>
          <w:trHeight w:val="144"/>
        </w:trPr>
        <w:tc>
          <w:tcPr>
            <w:tcW w:w="1600" w:type="dxa"/>
            <w:vAlign w:val="bottom"/>
            <w:gridSpan w:val="3"/>
            <w:shd w:val="clear" w:color="auto" w:fill="CCEEFF"/>
          </w:tcPr>
          <w:p>
            <w:pPr>
              <w:spacing w:after="0" w:line="144" w:lineRule="exact"/>
              <w:rPr>
                <w:sz w:val="20"/>
                <w:szCs w:val="20"/>
                <w:color w:val="auto"/>
              </w:rPr>
            </w:pPr>
            <w:r>
              <w:rPr>
                <w:rFonts w:ascii="Arial" w:cs="Arial" w:eastAsia="Arial" w:hAnsi="Arial"/>
                <w:sz w:val="13"/>
                <w:szCs w:val="13"/>
                <w:color w:val="auto"/>
              </w:rPr>
              <w:t>Greenlawn Plaza</w:t>
            </w:r>
          </w:p>
        </w:tc>
        <w:tc>
          <w:tcPr>
            <w:tcW w:w="2560" w:type="dxa"/>
            <w:vAlign w:val="bottom"/>
            <w:shd w:val="clear" w:color="auto" w:fill="CCEEFF"/>
          </w:tcPr>
          <w:p>
            <w:pPr>
              <w:ind w:left="280"/>
              <w:spacing w:after="0" w:line="144" w:lineRule="exact"/>
              <w:rPr>
                <w:sz w:val="20"/>
                <w:szCs w:val="20"/>
                <w:color w:val="auto"/>
              </w:rPr>
            </w:pPr>
            <w:r>
              <w:rPr>
                <w:rFonts w:ascii="Arial" w:cs="Arial" w:eastAsia="Arial" w:hAnsi="Arial"/>
                <w:sz w:val="13"/>
                <w:szCs w:val="13"/>
                <w:color w:val="auto"/>
              </w:rPr>
              <w:t>SC Nassau-Suffolk, NY</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2000</w:t>
            </w:r>
          </w:p>
        </w:tc>
        <w:tc>
          <w:tcPr>
            <w:tcW w:w="102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10,949</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92,000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45,958</w:t>
            </w:r>
          </w:p>
        </w:tc>
        <w:tc>
          <w:tcPr>
            <w:tcW w:w="13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color w:val="auto"/>
              </w:rPr>
              <w:t>Waldbaum’s</w:t>
            </w:r>
          </w:p>
        </w:tc>
        <w:tc>
          <w:tcPr>
            <w:tcW w:w="1180" w:type="dxa"/>
            <w:vAlign w:val="bottom"/>
            <w:shd w:val="clear" w:color="auto" w:fill="CCEEFF"/>
          </w:tcPr>
          <w:p>
            <w:pPr>
              <w:spacing w:after="0"/>
              <w:rPr>
                <w:sz w:val="12"/>
                <w:szCs w:val="12"/>
                <w:color w:val="auto"/>
              </w:rPr>
            </w:pPr>
          </w:p>
        </w:tc>
      </w:tr>
      <w:tr>
        <w:trPr>
          <w:trHeight w:val="144"/>
        </w:trPr>
        <w:tc>
          <w:tcPr>
            <w:tcW w:w="1600" w:type="dxa"/>
            <w:vAlign w:val="bottom"/>
            <w:gridSpan w:val="3"/>
          </w:tcPr>
          <w:p>
            <w:pPr>
              <w:spacing w:after="0" w:line="144" w:lineRule="exact"/>
              <w:rPr>
                <w:sz w:val="20"/>
                <w:szCs w:val="20"/>
                <w:color w:val="auto"/>
              </w:rPr>
            </w:pPr>
            <w:r>
              <w:rPr>
                <w:rFonts w:ascii="Arial" w:cs="Arial" w:eastAsia="Arial" w:hAnsi="Arial"/>
                <w:sz w:val="13"/>
                <w:szCs w:val="13"/>
                <w:color w:val="auto"/>
              </w:rPr>
              <w:t>Hauppauge</w:t>
            </w:r>
          </w:p>
        </w:tc>
        <w:tc>
          <w:tcPr>
            <w:tcW w:w="2560" w:type="dxa"/>
            <w:vAlign w:val="bottom"/>
          </w:tcPr>
          <w:p>
            <w:pPr>
              <w:ind w:left="280"/>
              <w:spacing w:after="0" w:line="144" w:lineRule="exact"/>
              <w:rPr>
                <w:sz w:val="20"/>
                <w:szCs w:val="20"/>
                <w:color w:val="auto"/>
              </w:rPr>
            </w:pPr>
            <w:r>
              <w:rPr>
                <w:rFonts w:ascii="Arial" w:cs="Arial" w:eastAsia="Arial" w:hAnsi="Arial"/>
                <w:sz w:val="13"/>
                <w:szCs w:val="13"/>
                <w:color w:val="auto"/>
              </w:rPr>
              <w:t>SC Nassau-Suffolk, NY</w:t>
            </w: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1998</w:t>
            </w:r>
          </w:p>
        </w:tc>
        <w:tc>
          <w:tcPr>
            <w:tcW w:w="102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26,242</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100.0%</w:t>
            </w:r>
          </w:p>
        </w:tc>
        <w:tc>
          <w:tcPr>
            <w:tcW w:w="5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131,000</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4" w:lineRule="exact"/>
              <w:rPr>
                <w:sz w:val="20"/>
                <w:szCs w:val="20"/>
                <w:color w:val="auto"/>
              </w:rPr>
            </w:pPr>
            <w:r>
              <w:rPr>
                <w:rFonts w:ascii="Arial" w:cs="Arial" w:eastAsia="Arial" w:hAnsi="Arial"/>
                <w:sz w:val="13"/>
                <w:szCs w:val="13"/>
                <w:color w:val="auto"/>
              </w:rPr>
              <w:t>100%</w:t>
            </w:r>
          </w:p>
        </w:tc>
        <w:tc>
          <w:tcPr>
            <w:tcW w:w="700" w:type="dxa"/>
            <w:vAlign w:val="bottom"/>
          </w:tcPr>
          <w:p>
            <w:pPr>
              <w:jc w:val="right"/>
              <w:ind w:right="35"/>
              <w:spacing w:after="0" w:line="144" w:lineRule="exact"/>
              <w:rPr>
                <w:sz w:val="20"/>
                <w:szCs w:val="20"/>
                <w:color w:val="auto"/>
              </w:rPr>
            </w:pPr>
            <w:r>
              <w:rPr>
                <w:rFonts w:ascii="Arial" w:cs="Arial" w:eastAsia="Arial" w:hAnsi="Arial"/>
                <w:sz w:val="13"/>
                <w:szCs w:val="13"/>
                <w:color w:val="auto"/>
              </w:rPr>
              <w:t>16,700</w:t>
            </w: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60,791</w:t>
            </w:r>
          </w:p>
        </w:tc>
        <w:tc>
          <w:tcPr>
            <w:tcW w:w="1320" w:type="dxa"/>
            <w:vAlign w:val="bottom"/>
          </w:tcPr>
          <w:p>
            <w:pPr>
              <w:ind w:left="40"/>
              <w:spacing w:after="0" w:line="144" w:lineRule="exact"/>
              <w:rPr>
                <w:sz w:val="20"/>
                <w:szCs w:val="20"/>
                <w:color w:val="auto"/>
              </w:rPr>
            </w:pPr>
            <w:r>
              <w:rPr>
                <w:rFonts w:ascii="Arial" w:cs="Arial" w:eastAsia="Arial" w:hAnsi="Arial"/>
                <w:sz w:val="13"/>
                <w:szCs w:val="13"/>
                <w:color w:val="auto"/>
              </w:rPr>
              <w:t>Shop Rite</w:t>
            </w:r>
          </w:p>
        </w:tc>
        <w:tc>
          <w:tcPr>
            <w:tcW w:w="1180" w:type="dxa"/>
            <w:vAlign w:val="bottom"/>
          </w:tcPr>
          <w:p>
            <w:pPr>
              <w:spacing w:after="0"/>
              <w:rPr>
                <w:sz w:val="12"/>
                <w:szCs w:val="12"/>
                <w:color w:val="auto"/>
              </w:rPr>
            </w:pPr>
          </w:p>
        </w:tc>
      </w:tr>
      <w:tr>
        <w:trPr>
          <w:trHeight w:val="135"/>
        </w:trPr>
        <w:tc>
          <w:tcPr>
            <w:tcW w:w="16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Huntington</w:t>
            </w:r>
          </w:p>
        </w:tc>
        <w:tc>
          <w:tcPr>
            <w:tcW w:w="2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1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BuyBuyBaby /</w:t>
            </w:r>
          </w:p>
        </w:tc>
      </w:tr>
      <w:tr>
        <w:trPr>
          <w:trHeight w:val="144"/>
        </w:trPr>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Toys R Us /</w:t>
            </w:r>
          </w:p>
        </w:tc>
      </w:tr>
      <w:tr>
        <w:trPr>
          <w:trHeight w:val="144"/>
        </w:trPr>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80" w:type="dxa"/>
            <w:vAlign w:val="bottom"/>
            <w:shd w:val="clear" w:color="auto" w:fill="CCEEFF"/>
          </w:tcPr>
          <w:p>
            <w:pPr>
              <w:ind w:left="400"/>
              <w:spacing w:after="0" w:line="144" w:lineRule="exact"/>
              <w:rPr>
                <w:sz w:val="20"/>
                <w:szCs w:val="20"/>
                <w:color w:val="auto"/>
              </w:rPr>
            </w:pPr>
            <w:r>
              <w:rPr>
                <w:rFonts w:ascii="Arial" w:cs="Arial" w:eastAsia="Arial" w:hAnsi="Arial"/>
                <w:sz w:val="13"/>
                <w:szCs w:val="13"/>
                <w:color w:val="auto"/>
              </w:rPr>
              <w:t>Bed,Bath &amp;</w:t>
            </w:r>
          </w:p>
        </w:tc>
      </w:tr>
      <w:tr>
        <w:trPr>
          <w:trHeight w:val="153"/>
        </w:trPr>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SC Nassau-Suffolk, NY</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22,405</w:t>
            </w: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279,000</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90%</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14,321</w:t>
            </w: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1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Beyond</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31" w:right="239" w:bottom="1440" w:gutter="0" w:footer="0" w:header="0"/>
        </w:sectPr>
      </w:pPr>
    </w:p>
    <w:bookmarkStart w:id="22" w:name="page23"/>
    <w:bookmarkEnd w:id="22"/>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2020" cy="273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Mortgage or</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8"/>
              </w:rPr>
              <w:t>Grocery</w:t>
            </w: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r>
      <w:tr>
        <w:trPr>
          <w:trHeight w:val="144"/>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rPr>
              <w:t>Year</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8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89"/>
              </w:rPr>
              <w:t>Ownership</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Capital Lease</w:t>
            </w:r>
          </w:p>
        </w:tc>
        <w:tc>
          <w:tcPr>
            <w:tcW w:w="54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Anchor</w:t>
            </w:r>
          </w:p>
        </w:tc>
        <w:tc>
          <w:tcPr>
            <w:tcW w:w="6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Grocery</w:t>
            </w:r>
          </w:p>
        </w:tc>
        <w:tc>
          <w:tcPr>
            <w:tcW w:w="120" w:type="dxa"/>
            <w:vAlign w:val="bottom"/>
          </w:tcPr>
          <w:p>
            <w:pPr>
              <w:spacing w:after="0"/>
              <w:rPr>
                <w:sz w:val="12"/>
                <w:szCs w:val="12"/>
                <w:color w:val="auto"/>
              </w:rPr>
            </w:pPr>
          </w:p>
        </w:tc>
        <w:tc>
          <w:tcPr>
            <w:tcW w:w="15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Principal</w:t>
            </w:r>
          </w:p>
        </w:tc>
      </w:tr>
      <w:tr>
        <w:trPr>
          <w:trHeight w:val="168"/>
        </w:trPr>
        <w:tc>
          <w:tcPr>
            <w:tcW w:w="40" w:type="dxa"/>
            <w:vAlign w:val="bottom"/>
          </w:tcPr>
          <w:p>
            <w:pPr>
              <w:spacing w:after="0"/>
              <w:rPr>
                <w:sz w:val="14"/>
                <w:szCs w:val="14"/>
                <w:color w:val="auto"/>
              </w:rPr>
            </w:pPr>
          </w:p>
        </w:tc>
        <w:tc>
          <w:tcPr>
            <w:tcW w:w="1280" w:type="dxa"/>
            <w:vAlign w:val="bottom"/>
            <w:gridSpan w:val="7"/>
          </w:tcPr>
          <w:p>
            <w:pPr>
              <w:ind w:left="140"/>
              <w:spacing w:after="0"/>
              <w:rPr>
                <w:sz w:val="20"/>
                <w:szCs w:val="20"/>
                <w:color w:val="auto"/>
              </w:rPr>
            </w:pPr>
            <w:r>
              <w:rPr>
                <w:rFonts w:ascii="Arial" w:cs="Arial" w:eastAsia="Arial" w:hAnsi="Arial"/>
                <w:sz w:val="13"/>
                <w:szCs w:val="13"/>
                <w:b w:val="1"/>
                <w:bCs w:val="1"/>
                <w:color w:val="auto"/>
              </w:rPr>
              <w:t>Property Name</w:t>
            </w:r>
          </w:p>
        </w:tc>
        <w:tc>
          <w:tcPr>
            <w:tcW w:w="5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0"/>
              </w:rPr>
              <w:t>Type(1)</w:t>
            </w:r>
          </w:p>
        </w:tc>
        <w:tc>
          <w:tcPr>
            <w:tcW w:w="1040" w:type="dxa"/>
            <w:vAlign w:val="bottom"/>
          </w:tcPr>
          <w:p>
            <w:pPr>
              <w:ind w:left="40"/>
              <w:spacing w:after="0"/>
              <w:rPr>
                <w:sz w:val="20"/>
                <w:szCs w:val="20"/>
                <w:color w:val="auto"/>
              </w:rPr>
            </w:pPr>
            <w:r>
              <w:rPr>
                <w:rFonts w:ascii="Arial" w:cs="Arial" w:eastAsia="Arial" w:hAnsi="Arial"/>
                <w:sz w:val="13"/>
                <w:szCs w:val="13"/>
                <w:b w:val="1"/>
                <w:bCs w:val="1"/>
                <w:color w:val="auto"/>
                <w:w w:val="94"/>
              </w:rPr>
              <w:t>MSA Description</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5"/>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Investment</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5"/>
              </w:rPr>
              <w:t>Percentage</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GLA (2)</w:t>
            </w:r>
          </w:p>
        </w:tc>
        <w:tc>
          <w:tcPr>
            <w:tcW w:w="1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6"/>
              </w:rPr>
              <w:t>% Leased</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Obligation</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3"/>
              </w:rPr>
              <w:t>GLA (3)</w:t>
            </w: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5"/>
              </w:rPr>
              <w:t>Anchor (3)</w:t>
            </w: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8"/>
              </w:rPr>
              <w:t>Tenants</w:t>
            </w:r>
          </w:p>
        </w:tc>
      </w:tr>
      <w:tr>
        <w:trPr>
          <w:trHeight w:val="93"/>
        </w:trPr>
        <w:tc>
          <w:tcPr>
            <w:tcW w:w="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241"/>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(in thousands)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(in thousands)</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35"/>
        </w:trPr>
        <w:tc>
          <w:tcPr>
            <w:tcW w:w="1320" w:type="dxa"/>
            <w:vAlign w:val="bottom"/>
            <w:gridSpan w:val="8"/>
            <w:shd w:val="clear" w:color="auto" w:fill="CCEEFF"/>
          </w:tcPr>
          <w:p>
            <w:pPr>
              <w:spacing w:after="0" w:line="135" w:lineRule="exact"/>
              <w:rPr>
                <w:sz w:val="20"/>
                <w:szCs w:val="20"/>
                <w:color w:val="auto"/>
              </w:rPr>
            </w:pPr>
            <w:r>
              <w:rPr>
                <w:rFonts w:ascii="Arial" w:cs="Arial" w:eastAsia="Arial" w:hAnsi="Arial"/>
                <w:sz w:val="13"/>
                <w:szCs w:val="13"/>
                <w:color w:val="auto"/>
              </w:rPr>
              <w:t>Forest Hills</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Midway Theatre</w:t>
            </w: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 Duane</w:t>
            </w:r>
          </w:p>
        </w:tc>
      </w:tr>
      <w:tr>
        <w:trPr>
          <w:trHeight w:val="153"/>
        </w:trPr>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SR</w:t>
            </w: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New York, NY</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1997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23,965</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Reade / Gap</w:t>
            </w:r>
          </w:p>
        </w:tc>
      </w:tr>
      <w:tr>
        <w:trPr>
          <w:trHeight w:val="135"/>
        </w:trPr>
        <w:tc>
          <w:tcPr>
            <w:tcW w:w="1320" w:type="dxa"/>
            <w:vAlign w:val="bottom"/>
            <w:gridSpan w:val="8"/>
          </w:tcPr>
          <w:p>
            <w:pPr>
              <w:spacing w:after="0" w:line="135" w:lineRule="exact"/>
              <w:rPr>
                <w:sz w:val="20"/>
                <w:szCs w:val="20"/>
                <w:color w:val="auto"/>
              </w:rPr>
            </w:pPr>
            <w:r>
              <w:rPr>
                <w:rFonts w:ascii="Arial" w:cs="Arial" w:eastAsia="Arial" w:hAnsi="Arial"/>
                <w:sz w:val="13"/>
                <w:szCs w:val="13"/>
                <w:color w:val="auto"/>
              </w:rPr>
              <w:t>Fresh Meadows</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line="135" w:lineRule="exact"/>
              <w:rPr>
                <w:sz w:val="20"/>
                <w:szCs w:val="20"/>
                <w:color w:val="auto"/>
              </w:rPr>
            </w:pPr>
            <w:r>
              <w:rPr>
                <w:rFonts w:ascii="Arial" w:cs="Arial" w:eastAsia="Arial" w:hAnsi="Arial"/>
                <w:sz w:val="13"/>
                <w:szCs w:val="13"/>
                <w:color w:val="auto"/>
              </w:rPr>
              <w:t>Value City /</w:t>
            </w:r>
          </w:p>
        </w:tc>
      </w:tr>
      <w:tr>
        <w:trPr>
          <w:trHeight w:val="144"/>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ind w:left="220"/>
              <w:spacing w:after="0" w:line="144" w:lineRule="exact"/>
              <w:rPr>
                <w:sz w:val="20"/>
                <w:szCs w:val="20"/>
                <w:color w:val="auto"/>
              </w:rPr>
            </w:pPr>
            <w:r>
              <w:rPr>
                <w:rFonts w:ascii="Arial" w:cs="Arial" w:eastAsia="Arial" w:hAnsi="Arial"/>
                <w:sz w:val="13"/>
                <w:szCs w:val="13"/>
                <w:color w:val="auto"/>
              </w:rPr>
              <w:t>Kohl’s /</w:t>
            </w:r>
          </w:p>
        </w:tc>
      </w:tr>
      <w:tr>
        <w:trPr>
          <w:trHeight w:val="144"/>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ind w:left="220"/>
              <w:spacing w:after="0" w:line="144" w:lineRule="exact"/>
              <w:rPr>
                <w:sz w:val="20"/>
                <w:szCs w:val="20"/>
                <w:color w:val="auto"/>
              </w:rPr>
            </w:pPr>
            <w:r>
              <w:rPr>
                <w:rFonts w:ascii="Arial" w:cs="Arial" w:eastAsia="Arial" w:hAnsi="Arial"/>
                <w:sz w:val="13"/>
                <w:szCs w:val="13"/>
                <w:color w:val="auto"/>
              </w:rPr>
              <w:t>Cineplex</w:t>
            </w:r>
          </w:p>
        </w:tc>
      </w:tr>
      <w:tr>
        <w:trPr>
          <w:trHeight w:val="153"/>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SC</w:t>
            </w:r>
          </w:p>
        </w:tc>
        <w:tc>
          <w:tcPr>
            <w:tcW w:w="1040" w:type="dxa"/>
            <w:vAlign w:val="bottom"/>
          </w:tcPr>
          <w:p>
            <w:pPr>
              <w:spacing w:after="0"/>
              <w:rPr>
                <w:sz w:val="20"/>
                <w:szCs w:val="20"/>
                <w:color w:val="auto"/>
              </w:rPr>
            </w:pPr>
            <w:r>
              <w:rPr>
                <w:rFonts w:ascii="Arial" w:cs="Arial" w:eastAsia="Arial" w:hAnsi="Arial"/>
                <w:sz w:val="13"/>
                <w:szCs w:val="13"/>
                <w:color w:val="auto"/>
              </w:rPr>
              <w:t>New York, NY</w:t>
            </w: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1997</w:t>
            </w:r>
          </w:p>
        </w:tc>
        <w:tc>
          <w:tcPr>
            <w:tcW w:w="800" w:type="dxa"/>
            <w:vAlign w:val="bottom"/>
          </w:tcPr>
          <w:p>
            <w:pPr>
              <w:jc w:val="right"/>
              <w:spacing w:after="0"/>
              <w:rPr>
                <w:sz w:val="20"/>
                <w:szCs w:val="20"/>
                <w:color w:val="auto"/>
              </w:rPr>
            </w:pPr>
            <w:r>
              <w:rPr>
                <w:rFonts w:ascii="Arial" w:cs="Arial" w:eastAsia="Arial" w:hAnsi="Arial"/>
                <w:sz w:val="13"/>
                <w:szCs w:val="13"/>
                <w:color w:val="auto"/>
              </w:rPr>
              <w:t>64,514</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tcPr>
          <w:p>
            <w:pPr>
              <w:jc w:val="right"/>
              <w:spacing w:after="0"/>
              <w:rPr>
                <w:sz w:val="20"/>
                <w:szCs w:val="20"/>
                <w:color w:val="auto"/>
              </w:rPr>
            </w:pPr>
            <w:r>
              <w:rPr>
                <w:rFonts w:ascii="Arial" w:cs="Arial" w:eastAsia="Arial" w:hAnsi="Arial"/>
                <w:sz w:val="13"/>
                <w:szCs w:val="13"/>
                <w:color w:val="auto"/>
              </w:rPr>
              <w:t>409,000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94%</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ind w:left="220"/>
              <w:spacing w:after="0"/>
              <w:rPr>
                <w:sz w:val="20"/>
                <w:szCs w:val="20"/>
                <w:color w:val="auto"/>
              </w:rPr>
            </w:pPr>
            <w:r>
              <w:rPr>
                <w:rFonts w:ascii="Arial" w:cs="Arial" w:eastAsia="Arial" w:hAnsi="Arial"/>
                <w:sz w:val="13"/>
                <w:szCs w:val="13"/>
                <w:color w:val="auto"/>
              </w:rPr>
              <w:t>Odeon</w:t>
            </w:r>
          </w:p>
        </w:tc>
      </w:tr>
      <w:tr>
        <w:trPr>
          <w:trHeight w:val="135"/>
        </w:trPr>
        <w:tc>
          <w:tcPr>
            <w:tcW w:w="1320" w:type="dxa"/>
            <w:vAlign w:val="bottom"/>
            <w:gridSpan w:val="8"/>
            <w:shd w:val="clear" w:color="auto" w:fill="CCEEFF"/>
          </w:tcPr>
          <w:p>
            <w:pPr>
              <w:spacing w:after="0" w:line="135" w:lineRule="exact"/>
              <w:rPr>
                <w:sz w:val="20"/>
                <w:szCs w:val="20"/>
                <w:color w:val="auto"/>
              </w:rPr>
            </w:pPr>
            <w:r>
              <w:rPr>
                <w:rFonts w:ascii="Arial" w:cs="Arial" w:eastAsia="Arial" w:hAnsi="Arial"/>
                <w:sz w:val="13"/>
                <w:szCs w:val="13"/>
                <w:color w:val="auto"/>
              </w:rPr>
              <w:t>Troy</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A.C.Moore /</w:t>
            </w: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Comp USA /</w:t>
            </w:r>
          </w:p>
        </w:tc>
      </w:tr>
      <w:tr>
        <w:trPr>
          <w:trHeight w:val="153"/>
        </w:trPr>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SC</w:t>
            </w: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Newark, NJ</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1980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20,496</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64,209</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Pathmark</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Toys R Us</w:t>
            </w:r>
          </w:p>
        </w:tc>
      </w:tr>
      <w:tr>
        <w:trPr>
          <w:trHeight w:val="135"/>
        </w:trPr>
        <w:tc>
          <w:tcPr>
            <w:tcW w:w="1320" w:type="dxa"/>
            <w:vAlign w:val="bottom"/>
            <w:gridSpan w:val="8"/>
          </w:tcPr>
          <w:p>
            <w:pPr>
              <w:spacing w:after="0" w:line="135" w:lineRule="exact"/>
              <w:rPr>
                <w:sz w:val="20"/>
                <w:szCs w:val="20"/>
                <w:color w:val="auto"/>
              </w:rPr>
            </w:pPr>
            <w:r>
              <w:rPr>
                <w:rFonts w:ascii="Arial" w:cs="Arial" w:eastAsia="Arial" w:hAnsi="Arial"/>
                <w:sz w:val="13"/>
                <w:szCs w:val="13"/>
                <w:color w:val="auto"/>
              </w:rPr>
              <w:t>Hamilton</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line="135" w:lineRule="exact"/>
              <w:rPr>
                <w:sz w:val="20"/>
                <w:szCs w:val="20"/>
                <w:color w:val="auto"/>
              </w:rPr>
            </w:pPr>
            <w:r>
              <w:rPr>
                <w:rFonts w:ascii="Arial" w:cs="Arial" w:eastAsia="Arial" w:hAnsi="Arial"/>
                <w:sz w:val="13"/>
                <w:szCs w:val="13"/>
                <w:color w:val="auto"/>
              </w:rPr>
              <w:t>A.C.Moore /</w:t>
            </w:r>
          </w:p>
        </w:tc>
      </w:tr>
      <w:tr>
        <w:trPr>
          <w:trHeight w:val="144"/>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ind w:left="220"/>
              <w:spacing w:after="0" w:line="144" w:lineRule="exact"/>
              <w:rPr>
                <w:sz w:val="20"/>
                <w:szCs w:val="20"/>
                <w:color w:val="auto"/>
              </w:rPr>
            </w:pPr>
            <w:r>
              <w:rPr>
                <w:rFonts w:ascii="Arial" w:cs="Arial" w:eastAsia="Arial" w:hAnsi="Arial"/>
                <w:sz w:val="13"/>
                <w:szCs w:val="13"/>
                <w:color w:val="auto"/>
              </w:rPr>
              <w:t>Stevens</w:t>
            </w:r>
          </w:p>
        </w:tc>
      </w:tr>
      <w:tr>
        <w:trPr>
          <w:trHeight w:val="164"/>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SC</w:t>
            </w:r>
          </w:p>
        </w:tc>
        <w:tc>
          <w:tcPr>
            <w:tcW w:w="1040" w:type="dxa"/>
            <w:vAlign w:val="bottom"/>
          </w:tcPr>
          <w:p>
            <w:pPr>
              <w:spacing w:after="0"/>
              <w:rPr>
                <w:sz w:val="20"/>
                <w:szCs w:val="20"/>
                <w:color w:val="auto"/>
              </w:rPr>
            </w:pPr>
            <w:r>
              <w:rPr>
                <w:rFonts w:ascii="Arial" w:cs="Arial" w:eastAsia="Arial" w:hAnsi="Arial"/>
                <w:sz w:val="13"/>
                <w:szCs w:val="13"/>
                <w:color w:val="auto"/>
              </w:rPr>
              <w:t>Trenton, NJ</w:t>
            </w: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1988</w:t>
            </w:r>
          </w:p>
        </w:tc>
        <w:tc>
          <w:tcPr>
            <w:tcW w:w="800" w:type="dxa"/>
            <w:vAlign w:val="bottom"/>
          </w:tcPr>
          <w:p>
            <w:pPr>
              <w:jc w:val="right"/>
              <w:spacing w:after="0"/>
              <w:rPr>
                <w:sz w:val="20"/>
                <w:szCs w:val="20"/>
                <w:color w:val="auto"/>
              </w:rPr>
            </w:pPr>
            <w:r>
              <w:rPr>
                <w:rFonts w:ascii="Arial" w:cs="Arial" w:eastAsia="Arial" w:hAnsi="Arial"/>
                <w:sz w:val="13"/>
                <w:szCs w:val="13"/>
                <w:color w:val="auto"/>
              </w:rPr>
              <w:t>7,791</w:t>
            </w:r>
          </w:p>
        </w:tc>
        <w:tc>
          <w:tcPr>
            <w:tcW w:w="980" w:type="dxa"/>
            <w:vAlign w:val="bottom"/>
            <w:gridSpan w:val="3"/>
          </w:tcPr>
          <w:p>
            <w:pPr>
              <w:jc w:val="right"/>
              <w:ind w:right="180"/>
              <w:spacing w:after="0"/>
              <w:rPr>
                <w:sz w:val="20"/>
                <w:szCs w:val="20"/>
                <w:color w:val="auto"/>
              </w:rPr>
            </w:pPr>
            <w:r>
              <w:rPr>
                <w:rFonts w:ascii="Arial" w:cs="Arial" w:eastAsia="Arial" w:hAnsi="Arial"/>
                <w:sz w:val="13"/>
                <w:szCs w:val="13"/>
                <w:color w:val="auto"/>
              </w:rPr>
              <w:t>(6)</w:t>
            </w:r>
          </w:p>
        </w:tc>
        <w:tc>
          <w:tcPr>
            <w:tcW w:w="580" w:type="dxa"/>
            <w:vAlign w:val="bottom"/>
          </w:tcPr>
          <w:p>
            <w:pPr>
              <w:jc w:val="right"/>
              <w:spacing w:after="0"/>
              <w:rPr>
                <w:sz w:val="20"/>
                <w:szCs w:val="20"/>
                <w:color w:val="auto"/>
              </w:rPr>
            </w:pPr>
            <w:r>
              <w:rPr>
                <w:rFonts w:ascii="Arial" w:cs="Arial" w:eastAsia="Arial" w:hAnsi="Arial"/>
                <w:sz w:val="13"/>
                <w:szCs w:val="13"/>
                <w:color w:val="auto"/>
              </w:rPr>
              <w:t>190,000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100%</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4,835</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53,220</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Shop Rite</w:t>
            </w:r>
          </w:p>
        </w:tc>
        <w:tc>
          <w:tcPr>
            <w:tcW w:w="12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Arial" w:cs="Arial" w:eastAsia="Arial" w:hAnsi="Arial"/>
                <w:sz w:val="13"/>
                <w:szCs w:val="13"/>
                <w:color w:val="auto"/>
              </w:rPr>
              <w:t>Furniture</w:t>
            </w:r>
          </w:p>
        </w:tc>
      </w:tr>
      <w:tr>
        <w:trPr>
          <w:trHeight w:val="93"/>
        </w:trPr>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98"/>
        </w:trPr>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315,576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2,857,000</w:t>
            </w:r>
          </w:p>
        </w:tc>
        <w:tc>
          <w:tcPr>
            <w:tcW w:w="92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95%</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235"/>
        </w:trPr>
        <w:tc>
          <w:tcPr>
            <w:tcW w:w="76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0"/>
              </w:rPr>
              <w:t>New England</w:t>
            </w:r>
          </w:p>
        </w:tc>
        <w:tc>
          <w:tcPr>
            <w:tcW w:w="56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28"/>
        </w:trPr>
        <w:tc>
          <w:tcPr>
            <w:tcW w:w="1320" w:type="dxa"/>
            <w:vAlign w:val="bottom"/>
            <w:gridSpan w:val="8"/>
            <w:shd w:val="clear" w:color="auto" w:fill="CCEEFF"/>
          </w:tcPr>
          <w:p>
            <w:pPr>
              <w:spacing w:after="0" w:line="128" w:lineRule="exact"/>
              <w:rPr>
                <w:sz w:val="20"/>
                <w:szCs w:val="20"/>
                <w:color w:val="auto"/>
              </w:rPr>
            </w:pPr>
            <w:r>
              <w:rPr>
                <w:rFonts w:ascii="Arial" w:cs="Arial" w:eastAsia="Arial" w:hAnsi="Arial"/>
                <w:sz w:val="13"/>
                <w:szCs w:val="13"/>
                <w:color w:val="auto"/>
              </w:rPr>
              <w:t>Coolidge Corner</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w w:val="94"/>
              </w:rPr>
              <w:t>Boston-Worcester-</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Lawrence-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Lowell-</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53"/>
        </w:trPr>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SR</w:t>
            </w:r>
          </w:p>
        </w:tc>
        <w:tc>
          <w:tcPr>
            <w:tcW w:w="1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Brockton, MA</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1995</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4,022</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35"/>
        </w:trPr>
        <w:tc>
          <w:tcPr>
            <w:tcW w:w="1320" w:type="dxa"/>
            <w:vAlign w:val="bottom"/>
            <w:gridSpan w:val="8"/>
          </w:tcPr>
          <w:p>
            <w:pPr>
              <w:spacing w:after="0" w:line="135" w:lineRule="exact"/>
              <w:rPr>
                <w:sz w:val="20"/>
                <w:szCs w:val="20"/>
                <w:color w:val="auto"/>
              </w:rPr>
            </w:pPr>
            <w:r>
              <w:rPr>
                <w:rFonts w:ascii="Arial" w:cs="Arial" w:eastAsia="Arial" w:hAnsi="Arial"/>
                <w:sz w:val="13"/>
                <w:szCs w:val="13"/>
                <w:color w:val="auto"/>
              </w:rPr>
              <w:t>Dedham Plaza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line="135" w:lineRule="exact"/>
              <w:rPr>
                <w:sz w:val="20"/>
                <w:szCs w:val="20"/>
                <w:color w:val="auto"/>
              </w:rPr>
            </w:pPr>
            <w:r>
              <w:rPr>
                <w:rFonts w:ascii="Arial" w:cs="Arial" w:eastAsia="Arial" w:hAnsi="Arial"/>
                <w:sz w:val="13"/>
                <w:szCs w:val="13"/>
                <w:color w:val="auto"/>
                <w:w w:val="94"/>
              </w:rPr>
              <w:t>Boston-Worcester-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44"/>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ind w:left="220"/>
              <w:spacing w:after="0" w:line="144" w:lineRule="exact"/>
              <w:rPr>
                <w:sz w:val="20"/>
                <w:szCs w:val="20"/>
                <w:color w:val="auto"/>
              </w:rPr>
            </w:pPr>
            <w:r>
              <w:rPr>
                <w:rFonts w:ascii="Arial" w:cs="Arial" w:eastAsia="Arial" w:hAnsi="Arial"/>
                <w:sz w:val="13"/>
                <w:szCs w:val="13"/>
                <w:color w:val="auto"/>
              </w:rPr>
              <w:t>Lawrence-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ind w:left="220"/>
              <w:spacing w:after="0" w:line="144" w:lineRule="exact"/>
              <w:rPr>
                <w:sz w:val="20"/>
                <w:szCs w:val="20"/>
                <w:color w:val="auto"/>
              </w:rPr>
            </w:pPr>
            <w:r>
              <w:rPr>
                <w:rFonts w:ascii="Arial" w:cs="Arial" w:eastAsia="Arial" w:hAnsi="Arial"/>
                <w:sz w:val="13"/>
                <w:szCs w:val="13"/>
                <w:color w:val="auto"/>
              </w:rPr>
              <w:t>Lowell-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3"/>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SC</w:t>
            </w:r>
          </w:p>
        </w:tc>
        <w:tc>
          <w:tcPr>
            <w:tcW w:w="1040" w:type="dxa"/>
            <w:vAlign w:val="bottom"/>
          </w:tcPr>
          <w:p>
            <w:pPr>
              <w:ind w:left="220"/>
              <w:spacing w:after="0"/>
              <w:rPr>
                <w:sz w:val="20"/>
                <w:szCs w:val="20"/>
                <w:color w:val="auto"/>
              </w:rPr>
            </w:pPr>
            <w:r>
              <w:rPr>
                <w:rFonts w:ascii="Arial" w:cs="Arial" w:eastAsia="Arial" w:hAnsi="Arial"/>
                <w:sz w:val="13"/>
                <w:szCs w:val="13"/>
                <w:color w:val="auto"/>
              </w:rPr>
              <w:t>Brockton, MA</w:t>
            </w: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1993</w:t>
            </w:r>
          </w:p>
        </w:tc>
        <w:tc>
          <w:tcPr>
            <w:tcW w:w="800" w:type="dxa"/>
            <w:vAlign w:val="bottom"/>
          </w:tcPr>
          <w:p>
            <w:pPr>
              <w:jc w:val="right"/>
              <w:spacing w:after="0"/>
              <w:rPr>
                <w:sz w:val="20"/>
                <w:szCs w:val="20"/>
                <w:color w:val="auto"/>
              </w:rPr>
            </w:pPr>
            <w:r>
              <w:rPr>
                <w:rFonts w:ascii="Arial" w:cs="Arial" w:eastAsia="Arial" w:hAnsi="Arial"/>
                <w:sz w:val="13"/>
                <w:szCs w:val="13"/>
                <w:color w:val="auto"/>
              </w:rPr>
              <w:t>29,320</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tcPr>
          <w:p>
            <w:pPr>
              <w:jc w:val="right"/>
              <w:spacing w:after="0"/>
              <w:rPr>
                <w:sz w:val="20"/>
                <w:szCs w:val="20"/>
                <w:color w:val="auto"/>
              </w:rPr>
            </w:pPr>
            <w:r>
              <w:rPr>
                <w:rFonts w:ascii="Arial" w:cs="Arial" w:eastAsia="Arial" w:hAnsi="Arial"/>
                <w:sz w:val="13"/>
                <w:szCs w:val="13"/>
                <w:color w:val="auto"/>
              </w:rPr>
              <w:t>245,000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97%</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20"/>
                <w:szCs w:val="20"/>
                <w:color w:val="auto"/>
              </w:rPr>
            </w:pPr>
            <w:r>
              <w:rPr>
                <w:rFonts w:ascii="Arial" w:cs="Arial" w:eastAsia="Arial" w:hAnsi="Arial"/>
                <w:sz w:val="13"/>
                <w:szCs w:val="13"/>
                <w:color w:val="auto"/>
              </w:rPr>
              <w:t>Pier One</w:t>
            </w:r>
          </w:p>
        </w:tc>
      </w:tr>
      <w:tr>
        <w:trPr>
          <w:trHeight w:val="135"/>
        </w:trPr>
        <w:tc>
          <w:tcPr>
            <w:tcW w:w="1320" w:type="dxa"/>
            <w:vAlign w:val="bottom"/>
            <w:gridSpan w:val="8"/>
            <w:shd w:val="clear" w:color="auto" w:fill="CCEEFF"/>
          </w:tcPr>
          <w:p>
            <w:pPr>
              <w:spacing w:after="0" w:line="135" w:lineRule="exact"/>
              <w:rPr>
                <w:sz w:val="20"/>
                <w:szCs w:val="20"/>
                <w:color w:val="auto"/>
              </w:rPr>
            </w:pPr>
            <w:r>
              <w:rPr>
                <w:rFonts w:ascii="Arial" w:cs="Arial" w:eastAsia="Arial" w:hAnsi="Arial"/>
                <w:sz w:val="13"/>
                <w:szCs w:val="13"/>
                <w:color w:val="auto"/>
              </w:rPr>
              <w:t>Queen Anne Plaza</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Boston-Worcester-</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Lawrence-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Lowell-</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53"/>
        </w:trPr>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SC</w:t>
            </w:r>
          </w:p>
        </w:tc>
        <w:tc>
          <w:tcPr>
            <w:tcW w:w="1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Brockton, MA</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1994</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14,687</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50,284</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Victory Supermarket</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3"/>
                <w:szCs w:val="13"/>
                <w:color w:val="auto"/>
              </w:rPr>
              <w:t>TJ Maxx</w:t>
            </w:r>
          </w:p>
        </w:tc>
      </w:tr>
      <w:tr>
        <w:trPr>
          <w:trHeight w:val="135"/>
        </w:trPr>
        <w:tc>
          <w:tcPr>
            <w:tcW w:w="1320" w:type="dxa"/>
            <w:vAlign w:val="bottom"/>
            <w:gridSpan w:val="8"/>
          </w:tcPr>
          <w:p>
            <w:pPr>
              <w:spacing w:after="0" w:line="135" w:lineRule="exact"/>
              <w:rPr>
                <w:sz w:val="20"/>
                <w:szCs w:val="20"/>
                <w:color w:val="auto"/>
              </w:rPr>
            </w:pPr>
            <w:r>
              <w:rPr>
                <w:rFonts w:ascii="Arial" w:cs="Arial" w:eastAsia="Arial" w:hAnsi="Arial"/>
                <w:sz w:val="13"/>
                <w:szCs w:val="13"/>
                <w:color w:val="auto"/>
              </w:rPr>
              <w:t>Saugus Plaza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line="135" w:lineRule="exact"/>
              <w:rPr>
                <w:sz w:val="20"/>
                <w:szCs w:val="20"/>
                <w:color w:val="auto"/>
              </w:rPr>
            </w:pPr>
            <w:r>
              <w:rPr>
                <w:rFonts w:ascii="Arial" w:cs="Arial" w:eastAsia="Arial" w:hAnsi="Arial"/>
                <w:sz w:val="13"/>
                <w:szCs w:val="13"/>
                <w:color w:val="auto"/>
                <w:w w:val="94"/>
              </w:rPr>
              <w:t>Boston-Worcester-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44"/>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ind w:left="220"/>
              <w:spacing w:after="0" w:line="144" w:lineRule="exact"/>
              <w:rPr>
                <w:sz w:val="20"/>
                <w:szCs w:val="20"/>
                <w:color w:val="auto"/>
              </w:rPr>
            </w:pPr>
            <w:r>
              <w:rPr>
                <w:rFonts w:ascii="Arial" w:cs="Arial" w:eastAsia="Arial" w:hAnsi="Arial"/>
                <w:sz w:val="13"/>
                <w:szCs w:val="13"/>
                <w:color w:val="auto"/>
              </w:rPr>
              <w:t>Lawrence-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ind w:left="220"/>
              <w:spacing w:after="0" w:line="144" w:lineRule="exact"/>
              <w:rPr>
                <w:sz w:val="20"/>
                <w:szCs w:val="20"/>
                <w:color w:val="auto"/>
              </w:rPr>
            </w:pPr>
            <w:r>
              <w:rPr>
                <w:rFonts w:ascii="Arial" w:cs="Arial" w:eastAsia="Arial" w:hAnsi="Arial"/>
                <w:sz w:val="13"/>
                <w:szCs w:val="13"/>
                <w:color w:val="auto"/>
              </w:rPr>
              <w:t>Lowell-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3"/>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SC</w:t>
            </w:r>
          </w:p>
        </w:tc>
        <w:tc>
          <w:tcPr>
            <w:tcW w:w="1040" w:type="dxa"/>
            <w:vAlign w:val="bottom"/>
          </w:tcPr>
          <w:p>
            <w:pPr>
              <w:ind w:left="220"/>
              <w:spacing w:after="0"/>
              <w:rPr>
                <w:sz w:val="20"/>
                <w:szCs w:val="20"/>
                <w:color w:val="auto"/>
              </w:rPr>
            </w:pPr>
            <w:r>
              <w:rPr>
                <w:rFonts w:ascii="Arial" w:cs="Arial" w:eastAsia="Arial" w:hAnsi="Arial"/>
                <w:sz w:val="13"/>
                <w:szCs w:val="13"/>
                <w:color w:val="auto"/>
              </w:rPr>
              <w:t>Brockton, MA</w:t>
            </w: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1996</w:t>
            </w:r>
          </w:p>
        </w:tc>
        <w:tc>
          <w:tcPr>
            <w:tcW w:w="800" w:type="dxa"/>
            <w:vAlign w:val="bottom"/>
          </w:tcPr>
          <w:p>
            <w:pPr>
              <w:jc w:val="right"/>
              <w:spacing w:after="0"/>
              <w:rPr>
                <w:sz w:val="20"/>
                <w:szCs w:val="20"/>
                <w:color w:val="auto"/>
              </w:rPr>
            </w:pPr>
            <w:r>
              <w:rPr>
                <w:rFonts w:ascii="Arial" w:cs="Arial" w:eastAsia="Arial" w:hAnsi="Arial"/>
                <w:sz w:val="13"/>
                <w:szCs w:val="13"/>
                <w:color w:val="auto"/>
              </w:rPr>
              <w:t>13,070</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tcPr>
          <w:p>
            <w:pPr>
              <w:jc w:val="right"/>
              <w:spacing w:after="0"/>
              <w:rPr>
                <w:sz w:val="20"/>
                <w:szCs w:val="20"/>
                <w:color w:val="auto"/>
              </w:rPr>
            </w:pPr>
            <w:r>
              <w:rPr>
                <w:rFonts w:ascii="Arial" w:cs="Arial" w:eastAsia="Arial" w:hAnsi="Arial"/>
                <w:sz w:val="13"/>
                <w:szCs w:val="13"/>
                <w:color w:val="auto"/>
              </w:rPr>
              <w:t>171,000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54,530</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Super Stop &amp; Shop</w:t>
            </w:r>
          </w:p>
        </w:tc>
        <w:tc>
          <w:tcPr>
            <w:tcW w:w="120" w:type="dxa"/>
            <w:vAlign w:val="bottom"/>
          </w:tcPr>
          <w:p>
            <w:pPr>
              <w:spacing w:after="0"/>
              <w:rPr>
                <w:sz w:val="13"/>
                <w:szCs w:val="13"/>
                <w:color w:val="auto"/>
              </w:rPr>
            </w:pPr>
          </w:p>
        </w:tc>
        <w:tc>
          <w:tcPr>
            <w:tcW w:w="1520" w:type="dxa"/>
            <w:vAlign w:val="bottom"/>
          </w:tcPr>
          <w:p>
            <w:pPr>
              <w:spacing w:after="0"/>
              <w:rPr>
                <w:sz w:val="20"/>
                <w:szCs w:val="20"/>
                <w:color w:val="auto"/>
              </w:rPr>
            </w:pPr>
            <w:r>
              <w:rPr>
                <w:rFonts w:ascii="Arial" w:cs="Arial" w:eastAsia="Arial" w:hAnsi="Arial"/>
                <w:sz w:val="13"/>
                <w:szCs w:val="13"/>
                <w:color w:val="auto"/>
              </w:rPr>
              <w:t>Kmart</w:t>
            </w:r>
          </w:p>
        </w:tc>
      </w:tr>
      <w:tr>
        <w:trPr>
          <w:trHeight w:val="144"/>
        </w:trPr>
        <w:tc>
          <w:tcPr>
            <w:tcW w:w="1320" w:type="dxa"/>
            <w:vAlign w:val="bottom"/>
            <w:gridSpan w:val="8"/>
            <w:shd w:val="clear" w:color="auto" w:fill="CCEEFF"/>
          </w:tcPr>
          <w:p>
            <w:pPr>
              <w:spacing w:after="0" w:line="144" w:lineRule="exact"/>
              <w:rPr>
                <w:sz w:val="20"/>
                <w:szCs w:val="20"/>
                <w:color w:val="auto"/>
              </w:rPr>
            </w:pPr>
            <w:r>
              <w:rPr>
                <w:rFonts w:ascii="Arial" w:cs="Arial" w:eastAsia="Arial" w:hAnsi="Arial"/>
                <w:sz w:val="13"/>
                <w:szCs w:val="13"/>
                <w:color w:val="auto"/>
              </w:rPr>
              <w:t>Bristol Plaza</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SC</w:t>
            </w:r>
          </w:p>
        </w:tc>
        <w:tc>
          <w:tcPr>
            <w:tcW w:w="1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Hartford, CT</w:t>
            </w:r>
          </w:p>
        </w:tc>
        <w:tc>
          <w:tcPr>
            <w:tcW w:w="840" w:type="dxa"/>
            <w:vAlign w:val="bottom"/>
            <w:gridSpan w:val="3"/>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1995</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21,857</w:t>
            </w:r>
          </w:p>
        </w:tc>
        <w:tc>
          <w:tcPr>
            <w:tcW w:w="9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296,000</w:t>
            </w:r>
          </w:p>
        </w:tc>
        <w:tc>
          <w:tcPr>
            <w:tcW w:w="92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92%</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56,634</w:t>
            </w:r>
          </w:p>
        </w:tc>
        <w:tc>
          <w:tcPr>
            <w:tcW w:w="132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color w:val="auto"/>
              </w:rPr>
              <w:t>Super Stop &amp; Shop</w:t>
            </w: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TJ Maxx</w:t>
            </w:r>
          </w:p>
        </w:tc>
      </w:tr>
      <w:tr>
        <w:trPr>
          <w:trHeight w:val="144"/>
        </w:trPr>
        <w:tc>
          <w:tcPr>
            <w:tcW w:w="1320" w:type="dxa"/>
            <w:vAlign w:val="bottom"/>
            <w:gridSpan w:val="8"/>
          </w:tcPr>
          <w:p>
            <w:pPr>
              <w:spacing w:after="0" w:line="144" w:lineRule="exact"/>
              <w:rPr>
                <w:sz w:val="20"/>
                <w:szCs w:val="20"/>
                <w:color w:val="auto"/>
              </w:rPr>
            </w:pPr>
            <w:r>
              <w:rPr>
                <w:rFonts w:ascii="Arial" w:cs="Arial" w:eastAsia="Arial" w:hAnsi="Arial"/>
                <w:sz w:val="13"/>
                <w:szCs w:val="13"/>
                <w:color w:val="auto"/>
              </w:rPr>
              <w:t>West Hartford</w:t>
            </w:r>
          </w:p>
        </w:tc>
        <w:tc>
          <w:tcPr>
            <w:tcW w:w="120" w:type="dxa"/>
            <w:vAlign w:val="bottom"/>
          </w:tcPr>
          <w:p>
            <w:pPr>
              <w:spacing w:after="0"/>
              <w:rPr>
                <w:sz w:val="12"/>
                <w:szCs w:val="12"/>
                <w:color w:val="auto"/>
              </w:rPr>
            </w:pPr>
          </w:p>
        </w:tc>
        <w:tc>
          <w:tcPr>
            <w:tcW w:w="4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SR</w:t>
            </w:r>
          </w:p>
        </w:tc>
        <w:tc>
          <w:tcPr>
            <w:tcW w:w="1040" w:type="dxa"/>
            <w:vAlign w:val="bottom"/>
          </w:tcPr>
          <w:p>
            <w:pPr>
              <w:spacing w:after="0" w:line="144" w:lineRule="exact"/>
              <w:rPr>
                <w:sz w:val="20"/>
                <w:szCs w:val="20"/>
                <w:color w:val="auto"/>
              </w:rPr>
            </w:pPr>
            <w:r>
              <w:rPr>
                <w:rFonts w:ascii="Arial" w:cs="Arial" w:eastAsia="Arial" w:hAnsi="Arial"/>
                <w:sz w:val="13"/>
                <w:szCs w:val="13"/>
                <w:color w:val="auto"/>
              </w:rPr>
              <w:t>Hartford, CT</w:t>
            </w:r>
          </w:p>
        </w:tc>
        <w:tc>
          <w:tcPr>
            <w:tcW w:w="840" w:type="dxa"/>
            <w:vAlign w:val="bottom"/>
            <w:gridSpan w:val="3"/>
          </w:tcPr>
          <w:p>
            <w:pPr>
              <w:jc w:val="right"/>
              <w:ind w:right="140"/>
              <w:spacing w:after="0" w:line="144" w:lineRule="exact"/>
              <w:rPr>
                <w:sz w:val="20"/>
                <w:szCs w:val="20"/>
                <w:color w:val="auto"/>
              </w:rPr>
            </w:pPr>
            <w:r>
              <w:rPr>
                <w:rFonts w:ascii="Arial" w:cs="Arial" w:eastAsia="Arial" w:hAnsi="Arial"/>
                <w:sz w:val="13"/>
                <w:szCs w:val="13"/>
                <w:color w:val="auto"/>
              </w:rPr>
              <w:t>1994-1996</w:t>
            </w: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16,191</w:t>
            </w:r>
          </w:p>
        </w:tc>
        <w:tc>
          <w:tcPr>
            <w:tcW w:w="98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100.0%</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126,000</w:t>
            </w:r>
          </w:p>
        </w:tc>
        <w:tc>
          <w:tcPr>
            <w:tcW w:w="92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82%</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35"/>
        </w:trPr>
        <w:tc>
          <w:tcPr>
            <w:tcW w:w="1320" w:type="dxa"/>
            <w:vAlign w:val="bottom"/>
            <w:gridSpan w:val="8"/>
            <w:shd w:val="clear" w:color="auto" w:fill="CCEEFF"/>
          </w:tcPr>
          <w:p>
            <w:pPr>
              <w:spacing w:after="0" w:line="135" w:lineRule="exact"/>
              <w:rPr>
                <w:sz w:val="20"/>
                <w:szCs w:val="20"/>
                <w:color w:val="auto"/>
              </w:rPr>
            </w:pPr>
            <w:r>
              <w:rPr>
                <w:rFonts w:ascii="Arial" w:cs="Arial" w:eastAsia="Arial" w:hAnsi="Arial"/>
                <w:sz w:val="13"/>
                <w:szCs w:val="13"/>
                <w:color w:val="auto"/>
              </w:rPr>
              <w:t>Greenwich Avenue</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Haven-</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Bridgeport-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Stamford-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Saks Fifth</w:t>
            </w:r>
          </w:p>
        </w:tc>
      </w:tr>
      <w:tr>
        <w:trPr>
          <w:trHeight w:val="153"/>
        </w:trPr>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SR</w:t>
            </w:r>
          </w:p>
        </w:tc>
        <w:tc>
          <w:tcPr>
            <w:tcW w:w="1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Waterbury</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1994-1996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19,386</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99%</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Avenue</w:t>
            </w:r>
          </w:p>
        </w:tc>
      </w:tr>
      <w:tr>
        <w:trPr>
          <w:trHeight w:val="105"/>
        </w:trPr>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98"/>
        </w:trPr>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118,533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1,057,000</w:t>
            </w:r>
          </w:p>
        </w:tc>
        <w:tc>
          <w:tcPr>
            <w:tcW w:w="92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95%</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235"/>
        </w:trPr>
        <w:tc>
          <w:tcPr>
            <w:tcW w:w="1320" w:type="dxa"/>
            <w:vAlign w:val="bottom"/>
            <w:gridSpan w:val="8"/>
          </w:tcPr>
          <w:p>
            <w:pPr>
              <w:spacing w:after="0"/>
              <w:rPr>
                <w:sz w:val="20"/>
                <w:szCs w:val="20"/>
                <w:color w:val="auto"/>
              </w:rPr>
            </w:pPr>
            <w:r>
              <w:rPr>
                <w:rFonts w:ascii="Arial" w:cs="Arial" w:eastAsia="Arial" w:hAnsi="Arial"/>
                <w:sz w:val="13"/>
                <w:szCs w:val="13"/>
                <w:b w:val="1"/>
                <w:bCs w:val="1"/>
                <w:color w:val="auto"/>
              </w:rPr>
              <w:t>Chicago</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28"/>
        </w:trPr>
        <w:tc>
          <w:tcPr>
            <w:tcW w:w="1320" w:type="dxa"/>
            <w:vAlign w:val="bottom"/>
            <w:gridSpan w:val="8"/>
            <w:shd w:val="clear" w:color="auto" w:fill="CCEEFF"/>
          </w:tcPr>
          <w:p>
            <w:pPr>
              <w:spacing w:after="0" w:line="128" w:lineRule="exact"/>
              <w:rPr>
                <w:sz w:val="20"/>
                <w:szCs w:val="20"/>
                <w:color w:val="auto"/>
              </w:rPr>
            </w:pPr>
            <w:r>
              <w:rPr>
                <w:rFonts w:ascii="Arial" w:cs="Arial" w:eastAsia="Arial" w:hAnsi="Arial"/>
                <w:sz w:val="13"/>
                <w:szCs w:val="13"/>
                <w:color w:val="auto"/>
              </w:rPr>
              <w:t>Crossroads</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Comp USA /</w:t>
            </w: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Golfsmith /</w:t>
            </w:r>
          </w:p>
        </w:tc>
      </w:tr>
      <w:tr>
        <w:trPr>
          <w:trHeight w:val="153"/>
        </w:trPr>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SC</w:t>
            </w: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Chicago, IL</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1993</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21,728</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99%</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Guitar Center</w:t>
            </w:r>
          </w:p>
        </w:tc>
      </w:tr>
      <w:tr>
        <w:trPr>
          <w:trHeight w:val="135"/>
        </w:trPr>
        <w:tc>
          <w:tcPr>
            <w:tcW w:w="1320" w:type="dxa"/>
            <w:vAlign w:val="bottom"/>
            <w:gridSpan w:val="8"/>
          </w:tcPr>
          <w:p>
            <w:pPr>
              <w:spacing w:after="0" w:line="135" w:lineRule="exact"/>
              <w:rPr>
                <w:sz w:val="20"/>
                <w:szCs w:val="20"/>
                <w:color w:val="auto"/>
              </w:rPr>
            </w:pPr>
            <w:r>
              <w:rPr>
                <w:rFonts w:ascii="Arial" w:cs="Arial" w:eastAsia="Arial" w:hAnsi="Arial"/>
                <w:sz w:val="13"/>
                <w:szCs w:val="13"/>
                <w:color w:val="auto"/>
              </w:rPr>
              <w:t>Finley Square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line="135" w:lineRule="exact"/>
              <w:rPr>
                <w:sz w:val="20"/>
                <w:szCs w:val="20"/>
                <w:color w:val="auto"/>
              </w:rPr>
            </w:pPr>
            <w:r>
              <w:rPr>
                <w:rFonts w:ascii="Arial" w:cs="Arial" w:eastAsia="Arial" w:hAnsi="Arial"/>
                <w:sz w:val="13"/>
                <w:szCs w:val="13"/>
                <w:color w:val="auto"/>
              </w:rPr>
              <w:t>Bed, Bath &amp;</w:t>
            </w:r>
          </w:p>
        </w:tc>
      </w:tr>
      <w:tr>
        <w:trPr>
          <w:trHeight w:val="144"/>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ind w:left="220"/>
              <w:spacing w:after="0" w:line="144" w:lineRule="exact"/>
              <w:rPr>
                <w:sz w:val="20"/>
                <w:szCs w:val="20"/>
                <w:color w:val="auto"/>
              </w:rPr>
            </w:pPr>
            <w:r>
              <w:rPr>
                <w:rFonts w:ascii="Arial" w:cs="Arial" w:eastAsia="Arial" w:hAnsi="Arial"/>
                <w:sz w:val="13"/>
                <w:szCs w:val="13"/>
                <w:color w:val="auto"/>
              </w:rPr>
              <w:t>Beyond /</w:t>
            </w:r>
          </w:p>
        </w:tc>
      </w:tr>
      <w:tr>
        <w:trPr>
          <w:trHeight w:val="144"/>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ind w:left="220"/>
              <w:spacing w:after="0" w:line="144" w:lineRule="exact"/>
              <w:rPr>
                <w:sz w:val="20"/>
                <w:szCs w:val="20"/>
                <w:color w:val="auto"/>
              </w:rPr>
            </w:pPr>
            <w:r>
              <w:rPr>
                <w:rFonts w:ascii="Arial" w:cs="Arial" w:eastAsia="Arial" w:hAnsi="Arial"/>
                <w:sz w:val="13"/>
                <w:szCs w:val="13"/>
                <w:color w:val="auto"/>
              </w:rPr>
              <w:t>Sports</w:t>
            </w:r>
          </w:p>
        </w:tc>
      </w:tr>
      <w:tr>
        <w:trPr>
          <w:trHeight w:val="153"/>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SC</w:t>
            </w:r>
          </w:p>
        </w:tc>
        <w:tc>
          <w:tcPr>
            <w:tcW w:w="1040" w:type="dxa"/>
            <w:vAlign w:val="bottom"/>
          </w:tcPr>
          <w:p>
            <w:pPr>
              <w:spacing w:after="0"/>
              <w:rPr>
                <w:sz w:val="20"/>
                <w:szCs w:val="20"/>
                <w:color w:val="auto"/>
              </w:rPr>
            </w:pPr>
            <w:r>
              <w:rPr>
                <w:rFonts w:ascii="Arial" w:cs="Arial" w:eastAsia="Arial" w:hAnsi="Arial"/>
                <w:sz w:val="13"/>
                <w:szCs w:val="13"/>
                <w:color w:val="auto"/>
              </w:rPr>
              <w:t>Chicago, IL</w:t>
            </w: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1995</w:t>
            </w:r>
          </w:p>
        </w:tc>
        <w:tc>
          <w:tcPr>
            <w:tcW w:w="800" w:type="dxa"/>
            <w:vAlign w:val="bottom"/>
          </w:tcPr>
          <w:p>
            <w:pPr>
              <w:jc w:val="right"/>
              <w:spacing w:after="0"/>
              <w:rPr>
                <w:sz w:val="20"/>
                <w:szCs w:val="20"/>
                <w:color w:val="auto"/>
              </w:rPr>
            </w:pPr>
            <w:r>
              <w:rPr>
                <w:rFonts w:ascii="Arial" w:cs="Arial" w:eastAsia="Arial" w:hAnsi="Arial"/>
                <w:sz w:val="13"/>
                <w:szCs w:val="13"/>
                <w:color w:val="auto"/>
              </w:rPr>
              <w:t>26,655</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tcPr>
          <w:p>
            <w:pPr>
              <w:jc w:val="right"/>
              <w:spacing w:after="0"/>
              <w:rPr>
                <w:sz w:val="20"/>
                <w:szCs w:val="20"/>
                <w:color w:val="auto"/>
              </w:rPr>
            </w:pPr>
            <w:r>
              <w:rPr>
                <w:rFonts w:ascii="Arial" w:cs="Arial" w:eastAsia="Arial" w:hAnsi="Arial"/>
                <w:sz w:val="13"/>
                <w:szCs w:val="13"/>
                <w:color w:val="auto"/>
              </w:rPr>
              <w:t>313,000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ind w:left="220"/>
              <w:spacing w:after="0"/>
              <w:rPr>
                <w:sz w:val="20"/>
                <w:szCs w:val="20"/>
                <w:color w:val="auto"/>
              </w:rPr>
            </w:pPr>
            <w:r>
              <w:rPr>
                <w:rFonts w:ascii="Arial" w:cs="Arial" w:eastAsia="Arial" w:hAnsi="Arial"/>
                <w:sz w:val="13"/>
                <w:szCs w:val="13"/>
                <w:color w:val="auto"/>
              </w:rPr>
              <w:t>Authority</w:t>
            </w:r>
          </w:p>
        </w:tc>
      </w:tr>
      <w:tr>
        <w:trPr>
          <w:trHeight w:val="144"/>
        </w:trPr>
        <w:tc>
          <w:tcPr>
            <w:tcW w:w="1320" w:type="dxa"/>
            <w:vAlign w:val="bottom"/>
            <w:gridSpan w:val="8"/>
            <w:shd w:val="clear" w:color="auto" w:fill="CCEEFF"/>
          </w:tcPr>
          <w:p>
            <w:pPr>
              <w:spacing w:after="0" w:line="144" w:lineRule="exact"/>
              <w:rPr>
                <w:sz w:val="20"/>
                <w:szCs w:val="20"/>
                <w:color w:val="auto"/>
              </w:rPr>
            </w:pPr>
            <w:r>
              <w:rPr>
                <w:rFonts w:ascii="Arial" w:cs="Arial" w:eastAsia="Arial" w:hAnsi="Arial"/>
                <w:sz w:val="13"/>
                <w:szCs w:val="13"/>
                <w:color w:val="auto"/>
              </w:rPr>
              <w:t>Garden Market</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SC</w:t>
            </w:r>
          </w:p>
        </w:tc>
        <w:tc>
          <w:tcPr>
            <w:tcW w:w="1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Chicago, IL</w:t>
            </w:r>
          </w:p>
        </w:tc>
        <w:tc>
          <w:tcPr>
            <w:tcW w:w="840" w:type="dxa"/>
            <w:vAlign w:val="bottom"/>
            <w:gridSpan w:val="3"/>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1994</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10,701</w:t>
            </w:r>
          </w:p>
        </w:tc>
        <w:tc>
          <w:tcPr>
            <w:tcW w:w="9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142,000</w:t>
            </w:r>
          </w:p>
        </w:tc>
        <w:tc>
          <w:tcPr>
            <w:tcW w:w="92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96%</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62,937</w:t>
            </w:r>
          </w:p>
        </w:tc>
        <w:tc>
          <w:tcPr>
            <w:tcW w:w="132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color w:val="auto"/>
              </w:rPr>
              <w:t>Dominick’s</w:t>
            </w: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Walgreens</w:t>
            </w:r>
          </w:p>
        </w:tc>
      </w:tr>
      <w:tr>
        <w:trPr>
          <w:trHeight w:val="144"/>
        </w:trPr>
        <w:tc>
          <w:tcPr>
            <w:tcW w:w="1320" w:type="dxa"/>
            <w:vAlign w:val="bottom"/>
            <w:gridSpan w:val="8"/>
          </w:tcPr>
          <w:p>
            <w:pPr>
              <w:spacing w:after="0" w:line="144" w:lineRule="exact"/>
              <w:rPr>
                <w:sz w:val="20"/>
                <w:szCs w:val="20"/>
                <w:color w:val="auto"/>
              </w:rPr>
            </w:pPr>
            <w:r>
              <w:rPr>
                <w:rFonts w:ascii="Arial" w:cs="Arial" w:eastAsia="Arial" w:hAnsi="Arial"/>
                <w:sz w:val="13"/>
                <w:szCs w:val="13"/>
                <w:color w:val="auto"/>
              </w:rPr>
              <w:t>North Lake Commons</w:t>
            </w:r>
          </w:p>
        </w:tc>
        <w:tc>
          <w:tcPr>
            <w:tcW w:w="120" w:type="dxa"/>
            <w:vAlign w:val="bottom"/>
          </w:tcPr>
          <w:p>
            <w:pPr>
              <w:spacing w:after="0"/>
              <w:rPr>
                <w:sz w:val="12"/>
                <w:szCs w:val="12"/>
                <w:color w:val="auto"/>
              </w:rPr>
            </w:pPr>
          </w:p>
        </w:tc>
        <w:tc>
          <w:tcPr>
            <w:tcW w:w="4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SC</w:t>
            </w:r>
          </w:p>
        </w:tc>
        <w:tc>
          <w:tcPr>
            <w:tcW w:w="1040" w:type="dxa"/>
            <w:vAlign w:val="bottom"/>
          </w:tcPr>
          <w:p>
            <w:pPr>
              <w:spacing w:after="0" w:line="144" w:lineRule="exact"/>
              <w:rPr>
                <w:sz w:val="20"/>
                <w:szCs w:val="20"/>
                <w:color w:val="auto"/>
              </w:rPr>
            </w:pPr>
            <w:r>
              <w:rPr>
                <w:rFonts w:ascii="Arial" w:cs="Arial" w:eastAsia="Arial" w:hAnsi="Arial"/>
                <w:sz w:val="13"/>
                <w:szCs w:val="13"/>
                <w:color w:val="auto"/>
              </w:rPr>
              <w:t>Chicago, IL</w:t>
            </w:r>
          </w:p>
        </w:tc>
        <w:tc>
          <w:tcPr>
            <w:tcW w:w="840" w:type="dxa"/>
            <w:vAlign w:val="bottom"/>
            <w:gridSpan w:val="3"/>
          </w:tcPr>
          <w:p>
            <w:pPr>
              <w:jc w:val="right"/>
              <w:ind w:right="140"/>
              <w:spacing w:after="0" w:line="144" w:lineRule="exact"/>
              <w:rPr>
                <w:sz w:val="20"/>
                <w:szCs w:val="20"/>
                <w:color w:val="auto"/>
              </w:rPr>
            </w:pPr>
            <w:r>
              <w:rPr>
                <w:rFonts w:ascii="Arial" w:cs="Arial" w:eastAsia="Arial" w:hAnsi="Arial"/>
                <w:sz w:val="13"/>
                <w:szCs w:val="13"/>
                <w:color w:val="auto"/>
              </w:rPr>
              <w:t>1998</w:t>
            </w: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12,981</w:t>
            </w:r>
          </w:p>
        </w:tc>
        <w:tc>
          <w:tcPr>
            <w:tcW w:w="98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100.0%</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129,000</w:t>
            </w:r>
          </w:p>
        </w:tc>
        <w:tc>
          <w:tcPr>
            <w:tcW w:w="92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96%</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77,303</w:t>
            </w:r>
          </w:p>
        </w:tc>
        <w:tc>
          <w:tcPr>
            <w:tcW w:w="1320" w:type="dxa"/>
            <w:vAlign w:val="bottom"/>
            <w:gridSpan w:val="2"/>
          </w:tcPr>
          <w:p>
            <w:pPr>
              <w:ind w:left="60"/>
              <w:spacing w:after="0" w:line="144" w:lineRule="exact"/>
              <w:rPr>
                <w:sz w:val="20"/>
                <w:szCs w:val="20"/>
                <w:color w:val="auto"/>
              </w:rPr>
            </w:pPr>
            <w:r>
              <w:rPr>
                <w:rFonts w:ascii="Arial" w:cs="Arial" w:eastAsia="Arial" w:hAnsi="Arial"/>
                <w:sz w:val="13"/>
                <w:szCs w:val="13"/>
                <w:color w:val="auto"/>
              </w:rPr>
              <w:t>Dominick’s</w:t>
            </w: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1320" w:type="dxa"/>
            <w:vAlign w:val="bottom"/>
            <w:gridSpan w:val="8"/>
            <w:shd w:val="clear" w:color="auto" w:fill="CCEEFF"/>
          </w:tcPr>
          <w:p>
            <w:pPr>
              <w:spacing w:after="0" w:line="144" w:lineRule="exact"/>
              <w:rPr>
                <w:sz w:val="20"/>
                <w:szCs w:val="20"/>
                <w:color w:val="auto"/>
              </w:rPr>
            </w:pPr>
            <w:r>
              <w:rPr>
                <w:rFonts w:ascii="Arial" w:cs="Arial" w:eastAsia="Arial" w:hAnsi="Arial"/>
                <w:sz w:val="13"/>
                <w:szCs w:val="13"/>
                <w:color w:val="auto"/>
              </w:rPr>
              <w:t>Evanston</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SR</w:t>
            </w:r>
          </w:p>
        </w:tc>
        <w:tc>
          <w:tcPr>
            <w:tcW w:w="1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Chicago, IL</w:t>
            </w:r>
          </w:p>
        </w:tc>
        <w:tc>
          <w:tcPr>
            <w:tcW w:w="840" w:type="dxa"/>
            <w:vAlign w:val="bottom"/>
            <w:gridSpan w:val="3"/>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1995</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4,277</w:t>
            </w:r>
          </w:p>
        </w:tc>
        <w:tc>
          <w:tcPr>
            <w:tcW w:w="9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19,000</w:t>
            </w:r>
          </w:p>
        </w:tc>
        <w:tc>
          <w:tcPr>
            <w:tcW w:w="92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100%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Gap</w:t>
            </w:r>
          </w:p>
        </w:tc>
      </w:tr>
      <w:tr>
        <w:trPr>
          <w:trHeight w:val="105"/>
        </w:trPr>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98"/>
        </w:trPr>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76,342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776,000</w:t>
            </w:r>
          </w:p>
        </w:tc>
        <w:tc>
          <w:tcPr>
            <w:tcW w:w="92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98%</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235"/>
        </w:trPr>
        <w:tc>
          <w:tcPr>
            <w:tcW w:w="1840" w:type="dxa"/>
            <w:vAlign w:val="bottom"/>
            <w:gridSpan w:val="11"/>
          </w:tcPr>
          <w:p>
            <w:pPr>
              <w:spacing w:after="0"/>
              <w:rPr>
                <w:sz w:val="20"/>
                <w:szCs w:val="20"/>
                <w:color w:val="auto"/>
              </w:rPr>
            </w:pPr>
            <w:r>
              <w:rPr>
                <w:rFonts w:ascii="Arial" w:cs="Arial" w:eastAsia="Arial" w:hAnsi="Arial"/>
                <w:sz w:val="13"/>
                <w:szCs w:val="13"/>
                <w:b w:val="1"/>
                <w:bCs w:val="1"/>
                <w:color w:val="auto"/>
              </w:rPr>
              <w:t>Northeast Region—Other</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28"/>
        </w:trPr>
        <w:tc>
          <w:tcPr>
            <w:tcW w:w="1320" w:type="dxa"/>
            <w:vAlign w:val="bottom"/>
            <w:tcBorders>
              <w:top w:val="single" w:sz="8" w:color="auto"/>
            </w:tcBorders>
            <w:gridSpan w:val="8"/>
            <w:shd w:val="clear" w:color="auto" w:fill="CCEEFF"/>
          </w:tcPr>
          <w:p>
            <w:pPr>
              <w:spacing w:after="0" w:line="128" w:lineRule="exact"/>
              <w:rPr>
                <w:sz w:val="20"/>
                <w:szCs w:val="20"/>
                <w:color w:val="auto"/>
              </w:rPr>
            </w:pPr>
            <w:r>
              <w:rPr>
                <w:rFonts w:ascii="Arial" w:cs="Arial" w:eastAsia="Arial" w:hAnsi="Arial"/>
                <w:sz w:val="13"/>
                <w:szCs w:val="13"/>
                <w:color w:val="auto"/>
              </w:rPr>
              <w:t>Gratiot Plaza</w:t>
            </w:r>
          </w:p>
        </w:tc>
        <w:tc>
          <w:tcPr>
            <w:tcW w:w="1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Bed, Bath &amp;</w:t>
            </w: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Beyond / Best</w:t>
            </w:r>
          </w:p>
        </w:tc>
      </w:tr>
      <w:tr>
        <w:trPr>
          <w:trHeight w:val="153"/>
        </w:trPr>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SC</w:t>
            </w: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Detroit, MI</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1973</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16,647</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68,802</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Farmer Jack’s</w:t>
            </w: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Buy</w:t>
            </w:r>
          </w:p>
        </w:tc>
      </w:tr>
      <w:tr>
        <w:trPr>
          <w:trHeight w:val="164"/>
        </w:trPr>
        <w:tc>
          <w:tcPr>
            <w:tcW w:w="1320" w:type="dxa"/>
            <w:vAlign w:val="bottom"/>
            <w:gridSpan w:val="8"/>
          </w:tcPr>
          <w:p>
            <w:pPr>
              <w:spacing w:after="0"/>
              <w:rPr>
                <w:sz w:val="20"/>
                <w:szCs w:val="20"/>
                <w:color w:val="auto"/>
              </w:rPr>
            </w:pPr>
            <w:r>
              <w:rPr>
                <w:rFonts w:ascii="Arial" w:cs="Arial" w:eastAsia="Arial" w:hAnsi="Arial"/>
                <w:sz w:val="13"/>
                <w:szCs w:val="13"/>
                <w:color w:val="auto"/>
              </w:rPr>
              <w:t>Lancaster</w:t>
            </w:r>
          </w:p>
        </w:tc>
        <w:tc>
          <w:tcPr>
            <w:tcW w:w="12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SC</w:t>
            </w:r>
          </w:p>
        </w:tc>
        <w:tc>
          <w:tcPr>
            <w:tcW w:w="1040" w:type="dxa"/>
            <w:vAlign w:val="bottom"/>
          </w:tcPr>
          <w:p>
            <w:pPr>
              <w:spacing w:after="0"/>
              <w:rPr>
                <w:sz w:val="20"/>
                <w:szCs w:val="20"/>
                <w:color w:val="auto"/>
              </w:rPr>
            </w:pPr>
            <w:r>
              <w:rPr>
                <w:rFonts w:ascii="Arial" w:cs="Arial" w:eastAsia="Arial" w:hAnsi="Arial"/>
                <w:sz w:val="13"/>
                <w:szCs w:val="13"/>
                <w:color w:val="auto"/>
              </w:rPr>
              <w:t>Lancaster, PA</w:t>
            </w: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1980</w:t>
            </w:r>
          </w:p>
        </w:tc>
        <w:tc>
          <w:tcPr>
            <w:tcW w:w="800" w:type="dxa"/>
            <w:vAlign w:val="bottom"/>
          </w:tcPr>
          <w:p>
            <w:pPr>
              <w:jc w:val="right"/>
              <w:spacing w:after="0"/>
              <w:rPr>
                <w:sz w:val="20"/>
                <w:szCs w:val="20"/>
                <w:color w:val="auto"/>
              </w:rPr>
            </w:pPr>
            <w:r>
              <w:rPr>
                <w:rFonts w:ascii="Arial" w:cs="Arial" w:eastAsia="Arial" w:hAnsi="Arial"/>
                <w:sz w:val="13"/>
                <w:szCs w:val="13"/>
                <w:color w:val="auto"/>
              </w:rPr>
              <w:t>9,906</w:t>
            </w:r>
          </w:p>
        </w:tc>
        <w:tc>
          <w:tcPr>
            <w:tcW w:w="980" w:type="dxa"/>
            <w:vAlign w:val="bottom"/>
            <w:gridSpan w:val="3"/>
          </w:tcPr>
          <w:p>
            <w:pPr>
              <w:jc w:val="right"/>
              <w:ind w:right="180"/>
              <w:spacing w:after="0"/>
              <w:rPr>
                <w:sz w:val="20"/>
                <w:szCs w:val="20"/>
                <w:color w:val="auto"/>
              </w:rPr>
            </w:pPr>
            <w:r>
              <w:rPr>
                <w:rFonts w:ascii="Arial" w:cs="Arial" w:eastAsia="Arial" w:hAnsi="Arial"/>
                <w:sz w:val="13"/>
                <w:szCs w:val="13"/>
                <w:color w:val="auto"/>
              </w:rPr>
              <w:t>(6)</w:t>
            </w:r>
          </w:p>
        </w:tc>
        <w:tc>
          <w:tcPr>
            <w:tcW w:w="580" w:type="dxa"/>
            <w:vAlign w:val="bottom"/>
          </w:tcPr>
          <w:p>
            <w:pPr>
              <w:jc w:val="right"/>
              <w:spacing w:after="0"/>
              <w:rPr>
                <w:sz w:val="20"/>
                <w:szCs w:val="20"/>
                <w:color w:val="auto"/>
              </w:rPr>
            </w:pPr>
            <w:r>
              <w:rPr>
                <w:rFonts w:ascii="Arial" w:cs="Arial" w:eastAsia="Arial" w:hAnsi="Arial"/>
                <w:sz w:val="13"/>
                <w:szCs w:val="13"/>
                <w:color w:val="auto"/>
              </w:rPr>
              <w:t>107,000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95%</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4,907</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39,404</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Giant Food</w:t>
            </w:r>
          </w:p>
        </w:tc>
        <w:tc>
          <w:tcPr>
            <w:tcW w:w="12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Arial" w:cs="Arial" w:eastAsia="Arial" w:hAnsi="Arial"/>
                <w:sz w:val="13"/>
                <w:szCs w:val="13"/>
                <w:color w:val="auto"/>
              </w:rPr>
              <w:t>A.C.Moore</w:t>
            </w:r>
          </w:p>
        </w:tc>
      </w:tr>
      <w:tr>
        <w:trPr>
          <w:trHeight w:val="84"/>
        </w:trPr>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tcPr>
          <w:p>
            <w:pPr>
              <w:spacing w:after="0"/>
              <w:rPr>
                <w:sz w:val="7"/>
                <w:szCs w:val="7"/>
                <w:color w:val="auto"/>
              </w:rPr>
            </w:pPr>
          </w:p>
        </w:tc>
      </w:tr>
      <w:tr>
        <w:trPr>
          <w:trHeight w:val="98"/>
        </w:trPr>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26,553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325,000</w:t>
            </w:r>
          </w:p>
        </w:tc>
        <w:tc>
          <w:tcPr>
            <w:tcW w:w="92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99%</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spacing w:after="0"/>
              <w:rPr>
                <w:sz w:val="20"/>
                <w:szCs w:val="20"/>
                <w:color w:val="auto"/>
              </w:rPr>
            </w:pPr>
            <w:r>
              <w:rPr>
                <w:rFonts w:ascii="Arial" w:cs="Arial" w:eastAsia="Arial" w:hAnsi="Arial"/>
                <w:sz w:val="13"/>
                <w:szCs w:val="13"/>
                <w:b w:val="1"/>
                <w:bCs w:val="1"/>
                <w:color w:val="auto"/>
              </w:rPr>
              <w:t>Total Northeast Region</w:t>
            </w:r>
          </w:p>
        </w:tc>
        <w:tc>
          <w:tcPr>
            <w:tcW w:w="800" w:type="dxa"/>
            <w:vAlign w:val="bottom"/>
          </w:tcPr>
          <w:p>
            <w:pPr>
              <w:jc w:val="right"/>
              <w:spacing w:after="0"/>
              <w:rPr>
                <w:sz w:val="20"/>
                <w:szCs w:val="20"/>
                <w:color w:val="auto"/>
              </w:rPr>
            </w:pPr>
            <w:r>
              <w:rPr>
                <w:rFonts w:ascii="Arial" w:cs="Arial" w:eastAsia="Arial" w:hAnsi="Arial"/>
                <w:sz w:val="13"/>
                <w:szCs w:val="13"/>
                <w:color w:val="auto"/>
              </w:rPr>
              <w:t>752,035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7,433,000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96%</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80"/>
        </w:trPr>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r>
      <w:tr>
        <w:trPr>
          <w:trHeight w:val="131"/>
        </w:trPr>
        <w:tc>
          <w:tcPr>
            <w:tcW w:w="1320" w:type="dxa"/>
            <w:vAlign w:val="bottom"/>
            <w:gridSpan w:val="8"/>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West Region</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228"/>
        </w:trPr>
        <w:tc>
          <w:tcPr>
            <w:tcW w:w="5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3"/>
              </w:rPr>
              <w:t>California</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CCEEFF"/>
            </w:tcBorders>
            <w:gridSpan w:val="4"/>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20" w:type="dxa"/>
            <w:vAlign w:val="bottom"/>
            <w:tcBorders>
              <w:top w:val="single" w:sz="8" w:color="CCEEFF"/>
            </w:tcBorders>
          </w:tcPr>
          <w:p>
            <w:pPr>
              <w:spacing w:after="0"/>
              <w:rPr>
                <w:sz w:val="19"/>
                <w:szCs w:val="19"/>
                <w:color w:val="auto"/>
              </w:rPr>
            </w:pPr>
          </w:p>
        </w:tc>
      </w:tr>
      <w:tr>
        <w:trPr>
          <w:trHeight w:val="128"/>
        </w:trPr>
        <w:tc>
          <w:tcPr>
            <w:tcW w:w="1320" w:type="dxa"/>
            <w:vAlign w:val="bottom"/>
            <w:gridSpan w:val="8"/>
            <w:shd w:val="clear" w:color="auto" w:fill="CCEEFF"/>
          </w:tcPr>
          <w:p>
            <w:pPr>
              <w:spacing w:after="0" w:line="128" w:lineRule="exact"/>
              <w:rPr>
                <w:sz w:val="20"/>
                <w:szCs w:val="20"/>
                <w:color w:val="auto"/>
              </w:rPr>
            </w:pPr>
            <w:r>
              <w:rPr>
                <w:rFonts w:ascii="Arial" w:cs="Arial" w:eastAsia="Arial" w:hAnsi="Arial"/>
                <w:sz w:val="13"/>
                <w:szCs w:val="13"/>
                <w:color w:val="auto"/>
              </w:rPr>
              <w:t>Colorado Blvd</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Pottery Barn /</w:t>
            </w: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7"/>
              </w:rPr>
              <w:t>Los Angeles-Long</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Banana</w:t>
            </w:r>
          </w:p>
        </w:tc>
      </w:tr>
      <w:tr>
        <w:trPr>
          <w:trHeight w:val="153"/>
        </w:trPr>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SR</w:t>
            </w:r>
          </w:p>
        </w:tc>
        <w:tc>
          <w:tcPr>
            <w:tcW w:w="1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Beach, CA</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1996-1998</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14,720</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95%</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Republic</w:t>
            </w:r>
          </w:p>
        </w:tc>
      </w:tr>
      <w:tr>
        <w:trPr>
          <w:trHeight w:val="135"/>
        </w:trPr>
        <w:tc>
          <w:tcPr>
            <w:tcW w:w="1320" w:type="dxa"/>
            <w:vAlign w:val="bottom"/>
            <w:gridSpan w:val="8"/>
          </w:tcPr>
          <w:p>
            <w:pPr>
              <w:spacing w:after="0" w:line="135" w:lineRule="exact"/>
              <w:rPr>
                <w:sz w:val="20"/>
                <w:szCs w:val="20"/>
                <w:color w:val="auto"/>
              </w:rPr>
            </w:pPr>
            <w:r>
              <w:rPr>
                <w:rFonts w:ascii="Arial" w:cs="Arial" w:eastAsia="Arial" w:hAnsi="Arial"/>
                <w:sz w:val="13"/>
                <w:szCs w:val="13"/>
                <w:color w:val="auto"/>
              </w:rPr>
              <w:t>Hermosa Ave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line="135" w:lineRule="exact"/>
              <w:rPr>
                <w:sz w:val="20"/>
                <w:szCs w:val="20"/>
                <w:color w:val="auto"/>
              </w:rPr>
            </w:pPr>
            <w:r>
              <w:rPr>
                <w:rFonts w:ascii="Arial" w:cs="Arial" w:eastAsia="Arial" w:hAnsi="Arial"/>
                <w:sz w:val="13"/>
                <w:szCs w:val="13"/>
                <w:color w:val="auto"/>
                <w:w w:val="97"/>
              </w:rPr>
              <w:t>Los Angeles-Long</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53"/>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SR</w:t>
            </w:r>
          </w:p>
        </w:tc>
        <w:tc>
          <w:tcPr>
            <w:tcW w:w="1040" w:type="dxa"/>
            <w:vAlign w:val="bottom"/>
          </w:tcPr>
          <w:p>
            <w:pPr>
              <w:ind w:left="220"/>
              <w:spacing w:after="0"/>
              <w:rPr>
                <w:sz w:val="20"/>
                <w:szCs w:val="20"/>
                <w:color w:val="auto"/>
              </w:rPr>
            </w:pPr>
            <w:r>
              <w:rPr>
                <w:rFonts w:ascii="Arial" w:cs="Arial" w:eastAsia="Arial" w:hAnsi="Arial"/>
                <w:sz w:val="13"/>
                <w:szCs w:val="13"/>
                <w:color w:val="auto"/>
              </w:rPr>
              <w:t>Beach, CA</w:t>
            </w: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1997</w:t>
            </w:r>
          </w:p>
        </w:tc>
        <w:tc>
          <w:tcPr>
            <w:tcW w:w="800" w:type="dxa"/>
            <w:vAlign w:val="bottom"/>
          </w:tcPr>
          <w:p>
            <w:pPr>
              <w:jc w:val="right"/>
              <w:spacing w:after="0"/>
              <w:rPr>
                <w:sz w:val="20"/>
                <w:szCs w:val="20"/>
                <w:color w:val="auto"/>
              </w:rPr>
            </w:pPr>
            <w:r>
              <w:rPr>
                <w:rFonts w:ascii="Arial" w:cs="Arial" w:eastAsia="Arial" w:hAnsi="Arial"/>
                <w:sz w:val="13"/>
                <w:szCs w:val="13"/>
                <w:color w:val="auto"/>
              </w:rPr>
              <w:t>4,591</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90.0%</w:t>
            </w:r>
          </w:p>
        </w:tc>
        <w:tc>
          <w:tcPr>
            <w:tcW w:w="580" w:type="dxa"/>
            <w:vAlign w:val="bottom"/>
          </w:tcPr>
          <w:p>
            <w:pPr>
              <w:jc w:val="right"/>
              <w:spacing w:after="0"/>
              <w:rPr>
                <w:sz w:val="20"/>
                <w:szCs w:val="20"/>
                <w:color w:val="auto"/>
              </w:rPr>
            </w:pPr>
            <w:r>
              <w:rPr>
                <w:rFonts w:ascii="Arial" w:cs="Arial" w:eastAsia="Arial" w:hAnsi="Arial"/>
                <w:sz w:val="13"/>
                <w:szCs w:val="13"/>
                <w:color w:val="auto"/>
              </w:rPr>
              <w:t>23,000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35"/>
        </w:trPr>
        <w:tc>
          <w:tcPr>
            <w:tcW w:w="1320" w:type="dxa"/>
            <w:vAlign w:val="bottom"/>
            <w:gridSpan w:val="8"/>
            <w:shd w:val="clear" w:color="auto" w:fill="CCEEFF"/>
          </w:tcPr>
          <w:p>
            <w:pPr>
              <w:spacing w:after="0" w:line="135" w:lineRule="exact"/>
              <w:rPr>
                <w:sz w:val="20"/>
                <w:szCs w:val="20"/>
                <w:color w:val="auto"/>
              </w:rPr>
            </w:pPr>
            <w:r>
              <w:rPr>
                <w:rFonts w:ascii="Arial" w:cs="Arial" w:eastAsia="Arial" w:hAnsi="Arial"/>
                <w:sz w:val="13"/>
                <w:szCs w:val="13"/>
                <w:color w:val="auto"/>
              </w:rPr>
              <w:t>Hollywood Blvd</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Los Angeles-Long</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General Cinema /Hollywood</w:t>
            </w:r>
          </w:p>
        </w:tc>
      </w:tr>
      <w:tr>
        <w:trPr>
          <w:trHeight w:val="153"/>
        </w:trPr>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SR</w:t>
            </w:r>
          </w:p>
        </w:tc>
        <w:tc>
          <w:tcPr>
            <w:tcW w:w="1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Beach, CA</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1999</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26,035</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93%</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Ent. Museum</w:t>
            </w:r>
          </w:p>
        </w:tc>
      </w:tr>
      <w:tr>
        <w:trPr>
          <w:trHeight w:val="135"/>
        </w:trPr>
        <w:tc>
          <w:tcPr>
            <w:tcW w:w="1320" w:type="dxa"/>
            <w:vAlign w:val="bottom"/>
            <w:gridSpan w:val="8"/>
          </w:tcPr>
          <w:p>
            <w:pPr>
              <w:spacing w:after="0" w:line="135" w:lineRule="exact"/>
              <w:rPr>
                <w:sz w:val="20"/>
                <w:szCs w:val="20"/>
                <w:color w:val="auto"/>
              </w:rPr>
            </w:pPr>
            <w:r>
              <w:rPr>
                <w:rFonts w:ascii="Arial" w:cs="Arial" w:eastAsia="Arial" w:hAnsi="Arial"/>
                <w:sz w:val="13"/>
                <w:szCs w:val="13"/>
                <w:color w:val="auto"/>
              </w:rPr>
              <w:t>Third St Promenade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line="135" w:lineRule="exact"/>
              <w:rPr>
                <w:sz w:val="20"/>
                <w:szCs w:val="20"/>
                <w:color w:val="auto"/>
              </w:rPr>
            </w:pPr>
            <w:r>
              <w:rPr>
                <w:rFonts w:ascii="Arial" w:cs="Arial" w:eastAsia="Arial" w:hAnsi="Arial"/>
                <w:sz w:val="13"/>
                <w:szCs w:val="13"/>
                <w:color w:val="auto"/>
              </w:rPr>
              <w:t>J. Crew /</w:t>
            </w:r>
          </w:p>
        </w:tc>
      </w:tr>
      <w:tr>
        <w:trPr>
          <w:trHeight w:val="144"/>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ind w:left="220"/>
              <w:spacing w:after="0" w:line="144" w:lineRule="exact"/>
              <w:rPr>
                <w:sz w:val="20"/>
                <w:szCs w:val="20"/>
                <w:color w:val="auto"/>
              </w:rPr>
            </w:pPr>
            <w:r>
              <w:rPr>
                <w:rFonts w:ascii="Arial" w:cs="Arial" w:eastAsia="Arial" w:hAnsi="Arial"/>
                <w:sz w:val="13"/>
                <w:szCs w:val="13"/>
                <w:color w:val="auto"/>
              </w:rPr>
              <w:t>Banana</w:t>
            </w:r>
          </w:p>
        </w:tc>
      </w:tr>
      <w:tr>
        <w:trPr>
          <w:trHeight w:val="144"/>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line="144" w:lineRule="exact"/>
              <w:rPr>
                <w:sz w:val="20"/>
                <w:szCs w:val="20"/>
                <w:color w:val="auto"/>
              </w:rPr>
            </w:pPr>
            <w:r>
              <w:rPr>
                <w:rFonts w:ascii="Arial" w:cs="Arial" w:eastAsia="Arial" w:hAnsi="Arial"/>
                <w:sz w:val="13"/>
                <w:szCs w:val="13"/>
                <w:color w:val="auto"/>
                <w:w w:val="97"/>
              </w:rPr>
              <w:t>Los Angeles-Long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ind w:left="220"/>
              <w:spacing w:after="0" w:line="144" w:lineRule="exact"/>
              <w:rPr>
                <w:sz w:val="20"/>
                <w:szCs w:val="20"/>
                <w:color w:val="auto"/>
              </w:rPr>
            </w:pPr>
            <w:r>
              <w:rPr>
                <w:rFonts w:ascii="Arial" w:cs="Arial" w:eastAsia="Arial" w:hAnsi="Arial"/>
                <w:sz w:val="13"/>
                <w:szCs w:val="13"/>
                <w:color w:val="auto"/>
              </w:rPr>
              <w:t>Republic /</w:t>
            </w:r>
          </w:p>
        </w:tc>
      </w:tr>
      <w:tr>
        <w:trPr>
          <w:trHeight w:val="153"/>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SR</w:t>
            </w:r>
          </w:p>
        </w:tc>
        <w:tc>
          <w:tcPr>
            <w:tcW w:w="1040" w:type="dxa"/>
            <w:vAlign w:val="bottom"/>
          </w:tcPr>
          <w:p>
            <w:pPr>
              <w:ind w:left="220"/>
              <w:spacing w:after="0"/>
              <w:rPr>
                <w:sz w:val="20"/>
                <w:szCs w:val="20"/>
                <w:color w:val="auto"/>
              </w:rPr>
            </w:pPr>
            <w:r>
              <w:rPr>
                <w:rFonts w:ascii="Arial" w:cs="Arial" w:eastAsia="Arial" w:hAnsi="Arial"/>
                <w:sz w:val="13"/>
                <w:szCs w:val="13"/>
                <w:color w:val="auto"/>
              </w:rPr>
              <w:t>Beach, CA</w:t>
            </w: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1996-2000</w:t>
            </w:r>
          </w:p>
        </w:tc>
        <w:tc>
          <w:tcPr>
            <w:tcW w:w="800" w:type="dxa"/>
            <w:vAlign w:val="bottom"/>
          </w:tcPr>
          <w:p>
            <w:pPr>
              <w:jc w:val="right"/>
              <w:spacing w:after="0"/>
              <w:rPr>
                <w:sz w:val="20"/>
                <w:szCs w:val="20"/>
                <w:color w:val="auto"/>
              </w:rPr>
            </w:pPr>
            <w:r>
              <w:rPr>
                <w:rFonts w:ascii="Arial" w:cs="Arial" w:eastAsia="Arial" w:hAnsi="Arial"/>
                <w:sz w:val="13"/>
                <w:szCs w:val="13"/>
                <w:color w:val="auto"/>
              </w:rPr>
              <w:t>71,672</w:t>
            </w:r>
          </w:p>
        </w:tc>
        <w:tc>
          <w:tcPr>
            <w:tcW w:w="980" w:type="dxa"/>
            <w:vAlign w:val="bottom"/>
            <w:gridSpan w:val="3"/>
          </w:tcPr>
          <w:p>
            <w:pPr>
              <w:jc w:val="right"/>
              <w:ind w:right="180"/>
              <w:spacing w:after="0"/>
              <w:rPr>
                <w:sz w:val="20"/>
                <w:szCs w:val="20"/>
                <w:color w:val="auto"/>
              </w:rPr>
            </w:pPr>
            <w:r>
              <w:rPr>
                <w:rFonts w:ascii="Arial" w:cs="Arial" w:eastAsia="Arial" w:hAnsi="Arial"/>
                <w:sz w:val="13"/>
                <w:szCs w:val="13"/>
                <w:color w:val="auto"/>
              </w:rPr>
              <w:t>(9)</w:t>
            </w:r>
          </w:p>
        </w:tc>
        <w:tc>
          <w:tcPr>
            <w:tcW w:w="580" w:type="dxa"/>
            <w:vAlign w:val="bottom"/>
          </w:tcPr>
          <w:p>
            <w:pPr>
              <w:jc w:val="right"/>
              <w:spacing w:after="0"/>
              <w:rPr>
                <w:sz w:val="20"/>
                <w:szCs w:val="20"/>
                <w:color w:val="auto"/>
              </w:rPr>
            </w:pPr>
            <w:r>
              <w:rPr>
                <w:rFonts w:ascii="Arial" w:cs="Arial" w:eastAsia="Arial" w:hAnsi="Arial"/>
                <w:sz w:val="13"/>
                <w:szCs w:val="13"/>
                <w:color w:val="auto"/>
              </w:rPr>
              <w:t>208,000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95%</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ind w:left="220"/>
              <w:spacing w:after="0"/>
              <w:rPr>
                <w:sz w:val="20"/>
                <w:szCs w:val="20"/>
                <w:color w:val="auto"/>
              </w:rPr>
            </w:pPr>
            <w:r>
              <w:rPr>
                <w:rFonts w:ascii="Arial" w:cs="Arial" w:eastAsia="Arial" w:hAnsi="Arial"/>
                <w:sz w:val="13"/>
                <w:szCs w:val="13"/>
                <w:color w:val="auto"/>
              </w:rPr>
              <w:t>Old Navy</w:t>
            </w:r>
          </w:p>
        </w:tc>
      </w:tr>
      <w:tr>
        <w:trPr>
          <w:trHeight w:val="135"/>
        </w:trPr>
        <w:tc>
          <w:tcPr>
            <w:tcW w:w="1320" w:type="dxa"/>
            <w:vAlign w:val="bottom"/>
            <w:gridSpan w:val="8"/>
            <w:shd w:val="clear" w:color="auto" w:fill="CCEEFF"/>
          </w:tcPr>
          <w:p>
            <w:pPr>
              <w:spacing w:after="0" w:line="135" w:lineRule="exact"/>
              <w:rPr>
                <w:sz w:val="20"/>
                <w:szCs w:val="20"/>
                <w:color w:val="auto"/>
              </w:rPr>
            </w:pPr>
            <w:r>
              <w:rPr>
                <w:rFonts w:ascii="Arial" w:cs="Arial" w:eastAsia="Arial" w:hAnsi="Arial"/>
                <w:sz w:val="13"/>
                <w:szCs w:val="13"/>
                <w:color w:val="auto"/>
              </w:rPr>
              <w:t>Escondido</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Cost Plus / TJ</w:t>
            </w: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Maxx / Toys</w:t>
            </w:r>
          </w:p>
        </w:tc>
      </w:tr>
      <w:tr>
        <w:trPr>
          <w:trHeight w:val="153"/>
        </w:trPr>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SC</w:t>
            </w: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San Diego, CA</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1996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91%</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 Us</w:t>
            </w:r>
          </w:p>
        </w:tc>
      </w:tr>
      <w:tr>
        <w:trPr>
          <w:trHeight w:val="144"/>
        </w:trPr>
        <w:tc>
          <w:tcPr>
            <w:tcW w:w="1320" w:type="dxa"/>
            <w:vAlign w:val="bottom"/>
            <w:gridSpan w:val="8"/>
          </w:tcPr>
          <w:p>
            <w:pPr>
              <w:spacing w:after="0" w:line="144" w:lineRule="exact"/>
              <w:rPr>
                <w:sz w:val="20"/>
                <w:szCs w:val="20"/>
                <w:color w:val="auto"/>
              </w:rPr>
            </w:pPr>
            <w:r>
              <w:rPr>
                <w:rFonts w:ascii="Arial" w:cs="Arial" w:eastAsia="Arial" w:hAnsi="Arial"/>
                <w:sz w:val="13"/>
                <w:szCs w:val="13"/>
                <w:color w:val="auto"/>
              </w:rPr>
              <w:t>Fifth Ave</w:t>
            </w:r>
          </w:p>
        </w:tc>
        <w:tc>
          <w:tcPr>
            <w:tcW w:w="120" w:type="dxa"/>
            <w:vAlign w:val="bottom"/>
          </w:tcPr>
          <w:p>
            <w:pPr>
              <w:spacing w:after="0"/>
              <w:rPr>
                <w:sz w:val="12"/>
                <w:szCs w:val="12"/>
                <w:color w:val="auto"/>
              </w:rPr>
            </w:pPr>
          </w:p>
        </w:tc>
        <w:tc>
          <w:tcPr>
            <w:tcW w:w="4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SR</w:t>
            </w:r>
          </w:p>
        </w:tc>
        <w:tc>
          <w:tcPr>
            <w:tcW w:w="1040" w:type="dxa"/>
            <w:vAlign w:val="bottom"/>
          </w:tcPr>
          <w:p>
            <w:pPr>
              <w:spacing w:after="0" w:line="144" w:lineRule="exact"/>
              <w:rPr>
                <w:sz w:val="20"/>
                <w:szCs w:val="20"/>
                <w:color w:val="auto"/>
              </w:rPr>
            </w:pPr>
            <w:r>
              <w:rPr>
                <w:rFonts w:ascii="Arial" w:cs="Arial" w:eastAsia="Arial" w:hAnsi="Arial"/>
                <w:sz w:val="13"/>
                <w:szCs w:val="13"/>
                <w:color w:val="auto"/>
              </w:rPr>
              <w:t>San Diego, CA</w:t>
            </w:r>
          </w:p>
        </w:tc>
        <w:tc>
          <w:tcPr>
            <w:tcW w:w="840" w:type="dxa"/>
            <w:vAlign w:val="bottom"/>
            <w:gridSpan w:val="3"/>
          </w:tcPr>
          <w:p>
            <w:pPr>
              <w:jc w:val="right"/>
              <w:ind w:right="140"/>
              <w:spacing w:after="0" w:line="144" w:lineRule="exact"/>
              <w:rPr>
                <w:sz w:val="20"/>
                <w:szCs w:val="20"/>
                <w:color w:val="auto"/>
              </w:rPr>
            </w:pPr>
            <w:r>
              <w:rPr>
                <w:rFonts w:ascii="Arial" w:cs="Arial" w:eastAsia="Arial" w:hAnsi="Arial"/>
                <w:sz w:val="13"/>
                <w:szCs w:val="13"/>
                <w:color w:val="auto"/>
              </w:rPr>
              <w:t>1996-1997</w:t>
            </w: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12,091</w:t>
            </w:r>
          </w:p>
        </w:tc>
        <w:tc>
          <w:tcPr>
            <w:tcW w:w="980" w:type="dxa"/>
            <w:vAlign w:val="bottom"/>
            <w:gridSpan w:val="3"/>
          </w:tcPr>
          <w:p>
            <w:pPr>
              <w:jc w:val="right"/>
              <w:ind w:right="180"/>
              <w:spacing w:after="0" w:line="144" w:lineRule="exact"/>
              <w:rPr>
                <w:sz w:val="20"/>
                <w:szCs w:val="20"/>
                <w:color w:val="auto"/>
              </w:rPr>
            </w:pPr>
            <w:r>
              <w:rPr>
                <w:rFonts w:ascii="Arial" w:cs="Arial" w:eastAsia="Arial" w:hAnsi="Arial"/>
                <w:sz w:val="13"/>
                <w:szCs w:val="13"/>
                <w:color w:val="auto"/>
              </w:rPr>
              <w:t>(10)</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51,000</w:t>
            </w:r>
          </w:p>
        </w:tc>
        <w:tc>
          <w:tcPr>
            <w:tcW w:w="92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96%</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line="144" w:lineRule="exact"/>
              <w:rPr>
                <w:sz w:val="20"/>
                <w:szCs w:val="20"/>
                <w:color w:val="auto"/>
              </w:rPr>
            </w:pPr>
            <w:r>
              <w:rPr>
                <w:rFonts w:ascii="Arial" w:cs="Arial" w:eastAsia="Arial" w:hAnsi="Arial"/>
                <w:sz w:val="13"/>
                <w:szCs w:val="13"/>
                <w:color w:val="auto"/>
              </w:rPr>
              <w:t>Urban Outfitters</w:t>
            </w:r>
          </w:p>
        </w:tc>
      </w:tr>
      <w:tr>
        <w:trPr>
          <w:trHeight w:val="135"/>
        </w:trPr>
        <w:tc>
          <w:tcPr>
            <w:tcW w:w="1320" w:type="dxa"/>
            <w:vAlign w:val="bottom"/>
            <w:gridSpan w:val="8"/>
            <w:shd w:val="clear" w:color="auto" w:fill="CCEEFF"/>
          </w:tcPr>
          <w:p>
            <w:pPr>
              <w:spacing w:after="0" w:line="135" w:lineRule="exact"/>
              <w:rPr>
                <w:sz w:val="20"/>
                <w:szCs w:val="20"/>
                <w:color w:val="auto"/>
              </w:rPr>
            </w:pPr>
            <w:r>
              <w:rPr>
                <w:rFonts w:ascii="Arial" w:cs="Arial" w:eastAsia="Arial" w:hAnsi="Arial"/>
                <w:sz w:val="13"/>
                <w:szCs w:val="13"/>
                <w:color w:val="auto"/>
              </w:rPr>
              <w:t>150 Post Street</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Brooks Brothers</w:t>
            </w: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 Williams</w:t>
            </w:r>
          </w:p>
        </w:tc>
      </w:tr>
      <w:tr>
        <w:trPr>
          <w:trHeight w:val="153"/>
        </w:trPr>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SR</w:t>
            </w: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w w:val="94"/>
              </w:rPr>
              <w:t>San Francisco, CA</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1997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28,793</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71%</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Sonoma</w:t>
            </w:r>
          </w:p>
        </w:tc>
      </w:tr>
      <w:tr>
        <w:trPr>
          <w:trHeight w:val="135"/>
        </w:trPr>
        <w:tc>
          <w:tcPr>
            <w:tcW w:w="1320" w:type="dxa"/>
            <w:vAlign w:val="bottom"/>
            <w:gridSpan w:val="8"/>
          </w:tcPr>
          <w:p>
            <w:pPr>
              <w:spacing w:after="0" w:line="135" w:lineRule="exact"/>
              <w:rPr>
                <w:sz w:val="20"/>
                <w:szCs w:val="20"/>
                <w:color w:val="auto"/>
              </w:rPr>
            </w:pPr>
            <w:r>
              <w:rPr>
                <w:rFonts w:ascii="Arial" w:cs="Arial" w:eastAsia="Arial" w:hAnsi="Arial"/>
                <w:sz w:val="13"/>
                <w:szCs w:val="13"/>
                <w:color w:val="auto"/>
              </w:rPr>
              <w:t>Kings Court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line="135" w:lineRule="exact"/>
              <w:rPr>
                <w:sz w:val="20"/>
                <w:szCs w:val="20"/>
                <w:color w:val="auto"/>
              </w:rPr>
            </w:pPr>
            <w:r>
              <w:rPr>
                <w:rFonts w:ascii="Arial" w:cs="Arial" w:eastAsia="Arial" w:hAnsi="Arial"/>
                <w:sz w:val="13"/>
                <w:szCs w:val="13"/>
                <w:color w:val="auto"/>
              </w:rPr>
              <w:t>Longs Drug</w:t>
            </w:r>
          </w:p>
        </w:tc>
      </w:tr>
      <w:tr>
        <w:trPr>
          <w:trHeight w:val="153"/>
        </w:trPr>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SC</w:t>
            </w:r>
          </w:p>
        </w:tc>
        <w:tc>
          <w:tcPr>
            <w:tcW w:w="1040" w:type="dxa"/>
            <w:vAlign w:val="bottom"/>
          </w:tcPr>
          <w:p>
            <w:pPr>
              <w:spacing w:after="0"/>
              <w:rPr>
                <w:sz w:val="20"/>
                <w:szCs w:val="20"/>
                <w:color w:val="auto"/>
              </w:rPr>
            </w:pPr>
            <w:r>
              <w:rPr>
                <w:rFonts w:ascii="Arial" w:cs="Arial" w:eastAsia="Arial" w:hAnsi="Arial"/>
                <w:sz w:val="13"/>
                <w:szCs w:val="13"/>
                <w:color w:val="auto"/>
              </w:rPr>
              <w:t>San Jose, CA</w:t>
            </w: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1998</w:t>
            </w:r>
          </w:p>
        </w:tc>
        <w:tc>
          <w:tcPr>
            <w:tcW w:w="800" w:type="dxa"/>
            <w:vAlign w:val="bottom"/>
          </w:tcPr>
          <w:p>
            <w:pPr>
              <w:jc w:val="right"/>
              <w:spacing w:after="0"/>
              <w:rPr>
                <w:sz w:val="20"/>
                <w:szCs w:val="20"/>
                <w:color w:val="auto"/>
              </w:rPr>
            </w:pPr>
            <w:r>
              <w:rPr>
                <w:rFonts w:ascii="Arial" w:cs="Arial" w:eastAsia="Arial" w:hAnsi="Arial"/>
                <w:sz w:val="13"/>
                <w:szCs w:val="13"/>
                <w:color w:val="auto"/>
              </w:rPr>
              <w:t>11,409</w:t>
            </w:r>
          </w:p>
        </w:tc>
        <w:tc>
          <w:tcPr>
            <w:tcW w:w="980" w:type="dxa"/>
            <w:vAlign w:val="bottom"/>
            <w:gridSpan w:val="3"/>
          </w:tcPr>
          <w:p>
            <w:pPr>
              <w:jc w:val="right"/>
              <w:ind w:right="180"/>
              <w:spacing w:after="0"/>
              <w:rPr>
                <w:sz w:val="20"/>
                <w:szCs w:val="20"/>
                <w:color w:val="auto"/>
              </w:rPr>
            </w:pPr>
            <w:r>
              <w:rPr>
                <w:rFonts w:ascii="Arial" w:cs="Arial" w:eastAsia="Arial" w:hAnsi="Arial"/>
                <w:sz w:val="13"/>
                <w:szCs w:val="13"/>
                <w:color w:val="auto"/>
              </w:rPr>
              <w:t>(5)</w:t>
            </w:r>
          </w:p>
        </w:tc>
        <w:tc>
          <w:tcPr>
            <w:tcW w:w="580" w:type="dxa"/>
            <w:vAlign w:val="bottom"/>
          </w:tcPr>
          <w:p>
            <w:pPr>
              <w:jc w:val="right"/>
              <w:spacing w:after="0"/>
              <w:rPr>
                <w:sz w:val="20"/>
                <w:szCs w:val="20"/>
                <w:color w:val="auto"/>
              </w:rPr>
            </w:pPr>
            <w:r>
              <w:rPr>
                <w:rFonts w:ascii="Arial" w:cs="Arial" w:eastAsia="Arial" w:hAnsi="Arial"/>
                <w:sz w:val="13"/>
                <w:szCs w:val="13"/>
                <w:color w:val="auto"/>
              </w:rPr>
              <w:t>79,000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98%</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24,860</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w w:val="92"/>
              </w:rPr>
              <w:t>Lunardi’s Super Market</w:t>
            </w:r>
          </w:p>
        </w:tc>
        <w:tc>
          <w:tcPr>
            <w:tcW w:w="120" w:type="dxa"/>
            <w:vAlign w:val="bottom"/>
          </w:tcPr>
          <w:p>
            <w:pPr>
              <w:spacing w:after="0"/>
              <w:rPr>
                <w:sz w:val="13"/>
                <w:szCs w:val="13"/>
                <w:color w:val="auto"/>
              </w:rPr>
            </w:pPr>
          </w:p>
        </w:tc>
        <w:tc>
          <w:tcPr>
            <w:tcW w:w="1520" w:type="dxa"/>
            <w:vAlign w:val="bottom"/>
          </w:tcPr>
          <w:p>
            <w:pPr>
              <w:ind w:left="220"/>
              <w:spacing w:after="0"/>
              <w:rPr>
                <w:sz w:val="20"/>
                <w:szCs w:val="20"/>
                <w:color w:val="auto"/>
              </w:rPr>
            </w:pPr>
            <w:r>
              <w:rPr>
                <w:rFonts w:ascii="Arial" w:cs="Arial" w:eastAsia="Arial" w:hAnsi="Arial"/>
                <w:sz w:val="13"/>
                <w:szCs w:val="13"/>
                <w:color w:val="auto"/>
              </w:rPr>
              <w:t>Store</w:t>
            </w:r>
          </w:p>
        </w:tc>
      </w:tr>
      <w:tr>
        <w:trPr>
          <w:trHeight w:val="135"/>
        </w:trPr>
        <w:tc>
          <w:tcPr>
            <w:tcW w:w="1320" w:type="dxa"/>
            <w:vAlign w:val="bottom"/>
            <w:gridSpan w:val="8"/>
            <w:shd w:val="clear" w:color="auto" w:fill="CCEEFF"/>
          </w:tcPr>
          <w:p>
            <w:pPr>
              <w:spacing w:after="0" w:line="135" w:lineRule="exact"/>
              <w:rPr>
                <w:sz w:val="20"/>
                <w:szCs w:val="20"/>
                <w:color w:val="auto"/>
              </w:rPr>
            </w:pPr>
            <w:r>
              <w:rPr>
                <w:rFonts w:ascii="Arial" w:cs="Arial" w:eastAsia="Arial" w:hAnsi="Arial"/>
                <w:sz w:val="13"/>
                <w:szCs w:val="13"/>
                <w:color w:val="auto"/>
              </w:rPr>
              <w:t>Old Town</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Borders / Gap</w:t>
            </w: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ind w:left="220"/>
              <w:spacing w:after="0" w:line="144" w:lineRule="exact"/>
              <w:rPr>
                <w:sz w:val="20"/>
                <w:szCs w:val="20"/>
                <w:color w:val="auto"/>
              </w:rPr>
            </w:pPr>
            <w:r>
              <w:rPr>
                <w:rFonts w:ascii="Arial" w:cs="Arial" w:eastAsia="Arial" w:hAnsi="Arial"/>
                <w:sz w:val="13"/>
                <w:szCs w:val="13"/>
                <w:color w:val="auto"/>
              </w:rPr>
              <w:t>Kids / Banana</w:t>
            </w:r>
          </w:p>
        </w:tc>
      </w:tr>
      <w:tr>
        <w:trPr>
          <w:trHeight w:val="153"/>
        </w:trPr>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SR</w:t>
            </w: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San Jose, CA</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1997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32,983</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99%</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Republic</w:t>
            </w:r>
          </w:p>
        </w:tc>
      </w:tr>
      <w:tr>
        <w:trPr>
          <w:trHeight w:val="135"/>
        </w:trPr>
        <w:tc>
          <w:tcPr>
            <w:tcW w:w="1320" w:type="dxa"/>
            <w:vAlign w:val="bottom"/>
            <w:gridSpan w:val="8"/>
          </w:tcPr>
          <w:p>
            <w:pPr>
              <w:spacing w:after="0" w:line="135" w:lineRule="exact"/>
              <w:rPr>
                <w:sz w:val="20"/>
                <w:szCs w:val="20"/>
                <w:color w:val="auto"/>
              </w:rPr>
            </w:pPr>
            <w:r>
              <w:rPr>
                <w:rFonts w:ascii="Arial" w:cs="Arial" w:eastAsia="Arial" w:hAnsi="Arial"/>
                <w:sz w:val="13"/>
                <w:szCs w:val="13"/>
                <w:color w:val="auto"/>
              </w:rPr>
              <w:t>Santana Row</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line="135" w:lineRule="exact"/>
              <w:rPr>
                <w:sz w:val="20"/>
                <w:szCs w:val="20"/>
                <w:color w:val="auto"/>
              </w:rPr>
            </w:pPr>
            <w:r>
              <w:rPr>
                <w:rFonts w:ascii="Arial" w:cs="Arial" w:eastAsia="Arial" w:hAnsi="Arial"/>
                <w:sz w:val="13"/>
                <w:szCs w:val="13"/>
                <w:color w:val="auto"/>
              </w:rPr>
              <w:t>Crate &amp; Barrel /</w:t>
            </w:r>
          </w:p>
        </w:tc>
      </w:tr>
      <w:tr>
        <w:trPr>
          <w:trHeight w:val="164"/>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SR</w:t>
            </w:r>
          </w:p>
        </w:tc>
        <w:tc>
          <w:tcPr>
            <w:tcW w:w="1040" w:type="dxa"/>
            <w:vAlign w:val="bottom"/>
          </w:tcPr>
          <w:p>
            <w:pPr>
              <w:spacing w:after="0"/>
              <w:rPr>
                <w:sz w:val="20"/>
                <w:szCs w:val="20"/>
                <w:color w:val="auto"/>
              </w:rPr>
            </w:pPr>
            <w:r>
              <w:rPr>
                <w:rFonts w:ascii="Arial" w:cs="Arial" w:eastAsia="Arial" w:hAnsi="Arial"/>
                <w:sz w:val="13"/>
                <w:szCs w:val="13"/>
                <w:color w:val="auto"/>
              </w:rPr>
              <w:t>San Jose, CA</w:t>
            </w: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1997</w:t>
            </w:r>
          </w:p>
        </w:tc>
        <w:tc>
          <w:tcPr>
            <w:tcW w:w="800" w:type="dxa"/>
            <w:vAlign w:val="bottom"/>
          </w:tcPr>
          <w:p>
            <w:pPr>
              <w:jc w:val="right"/>
              <w:spacing w:after="0"/>
              <w:rPr>
                <w:sz w:val="20"/>
                <w:szCs w:val="20"/>
                <w:color w:val="auto"/>
              </w:rPr>
            </w:pPr>
            <w:r>
              <w:rPr>
                <w:rFonts w:ascii="Arial" w:cs="Arial" w:eastAsia="Arial" w:hAnsi="Arial"/>
                <w:sz w:val="13"/>
                <w:szCs w:val="13"/>
                <w:color w:val="auto"/>
              </w:rPr>
              <w:t>443,039</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100.0%</w:t>
            </w:r>
          </w:p>
        </w:tc>
        <w:tc>
          <w:tcPr>
            <w:tcW w:w="580" w:type="dxa"/>
            <w:vAlign w:val="bottom"/>
          </w:tcPr>
          <w:p>
            <w:pPr>
              <w:jc w:val="right"/>
              <w:spacing w:after="0"/>
              <w:rPr>
                <w:sz w:val="20"/>
                <w:szCs w:val="20"/>
                <w:color w:val="auto"/>
              </w:rPr>
            </w:pPr>
            <w:r>
              <w:rPr>
                <w:rFonts w:ascii="Arial" w:cs="Arial" w:eastAsia="Arial" w:hAnsi="Arial"/>
                <w:sz w:val="13"/>
                <w:szCs w:val="13"/>
                <w:color w:val="auto"/>
              </w:rPr>
              <w:t>444,000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73%</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Arial" w:cs="Arial" w:eastAsia="Arial" w:hAnsi="Arial"/>
                <w:sz w:val="13"/>
                <w:szCs w:val="13"/>
                <w:color w:val="auto"/>
              </w:rPr>
              <w:t>Borders</w:t>
            </w:r>
          </w:p>
        </w:tc>
      </w:tr>
      <w:tr>
        <w:trPr>
          <w:trHeight w:val="93"/>
        </w:trPr>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98"/>
        </w:trPr>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144"/>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670,133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6"/>
              </w:rPr>
              <w:t>1,447,000</w:t>
            </w:r>
          </w:p>
        </w:tc>
        <w:tc>
          <w:tcPr>
            <w:tcW w:w="92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87%</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235"/>
        </w:trPr>
        <w:tc>
          <w:tcPr>
            <w:tcW w:w="1320" w:type="dxa"/>
            <w:vAlign w:val="bottom"/>
            <w:gridSpan w:val="8"/>
          </w:tcPr>
          <w:p>
            <w:pPr>
              <w:spacing w:after="0"/>
              <w:rPr>
                <w:sz w:val="20"/>
                <w:szCs w:val="20"/>
                <w:color w:val="auto"/>
              </w:rPr>
            </w:pPr>
            <w:r>
              <w:rPr>
                <w:rFonts w:ascii="Arial" w:cs="Arial" w:eastAsia="Arial" w:hAnsi="Arial"/>
                <w:sz w:val="13"/>
                <w:szCs w:val="13"/>
                <w:b w:val="1"/>
                <w:bCs w:val="1"/>
                <w:color w:val="auto"/>
              </w:rPr>
              <w:t>West Region - Other</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37"/>
        </w:trPr>
        <w:tc>
          <w:tcPr>
            <w:tcW w:w="1140" w:type="dxa"/>
            <w:vAlign w:val="bottom"/>
            <w:tcBorders>
              <w:top w:val="single" w:sz="8" w:color="auto"/>
            </w:tcBorders>
            <w:gridSpan w:val="6"/>
            <w:shd w:val="clear" w:color="auto" w:fill="CCEEFF"/>
          </w:tcPr>
          <w:p>
            <w:pPr>
              <w:spacing w:after="0" w:line="137" w:lineRule="exact"/>
              <w:rPr>
                <w:sz w:val="20"/>
                <w:szCs w:val="20"/>
                <w:color w:val="auto"/>
              </w:rPr>
            </w:pPr>
            <w:r>
              <w:rPr>
                <w:rFonts w:ascii="Arial" w:cs="Arial" w:eastAsia="Arial" w:hAnsi="Arial"/>
                <w:sz w:val="13"/>
                <w:szCs w:val="13"/>
                <w:color w:val="auto"/>
              </w:rPr>
              <w:t>Mill Avenue</w:t>
            </w:r>
          </w:p>
        </w:tc>
        <w:tc>
          <w:tcPr>
            <w:tcW w:w="18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3"/>
                <w:szCs w:val="13"/>
                <w:color w:val="auto"/>
              </w:rPr>
              <w:t>SR</w:t>
            </w:r>
          </w:p>
        </w:tc>
        <w:tc>
          <w:tcPr>
            <w:tcW w:w="104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w w:val="95"/>
              </w:rPr>
              <w:t>Phoenix-Mesa, AZ</w:t>
            </w:r>
          </w:p>
        </w:tc>
        <w:tc>
          <w:tcPr>
            <w:tcW w:w="8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3"/>
                <w:szCs w:val="13"/>
                <w:color w:val="auto"/>
              </w:rPr>
              <w:t>1998</w:t>
            </w:r>
          </w:p>
        </w:tc>
        <w:tc>
          <w:tcPr>
            <w:tcW w:w="80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11,036</w:t>
            </w:r>
          </w:p>
        </w:tc>
        <w:tc>
          <w:tcPr>
            <w:tcW w:w="980" w:type="dxa"/>
            <w:vAlign w:val="bottom"/>
            <w:gridSpan w:val="3"/>
            <w:shd w:val="clear" w:color="auto" w:fill="CCEEFF"/>
          </w:tcPr>
          <w:p>
            <w:pPr>
              <w:jc w:val="right"/>
              <w:ind w:right="180"/>
              <w:spacing w:after="0" w:line="137" w:lineRule="exact"/>
              <w:rPr>
                <w:sz w:val="20"/>
                <w:szCs w:val="20"/>
                <w:color w:val="auto"/>
              </w:rPr>
            </w:pPr>
            <w:r>
              <w:rPr>
                <w:rFonts w:ascii="Arial" w:cs="Arial" w:eastAsia="Arial" w:hAnsi="Arial"/>
                <w:sz w:val="13"/>
                <w:szCs w:val="13"/>
                <w:color w:val="auto"/>
              </w:rPr>
              <w:t>(11)</w:t>
            </w:r>
          </w:p>
        </w:tc>
        <w:tc>
          <w:tcPr>
            <w:tcW w:w="580" w:type="dxa"/>
            <w:vAlign w:val="bottom"/>
            <w:shd w:val="clear" w:color="auto" w:fill="CCEEFF"/>
          </w:tcPr>
          <w:p>
            <w:pPr>
              <w:jc w:val="right"/>
              <w:spacing w:after="0" w:line="137" w:lineRule="exact"/>
              <w:rPr>
                <w:sz w:val="20"/>
                <w:szCs w:val="20"/>
                <w:color w:val="auto"/>
              </w:rPr>
            </w:pPr>
            <w:r>
              <w:rPr>
                <w:rFonts w:ascii="Arial" w:cs="Arial" w:eastAsia="Arial" w:hAnsi="Arial"/>
                <w:sz w:val="13"/>
                <w:szCs w:val="13"/>
                <w:color w:val="auto"/>
              </w:rPr>
              <w:t>40,000</w:t>
            </w:r>
          </w:p>
        </w:tc>
        <w:tc>
          <w:tcPr>
            <w:tcW w:w="920" w:type="dxa"/>
            <w:vAlign w:val="bottom"/>
            <w:gridSpan w:val="3"/>
            <w:shd w:val="clear" w:color="auto" w:fill="CCEEFF"/>
          </w:tcPr>
          <w:p>
            <w:pPr>
              <w:jc w:val="right"/>
              <w:ind w:right="120"/>
              <w:spacing w:after="0" w:line="137" w:lineRule="exact"/>
              <w:rPr>
                <w:sz w:val="20"/>
                <w:szCs w:val="20"/>
                <w:color w:val="auto"/>
              </w:rPr>
            </w:pPr>
            <w:r>
              <w:rPr>
                <w:rFonts w:ascii="Arial" w:cs="Arial" w:eastAsia="Arial" w:hAnsi="Arial"/>
                <w:sz w:val="13"/>
                <w:szCs w:val="13"/>
                <w:color w:val="auto"/>
              </w:rPr>
              <w:t>85%</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Gordon Biersch</w:t>
            </w:r>
          </w:p>
        </w:tc>
      </w:tr>
      <w:tr>
        <w:trPr>
          <w:trHeight w:val="144"/>
        </w:trPr>
        <w:tc>
          <w:tcPr>
            <w:tcW w:w="1320" w:type="dxa"/>
            <w:vAlign w:val="bottom"/>
            <w:gridSpan w:val="8"/>
          </w:tcPr>
          <w:p>
            <w:pPr>
              <w:spacing w:after="0" w:line="144" w:lineRule="exact"/>
              <w:rPr>
                <w:sz w:val="20"/>
                <w:szCs w:val="20"/>
                <w:color w:val="auto"/>
              </w:rPr>
            </w:pPr>
            <w:r>
              <w:rPr>
                <w:rFonts w:ascii="Arial" w:cs="Arial" w:eastAsia="Arial" w:hAnsi="Arial"/>
                <w:sz w:val="13"/>
                <w:szCs w:val="13"/>
                <w:color w:val="auto"/>
              </w:rPr>
              <w:t>Houston St</w:t>
            </w:r>
          </w:p>
        </w:tc>
        <w:tc>
          <w:tcPr>
            <w:tcW w:w="120" w:type="dxa"/>
            <w:vAlign w:val="bottom"/>
          </w:tcPr>
          <w:p>
            <w:pPr>
              <w:spacing w:after="0"/>
              <w:rPr>
                <w:sz w:val="12"/>
                <w:szCs w:val="12"/>
                <w:color w:val="auto"/>
              </w:rPr>
            </w:pPr>
          </w:p>
        </w:tc>
        <w:tc>
          <w:tcPr>
            <w:tcW w:w="40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SR</w:t>
            </w:r>
          </w:p>
        </w:tc>
        <w:tc>
          <w:tcPr>
            <w:tcW w:w="1040" w:type="dxa"/>
            <w:vAlign w:val="bottom"/>
          </w:tcPr>
          <w:p>
            <w:pPr>
              <w:spacing w:after="0" w:line="144" w:lineRule="exact"/>
              <w:rPr>
                <w:sz w:val="20"/>
                <w:szCs w:val="20"/>
                <w:color w:val="auto"/>
              </w:rPr>
            </w:pPr>
            <w:r>
              <w:rPr>
                <w:rFonts w:ascii="Arial" w:cs="Arial" w:eastAsia="Arial" w:hAnsi="Arial"/>
                <w:sz w:val="13"/>
                <w:szCs w:val="13"/>
                <w:color w:val="auto"/>
              </w:rPr>
              <w:t>San Antonio, TX</w:t>
            </w:r>
          </w:p>
        </w:tc>
        <w:tc>
          <w:tcPr>
            <w:tcW w:w="840" w:type="dxa"/>
            <w:vAlign w:val="bottom"/>
            <w:gridSpan w:val="3"/>
          </w:tcPr>
          <w:p>
            <w:pPr>
              <w:jc w:val="right"/>
              <w:ind w:right="140"/>
              <w:spacing w:after="0" w:line="144" w:lineRule="exact"/>
              <w:rPr>
                <w:sz w:val="20"/>
                <w:szCs w:val="20"/>
                <w:color w:val="auto"/>
              </w:rPr>
            </w:pPr>
            <w:r>
              <w:rPr>
                <w:rFonts w:ascii="Arial" w:cs="Arial" w:eastAsia="Arial" w:hAnsi="Arial"/>
                <w:sz w:val="13"/>
                <w:szCs w:val="13"/>
                <w:color w:val="auto"/>
              </w:rPr>
              <w:t>1998</w:t>
            </w: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57,522</w:t>
            </w:r>
          </w:p>
        </w:tc>
        <w:tc>
          <w:tcPr>
            <w:tcW w:w="98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100.0%</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180,000</w:t>
            </w:r>
          </w:p>
        </w:tc>
        <w:tc>
          <w:tcPr>
            <w:tcW w:w="920" w:type="dxa"/>
            <w:vAlign w:val="bottom"/>
            <w:gridSpan w:val="3"/>
          </w:tcPr>
          <w:p>
            <w:pPr>
              <w:jc w:val="right"/>
              <w:ind w:right="120"/>
              <w:spacing w:after="0" w:line="144" w:lineRule="exact"/>
              <w:rPr>
                <w:sz w:val="20"/>
                <w:szCs w:val="20"/>
                <w:color w:val="auto"/>
              </w:rPr>
            </w:pPr>
            <w:r>
              <w:rPr>
                <w:rFonts w:ascii="Arial" w:cs="Arial" w:eastAsia="Arial" w:hAnsi="Arial"/>
                <w:sz w:val="13"/>
                <w:szCs w:val="13"/>
                <w:color w:val="auto"/>
              </w:rPr>
              <w:t>46%</w:t>
            </w:r>
          </w:p>
        </w:tc>
        <w:tc>
          <w:tcPr>
            <w:tcW w:w="9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250</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1320" w:type="dxa"/>
            <w:vAlign w:val="bottom"/>
            <w:gridSpan w:val="8"/>
            <w:shd w:val="clear" w:color="auto" w:fill="CCEEFF"/>
          </w:tcPr>
          <w:p>
            <w:pPr>
              <w:spacing w:after="0" w:line="144" w:lineRule="exact"/>
              <w:rPr>
                <w:sz w:val="20"/>
                <w:szCs w:val="20"/>
                <w:color w:val="auto"/>
              </w:rPr>
            </w:pPr>
            <w:r>
              <w:rPr>
                <w:rFonts w:ascii="Arial" w:cs="Arial" w:eastAsia="Arial" w:hAnsi="Arial"/>
                <w:sz w:val="13"/>
                <w:szCs w:val="13"/>
                <w:color w:val="auto"/>
              </w:rPr>
              <w:t>Tanasbourne</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SR</w:t>
            </w:r>
          </w:p>
        </w:tc>
        <w:tc>
          <w:tcPr>
            <w:tcW w:w="10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Portland, OR</w:t>
            </w:r>
          </w:p>
        </w:tc>
        <w:tc>
          <w:tcPr>
            <w:tcW w:w="840" w:type="dxa"/>
            <w:vAlign w:val="bottom"/>
            <w:gridSpan w:val="3"/>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2000</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7,377</w:t>
            </w:r>
          </w:p>
        </w:tc>
        <w:tc>
          <w:tcPr>
            <w:tcW w:w="9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100.0%</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N/A</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bl>
    <w:p>
      <w:pPr>
        <w:sectPr>
          <w:pgSz w:w="11900" w:h="16881" w:orient="portrait"/>
          <w:cols w:equalWidth="0" w:num="1">
            <w:col w:w="11420"/>
          </w:cols>
          <w:pgMar w:left="240" w:top="271" w:right="239" w:bottom="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2511425</wp:posOffset>
            </wp:positionH>
            <wp:positionV relativeFrom="page">
              <wp:posOffset>88900</wp:posOffset>
            </wp:positionV>
            <wp:extent cx="5060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06095" cy="8255"/>
                    </a:xfrm>
                    <a:prstGeom prst="rect">
                      <a:avLst/>
                    </a:prstGeom>
                    <a:noFill/>
                  </pic:spPr>
                </pic:pic>
              </a:graphicData>
            </a:graphic>
          </wp:anchor>
        </w:drawing>
        <w:drawing>
          <wp:anchor simplePos="0" relativeHeight="251657728" behindDoc="1" locked="0" layoutInCell="0" allowOverlap="1">
            <wp:simplePos x="0" y="0"/>
            <wp:positionH relativeFrom="page">
              <wp:posOffset>3639820</wp:posOffset>
            </wp:positionH>
            <wp:positionV relativeFrom="page">
              <wp:posOffset>88900</wp:posOffset>
            </wp:positionV>
            <wp:extent cx="8128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128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82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75,935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220,000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53%</w:t>
            </w:r>
          </w:p>
        </w:tc>
        <w:tc>
          <w:tcPr>
            <w:tcW w:w="80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13"/>
                <w:szCs w:val="13"/>
                <w:color w:val="auto"/>
              </w:rPr>
            </w:pPr>
          </w:p>
        </w:tc>
      </w:tr>
      <w:tr>
        <w:trPr>
          <w:trHeight w:val="168"/>
        </w:trPr>
        <w:tc>
          <w:tcPr>
            <w:tcW w:w="820" w:type="dxa"/>
            <w:vAlign w:val="bottom"/>
          </w:tcPr>
          <w:p>
            <w:pPr>
              <w:spacing w:after="0"/>
              <w:rPr>
                <w:sz w:val="14"/>
                <w:szCs w:val="14"/>
                <w:color w:val="auto"/>
              </w:rPr>
            </w:pPr>
          </w:p>
        </w:tc>
        <w:tc>
          <w:tcPr>
            <w:tcW w:w="2900" w:type="dxa"/>
            <w:vAlign w:val="bottom"/>
          </w:tcPr>
          <w:p>
            <w:pPr>
              <w:ind w:left="1020"/>
              <w:spacing w:after="0"/>
              <w:rPr>
                <w:sz w:val="20"/>
                <w:szCs w:val="20"/>
                <w:color w:val="auto"/>
              </w:rPr>
            </w:pPr>
            <w:r>
              <w:rPr>
                <w:rFonts w:ascii="Arial" w:cs="Arial" w:eastAsia="Arial" w:hAnsi="Arial"/>
                <w:sz w:val="13"/>
                <w:szCs w:val="13"/>
                <w:b w:val="1"/>
                <w:bCs w:val="1"/>
                <w:color w:val="auto"/>
              </w:rPr>
              <w:t>Total West Region</w:t>
            </w:r>
          </w:p>
        </w:tc>
        <w:tc>
          <w:tcPr>
            <w:tcW w:w="800" w:type="dxa"/>
            <w:vAlign w:val="bottom"/>
          </w:tcPr>
          <w:p>
            <w:pPr>
              <w:jc w:val="right"/>
              <w:spacing w:after="0"/>
              <w:rPr>
                <w:sz w:val="20"/>
                <w:szCs w:val="20"/>
                <w:color w:val="auto"/>
              </w:rPr>
            </w:pPr>
            <w:r>
              <w:rPr>
                <w:rFonts w:ascii="Arial" w:cs="Arial" w:eastAsia="Arial" w:hAnsi="Arial"/>
                <w:sz w:val="13"/>
                <w:szCs w:val="13"/>
                <w:color w:val="auto"/>
              </w:rPr>
              <w:t>746,068</w:t>
            </w:r>
          </w:p>
        </w:tc>
        <w:tc>
          <w:tcPr>
            <w:tcW w:w="1560" w:type="dxa"/>
            <w:vAlign w:val="bottom"/>
            <w:gridSpan w:val="2"/>
          </w:tcPr>
          <w:p>
            <w:pPr>
              <w:jc w:val="right"/>
              <w:spacing w:after="0"/>
              <w:rPr>
                <w:sz w:val="20"/>
                <w:szCs w:val="20"/>
                <w:color w:val="auto"/>
              </w:rPr>
            </w:pPr>
            <w:r>
              <w:rPr>
                <w:rFonts w:ascii="Arial" w:cs="Arial" w:eastAsia="Arial" w:hAnsi="Arial"/>
                <w:sz w:val="13"/>
                <w:szCs w:val="13"/>
                <w:color w:val="auto"/>
              </w:rPr>
              <w:t>1,667,000</w:t>
            </w:r>
          </w:p>
        </w:tc>
        <w:tc>
          <w:tcPr>
            <w:tcW w:w="920" w:type="dxa"/>
            <w:vAlign w:val="bottom"/>
            <w:gridSpan w:val="3"/>
          </w:tcPr>
          <w:p>
            <w:pPr>
              <w:jc w:val="right"/>
              <w:ind w:right="120"/>
              <w:spacing w:after="0"/>
              <w:rPr>
                <w:sz w:val="20"/>
                <w:szCs w:val="20"/>
                <w:color w:val="auto"/>
              </w:rPr>
            </w:pPr>
            <w:r>
              <w:rPr>
                <w:rFonts w:ascii="Arial" w:cs="Arial" w:eastAsia="Arial" w:hAnsi="Arial"/>
                <w:sz w:val="13"/>
                <w:szCs w:val="13"/>
                <w:color w:val="auto"/>
              </w:rPr>
              <w:t>83%</w:t>
            </w:r>
          </w:p>
        </w:tc>
        <w:tc>
          <w:tcPr>
            <w:tcW w:w="80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80"/>
        </w:trPr>
        <w:tc>
          <w:tcPr>
            <w:tcW w:w="8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620" w:type="dxa"/>
            <w:vAlign w:val="bottom"/>
          </w:tcPr>
          <w:p>
            <w:pPr>
              <w:spacing w:after="0"/>
              <w:rPr>
                <w:sz w:val="6"/>
                <w:szCs w:val="6"/>
                <w:color w:val="auto"/>
              </w:rPr>
            </w:pPr>
          </w:p>
        </w:tc>
      </w:tr>
      <w:tr>
        <w:trPr>
          <w:trHeight w:val="98"/>
        </w:trPr>
        <w:tc>
          <w:tcPr>
            <w:tcW w:w="8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20" w:type="dxa"/>
            <w:vAlign w:val="bottom"/>
          </w:tcPr>
          <w:p>
            <w:pPr>
              <w:spacing w:after="0"/>
              <w:rPr>
                <w:sz w:val="8"/>
                <w:szCs w:val="8"/>
                <w:color w:val="auto"/>
              </w:rPr>
            </w:pPr>
          </w:p>
        </w:tc>
      </w:tr>
      <w:tr>
        <w:trPr>
          <w:trHeight w:val="144"/>
        </w:trPr>
        <w:tc>
          <w:tcPr>
            <w:tcW w:w="37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2,368,747</w:t>
            </w:r>
          </w:p>
        </w:tc>
        <w:tc>
          <w:tcPr>
            <w:tcW w:w="1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15,814,000</w:t>
            </w:r>
          </w:p>
        </w:tc>
        <w:tc>
          <w:tcPr>
            <w:tcW w:w="92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3"/>
                <w:szCs w:val="13"/>
                <w:color w:val="auto"/>
              </w:rPr>
              <w:t>93%</w:t>
            </w:r>
          </w:p>
        </w:tc>
        <w:tc>
          <w:tcPr>
            <w:tcW w:w="4420" w:type="dxa"/>
            <w:vAlign w:val="bottom"/>
            <w:gridSpan w:val="2"/>
            <w:shd w:val="clear" w:color="auto" w:fill="CCEEFF"/>
          </w:tcPr>
          <w:p>
            <w:pPr>
              <w:jc w:val="right"/>
              <w:ind w:right="3620"/>
              <w:spacing w:after="0" w:line="144" w:lineRule="exact"/>
              <w:rPr>
                <w:sz w:val="20"/>
                <w:szCs w:val="20"/>
                <w:color w:val="auto"/>
              </w:rPr>
            </w:pPr>
            <w:r>
              <w:rPr>
                <w:rFonts w:ascii="Arial" w:cs="Arial" w:eastAsia="Arial" w:hAnsi="Arial"/>
                <w:sz w:val="13"/>
                <w:szCs w:val="13"/>
                <w:color w:val="auto"/>
              </w:rPr>
              <w:t>355,175</w:t>
            </w:r>
          </w:p>
        </w:tc>
      </w:tr>
      <w:tr>
        <w:trPr>
          <w:trHeight w:val="105"/>
        </w:trPr>
        <w:tc>
          <w:tcPr>
            <w:tcW w:w="820" w:type="dxa"/>
            <w:vAlign w:val="bottom"/>
            <w:tcBorders>
              <w:bottom w:val="single" w:sz="8" w:color="auto"/>
            </w:tcBorders>
          </w:tcPr>
          <w:p>
            <w:pPr>
              <w:spacing w:after="0"/>
              <w:rPr>
                <w:sz w:val="9"/>
                <w:szCs w:val="9"/>
                <w:color w:val="auto"/>
              </w:rPr>
            </w:pPr>
          </w:p>
        </w:tc>
        <w:tc>
          <w:tcPr>
            <w:tcW w:w="2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20" w:type="dxa"/>
            <w:vAlign w:val="bottom"/>
          </w:tcPr>
          <w:p>
            <w:pPr>
              <w:spacing w:after="0"/>
              <w:rPr>
                <w:sz w:val="9"/>
                <w:szCs w:val="9"/>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Notes</w:t>
      </w:r>
      <w:r>
        <w:rPr>
          <w:rFonts w:ascii="Arial" w:cs="Arial" w:eastAsia="Arial" w:hAnsi="Arial"/>
          <w:sz w:val="17"/>
          <w:szCs w:val="17"/>
          <w:u w:val="single" w:color="auto"/>
          <w:color w:val="auto"/>
        </w:rPr>
        <w:t>:</w:t>
      </w:r>
    </w:p>
    <w:p>
      <w:pPr>
        <w:spacing w:after="0" w:line="24" w:lineRule="exact"/>
        <w:rPr>
          <w:sz w:val="20"/>
          <w:szCs w:val="20"/>
          <w:color w:val="auto"/>
        </w:rPr>
      </w:pPr>
    </w:p>
    <w:p>
      <w:pPr>
        <w:ind w:left="440" w:hanging="435"/>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SR - Street Retail; SC—Shopping Center</w:t>
      </w:r>
    </w:p>
    <w:p>
      <w:pPr>
        <w:spacing w:after="0" w:line="13" w:lineRule="exact"/>
        <w:rPr>
          <w:rFonts w:ascii="Arial" w:cs="Arial" w:eastAsia="Arial" w:hAnsi="Arial"/>
          <w:sz w:val="17"/>
          <w:szCs w:val="17"/>
          <w:color w:val="auto"/>
        </w:rPr>
      </w:pPr>
    </w:p>
    <w:p>
      <w:pPr>
        <w:ind w:left="440" w:right="400" w:hanging="435"/>
        <w:spacing w:after="0" w:line="256" w:lineRule="auto"/>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Excludes redevelopment square footage not yet in service, Santana Row residential, Phase II and other future phases of Santana Row, and Rollingwood and Congressional Apartments.</w:t>
      </w:r>
    </w:p>
    <w:p>
      <w:pPr>
        <w:spacing w:after="0" w:line="1" w:lineRule="exact"/>
        <w:rPr>
          <w:rFonts w:ascii="Arial" w:cs="Arial" w:eastAsia="Arial" w:hAnsi="Arial"/>
          <w:sz w:val="17"/>
          <w:szCs w:val="17"/>
          <w:color w:val="auto"/>
        </w:rPr>
      </w:pPr>
    </w:p>
    <w:p>
      <w:pPr>
        <w:ind w:left="440" w:hanging="435"/>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Property purchased through “downreit” partnership, of which the Trust is the sole general partner, in exchange for operating partnership units.</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There is a second grocery anchor in the center; Food Lion has vacated, but is currently paying rent.</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two properties, one at 100% and one at 90%.</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nine properties, seven at 100% and two at 90%.</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four properties, three at 100% and one at 90%.</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two properties, one at 100% and one at 85%.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77"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Shopping Center / Street Retail Summary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Shopping Center Summary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(in thousands, except square footage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090" w:type="dxa"/>
            <w:vAlign w:val="bottom"/>
            <w:gridSpan w:val="7"/>
          </w:tcPr>
          <w:p>
            <w:pPr>
              <w:jc w:val="right"/>
              <w:ind w:right="140"/>
              <w:spacing w:after="0"/>
              <w:rPr>
                <w:sz w:val="20"/>
                <w:szCs w:val="20"/>
                <w:color w:val="auto"/>
              </w:rPr>
            </w:pPr>
            <w:r>
              <w:rPr>
                <w:rFonts w:ascii="Arial" w:cs="Arial" w:eastAsia="Arial" w:hAnsi="Arial"/>
                <w:sz w:val="13"/>
                <w:szCs w:val="13"/>
                <w:b w:val="1"/>
                <w:bCs w:val="1"/>
                <w:color w:val="auto"/>
                <w:w w:val="89"/>
              </w:rPr>
              <w:t>For the six months ended June 30,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10"/>
          </w:tcPr>
          <w:p>
            <w:pPr>
              <w:jc w:val="right"/>
              <w:spacing w:after="0"/>
              <w:rPr>
                <w:sz w:val="20"/>
                <w:szCs w:val="20"/>
                <w:color w:val="auto"/>
              </w:rPr>
            </w:pPr>
            <w:r>
              <w:rPr>
                <w:rFonts w:ascii="Arial" w:cs="Arial" w:eastAsia="Arial" w:hAnsi="Arial"/>
                <w:sz w:val="13"/>
                <w:szCs w:val="13"/>
                <w:b w:val="1"/>
                <w:bCs w:val="1"/>
                <w:color w:val="auto"/>
              </w:rPr>
              <w:t>For the year ended December 31,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10" w:type="dxa"/>
            <w:vAlign w:val="bottom"/>
          </w:tcPr>
          <w:p>
            <w:pPr>
              <w:jc w:val="right"/>
              <w:ind w:right="158"/>
              <w:spacing w:after="0"/>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22"/>
                <w:szCs w:val="22"/>
                <w:color w:val="auto"/>
              </w:rPr>
            </w:pPr>
          </w:p>
        </w:tc>
        <w:tc>
          <w:tcPr>
            <w:tcW w:w="50" w:type="dxa"/>
            <w:vAlign w:val="bottom"/>
          </w:tcPr>
          <w:p>
            <w:pPr>
              <w:spacing w:after="0"/>
              <w:rPr>
                <w:sz w:val="22"/>
                <w:szCs w:val="22"/>
                <w:color w:val="auto"/>
              </w:rPr>
            </w:pPr>
          </w:p>
        </w:tc>
        <w:tc>
          <w:tcPr>
            <w:tcW w:w="1070" w:type="dxa"/>
            <w:vAlign w:val="bottom"/>
            <w:gridSpan w:val="3"/>
          </w:tcPr>
          <w:p>
            <w:pPr>
              <w:jc w:val="right"/>
              <w:ind w:right="15"/>
              <w:spacing w:after="0"/>
              <w:rPr>
                <w:sz w:val="20"/>
                <w:szCs w:val="20"/>
                <w:color w:val="auto"/>
              </w:rPr>
            </w:pPr>
            <w:r>
              <w:rPr>
                <w:rFonts w:ascii="Arial" w:cs="Arial" w:eastAsia="Arial" w:hAnsi="Arial"/>
                <w:sz w:val="13"/>
                <w:szCs w:val="13"/>
                <w:b w:val="1"/>
                <w:bCs w:val="1"/>
                <w:color w:val="auto"/>
              </w:rPr>
              <w:t>2002</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2002</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ind w:left="200"/>
              <w:spacing w:after="0"/>
              <w:rPr>
                <w:sz w:val="20"/>
                <w:szCs w:val="20"/>
                <w:color w:val="auto"/>
              </w:rPr>
            </w:pPr>
            <w:r>
              <w:rPr>
                <w:rFonts w:ascii="Arial" w:cs="Arial" w:eastAsia="Arial" w:hAnsi="Arial"/>
                <w:sz w:val="13"/>
                <w:szCs w:val="13"/>
                <w:b w:val="1"/>
                <w:bCs w:val="1"/>
                <w:color w:val="auto"/>
              </w:rPr>
              <w:t>2001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17"/>
              <w:spacing w:after="0"/>
              <w:rPr>
                <w:sz w:val="20"/>
                <w:szCs w:val="20"/>
                <w:color w:val="auto"/>
              </w:rPr>
            </w:pPr>
            <w:r>
              <w:rPr>
                <w:rFonts w:ascii="Arial" w:cs="Arial" w:eastAsia="Arial" w:hAnsi="Arial"/>
                <w:sz w:val="13"/>
                <w:szCs w:val="13"/>
                <w:b w:val="1"/>
                <w:bCs w:val="1"/>
                <w:color w:val="auto"/>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Real Estate Assets, at cost</w:t>
            </w:r>
          </w:p>
        </w:tc>
        <w:tc>
          <w:tcPr>
            <w:tcW w:w="11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1,334,413</w:t>
            </w:r>
          </w:p>
        </w:tc>
        <w:tc>
          <w:tcPr>
            <w:tcW w:w="50" w:type="dxa"/>
            <w:vAlign w:val="bottom"/>
            <w:shd w:val="clear" w:color="auto" w:fill="CCEEFF"/>
          </w:tcPr>
          <w:p>
            <w:pPr>
              <w:spacing w:after="0"/>
              <w:rPr>
                <w:sz w:val="18"/>
                <w:szCs w:val="18"/>
                <w:color w:val="auto"/>
              </w:rPr>
            </w:pPr>
          </w:p>
        </w:tc>
        <w:tc>
          <w:tcPr>
            <w:tcW w:w="127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$ 1,274,285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2"/>
              </w:rPr>
              <w:t>1,287,887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1,256,778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1,248,770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gridSpan w:val="3"/>
          </w:tcPr>
          <w:p>
            <w:pPr>
              <w:ind w:left="420"/>
              <w:spacing w:after="0"/>
              <w:rPr>
                <w:sz w:val="20"/>
                <w:szCs w:val="20"/>
                <w:color w:val="auto"/>
              </w:rPr>
            </w:pPr>
            <w:r>
              <w:rPr>
                <w:rFonts w:ascii="Arial" w:cs="Arial" w:eastAsia="Arial" w:hAnsi="Arial"/>
                <w:sz w:val="17"/>
                <w:szCs w:val="17"/>
                <w:color w:val="auto"/>
              </w:rPr>
              <w:t>Rental Income</w:t>
            </w:r>
          </w:p>
        </w:tc>
        <w:tc>
          <w:tcPr>
            <w:tcW w:w="11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70" w:type="dxa"/>
            <w:vAlign w:val="bottom"/>
            <w:gridSpan w:val="2"/>
          </w:tcPr>
          <w:p>
            <w:pPr>
              <w:jc w:val="right"/>
              <w:spacing w:after="0"/>
              <w:rPr>
                <w:sz w:val="20"/>
                <w:szCs w:val="20"/>
                <w:color w:val="auto"/>
              </w:rPr>
            </w:pPr>
            <w:r>
              <w:rPr>
                <w:rFonts w:ascii="Arial" w:cs="Arial" w:eastAsia="Arial" w:hAnsi="Arial"/>
                <w:sz w:val="17"/>
                <w:szCs w:val="17"/>
                <w:color w:val="auto"/>
              </w:rPr>
              <w:t>114,114</w:t>
            </w:r>
          </w:p>
        </w:tc>
        <w:tc>
          <w:tcPr>
            <w:tcW w:w="50" w:type="dxa"/>
            <w:vAlign w:val="bottom"/>
          </w:tcPr>
          <w:p>
            <w:pPr>
              <w:spacing w:after="0"/>
              <w:rPr>
                <w:sz w:val="18"/>
                <w:szCs w:val="18"/>
                <w:color w:val="auto"/>
              </w:rPr>
            </w:pPr>
          </w:p>
        </w:tc>
        <w:tc>
          <w:tcPr>
            <w:tcW w:w="71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87"/>
              </w:rPr>
              <w:t>105,291</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219,057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211,664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205,456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11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4,200</w:t>
            </w:r>
          </w:p>
        </w:tc>
        <w:tc>
          <w:tcPr>
            <w:tcW w:w="50" w:type="dxa"/>
            <w:vAlign w:val="bottom"/>
            <w:shd w:val="clear" w:color="auto" w:fill="CCEEFF"/>
          </w:tcPr>
          <w:p>
            <w:pPr>
              <w:spacing w:after="0"/>
              <w:rPr>
                <w:sz w:val="18"/>
                <w:szCs w:val="18"/>
                <w:color w:val="auto"/>
              </w:rPr>
            </w:pPr>
          </w:p>
        </w:tc>
        <w:tc>
          <w:tcPr>
            <w:tcW w:w="3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4,313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8,498</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gridSpan w:val="3"/>
          </w:tcPr>
          <w:p>
            <w:pPr>
              <w:ind w:left="420"/>
              <w:spacing w:after="0"/>
              <w:rPr>
                <w:sz w:val="20"/>
                <w:szCs w:val="20"/>
                <w:color w:val="auto"/>
              </w:rPr>
            </w:pPr>
            <w:r>
              <w:rPr>
                <w:rFonts w:ascii="Arial" w:cs="Arial" w:eastAsia="Arial" w:hAnsi="Arial"/>
                <w:sz w:val="17"/>
                <w:szCs w:val="17"/>
                <w:color w:val="auto"/>
              </w:rPr>
              <w:t>Interest Income</w:t>
            </w:r>
          </w:p>
        </w:tc>
        <w:tc>
          <w:tcPr>
            <w:tcW w:w="110" w:type="dxa"/>
            <w:vAlign w:val="bottom"/>
          </w:tcPr>
          <w:p>
            <w:pPr>
              <w:spacing w:after="0"/>
              <w:rPr>
                <w:sz w:val="18"/>
                <w:szCs w:val="18"/>
                <w:color w:val="auto"/>
              </w:rPr>
            </w:pPr>
          </w:p>
        </w:tc>
        <w:tc>
          <w:tcPr>
            <w:tcW w:w="770" w:type="dxa"/>
            <w:vAlign w:val="bottom"/>
            <w:gridSpan w:val="2"/>
          </w:tcPr>
          <w:p>
            <w:pPr>
              <w:jc w:val="right"/>
              <w:spacing w:after="0"/>
              <w:rPr>
                <w:sz w:val="20"/>
                <w:szCs w:val="20"/>
                <w:color w:val="auto"/>
              </w:rPr>
            </w:pPr>
            <w:r>
              <w:rPr>
                <w:rFonts w:ascii="Arial" w:cs="Arial" w:eastAsia="Arial" w:hAnsi="Arial"/>
                <w:sz w:val="17"/>
                <w:szCs w:val="17"/>
                <w:color w:val="auto"/>
              </w:rPr>
              <w:t>464</w:t>
            </w:r>
          </w:p>
        </w:tc>
        <w:tc>
          <w:tcPr>
            <w:tcW w:w="50" w:type="dxa"/>
            <w:vAlign w:val="bottom"/>
          </w:tcPr>
          <w:p>
            <w:pPr>
              <w:spacing w:after="0"/>
              <w:rPr>
                <w:sz w:val="18"/>
                <w:szCs w:val="18"/>
                <w:color w:val="auto"/>
              </w:rPr>
            </w:pPr>
          </w:p>
        </w:tc>
        <w:tc>
          <w:tcPr>
            <w:tcW w:w="39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1,169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1,906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3,175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1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118,778</w:t>
            </w:r>
          </w:p>
        </w:tc>
        <w:tc>
          <w:tcPr>
            <w:tcW w:w="50" w:type="dxa"/>
            <w:vAlign w:val="bottom"/>
            <w:shd w:val="clear" w:color="auto" w:fill="CCEEFF"/>
          </w:tcPr>
          <w:p>
            <w:pPr>
              <w:spacing w:after="0"/>
              <w:rPr>
                <w:sz w:val="18"/>
                <w:szCs w:val="18"/>
                <w:color w:val="auto"/>
              </w:rPr>
            </w:pPr>
          </w:p>
        </w:tc>
        <w:tc>
          <w:tcPr>
            <w:tcW w:w="3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110,773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229,461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223,828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gridSpan w:val="3"/>
          </w:tcPr>
          <w:p>
            <w:pPr>
              <w:ind w:left="420"/>
              <w:spacing w:after="0"/>
              <w:rPr>
                <w:sz w:val="20"/>
                <w:szCs w:val="20"/>
                <w:color w:val="auto"/>
              </w:rPr>
            </w:pPr>
            <w:r>
              <w:rPr>
                <w:rFonts w:ascii="Arial" w:cs="Arial" w:eastAsia="Arial" w:hAnsi="Arial"/>
                <w:sz w:val="17"/>
                <w:szCs w:val="17"/>
                <w:color w:val="auto"/>
              </w:rPr>
              <w:t>Rental Expense</w:t>
            </w:r>
          </w:p>
        </w:tc>
        <w:tc>
          <w:tcPr>
            <w:tcW w:w="110" w:type="dxa"/>
            <w:vAlign w:val="bottom"/>
          </w:tcPr>
          <w:p>
            <w:pPr>
              <w:spacing w:after="0"/>
              <w:rPr>
                <w:sz w:val="18"/>
                <w:szCs w:val="18"/>
                <w:color w:val="auto"/>
              </w:rPr>
            </w:pPr>
          </w:p>
        </w:tc>
        <w:tc>
          <w:tcPr>
            <w:tcW w:w="770" w:type="dxa"/>
            <w:vAlign w:val="bottom"/>
            <w:gridSpan w:val="2"/>
          </w:tcPr>
          <w:p>
            <w:pPr>
              <w:jc w:val="right"/>
              <w:spacing w:after="0"/>
              <w:rPr>
                <w:sz w:val="20"/>
                <w:szCs w:val="20"/>
                <w:color w:val="auto"/>
              </w:rPr>
            </w:pPr>
            <w:r>
              <w:rPr>
                <w:rFonts w:ascii="Arial" w:cs="Arial" w:eastAsia="Arial" w:hAnsi="Arial"/>
                <w:sz w:val="17"/>
                <w:szCs w:val="17"/>
                <w:color w:val="auto"/>
              </w:rPr>
              <w:t>22,785</w:t>
            </w:r>
          </w:p>
        </w:tc>
        <w:tc>
          <w:tcPr>
            <w:tcW w:w="50" w:type="dxa"/>
            <w:vAlign w:val="bottom"/>
          </w:tcPr>
          <w:p>
            <w:pPr>
              <w:spacing w:after="0"/>
              <w:rPr>
                <w:sz w:val="18"/>
                <w:szCs w:val="18"/>
                <w:color w:val="auto"/>
              </w:rPr>
            </w:pPr>
          </w:p>
        </w:tc>
        <w:tc>
          <w:tcPr>
            <w:tcW w:w="39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19,271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41,066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40,541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40,599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Real Estate Tax Expense</w:t>
            </w:r>
          </w:p>
        </w:tc>
        <w:tc>
          <w:tcPr>
            <w:tcW w:w="11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12,431</w:t>
            </w:r>
          </w:p>
        </w:tc>
        <w:tc>
          <w:tcPr>
            <w:tcW w:w="50" w:type="dxa"/>
            <w:vAlign w:val="bottom"/>
            <w:shd w:val="clear" w:color="auto" w:fill="CCEEFF"/>
          </w:tcPr>
          <w:p>
            <w:pPr>
              <w:spacing w:after="0"/>
              <w:rPr>
                <w:sz w:val="18"/>
                <w:szCs w:val="18"/>
                <w:color w:val="auto"/>
              </w:rPr>
            </w:pPr>
          </w:p>
        </w:tc>
        <w:tc>
          <w:tcPr>
            <w:tcW w:w="3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11,759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23,976</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22,577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 w:type="dxa"/>
            <w:vAlign w:val="bottom"/>
          </w:tcPr>
          <w:p>
            <w:pPr>
              <w:spacing w:after="0"/>
              <w:rPr>
                <w:sz w:val="9"/>
                <w:szCs w:val="9"/>
                <w:color w:val="auto"/>
              </w:rPr>
            </w:pPr>
          </w:p>
        </w:tc>
        <w:tc>
          <w:tcPr>
            <w:tcW w:w="39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Property Operating Expenses</w:t>
            </w:r>
          </w:p>
        </w:tc>
        <w:tc>
          <w:tcPr>
            <w:tcW w:w="11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35,216</w:t>
            </w:r>
          </w:p>
        </w:tc>
        <w:tc>
          <w:tcPr>
            <w:tcW w:w="50" w:type="dxa"/>
            <w:vAlign w:val="bottom"/>
            <w:shd w:val="clear" w:color="auto" w:fill="CCEEFF"/>
          </w:tcPr>
          <w:p>
            <w:pPr>
              <w:spacing w:after="0"/>
              <w:rPr>
                <w:sz w:val="18"/>
                <w:szCs w:val="18"/>
                <w:color w:val="auto"/>
              </w:rPr>
            </w:pPr>
          </w:p>
        </w:tc>
        <w:tc>
          <w:tcPr>
            <w:tcW w:w="3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31,030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65,042</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63,118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 w:type="dxa"/>
            <w:vAlign w:val="bottom"/>
          </w:tcPr>
          <w:p>
            <w:pPr>
              <w:spacing w:after="0"/>
              <w:rPr>
                <w:sz w:val="9"/>
                <w:szCs w:val="9"/>
                <w:color w:val="auto"/>
              </w:rPr>
            </w:pPr>
          </w:p>
        </w:tc>
        <w:tc>
          <w:tcPr>
            <w:tcW w:w="39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Property Operating Income (1)</w:t>
            </w:r>
          </w:p>
        </w:tc>
        <w:tc>
          <w:tcPr>
            <w:tcW w:w="11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83,562</w:t>
            </w:r>
          </w:p>
        </w:tc>
        <w:tc>
          <w:tcPr>
            <w:tcW w:w="5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79,743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164,419</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160,710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 w:type="dxa"/>
            <w:vAlign w:val="bottom"/>
          </w:tcPr>
          <w:p>
            <w:pPr>
              <w:spacing w:after="0"/>
              <w:rPr>
                <w:sz w:val="11"/>
                <w:szCs w:val="11"/>
                <w:color w:val="auto"/>
              </w:rPr>
            </w:pPr>
          </w:p>
        </w:tc>
        <w:tc>
          <w:tcPr>
            <w:tcW w:w="39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gridSpan w:val="2"/>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Square Feet (2)</w:t>
            </w:r>
          </w:p>
        </w:tc>
        <w:tc>
          <w:tcPr>
            <w:tcW w:w="11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6"/>
              </w:rPr>
              <w:t>13,024,000</w:t>
            </w:r>
          </w:p>
        </w:tc>
        <w:tc>
          <w:tcPr>
            <w:tcW w:w="50" w:type="dxa"/>
            <w:vAlign w:val="bottom"/>
            <w:shd w:val="clear" w:color="auto" w:fill="CCEEFF"/>
          </w:tcPr>
          <w:p>
            <w:pPr>
              <w:spacing w:after="0"/>
              <w:rPr>
                <w:sz w:val="18"/>
                <w:szCs w:val="18"/>
                <w:color w:val="auto"/>
              </w:rPr>
            </w:pPr>
          </w:p>
        </w:tc>
        <w:tc>
          <w:tcPr>
            <w:tcW w:w="127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12,543,000</w:t>
            </w: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12,555,000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12,547,000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12,700,000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1"/>
              </w:rPr>
              <w:t>Street Retail Summary</w:t>
            </w:r>
          </w:p>
        </w:tc>
        <w:tc>
          <w:tcPr>
            <w:tcW w:w="36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39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300" w:type="dxa"/>
            <w:vAlign w:val="bottom"/>
            <w:gridSpan w:val="3"/>
          </w:tcPr>
          <w:p>
            <w:pPr>
              <w:spacing w:after="0"/>
              <w:rPr>
                <w:sz w:val="20"/>
                <w:szCs w:val="20"/>
                <w:color w:val="auto"/>
              </w:rPr>
            </w:pPr>
            <w:r>
              <w:rPr>
                <w:rFonts w:ascii="Arial" w:cs="Arial" w:eastAsia="Arial" w:hAnsi="Arial"/>
                <w:sz w:val="17"/>
                <w:szCs w:val="17"/>
                <w:color w:val="auto"/>
              </w:rPr>
              <w:t>(in thousands, except square footage data)</w:t>
            </w:r>
          </w:p>
        </w:tc>
        <w:tc>
          <w:tcPr>
            <w:tcW w:w="11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39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1980" w:type="dxa"/>
            <w:vAlign w:val="bottom"/>
            <w:gridSpan w:val="8"/>
          </w:tcPr>
          <w:p>
            <w:pPr>
              <w:jc w:val="right"/>
              <w:ind w:right="40"/>
              <w:spacing w:after="0"/>
              <w:rPr>
                <w:sz w:val="20"/>
                <w:szCs w:val="20"/>
                <w:color w:val="auto"/>
              </w:rPr>
            </w:pPr>
            <w:r>
              <w:rPr>
                <w:rFonts w:ascii="Arial" w:cs="Arial" w:eastAsia="Arial" w:hAnsi="Arial"/>
                <w:sz w:val="13"/>
                <w:szCs w:val="13"/>
                <w:b w:val="1"/>
                <w:bCs w:val="1"/>
                <w:color w:val="auto"/>
                <w:w w:val="89"/>
              </w:rPr>
              <w:t>For the six months ended June 30,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12"/>
          </w:tcPr>
          <w:p>
            <w:pPr>
              <w:ind w:left="18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1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 w:type="dxa"/>
            <w:vAlign w:val="bottom"/>
          </w:tcPr>
          <w:p>
            <w:pPr>
              <w:spacing w:after="0"/>
              <w:rPr>
                <w:sz w:val="22"/>
                <w:szCs w:val="22"/>
                <w:color w:val="auto"/>
              </w:rPr>
            </w:pPr>
          </w:p>
        </w:tc>
        <w:tc>
          <w:tcPr>
            <w:tcW w:w="71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2003</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jc w:val="right"/>
              <w:ind w:right="36"/>
              <w:spacing w:after="0"/>
              <w:rPr>
                <w:sz w:val="20"/>
                <w:szCs w:val="20"/>
                <w:color w:val="auto"/>
              </w:rPr>
            </w:pPr>
            <w:r>
              <w:rPr>
                <w:rFonts w:ascii="Arial" w:cs="Arial" w:eastAsia="Arial" w:hAnsi="Arial"/>
                <w:sz w:val="13"/>
                <w:szCs w:val="13"/>
                <w:b w:val="1"/>
                <w:bCs w:val="1"/>
                <w:color w:val="auto"/>
              </w:rPr>
              <w:t>2002</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95"/>
              <w:spacing w:after="0"/>
              <w:rPr>
                <w:sz w:val="20"/>
                <w:szCs w:val="20"/>
                <w:color w:val="auto"/>
              </w:rPr>
            </w:pPr>
            <w:r>
              <w:rPr>
                <w:rFonts w:ascii="Arial" w:cs="Arial" w:eastAsia="Arial" w:hAnsi="Arial"/>
                <w:sz w:val="13"/>
                <w:szCs w:val="13"/>
                <w:b w:val="1"/>
                <w:bCs w:val="1"/>
                <w:color w:val="auto"/>
              </w:rPr>
              <w:t>2002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2001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b w:val="1"/>
                <w:bCs w:val="1"/>
                <w:color w:val="auto"/>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110" w:type="dxa"/>
            <w:vAlign w:val="bottom"/>
            <w:tcBorders>
              <w:bottom w:val="single" w:sz="8" w:color="auto"/>
            </w:tcBorders>
            <w:gridSpan w:val="2"/>
          </w:tcPr>
          <w:p>
            <w:pPr>
              <w:spacing w:after="0"/>
              <w:rPr>
                <w:sz w:val="8"/>
                <w:szCs w:val="8"/>
                <w:color w:val="auto"/>
              </w:rPr>
            </w:pPr>
          </w:p>
        </w:tc>
        <w:tc>
          <w:tcPr>
            <w:tcW w:w="71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Real Estate Assets, at cost (3)</w:t>
            </w:r>
          </w:p>
        </w:tc>
        <w:tc>
          <w:tcPr>
            <w:tcW w:w="110" w:type="dxa"/>
            <w:vAlign w:val="bottom"/>
            <w:shd w:val="clear" w:color="auto" w:fill="CCEEFF"/>
          </w:tcPr>
          <w:p>
            <w:pPr>
              <w:spacing w:after="0"/>
              <w:rPr>
                <w:sz w:val="18"/>
                <w:szCs w:val="18"/>
                <w:color w:val="auto"/>
              </w:rPr>
            </w:pPr>
          </w:p>
        </w:tc>
        <w:tc>
          <w:tcPr>
            <w:tcW w:w="153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$ 1,034,334</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4"/>
              </w:rPr>
              <w:t>906,375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1,018,939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847,526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gridSpan w:val="3"/>
          </w:tcPr>
          <w:p>
            <w:pPr>
              <w:ind w:left="420"/>
              <w:spacing w:after="0"/>
              <w:rPr>
                <w:sz w:val="20"/>
                <w:szCs w:val="20"/>
                <w:color w:val="auto"/>
              </w:rPr>
            </w:pPr>
            <w:r>
              <w:rPr>
                <w:rFonts w:ascii="Arial" w:cs="Arial" w:eastAsia="Arial" w:hAnsi="Arial"/>
                <w:sz w:val="17"/>
                <w:szCs w:val="17"/>
                <w:color w:val="auto"/>
              </w:rPr>
              <w:t>Rental Income</w:t>
            </w:r>
          </w:p>
        </w:tc>
        <w:tc>
          <w:tcPr>
            <w:tcW w:w="110" w:type="dxa"/>
            <w:vAlign w:val="bottom"/>
          </w:tcPr>
          <w:p>
            <w:pPr>
              <w:spacing w:after="0"/>
              <w:rPr>
                <w:sz w:val="18"/>
                <w:szCs w:val="18"/>
                <w:color w:val="auto"/>
              </w:rPr>
            </w:pPr>
          </w:p>
        </w:tc>
        <w:tc>
          <w:tcPr>
            <w:tcW w:w="820" w:type="dxa"/>
            <w:vAlign w:val="bottom"/>
            <w:gridSpan w:val="3"/>
          </w:tcPr>
          <w:p>
            <w:pPr>
              <w:jc w:val="right"/>
              <w:ind w:right="30"/>
              <w:spacing w:after="0"/>
              <w:rPr>
                <w:sz w:val="20"/>
                <w:szCs w:val="20"/>
                <w:color w:val="auto"/>
              </w:rPr>
            </w:pPr>
            <w:r>
              <w:rPr>
                <w:rFonts w:ascii="Arial" w:cs="Arial" w:eastAsia="Arial" w:hAnsi="Arial"/>
                <w:sz w:val="17"/>
                <w:szCs w:val="17"/>
                <w:color w:val="auto"/>
              </w:rPr>
              <w:t>$</w:t>
            </w:r>
          </w:p>
        </w:tc>
        <w:tc>
          <w:tcPr>
            <w:tcW w:w="710" w:type="dxa"/>
            <w:vAlign w:val="bottom"/>
            <w:gridSpan w:val="2"/>
          </w:tcPr>
          <w:p>
            <w:pPr>
              <w:jc w:val="right"/>
              <w:spacing w:after="0"/>
              <w:rPr>
                <w:sz w:val="20"/>
                <w:szCs w:val="20"/>
                <w:color w:val="auto"/>
              </w:rPr>
            </w:pPr>
            <w:r>
              <w:rPr>
                <w:rFonts w:ascii="Arial" w:cs="Arial" w:eastAsia="Arial" w:hAnsi="Arial"/>
                <w:sz w:val="17"/>
                <w:szCs w:val="17"/>
                <w:color w:val="auto"/>
              </w:rPr>
              <w:t>46,441</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36,641</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78,963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62,839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4,081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gridSpan w:val="3"/>
          </w:tcPr>
          <w:p>
            <w:pPr>
              <w:ind w:left="420"/>
              <w:spacing w:after="0"/>
              <w:rPr>
                <w:sz w:val="20"/>
                <w:szCs w:val="20"/>
                <w:color w:val="auto"/>
              </w:rPr>
            </w:pPr>
            <w:r>
              <w:rPr>
                <w:rFonts w:ascii="Arial" w:cs="Arial" w:eastAsia="Arial" w:hAnsi="Arial"/>
                <w:sz w:val="17"/>
                <w:szCs w:val="17"/>
                <w:color w:val="auto"/>
              </w:rPr>
              <w:t>Interest Income</w:t>
            </w:r>
          </w:p>
        </w:tc>
        <w:tc>
          <w:tcPr>
            <w:tcW w:w="11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710" w:type="dxa"/>
            <w:vAlign w:val="bottom"/>
            <w:gridSpan w:val="2"/>
          </w:tcPr>
          <w:p>
            <w:pPr>
              <w:jc w:val="right"/>
              <w:spacing w:after="0"/>
              <w:rPr>
                <w:sz w:val="20"/>
                <w:szCs w:val="20"/>
                <w:color w:val="auto"/>
              </w:rPr>
            </w:pPr>
            <w:r>
              <w:rPr>
                <w:rFonts w:ascii="Arial" w:cs="Arial" w:eastAsia="Arial" w:hAnsi="Arial"/>
                <w:sz w:val="17"/>
                <w:szCs w:val="17"/>
                <w:color w:val="auto"/>
              </w:rPr>
              <w:t>2,410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949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3,415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52,932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40,258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89,308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71,218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gridSpan w:val="3"/>
          </w:tcPr>
          <w:p>
            <w:pPr>
              <w:ind w:left="420"/>
              <w:spacing w:after="0"/>
              <w:rPr>
                <w:sz w:val="20"/>
                <w:szCs w:val="20"/>
                <w:color w:val="auto"/>
              </w:rPr>
            </w:pPr>
            <w:r>
              <w:rPr>
                <w:rFonts w:ascii="Arial" w:cs="Arial" w:eastAsia="Arial" w:hAnsi="Arial"/>
                <w:sz w:val="17"/>
                <w:szCs w:val="17"/>
                <w:color w:val="auto"/>
              </w:rPr>
              <w:t>Rental Expense</w:t>
            </w:r>
          </w:p>
        </w:tc>
        <w:tc>
          <w:tcPr>
            <w:tcW w:w="11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710" w:type="dxa"/>
            <w:vAlign w:val="bottom"/>
            <w:gridSpan w:val="2"/>
          </w:tcPr>
          <w:p>
            <w:pPr>
              <w:jc w:val="right"/>
              <w:spacing w:after="0"/>
              <w:rPr>
                <w:sz w:val="20"/>
                <w:szCs w:val="20"/>
                <w:color w:val="auto"/>
              </w:rPr>
            </w:pPr>
            <w:r>
              <w:rPr>
                <w:rFonts w:ascii="Arial" w:cs="Arial" w:eastAsia="Arial" w:hAnsi="Arial"/>
                <w:sz w:val="17"/>
                <w:szCs w:val="17"/>
                <w:color w:val="auto"/>
              </w:rPr>
              <w:t>18,193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12,542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32,511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22,167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Real Estate Tax Expense</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4,312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Property Operating Expenses</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22,505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39,709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110" w:type="dxa"/>
            <w:vAlign w:val="bottom"/>
            <w:tcBorders>
              <w:bottom w:val="single" w:sz="8" w:color="auto"/>
            </w:tcBorders>
            <w:gridSpan w:val="2"/>
          </w:tcPr>
          <w:p>
            <w:pPr>
              <w:spacing w:after="0"/>
              <w:rPr>
                <w:sz w:val="9"/>
                <w:szCs w:val="9"/>
                <w:color w:val="auto"/>
              </w:rPr>
            </w:pPr>
          </w:p>
        </w:tc>
        <w:tc>
          <w:tcPr>
            <w:tcW w:w="71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Property Operating Income (1) (4)</w:t>
            </w:r>
          </w:p>
        </w:tc>
        <w:tc>
          <w:tcPr>
            <w:tcW w:w="11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
              <w:spacing w:after="0"/>
              <w:rPr>
                <w:sz w:val="20"/>
                <w:szCs w:val="20"/>
                <w:color w:val="auto"/>
              </w:rPr>
            </w:pPr>
            <w:r>
              <w:rPr>
                <w:rFonts w:ascii="Arial" w:cs="Arial" w:eastAsia="Arial" w:hAnsi="Arial"/>
                <w:sz w:val="17"/>
                <w:szCs w:val="17"/>
                <w:color w:val="auto"/>
              </w:rPr>
              <w:t>$</w:t>
            </w: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30,427</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24,294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49,599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43,290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71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gridSpan w:val="2"/>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Borders>
              <w:bottom w:val="single" w:sz="8" w:color="auto"/>
            </w:tcBorders>
            <w:gridSpan w:val="3"/>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Square Feet (2)</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2,790,000</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2,144,000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2,690,000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2,232,000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1,876,000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50" w:type="dxa"/>
            <w:vAlign w:val="bottom"/>
          </w:tcPr>
          <w:p>
            <w:pPr>
              <w:spacing w:after="0"/>
              <w:rPr>
                <w:sz w:val="9"/>
                <w:szCs w:val="9"/>
                <w:color w:val="auto"/>
              </w:rPr>
            </w:pPr>
          </w:p>
        </w:tc>
        <w:tc>
          <w:tcPr>
            <w:tcW w:w="39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-3121025</wp:posOffset>
            </wp:positionV>
            <wp:extent cx="12700"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-3121025</wp:posOffset>
            </wp:positionV>
            <wp:extent cx="12700"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-3121025</wp:posOffset>
            </wp:positionV>
            <wp:extent cx="20955"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-3121025</wp:posOffset>
            </wp:positionV>
            <wp:extent cx="12700"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-3121025</wp:posOffset>
            </wp:positionV>
            <wp:extent cx="12700"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-3121025</wp:posOffset>
            </wp:positionV>
            <wp:extent cx="20955"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-3121025</wp:posOffset>
            </wp:positionV>
            <wp:extent cx="12700" cy="29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-3121025</wp:posOffset>
            </wp:positionV>
            <wp:extent cx="12700" cy="29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-3121025</wp:posOffset>
            </wp:positionV>
            <wp:extent cx="20955"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-3121025</wp:posOffset>
            </wp:positionV>
            <wp:extent cx="12700"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6413500</wp:posOffset>
            </wp:positionH>
            <wp:positionV relativeFrom="paragraph">
              <wp:posOffset>-3121025</wp:posOffset>
            </wp:positionV>
            <wp:extent cx="12700"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-3121025</wp:posOffset>
            </wp:positionV>
            <wp:extent cx="2095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6696075</wp:posOffset>
            </wp:positionH>
            <wp:positionV relativeFrom="paragraph">
              <wp:posOffset>-3121025</wp:posOffset>
            </wp:positionV>
            <wp:extent cx="12700"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-3121025</wp:posOffset>
            </wp:positionV>
            <wp:extent cx="12700"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6753860</wp:posOffset>
            </wp:positionH>
            <wp:positionV relativeFrom="paragraph">
              <wp:posOffset>-3121025</wp:posOffset>
            </wp:positionV>
            <wp:extent cx="20955"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-300355</wp:posOffset>
            </wp:positionV>
            <wp:extent cx="12700"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-300355</wp:posOffset>
            </wp:positionV>
            <wp:extent cx="12700" cy="29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-300355</wp:posOffset>
            </wp:positionV>
            <wp:extent cx="20955"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-300355</wp:posOffset>
            </wp:positionV>
            <wp:extent cx="12700"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5127625</wp:posOffset>
            </wp:positionH>
            <wp:positionV relativeFrom="paragraph">
              <wp:posOffset>-300355</wp:posOffset>
            </wp:positionV>
            <wp:extent cx="12700"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4696460</wp:posOffset>
            </wp:positionH>
            <wp:positionV relativeFrom="paragraph">
              <wp:posOffset>-300355</wp:posOffset>
            </wp:positionV>
            <wp:extent cx="2095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-300355</wp:posOffset>
            </wp:positionV>
            <wp:extent cx="12700" cy="29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-300355</wp:posOffset>
            </wp:positionV>
            <wp:extent cx="12700"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-300355</wp:posOffset>
            </wp:positionV>
            <wp:extent cx="20955"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-300355</wp:posOffset>
            </wp:positionV>
            <wp:extent cx="12700"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-300355</wp:posOffset>
            </wp:positionV>
            <wp:extent cx="12700" cy="292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-300355</wp:posOffset>
            </wp:positionV>
            <wp:extent cx="20955"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6753860</wp:posOffset>
            </wp:positionH>
            <wp:positionV relativeFrom="paragraph">
              <wp:posOffset>-300355</wp:posOffset>
            </wp:positionV>
            <wp:extent cx="502285" cy="29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0228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40" w:right="200" w:hanging="435"/>
        <w:spacing w:after="0" w:line="256"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components of property operating income for the periods ended June 30, 2002, December 31, 2002, December 31, 2001and December 31, 2000 have been restated for 2003 and 2002 discontinued asset sales.</w:t>
      </w:r>
    </w:p>
    <w:p>
      <w:pPr>
        <w:spacing w:after="0" w:line="1" w:lineRule="exact"/>
        <w:rPr>
          <w:rFonts w:ascii="Arial" w:cs="Arial" w:eastAsia="Arial" w:hAnsi="Arial"/>
          <w:sz w:val="17"/>
          <w:szCs w:val="17"/>
          <w:color w:val="auto"/>
        </w:rPr>
      </w:pPr>
    </w:p>
    <w:p>
      <w:pPr>
        <w:ind w:left="440" w:hanging="435"/>
        <w:spacing w:after="0"/>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Excludes redevelopment square footage not yet in service. Street Retail includes 444,000 square feet of Santana Row Phase I only.</w:t>
      </w:r>
    </w:p>
    <w:p>
      <w:pPr>
        <w:spacing w:after="0" w:line="13" w:lineRule="exact"/>
        <w:rPr>
          <w:rFonts w:ascii="Arial" w:cs="Arial" w:eastAsia="Arial" w:hAnsi="Arial"/>
          <w:sz w:val="17"/>
          <w:szCs w:val="17"/>
          <w:color w:val="auto"/>
        </w:rPr>
      </w:pPr>
    </w:p>
    <w:p>
      <w:pPr>
        <w:ind w:left="440" w:right="500"/>
        <w:spacing w:after="0" w:line="256" w:lineRule="auto"/>
        <w:rPr>
          <w:rFonts w:ascii="Arial" w:cs="Arial" w:eastAsia="Arial" w:hAnsi="Arial"/>
          <w:sz w:val="17"/>
          <w:szCs w:val="17"/>
          <w:color w:val="auto"/>
        </w:rPr>
      </w:pPr>
      <w:r>
        <w:rPr>
          <w:rFonts w:ascii="Arial" w:cs="Arial" w:eastAsia="Arial" w:hAnsi="Arial"/>
          <w:sz w:val="17"/>
          <w:szCs w:val="17"/>
          <w:color w:val="auto"/>
        </w:rPr>
        <w:t>It does not include Phase II or any future phases of Santana Row or residential square footage at Santana Row, Rollingwood Apartments or Congressional Apartments.</w:t>
      </w:r>
    </w:p>
    <w:p>
      <w:pPr>
        <w:spacing w:after="0" w:line="1" w:lineRule="exact"/>
        <w:rPr>
          <w:rFonts w:ascii="Arial" w:cs="Arial" w:eastAsia="Arial" w:hAnsi="Arial"/>
          <w:sz w:val="17"/>
          <w:szCs w:val="17"/>
          <w:color w:val="auto"/>
        </w:rPr>
      </w:pPr>
    </w:p>
    <w:p>
      <w:pPr>
        <w:ind w:left="440" w:right="3300" w:hanging="435"/>
        <w:spacing w:after="0" w:line="290"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Street Retail includes stabilized assets and assets which are in various stages of development and redevelopment. At June 30, 2003, real estate assets include $443 million related to the Santana Row development.</w:t>
      </w:r>
    </w:p>
    <w:p>
      <w:pPr>
        <w:spacing w:after="0" w:line="1" w:lineRule="exact"/>
        <w:rPr>
          <w:rFonts w:ascii="Arial" w:cs="Arial" w:eastAsia="Arial" w:hAnsi="Arial"/>
          <w:sz w:val="15"/>
          <w:szCs w:val="15"/>
          <w:color w:val="auto"/>
        </w:rPr>
      </w:pPr>
    </w:p>
    <w:p>
      <w:pPr>
        <w:ind w:left="440" w:hanging="435"/>
        <w:spacing w:after="0"/>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Property operating income is reduced by start-up expenses for Street Retail’s development projects.</w:t>
      </w:r>
    </w:p>
    <w:p>
      <w:pPr>
        <w:sectPr>
          <w:pgSz w:w="11900" w:h="16838" w:orient="portrait"/>
          <w:cols w:equalWidth="0" w:num="1">
            <w:col w:w="11420"/>
          </w:cols>
          <w:pgMar w:left="240" w:top="271"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(1)—Comparable Basis (cash, non-straight-lined basis)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Lease Summary—Comparable (2)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Straight-lined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Cash Basis</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Basis</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9"/>
              </w:rPr>
              <w:t>Contractual</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Tenant</w:t>
            </w:r>
          </w:p>
        </w:tc>
        <w:tc>
          <w:tcPr>
            <w:tcW w:w="100" w:type="dxa"/>
            <w:vAlign w:val="bottom"/>
          </w:tcPr>
          <w:p>
            <w:pPr>
              <w:spacing w:after="0"/>
              <w:rPr>
                <w:sz w:val="8"/>
                <w:szCs w:val="8"/>
                <w:color w:val="auto"/>
              </w:rPr>
            </w:pPr>
          </w:p>
        </w:tc>
        <w:tc>
          <w:tcPr>
            <w:tcW w:w="720" w:type="dxa"/>
            <w:vAlign w:val="bottom"/>
            <w:vMerge w:val="restart"/>
          </w:tcPr>
          <w:p>
            <w:pPr>
              <w:jc w:val="center"/>
              <w:ind w:right="1"/>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85"/>
        </w:trPr>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60" w:type="dxa"/>
            <w:vAlign w:val="bottom"/>
          </w:tcPr>
          <w:p>
            <w:pPr>
              <w:spacing w:after="0"/>
              <w:rPr>
                <w:sz w:val="12"/>
                <w:szCs w:val="12"/>
                <w:color w:val="auto"/>
              </w:rPr>
            </w:pPr>
          </w:p>
        </w:tc>
        <w:tc>
          <w:tcPr>
            <w:tcW w:w="96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 of Total</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spacing w:after="0" w:line="144" w:lineRule="exact"/>
              <w:rPr>
                <w:sz w:val="20"/>
                <w:szCs w:val="20"/>
                <w:color w:val="auto"/>
              </w:rPr>
            </w:pPr>
            <w:r>
              <w:rPr>
                <w:rFonts w:ascii="Arial" w:cs="Arial" w:eastAsia="Arial" w:hAnsi="Arial"/>
                <w:sz w:val="13"/>
                <w:szCs w:val="13"/>
                <w:b w:val="1"/>
                <w:bCs w:val="1"/>
                <w:color w:val="auto"/>
                <w:w w:val="98"/>
              </w:rPr>
              <w:t>Rent (3)   Prior Rent (4)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0"/>
              </w:rPr>
              <w:t>Annual</w:t>
            </w:r>
          </w:p>
        </w:tc>
        <w:tc>
          <w:tcPr>
            <w:tcW w:w="110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1"/>
              </w:rPr>
              <w:t>% Increase</w:t>
            </w:r>
          </w:p>
        </w:tc>
        <w:tc>
          <w:tcPr>
            <w:tcW w:w="10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 Increase</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Average</w:t>
            </w:r>
          </w:p>
        </w:tc>
        <w:tc>
          <w:tcPr>
            <w:tcW w:w="60" w:type="dxa"/>
            <w:vAlign w:val="bottom"/>
          </w:tcPr>
          <w:p>
            <w:pPr>
              <w:spacing w:after="0"/>
              <w:rPr>
                <w:sz w:val="12"/>
                <w:szCs w:val="12"/>
                <w:color w:val="auto"/>
              </w:rPr>
            </w:pPr>
          </w:p>
        </w:tc>
        <w:tc>
          <w:tcPr>
            <w:tcW w:w="1700" w:type="dxa"/>
            <w:vAlign w:val="bottom"/>
            <w:gridSpan w:val="5"/>
          </w:tcPr>
          <w:p>
            <w:pPr>
              <w:spacing w:after="0" w:line="144" w:lineRule="exact"/>
              <w:rPr>
                <w:sz w:val="20"/>
                <w:szCs w:val="20"/>
                <w:color w:val="auto"/>
              </w:rPr>
            </w:pPr>
            <w:r>
              <w:rPr>
                <w:rFonts w:ascii="Arial" w:cs="Arial" w:eastAsia="Arial" w:hAnsi="Arial"/>
                <w:sz w:val="13"/>
                <w:szCs w:val="13"/>
                <w:b w:val="1"/>
                <w:bCs w:val="1"/>
                <w:color w:val="auto"/>
                <w:w w:val="92"/>
              </w:rPr>
              <w:t>Improvements Improvements</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980" w:type="dxa"/>
            <w:vAlign w:val="bottom"/>
            <w:gridSpan w:val="4"/>
          </w:tcPr>
          <w:p>
            <w:pPr>
              <w:ind w:left="60"/>
              <w:spacing w:after="0"/>
              <w:rPr>
                <w:sz w:val="20"/>
                <w:szCs w:val="20"/>
                <w:color w:val="auto"/>
              </w:rPr>
            </w:pPr>
            <w:r>
              <w:rPr>
                <w:rFonts w:ascii="Arial" w:cs="Arial" w:eastAsia="Arial" w:hAnsi="Arial"/>
                <w:sz w:val="13"/>
                <w:szCs w:val="13"/>
                <w:b w:val="1"/>
                <w:bCs w:val="1"/>
                <w:color w:val="auto"/>
              </w:rPr>
              <w:t>Quarter</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5"/>
              </w:rPr>
              <w:t>Leases Signed</w:t>
            </w:r>
          </w:p>
        </w:tc>
        <w:tc>
          <w:tcPr>
            <w:tcW w:w="60" w:type="dxa"/>
            <w:vAlign w:val="bottom"/>
          </w:tcPr>
          <w:p>
            <w:pPr>
              <w:spacing w:after="0"/>
              <w:rPr>
                <w:sz w:val="14"/>
                <w:szCs w:val="14"/>
                <w:color w:val="auto"/>
              </w:rPr>
            </w:pPr>
          </w:p>
        </w:tc>
        <w:tc>
          <w:tcPr>
            <w:tcW w:w="9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5"/>
              </w:rPr>
              <w:t>Leases Signed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1"/>
              </w:rPr>
              <w:t>GLA Signed</w:t>
            </w:r>
          </w:p>
        </w:tc>
        <w:tc>
          <w:tcPr>
            <w:tcW w:w="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b w:val="1"/>
                <w:bCs w:val="1"/>
                <w:color w:val="auto"/>
              </w:rPr>
              <w:t>Per Sq. Ft.</w:t>
            </w:r>
          </w:p>
        </w:tc>
        <w:tc>
          <w:tcPr>
            <w:tcW w:w="8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b w:val="1"/>
                <w:bCs w:val="1"/>
                <w:color w:val="auto"/>
                <w:w w:val="90"/>
              </w:rPr>
              <w:t>Per Sq. Ft.</w:t>
            </w:r>
          </w:p>
        </w:tc>
        <w:tc>
          <w:tcPr>
            <w:tcW w:w="60" w:type="dxa"/>
            <w:vAlign w:val="bottom"/>
          </w:tcPr>
          <w:p>
            <w:pPr>
              <w:spacing w:after="0"/>
              <w:rPr>
                <w:sz w:val="14"/>
                <w:szCs w:val="14"/>
                <w:color w:val="auto"/>
              </w:rPr>
            </w:pPr>
          </w:p>
        </w:tc>
        <w:tc>
          <w:tcPr>
            <w:tcW w:w="2080" w:type="dxa"/>
            <w:vAlign w:val="bottom"/>
            <w:gridSpan w:val="9"/>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Over Prior Rent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Lease Term (5)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3"/>
                <w:szCs w:val="13"/>
                <w:b w:val="1"/>
                <w:bCs w:val="1"/>
                <w:color w:val="auto"/>
              </w:rPr>
              <w:t>(6)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93"/>
        </w:trPr>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2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7"/>
              </w:rPr>
              <w:t>2nd Quarter 2003</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87,912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436,197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24%</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09"/>
        </w:trPr>
        <w:tc>
          <w:tcPr>
            <w:tcW w:w="1320" w:type="dxa"/>
            <w:vAlign w:val="bottom"/>
            <w:gridSpan w:val="5"/>
          </w:tcPr>
          <w:p>
            <w:pPr>
              <w:spacing w:after="0"/>
              <w:rPr>
                <w:sz w:val="20"/>
                <w:szCs w:val="20"/>
                <w:color w:val="auto"/>
              </w:rPr>
            </w:pPr>
            <w:r>
              <w:rPr>
                <w:rFonts w:ascii="Arial" w:cs="Arial" w:eastAsia="Arial" w:hAnsi="Arial"/>
                <w:sz w:val="17"/>
                <w:szCs w:val="17"/>
                <w:color w:val="auto"/>
              </w:rPr>
              <w:t>1st Quarter 2003</w:t>
            </w:r>
          </w:p>
        </w:tc>
        <w:tc>
          <w:tcPr>
            <w:tcW w:w="1080" w:type="dxa"/>
            <w:vAlign w:val="bottom"/>
          </w:tcPr>
          <w:p>
            <w:pPr>
              <w:jc w:val="right"/>
              <w:spacing w:after="0"/>
              <w:rPr>
                <w:sz w:val="20"/>
                <w:szCs w:val="20"/>
                <w:color w:val="auto"/>
              </w:rPr>
            </w:pPr>
            <w:r>
              <w:rPr>
                <w:rFonts w:ascii="Arial" w:cs="Arial" w:eastAsia="Arial" w:hAnsi="Arial"/>
                <w:sz w:val="17"/>
                <w:szCs w:val="17"/>
                <w:color w:val="auto"/>
              </w:rPr>
              <w:t>25</w:t>
            </w:r>
          </w:p>
        </w:tc>
        <w:tc>
          <w:tcPr>
            <w:tcW w:w="1000" w:type="dxa"/>
            <w:vAlign w:val="bottom"/>
            <w:gridSpan w:val="4"/>
          </w:tcPr>
          <w:p>
            <w:pPr>
              <w:jc w:val="right"/>
              <w:ind w:right="20"/>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166,415</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16.11</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12.30</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634,063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c>
          <w:tcPr>
            <w:tcW w:w="840" w:type="dxa"/>
            <w:vAlign w:val="bottom"/>
          </w:tcPr>
          <w:p>
            <w:pPr>
              <w:jc w:val="right"/>
              <w:spacing w:after="0"/>
              <w:rPr>
                <w:sz w:val="20"/>
                <w:szCs w:val="20"/>
                <w:color w:val="auto"/>
              </w:rPr>
            </w:pPr>
            <w:r>
              <w:rPr>
                <w:rFonts w:ascii="Arial" w:cs="Arial" w:eastAsia="Arial" w:hAnsi="Arial"/>
                <w:sz w:val="17"/>
                <w:szCs w:val="17"/>
                <w:color w:val="auto"/>
              </w:rPr>
              <w:t>10.6</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w w:val="95"/>
              </w:rPr>
              <w:t>$ 3,245,153</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19.50</w:t>
            </w:r>
          </w:p>
        </w:tc>
        <w:tc>
          <w:tcPr>
            <w:tcW w:w="0" w:type="dxa"/>
            <w:vAlign w:val="bottom"/>
          </w:tcPr>
          <w:p>
            <w:pPr>
              <w:spacing w:after="0"/>
              <w:rPr>
                <w:sz w:val="1"/>
                <w:szCs w:val="1"/>
                <w:color w:val="auto"/>
              </w:rPr>
            </w:pPr>
          </w:p>
        </w:tc>
      </w:tr>
      <w:tr>
        <w:trPr>
          <w:trHeight w:val="209"/>
        </w:trPr>
        <w:tc>
          <w:tcPr>
            <w:tcW w:w="13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4th Quarter 2002</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84,857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220,227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18%</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15"/>
        </w:trPr>
        <w:tc>
          <w:tcPr>
            <w:tcW w:w="1320" w:type="dxa"/>
            <w:vAlign w:val="bottom"/>
            <w:gridSpan w:val="5"/>
          </w:tcPr>
          <w:p>
            <w:pPr>
              <w:spacing w:after="0"/>
              <w:rPr>
                <w:sz w:val="20"/>
                <w:szCs w:val="20"/>
                <w:color w:val="auto"/>
              </w:rPr>
            </w:pPr>
            <w:r>
              <w:rPr>
                <w:rFonts w:ascii="Arial" w:cs="Arial" w:eastAsia="Arial" w:hAnsi="Arial"/>
                <w:sz w:val="17"/>
                <w:szCs w:val="17"/>
                <w:color w:val="auto"/>
              </w:rPr>
              <w:t>3rd Quarter 2002</w:t>
            </w:r>
          </w:p>
        </w:tc>
        <w:tc>
          <w:tcPr>
            <w:tcW w:w="1080" w:type="dxa"/>
            <w:vAlign w:val="bottom"/>
          </w:tcPr>
          <w:p>
            <w:pPr>
              <w:jc w:val="right"/>
              <w:spacing w:after="0"/>
              <w:rPr>
                <w:sz w:val="20"/>
                <w:szCs w:val="20"/>
                <w:color w:val="auto"/>
              </w:rPr>
            </w:pPr>
            <w:r>
              <w:rPr>
                <w:rFonts w:ascii="Arial" w:cs="Arial" w:eastAsia="Arial" w:hAnsi="Arial"/>
                <w:sz w:val="17"/>
                <w:szCs w:val="17"/>
                <w:color w:val="auto"/>
              </w:rPr>
              <w:t>38</w:t>
            </w:r>
          </w:p>
        </w:tc>
        <w:tc>
          <w:tcPr>
            <w:tcW w:w="1000" w:type="dxa"/>
            <w:vAlign w:val="bottom"/>
            <w:gridSpan w:val="4"/>
          </w:tcPr>
          <w:p>
            <w:pPr>
              <w:jc w:val="right"/>
              <w:ind w:right="20"/>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158,079</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22.23</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16.99</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827,936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p>
        </w:tc>
        <w:tc>
          <w:tcPr>
            <w:tcW w:w="840" w:type="dxa"/>
            <w:vAlign w:val="bottom"/>
          </w:tcPr>
          <w:p>
            <w:pPr>
              <w:jc w:val="right"/>
              <w:spacing w:after="0"/>
              <w:rPr>
                <w:sz w:val="20"/>
                <w:szCs w:val="20"/>
                <w:color w:val="auto"/>
              </w:rPr>
            </w:pPr>
            <w:r>
              <w:rPr>
                <w:rFonts w:ascii="Arial" w:cs="Arial" w:eastAsia="Arial" w:hAnsi="Arial"/>
                <w:sz w:val="17"/>
                <w:szCs w:val="17"/>
                <w:color w:val="auto"/>
              </w:rPr>
              <w:t>10.3</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w w:val="95"/>
              </w:rPr>
              <w:t>$ 3,038,504</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19.22</w:t>
            </w: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2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6"/>
              </w:rPr>
              <w:t>Total—12 months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497,263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2,118,422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5"/>
              </w:rPr>
              <w:t>$ 7,213,281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14.51</w:t>
            </w:r>
          </w:p>
        </w:tc>
        <w:tc>
          <w:tcPr>
            <w:tcW w:w="0" w:type="dxa"/>
            <w:vAlign w:val="bottom"/>
          </w:tcPr>
          <w:p>
            <w:pPr>
              <w:spacing w:after="0"/>
              <w:rPr>
                <w:sz w:val="1"/>
                <w:szCs w:val="1"/>
                <w:color w:val="auto"/>
              </w:rPr>
            </w:pPr>
          </w:p>
        </w:tc>
      </w:tr>
      <w:tr>
        <w:trPr>
          <w:trHeight w:val="127"/>
        </w:trPr>
        <w:tc>
          <w:tcPr>
            <w:tcW w:w="820" w:type="dxa"/>
            <w:vAlign w:val="bottom"/>
            <w:gridSpan w:val="2"/>
          </w:tcPr>
          <w:p>
            <w:pPr>
              <w:spacing w:after="0"/>
              <w:rPr>
                <w:sz w:val="11"/>
                <w:szCs w:val="11"/>
                <w:color w:val="auto"/>
              </w:rPr>
            </w:pPr>
          </w:p>
        </w:tc>
        <w:tc>
          <w:tcPr>
            <w:tcW w:w="480" w:type="dxa"/>
            <w:vAlign w:val="bottom"/>
            <w:gridSpan w:val="2"/>
          </w:tcPr>
          <w:p>
            <w:pPr>
              <w:spacing w:after="0"/>
              <w:rPr>
                <w:sz w:val="11"/>
                <w:szCs w:val="11"/>
                <w:color w:val="auto"/>
              </w:rPr>
            </w:pPr>
          </w:p>
        </w:tc>
        <w:tc>
          <w:tcPr>
            <w:tcW w:w="1100" w:type="dxa"/>
            <w:vAlign w:val="bottom"/>
            <w:tcBorders>
              <w:bottom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84"/>
        </w:trPr>
        <w:tc>
          <w:tcPr>
            <w:tcW w:w="3420" w:type="dxa"/>
            <w:vAlign w:val="bottom"/>
            <w:gridSpan w:val="11"/>
          </w:tcPr>
          <w:p>
            <w:pPr>
              <w:spacing w:after="0"/>
              <w:rPr>
                <w:sz w:val="20"/>
                <w:szCs w:val="20"/>
                <w:color w:val="auto"/>
              </w:rPr>
            </w:pPr>
            <w:r>
              <w:rPr>
                <w:rFonts w:ascii="Arial" w:cs="Arial" w:eastAsia="Arial" w:hAnsi="Arial"/>
                <w:sz w:val="17"/>
                <w:szCs w:val="17"/>
                <w:b w:val="1"/>
                <w:bCs w:val="1"/>
                <w:color w:val="auto"/>
                <w:w w:val="91"/>
              </w:rPr>
              <w:t>Renewal Lease Summary—Comparable (2) (7)</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Straight-lined</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Cash Basis</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Basis</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3"/>
            <w:vMerge w:val="restart"/>
          </w:tcPr>
          <w:p>
            <w:pPr>
              <w:spacing w:after="0" w:line="144" w:lineRule="exact"/>
              <w:rPr>
                <w:sz w:val="20"/>
                <w:szCs w:val="20"/>
                <w:color w:val="auto"/>
              </w:rPr>
            </w:pPr>
            <w:r>
              <w:rPr>
                <w:rFonts w:ascii="Arial" w:cs="Arial" w:eastAsia="Arial" w:hAnsi="Arial"/>
                <w:sz w:val="13"/>
                <w:szCs w:val="13"/>
                <w:b w:val="1"/>
                <w:bCs w:val="1"/>
                <w:color w:val="auto"/>
                <w:w w:val="99"/>
              </w:rPr>
              <w:t>Contractual</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4"/>
            <w:vMerge w:val="restart"/>
          </w:tcPr>
          <w:p>
            <w:pPr>
              <w:jc w:val="center"/>
              <w:ind w:right="200"/>
              <w:spacing w:after="0" w:line="144" w:lineRule="exact"/>
              <w:rPr>
                <w:sz w:val="20"/>
                <w:szCs w:val="20"/>
                <w:color w:val="auto"/>
              </w:rPr>
            </w:pPr>
            <w:r>
              <w:rPr>
                <w:rFonts w:ascii="Arial" w:cs="Arial" w:eastAsia="Arial" w:hAnsi="Arial"/>
                <w:sz w:val="13"/>
                <w:szCs w:val="13"/>
                <w:b w:val="1"/>
                <w:bCs w:val="1"/>
                <w:color w:val="auto"/>
                <w:w w:val="90"/>
              </w:rPr>
              <w:t>Annual</w:t>
            </w: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89"/>
              </w:rPr>
              <w:t>Average</w:t>
            </w: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2"/>
            <w:vMerge w:val="restart"/>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Tenant</w:t>
            </w:r>
          </w:p>
        </w:tc>
        <w:tc>
          <w:tcPr>
            <w:tcW w:w="100" w:type="dxa"/>
            <w:vAlign w:val="bottom"/>
          </w:tcPr>
          <w:p>
            <w:pPr>
              <w:spacing w:after="0"/>
              <w:rPr>
                <w:sz w:val="3"/>
                <w:szCs w:val="3"/>
                <w:color w:val="auto"/>
              </w:rPr>
            </w:pPr>
          </w:p>
        </w:tc>
        <w:tc>
          <w:tcPr>
            <w:tcW w:w="720" w:type="dxa"/>
            <w:vAlign w:val="bottom"/>
            <w:vMerge w:val="restart"/>
          </w:tcPr>
          <w:p>
            <w:pPr>
              <w:jc w:val="center"/>
              <w:ind w:right="1"/>
              <w:spacing w:after="0" w:line="144" w:lineRule="exact"/>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85"/>
        </w:trPr>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60" w:type="dxa"/>
            <w:vAlign w:val="bottom"/>
          </w:tcPr>
          <w:p>
            <w:pPr>
              <w:spacing w:after="0"/>
              <w:rPr>
                <w:sz w:val="12"/>
                <w:szCs w:val="12"/>
                <w:color w:val="auto"/>
              </w:rPr>
            </w:pPr>
          </w:p>
        </w:tc>
        <w:tc>
          <w:tcPr>
            <w:tcW w:w="96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 of Total</w:t>
            </w: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GLA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spacing w:after="0" w:line="144" w:lineRule="exact"/>
              <w:rPr>
                <w:sz w:val="20"/>
                <w:szCs w:val="20"/>
                <w:color w:val="auto"/>
              </w:rPr>
            </w:pPr>
            <w:r>
              <w:rPr>
                <w:rFonts w:ascii="Arial" w:cs="Arial" w:eastAsia="Arial" w:hAnsi="Arial"/>
                <w:sz w:val="13"/>
                <w:szCs w:val="13"/>
                <w:b w:val="1"/>
                <w:bCs w:val="1"/>
                <w:color w:val="auto"/>
                <w:w w:val="98"/>
              </w:rPr>
              <w:t>Rent (3)   Prior Rent (4)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Increase in</w:t>
            </w:r>
          </w:p>
        </w:tc>
        <w:tc>
          <w:tcPr>
            <w:tcW w:w="110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1"/>
              </w:rPr>
              <w:t>% Increase</w:t>
            </w:r>
          </w:p>
        </w:tc>
        <w:tc>
          <w:tcPr>
            <w:tcW w:w="10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 Increase</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Lease Term</w:t>
            </w:r>
          </w:p>
        </w:tc>
        <w:tc>
          <w:tcPr>
            <w:tcW w:w="60" w:type="dxa"/>
            <w:vAlign w:val="bottom"/>
          </w:tcPr>
          <w:p>
            <w:pPr>
              <w:spacing w:after="0"/>
              <w:rPr>
                <w:sz w:val="12"/>
                <w:szCs w:val="12"/>
                <w:color w:val="auto"/>
              </w:rPr>
            </w:pPr>
          </w:p>
        </w:tc>
        <w:tc>
          <w:tcPr>
            <w:tcW w:w="1700" w:type="dxa"/>
            <w:vAlign w:val="bottom"/>
            <w:gridSpan w:val="5"/>
          </w:tcPr>
          <w:p>
            <w:pPr>
              <w:spacing w:after="0" w:line="144" w:lineRule="exact"/>
              <w:rPr>
                <w:sz w:val="20"/>
                <w:szCs w:val="20"/>
                <w:color w:val="auto"/>
              </w:rPr>
            </w:pPr>
            <w:r>
              <w:rPr>
                <w:rFonts w:ascii="Arial" w:cs="Arial" w:eastAsia="Arial" w:hAnsi="Arial"/>
                <w:sz w:val="13"/>
                <w:szCs w:val="13"/>
                <w:b w:val="1"/>
                <w:bCs w:val="1"/>
                <w:color w:val="auto"/>
                <w:w w:val="92"/>
              </w:rPr>
              <w:t>Improvements Improvements</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980" w:type="dxa"/>
            <w:vAlign w:val="bottom"/>
            <w:gridSpan w:val="4"/>
          </w:tcPr>
          <w:p>
            <w:pPr>
              <w:ind w:left="60"/>
              <w:spacing w:after="0"/>
              <w:rPr>
                <w:sz w:val="20"/>
                <w:szCs w:val="20"/>
                <w:color w:val="auto"/>
              </w:rPr>
            </w:pPr>
            <w:r>
              <w:rPr>
                <w:rFonts w:ascii="Arial" w:cs="Arial" w:eastAsia="Arial" w:hAnsi="Arial"/>
                <w:sz w:val="13"/>
                <w:szCs w:val="13"/>
                <w:b w:val="1"/>
                <w:bCs w:val="1"/>
                <w:color w:val="auto"/>
              </w:rPr>
              <w:t>Quarter</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7"/>
              </w:rPr>
              <w:t>Renewals Signed</w:t>
            </w:r>
          </w:p>
        </w:tc>
        <w:tc>
          <w:tcPr>
            <w:tcW w:w="60" w:type="dxa"/>
            <w:vAlign w:val="bottom"/>
          </w:tcPr>
          <w:p>
            <w:pPr>
              <w:spacing w:after="0"/>
              <w:rPr>
                <w:sz w:val="14"/>
                <w:szCs w:val="14"/>
                <w:color w:val="auto"/>
              </w:rPr>
            </w:pPr>
          </w:p>
        </w:tc>
        <w:tc>
          <w:tcPr>
            <w:tcW w:w="9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5"/>
              </w:rPr>
              <w:t>Leases Signed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Signed</w:t>
            </w:r>
          </w:p>
        </w:tc>
        <w:tc>
          <w:tcPr>
            <w:tcW w:w="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b w:val="1"/>
                <w:bCs w:val="1"/>
                <w:color w:val="auto"/>
              </w:rPr>
              <w:t>Per Sq. Ft.</w:t>
            </w:r>
          </w:p>
        </w:tc>
        <w:tc>
          <w:tcPr>
            <w:tcW w:w="8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b w:val="1"/>
                <w:bCs w:val="1"/>
                <w:color w:val="auto"/>
                <w:w w:val="90"/>
              </w:rPr>
              <w:t>Per Sq. Ft.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6"/>
              </w:rPr>
              <w:t>Rent</w:t>
            </w:r>
          </w:p>
        </w:tc>
        <w:tc>
          <w:tcPr>
            <w:tcW w:w="11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3"/>
              </w:rPr>
              <w:t>Over Prior Rent</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Over Prior Rent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3"/>
                <w:szCs w:val="13"/>
                <w:b w:val="1"/>
                <w:bCs w:val="1"/>
                <w:color w:val="auto"/>
              </w:rPr>
              <w:t>(6)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93"/>
        </w:trPr>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2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7"/>
              </w:rPr>
              <w:t>2nd Quarter 2003</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165,717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264,509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209"/>
        </w:trPr>
        <w:tc>
          <w:tcPr>
            <w:tcW w:w="1320" w:type="dxa"/>
            <w:vAlign w:val="bottom"/>
            <w:gridSpan w:val="5"/>
          </w:tcPr>
          <w:p>
            <w:pPr>
              <w:spacing w:after="0"/>
              <w:rPr>
                <w:sz w:val="20"/>
                <w:szCs w:val="20"/>
                <w:color w:val="auto"/>
              </w:rPr>
            </w:pPr>
            <w:r>
              <w:rPr>
                <w:rFonts w:ascii="Arial" w:cs="Arial" w:eastAsia="Arial" w:hAnsi="Arial"/>
                <w:sz w:val="17"/>
                <w:szCs w:val="17"/>
                <w:color w:val="auto"/>
              </w:rPr>
              <w:t>1st Quarter 2003</w:t>
            </w:r>
          </w:p>
        </w:tc>
        <w:tc>
          <w:tcPr>
            <w:tcW w:w="1080" w:type="dxa"/>
            <w:vAlign w:val="bottom"/>
          </w:tcPr>
          <w:p>
            <w:pPr>
              <w:jc w:val="right"/>
              <w:spacing w:after="0"/>
              <w:rPr>
                <w:sz w:val="20"/>
                <w:szCs w:val="20"/>
                <w:color w:val="auto"/>
              </w:rPr>
            </w:pPr>
            <w:r>
              <w:rPr>
                <w:rFonts w:ascii="Arial" w:cs="Arial" w:eastAsia="Arial" w:hAnsi="Arial"/>
                <w:sz w:val="17"/>
                <w:szCs w:val="17"/>
                <w:color w:val="auto"/>
              </w:rPr>
              <w:t>41</w:t>
            </w:r>
          </w:p>
        </w:tc>
        <w:tc>
          <w:tcPr>
            <w:tcW w:w="1000" w:type="dxa"/>
            <w:vAlign w:val="bottom"/>
            <w:gridSpan w:val="4"/>
          </w:tcPr>
          <w:p>
            <w:pPr>
              <w:jc w:val="right"/>
              <w:ind w:right="20"/>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207,725</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16.54</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15.14</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291,261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c>
          <w:tcPr>
            <w:tcW w:w="840" w:type="dxa"/>
            <w:vAlign w:val="bottom"/>
          </w:tcPr>
          <w:p>
            <w:pPr>
              <w:jc w:val="right"/>
              <w:spacing w:after="0"/>
              <w:rPr>
                <w:sz w:val="20"/>
                <w:szCs w:val="20"/>
                <w:color w:val="auto"/>
              </w:rPr>
            </w:pPr>
            <w:r>
              <w:rPr>
                <w:rFonts w:ascii="Arial" w:cs="Arial" w:eastAsia="Arial" w:hAnsi="Arial"/>
                <w:sz w:val="17"/>
                <w:szCs w:val="17"/>
                <w:color w:val="auto"/>
              </w:rPr>
              <w:t>5.7</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315,041</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09"/>
        </w:trPr>
        <w:tc>
          <w:tcPr>
            <w:tcW w:w="13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4th Quarter 2002</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71%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183,151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378,702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564,416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15"/>
        </w:trPr>
        <w:tc>
          <w:tcPr>
            <w:tcW w:w="1320" w:type="dxa"/>
            <w:vAlign w:val="bottom"/>
            <w:gridSpan w:val="5"/>
          </w:tcPr>
          <w:p>
            <w:pPr>
              <w:spacing w:after="0"/>
              <w:rPr>
                <w:sz w:val="20"/>
                <w:szCs w:val="20"/>
                <w:color w:val="auto"/>
              </w:rPr>
            </w:pPr>
            <w:r>
              <w:rPr>
                <w:rFonts w:ascii="Arial" w:cs="Arial" w:eastAsia="Arial" w:hAnsi="Arial"/>
                <w:sz w:val="17"/>
                <w:szCs w:val="17"/>
                <w:color w:val="auto"/>
              </w:rPr>
              <w:t>3rd Quarter 2002</w:t>
            </w:r>
          </w:p>
        </w:tc>
        <w:tc>
          <w:tcPr>
            <w:tcW w:w="1080" w:type="dxa"/>
            <w:vAlign w:val="bottom"/>
          </w:tcPr>
          <w:p>
            <w:pPr>
              <w:jc w:val="right"/>
              <w:spacing w:after="0"/>
              <w:rPr>
                <w:sz w:val="20"/>
                <w:szCs w:val="20"/>
                <w:color w:val="auto"/>
              </w:rPr>
            </w:pPr>
            <w:r>
              <w:rPr>
                <w:rFonts w:ascii="Arial" w:cs="Arial" w:eastAsia="Arial" w:hAnsi="Arial"/>
                <w:sz w:val="17"/>
                <w:szCs w:val="17"/>
                <w:color w:val="auto"/>
              </w:rPr>
              <w:t>54</w:t>
            </w:r>
          </w:p>
        </w:tc>
        <w:tc>
          <w:tcPr>
            <w:tcW w:w="1000" w:type="dxa"/>
            <w:vAlign w:val="bottom"/>
            <w:gridSpan w:val="4"/>
          </w:tcPr>
          <w:p>
            <w:pPr>
              <w:jc w:val="right"/>
              <w:ind w:right="20"/>
              <w:spacing w:after="0"/>
              <w:rPr>
                <w:sz w:val="20"/>
                <w:szCs w:val="20"/>
                <w:color w:val="auto"/>
              </w:rPr>
            </w:pPr>
            <w:r>
              <w:rPr>
                <w:rFonts w:ascii="Arial" w:cs="Arial" w:eastAsia="Arial" w:hAnsi="Arial"/>
                <w:sz w:val="17"/>
                <w:szCs w:val="17"/>
                <w:color w:val="auto"/>
              </w:rPr>
              <w:t>59%</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219,027</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16.76</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15.16</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350,554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23%</w:t>
            </w:r>
          </w:p>
        </w:tc>
        <w:tc>
          <w:tcPr>
            <w:tcW w:w="840" w:type="dxa"/>
            <w:vAlign w:val="bottom"/>
          </w:tcPr>
          <w:p>
            <w:pPr>
              <w:jc w:val="right"/>
              <w:spacing w:after="0"/>
              <w:rPr>
                <w:sz w:val="20"/>
                <w:szCs w:val="20"/>
                <w:color w:val="auto"/>
              </w:rPr>
            </w:pPr>
            <w:r>
              <w:rPr>
                <w:rFonts w:ascii="Arial" w:cs="Arial" w:eastAsia="Arial" w:hAnsi="Arial"/>
                <w:sz w:val="17"/>
                <w:szCs w:val="17"/>
                <w:color w:val="auto"/>
              </w:rPr>
              <w:t>5.0</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75,680</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0.35</w:t>
            </w: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2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6"/>
              </w:rPr>
              <w:t>Total—12 months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62%</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775,620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1,285,026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5"/>
              </w:rPr>
              <w:t>$ 1,061,837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127"/>
        </w:trPr>
        <w:tc>
          <w:tcPr>
            <w:tcW w:w="820" w:type="dxa"/>
            <w:vAlign w:val="bottom"/>
            <w:gridSpan w:val="2"/>
          </w:tcPr>
          <w:p>
            <w:pPr>
              <w:spacing w:after="0"/>
              <w:rPr>
                <w:sz w:val="11"/>
                <w:szCs w:val="11"/>
                <w:color w:val="auto"/>
              </w:rPr>
            </w:pPr>
          </w:p>
        </w:tc>
        <w:tc>
          <w:tcPr>
            <w:tcW w:w="480" w:type="dxa"/>
            <w:vAlign w:val="bottom"/>
            <w:gridSpan w:val="2"/>
          </w:tcPr>
          <w:p>
            <w:pPr>
              <w:spacing w:after="0"/>
              <w:rPr>
                <w:sz w:val="11"/>
                <w:szCs w:val="11"/>
                <w:color w:val="auto"/>
              </w:rPr>
            </w:pPr>
          </w:p>
        </w:tc>
        <w:tc>
          <w:tcPr>
            <w:tcW w:w="1100" w:type="dxa"/>
            <w:vAlign w:val="bottom"/>
            <w:tcBorders>
              <w:bottom w:val="single" w:sz="8" w:color="auto"/>
            </w:tcBorders>
            <w:gridSpan w:val="2"/>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84"/>
        </w:trPr>
        <w:tc>
          <w:tcPr>
            <w:tcW w:w="3420" w:type="dxa"/>
            <w:vAlign w:val="bottom"/>
            <w:gridSpan w:val="11"/>
          </w:tcPr>
          <w:p>
            <w:pPr>
              <w:spacing w:after="0"/>
              <w:rPr>
                <w:sz w:val="20"/>
                <w:szCs w:val="20"/>
                <w:color w:val="auto"/>
              </w:rPr>
            </w:pPr>
            <w:r>
              <w:rPr>
                <w:rFonts w:ascii="Arial" w:cs="Arial" w:eastAsia="Arial" w:hAnsi="Arial"/>
                <w:sz w:val="17"/>
                <w:szCs w:val="17"/>
                <w:b w:val="1"/>
                <w:bCs w:val="1"/>
                <w:color w:val="auto"/>
              </w:rPr>
              <w:t>Total Lease Summary—Comparable (2)</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Straight-lined</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Cash Basis</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Basis</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3"/>
            <w:vMerge w:val="restart"/>
          </w:tcPr>
          <w:p>
            <w:pPr>
              <w:spacing w:after="0" w:line="144" w:lineRule="exact"/>
              <w:rPr>
                <w:sz w:val="20"/>
                <w:szCs w:val="20"/>
                <w:color w:val="auto"/>
              </w:rPr>
            </w:pPr>
            <w:r>
              <w:rPr>
                <w:rFonts w:ascii="Arial" w:cs="Arial" w:eastAsia="Arial" w:hAnsi="Arial"/>
                <w:sz w:val="13"/>
                <w:szCs w:val="13"/>
                <w:b w:val="1"/>
                <w:bCs w:val="1"/>
                <w:color w:val="auto"/>
                <w:w w:val="99"/>
              </w:rPr>
              <w:t>Contractual</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4"/>
            <w:vMerge w:val="restart"/>
          </w:tcPr>
          <w:p>
            <w:pPr>
              <w:jc w:val="center"/>
              <w:ind w:right="200"/>
              <w:spacing w:after="0" w:line="144" w:lineRule="exact"/>
              <w:rPr>
                <w:sz w:val="20"/>
                <w:szCs w:val="20"/>
                <w:color w:val="auto"/>
              </w:rPr>
            </w:pPr>
            <w:r>
              <w:rPr>
                <w:rFonts w:ascii="Arial" w:cs="Arial" w:eastAsia="Arial" w:hAnsi="Arial"/>
                <w:sz w:val="13"/>
                <w:szCs w:val="13"/>
                <w:b w:val="1"/>
                <w:bCs w:val="1"/>
                <w:color w:val="auto"/>
                <w:w w:val="90"/>
              </w:rPr>
              <w:t>Annual</w:t>
            </w: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vMerge w:val="restart"/>
          </w:tcPr>
          <w:p>
            <w:pPr>
              <w:jc w:val="center"/>
              <w:spacing w:after="0" w:line="144" w:lineRule="exact"/>
              <w:rPr>
                <w:sz w:val="20"/>
                <w:szCs w:val="20"/>
                <w:color w:val="auto"/>
              </w:rPr>
            </w:pPr>
            <w:r>
              <w:rPr>
                <w:rFonts w:ascii="Arial" w:cs="Arial" w:eastAsia="Arial" w:hAnsi="Arial"/>
                <w:sz w:val="13"/>
                <w:szCs w:val="13"/>
                <w:b w:val="1"/>
                <w:bCs w:val="1"/>
                <w:color w:val="auto"/>
                <w:w w:val="89"/>
              </w:rPr>
              <w:t>Average</w:t>
            </w: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2"/>
            <w:vMerge w:val="restart"/>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Tenant</w:t>
            </w:r>
          </w:p>
        </w:tc>
        <w:tc>
          <w:tcPr>
            <w:tcW w:w="100" w:type="dxa"/>
            <w:vAlign w:val="bottom"/>
          </w:tcPr>
          <w:p>
            <w:pPr>
              <w:spacing w:after="0"/>
              <w:rPr>
                <w:sz w:val="3"/>
                <w:szCs w:val="3"/>
                <w:color w:val="auto"/>
              </w:rPr>
            </w:pPr>
          </w:p>
        </w:tc>
        <w:tc>
          <w:tcPr>
            <w:tcW w:w="720" w:type="dxa"/>
            <w:vAlign w:val="bottom"/>
            <w:vMerge w:val="restart"/>
          </w:tcPr>
          <w:p>
            <w:pPr>
              <w:jc w:val="center"/>
              <w:ind w:right="1"/>
              <w:spacing w:after="0" w:line="144" w:lineRule="exact"/>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85"/>
        </w:trPr>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Number of Leases</w:t>
            </w:r>
          </w:p>
        </w:tc>
        <w:tc>
          <w:tcPr>
            <w:tcW w:w="60" w:type="dxa"/>
            <w:vAlign w:val="bottom"/>
          </w:tcPr>
          <w:p>
            <w:pPr>
              <w:spacing w:after="0"/>
              <w:rPr>
                <w:sz w:val="12"/>
                <w:szCs w:val="12"/>
                <w:color w:val="auto"/>
              </w:rPr>
            </w:pPr>
          </w:p>
        </w:tc>
        <w:tc>
          <w:tcPr>
            <w:tcW w:w="96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 of Total</w:t>
            </w: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GLA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spacing w:after="0" w:line="144" w:lineRule="exact"/>
              <w:rPr>
                <w:sz w:val="20"/>
                <w:szCs w:val="20"/>
                <w:color w:val="auto"/>
              </w:rPr>
            </w:pPr>
            <w:r>
              <w:rPr>
                <w:rFonts w:ascii="Arial" w:cs="Arial" w:eastAsia="Arial" w:hAnsi="Arial"/>
                <w:sz w:val="13"/>
                <w:szCs w:val="13"/>
                <w:b w:val="1"/>
                <w:bCs w:val="1"/>
                <w:color w:val="auto"/>
                <w:w w:val="98"/>
              </w:rPr>
              <w:t>Rent (3)   Prior Rent (4)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Increase in</w:t>
            </w:r>
          </w:p>
        </w:tc>
        <w:tc>
          <w:tcPr>
            <w:tcW w:w="110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1"/>
              </w:rPr>
              <w:t>% Increase</w:t>
            </w:r>
          </w:p>
        </w:tc>
        <w:tc>
          <w:tcPr>
            <w:tcW w:w="10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 Increase</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Lease Term</w:t>
            </w:r>
          </w:p>
        </w:tc>
        <w:tc>
          <w:tcPr>
            <w:tcW w:w="60" w:type="dxa"/>
            <w:vAlign w:val="bottom"/>
          </w:tcPr>
          <w:p>
            <w:pPr>
              <w:spacing w:after="0"/>
              <w:rPr>
                <w:sz w:val="12"/>
                <w:szCs w:val="12"/>
                <w:color w:val="auto"/>
              </w:rPr>
            </w:pPr>
          </w:p>
        </w:tc>
        <w:tc>
          <w:tcPr>
            <w:tcW w:w="1700" w:type="dxa"/>
            <w:vAlign w:val="bottom"/>
            <w:gridSpan w:val="5"/>
          </w:tcPr>
          <w:p>
            <w:pPr>
              <w:spacing w:after="0" w:line="144" w:lineRule="exact"/>
              <w:rPr>
                <w:sz w:val="20"/>
                <w:szCs w:val="20"/>
                <w:color w:val="auto"/>
              </w:rPr>
            </w:pPr>
            <w:r>
              <w:rPr>
                <w:rFonts w:ascii="Arial" w:cs="Arial" w:eastAsia="Arial" w:hAnsi="Arial"/>
                <w:sz w:val="13"/>
                <w:szCs w:val="13"/>
                <w:b w:val="1"/>
                <w:bCs w:val="1"/>
                <w:color w:val="auto"/>
                <w:w w:val="92"/>
              </w:rPr>
              <w:t>Improvements Improvements</w:t>
            </w: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980" w:type="dxa"/>
            <w:vAlign w:val="bottom"/>
            <w:gridSpan w:val="4"/>
          </w:tcPr>
          <w:p>
            <w:pPr>
              <w:ind w:left="60"/>
              <w:spacing w:after="0"/>
              <w:rPr>
                <w:sz w:val="20"/>
                <w:szCs w:val="20"/>
                <w:color w:val="auto"/>
              </w:rPr>
            </w:pPr>
            <w:r>
              <w:rPr>
                <w:rFonts w:ascii="Arial" w:cs="Arial" w:eastAsia="Arial" w:hAnsi="Arial"/>
                <w:sz w:val="13"/>
                <w:szCs w:val="13"/>
                <w:b w:val="1"/>
                <w:bCs w:val="1"/>
                <w:color w:val="auto"/>
              </w:rPr>
              <w:t>Quarter</w:t>
            </w:r>
          </w:p>
        </w:tc>
        <w:tc>
          <w:tcPr>
            <w:tcW w:w="2100" w:type="dxa"/>
            <w:vAlign w:val="bottom"/>
            <w:gridSpan w:val="6"/>
          </w:tcPr>
          <w:p>
            <w:pPr>
              <w:spacing w:after="0"/>
              <w:rPr>
                <w:sz w:val="20"/>
                <w:szCs w:val="20"/>
                <w:color w:val="auto"/>
              </w:rPr>
            </w:pPr>
            <w:r>
              <w:rPr>
                <w:rFonts w:ascii="Arial" w:cs="Arial" w:eastAsia="Arial" w:hAnsi="Arial"/>
                <w:sz w:val="13"/>
                <w:szCs w:val="13"/>
                <w:b w:val="1"/>
                <w:bCs w:val="1"/>
                <w:color w:val="auto"/>
                <w:w w:val="96"/>
              </w:rPr>
              <w:t>&amp; Renewals Signed Leases Signed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Signed</w:t>
            </w:r>
          </w:p>
        </w:tc>
        <w:tc>
          <w:tcPr>
            <w:tcW w:w="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b w:val="1"/>
                <w:bCs w:val="1"/>
                <w:color w:val="auto"/>
              </w:rPr>
              <w:t>Per Sq. Ft.</w:t>
            </w:r>
          </w:p>
        </w:tc>
        <w:tc>
          <w:tcPr>
            <w:tcW w:w="8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b w:val="1"/>
                <w:bCs w:val="1"/>
                <w:color w:val="auto"/>
                <w:w w:val="90"/>
              </w:rPr>
              <w:t>Per Sq. Ft.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6"/>
              </w:rPr>
              <w:t>Rent</w:t>
            </w:r>
          </w:p>
        </w:tc>
        <w:tc>
          <w:tcPr>
            <w:tcW w:w="11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3"/>
              </w:rPr>
              <w:t>Over Prior Rent</w:t>
            </w: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Over Prior Rent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3"/>
                <w:szCs w:val="13"/>
                <w:b w:val="1"/>
                <w:bCs w:val="1"/>
                <w:color w:val="auto"/>
              </w:rPr>
              <w:t>(6)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93"/>
        </w:trPr>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2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7"/>
              </w:rPr>
              <w:t>2nd Quarter 2003</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253,629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700,706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550,610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09"/>
        </w:trPr>
        <w:tc>
          <w:tcPr>
            <w:tcW w:w="1320" w:type="dxa"/>
            <w:vAlign w:val="bottom"/>
            <w:gridSpan w:val="5"/>
          </w:tcPr>
          <w:p>
            <w:pPr>
              <w:spacing w:after="0"/>
              <w:rPr>
                <w:sz w:val="20"/>
                <w:szCs w:val="20"/>
                <w:color w:val="auto"/>
              </w:rPr>
            </w:pPr>
            <w:r>
              <w:rPr>
                <w:rFonts w:ascii="Arial" w:cs="Arial" w:eastAsia="Arial" w:hAnsi="Arial"/>
                <w:sz w:val="17"/>
                <w:szCs w:val="17"/>
                <w:color w:val="auto"/>
              </w:rPr>
              <w:t>1st Quarter 2003</w:t>
            </w:r>
          </w:p>
        </w:tc>
        <w:tc>
          <w:tcPr>
            <w:tcW w:w="1080" w:type="dxa"/>
            <w:vAlign w:val="bottom"/>
          </w:tcPr>
          <w:p>
            <w:pPr>
              <w:jc w:val="right"/>
              <w:spacing w:after="0"/>
              <w:rPr>
                <w:sz w:val="20"/>
                <w:szCs w:val="20"/>
                <w:color w:val="auto"/>
              </w:rPr>
            </w:pPr>
            <w:r>
              <w:rPr>
                <w:rFonts w:ascii="Arial" w:cs="Arial" w:eastAsia="Arial" w:hAnsi="Arial"/>
                <w:sz w:val="17"/>
                <w:szCs w:val="17"/>
                <w:color w:val="auto"/>
              </w:rPr>
              <w:t>66</w:t>
            </w:r>
          </w:p>
        </w:tc>
        <w:tc>
          <w:tcPr>
            <w:tcW w:w="1000" w:type="dxa"/>
            <w:vAlign w:val="bottom"/>
            <w:gridSpan w:val="4"/>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374,140</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16.35</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13.88</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925,325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840" w:type="dxa"/>
            <w:vAlign w:val="bottom"/>
          </w:tcPr>
          <w:p>
            <w:pPr>
              <w:jc w:val="right"/>
              <w:spacing w:after="0"/>
              <w:rPr>
                <w:sz w:val="20"/>
                <w:szCs w:val="20"/>
                <w:color w:val="auto"/>
              </w:rPr>
            </w:pPr>
            <w:r>
              <w:rPr>
                <w:rFonts w:ascii="Arial" w:cs="Arial" w:eastAsia="Arial" w:hAnsi="Arial"/>
                <w:sz w:val="17"/>
                <w:szCs w:val="17"/>
                <w:color w:val="auto"/>
              </w:rPr>
              <w:t>7.8</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w w:val="95"/>
              </w:rPr>
              <w:t>$ 3,560,194</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9.52</w:t>
            </w:r>
          </w:p>
        </w:tc>
        <w:tc>
          <w:tcPr>
            <w:tcW w:w="0" w:type="dxa"/>
            <w:vAlign w:val="bottom"/>
          </w:tcPr>
          <w:p>
            <w:pPr>
              <w:spacing w:after="0"/>
              <w:rPr>
                <w:sz w:val="1"/>
                <w:szCs w:val="1"/>
                <w:color w:val="auto"/>
              </w:rPr>
            </w:pPr>
          </w:p>
        </w:tc>
      </w:tr>
      <w:tr>
        <w:trPr>
          <w:trHeight w:val="209"/>
        </w:trPr>
        <w:tc>
          <w:tcPr>
            <w:tcW w:w="13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4th Quarter 2002</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268,008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598,929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5"/>
              </w:rPr>
              <w:t>$ 1,050,130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15"/>
        </w:trPr>
        <w:tc>
          <w:tcPr>
            <w:tcW w:w="1320" w:type="dxa"/>
            <w:vAlign w:val="bottom"/>
            <w:gridSpan w:val="5"/>
          </w:tcPr>
          <w:p>
            <w:pPr>
              <w:spacing w:after="0"/>
              <w:rPr>
                <w:sz w:val="20"/>
                <w:szCs w:val="20"/>
                <w:color w:val="auto"/>
              </w:rPr>
            </w:pPr>
            <w:r>
              <w:rPr>
                <w:rFonts w:ascii="Arial" w:cs="Arial" w:eastAsia="Arial" w:hAnsi="Arial"/>
                <w:sz w:val="17"/>
                <w:szCs w:val="17"/>
                <w:color w:val="auto"/>
              </w:rPr>
              <w:t>3rd Quarter 2002</w:t>
            </w:r>
          </w:p>
        </w:tc>
        <w:tc>
          <w:tcPr>
            <w:tcW w:w="1080" w:type="dxa"/>
            <w:vAlign w:val="bottom"/>
          </w:tcPr>
          <w:p>
            <w:pPr>
              <w:jc w:val="right"/>
              <w:spacing w:after="0"/>
              <w:rPr>
                <w:sz w:val="20"/>
                <w:szCs w:val="20"/>
                <w:color w:val="auto"/>
              </w:rPr>
            </w:pPr>
            <w:r>
              <w:rPr>
                <w:rFonts w:ascii="Arial" w:cs="Arial" w:eastAsia="Arial" w:hAnsi="Arial"/>
                <w:sz w:val="17"/>
                <w:szCs w:val="17"/>
                <w:color w:val="auto"/>
              </w:rPr>
              <w:t>92</w:t>
            </w:r>
          </w:p>
        </w:tc>
        <w:tc>
          <w:tcPr>
            <w:tcW w:w="1000" w:type="dxa"/>
            <w:vAlign w:val="bottom"/>
            <w:gridSpan w:val="4"/>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377,106</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19.05</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15.93</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1,178,490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840" w:type="dxa"/>
            <w:vAlign w:val="bottom"/>
          </w:tcPr>
          <w:p>
            <w:pPr>
              <w:jc w:val="right"/>
              <w:spacing w:after="0"/>
              <w:rPr>
                <w:sz w:val="20"/>
                <w:szCs w:val="20"/>
                <w:color w:val="auto"/>
              </w:rPr>
            </w:pPr>
            <w:r>
              <w:rPr>
                <w:rFonts w:ascii="Arial" w:cs="Arial" w:eastAsia="Arial" w:hAnsi="Arial"/>
                <w:sz w:val="17"/>
                <w:szCs w:val="17"/>
                <w:color w:val="auto"/>
              </w:rPr>
              <w:t>7.6</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w w:val="95"/>
              </w:rPr>
              <w:t>$ 3,114,184</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8.26</w:t>
            </w: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2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6"/>
              </w:rPr>
              <w:t>Total—12 months</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1,272,883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3,403,448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5"/>
              </w:rPr>
              <w:t>$ 8,275,118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-4315460</wp:posOffset>
            </wp:positionV>
            <wp:extent cx="12700"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-4315460</wp:posOffset>
            </wp:positionV>
            <wp:extent cx="12700"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-4315460</wp:posOffset>
            </wp:positionV>
            <wp:extent cx="12700"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-4315460</wp:posOffset>
            </wp:positionV>
            <wp:extent cx="37465"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-4315460</wp:posOffset>
            </wp:positionV>
            <wp:extent cx="12700" cy="292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-4315460</wp:posOffset>
            </wp:positionV>
            <wp:extent cx="12700"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-4315460</wp:posOffset>
            </wp:positionV>
            <wp:extent cx="12700"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-4315460</wp:posOffset>
            </wp:positionV>
            <wp:extent cx="12700" cy="29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-4315460</wp:posOffset>
            </wp:positionV>
            <wp:extent cx="20955"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-4315460</wp:posOffset>
            </wp:positionV>
            <wp:extent cx="12700" cy="29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-4315460</wp:posOffset>
            </wp:positionV>
            <wp:extent cx="12700" cy="29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-4315460</wp:posOffset>
            </wp:positionV>
            <wp:extent cx="2095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-4315460</wp:posOffset>
            </wp:positionV>
            <wp:extent cx="12700"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-4315460</wp:posOffset>
            </wp:positionV>
            <wp:extent cx="12700"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-4315460</wp:posOffset>
            </wp:positionV>
            <wp:extent cx="20955" cy="292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-4315460</wp:posOffset>
            </wp:positionV>
            <wp:extent cx="12700" cy="292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-4315460</wp:posOffset>
            </wp:positionV>
            <wp:extent cx="37465" cy="292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-4315460</wp:posOffset>
            </wp:positionV>
            <wp:extent cx="12700" cy="292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-4315460</wp:posOffset>
            </wp:positionV>
            <wp:extent cx="37465" cy="292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-4315460</wp:posOffset>
            </wp:positionV>
            <wp:extent cx="1647825" cy="292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647825" cy="29210"/>
                    </a:xfrm>
                    <a:prstGeom prst="rect">
                      <a:avLst/>
                    </a:prstGeom>
                    <a:noFill/>
                  </pic:spPr>
                </pic:pic>
              </a:graphicData>
            </a:graphic>
          </wp:anchor>
        </w:drawing>
        <w:drawing>
          <wp:anchor simplePos="0" relativeHeight="251657728" behindDoc="1" locked="0" layoutInCell="0" allowOverlap="1">
            <wp:simplePos x="0" y="0"/>
            <wp:positionH relativeFrom="column">
              <wp:posOffset>1510665</wp:posOffset>
            </wp:positionH>
            <wp:positionV relativeFrom="paragraph">
              <wp:posOffset>-2241550</wp:posOffset>
            </wp:positionV>
            <wp:extent cx="12700"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-2241550</wp:posOffset>
            </wp:positionV>
            <wp:extent cx="12700"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-2241550</wp:posOffset>
            </wp:positionV>
            <wp:extent cx="12700"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-2241550</wp:posOffset>
            </wp:positionV>
            <wp:extent cx="37465"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-2241550</wp:posOffset>
            </wp:positionV>
            <wp:extent cx="12700"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-2241550</wp:posOffset>
            </wp:positionV>
            <wp:extent cx="12700"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-2241550</wp:posOffset>
            </wp:positionV>
            <wp:extent cx="12700"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-2241550</wp:posOffset>
            </wp:positionV>
            <wp:extent cx="12700"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-2241550</wp:posOffset>
            </wp:positionV>
            <wp:extent cx="20955"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-2241550</wp:posOffset>
            </wp:positionV>
            <wp:extent cx="12700" cy="29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-2241550</wp:posOffset>
            </wp:positionV>
            <wp:extent cx="1008380" cy="292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08380" cy="2921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-2241550</wp:posOffset>
            </wp:positionV>
            <wp:extent cx="37465" cy="292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-2241550</wp:posOffset>
            </wp:positionV>
            <wp:extent cx="12700" cy="292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-2241550</wp:posOffset>
            </wp:positionV>
            <wp:extent cx="37465" cy="292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-2241550</wp:posOffset>
            </wp:positionV>
            <wp:extent cx="12700" cy="292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-2241550</wp:posOffset>
            </wp:positionV>
            <wp:extent cx="12700" cy="292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-2241550</wp:posOffset>
            </wp:positionV>
            <wp:extent cx="12700" cy="292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-2241550</wp:posOffset>
            </wp:positionV>
            <wp:extent cx="12700" cy="292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-2241550</wp:posOffset>
            </wp:positionV>
            <wp:extent cx="20955"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-2241550</wp:posOffset>
            </wp:positionV>
            <wp:extent cx="12700" cy="29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-2241550</wp:posOffset>
            </wp:positionV>
            <wp:extent cx="5715" cy="292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715" cy="29210"/>
                    </a:xfrm>
                    <a:prstGeom prst="rect">
                      <a:avLst/>
                    </a:prstGeom>
                    <a:noFill/>
                  </pic:spPr>
                </pic:pic>
              </a:graphicData>
            </a:graphic>
          </wp:anchor>
        </w:drawing>
        <w:drawing>
          <wp:anchor simplePos="0" relativeHeight="251657728" behindDoc="1" locked="0" layoutInCell="0" allowOverlap="1">
            <wp:simplePos x="0" y="0"/>
            <wp:positionH relativeFrom="column">
              <wp:posOffset>6961505</wp:posOffset>
            </wp:positionH>
            <wp:positionV relativeFrom="paragraph">
              <wp:posOffset>-2241550</wp:posOffset>
            </wp:positionV>
            <wp:extent cx="20955" cy="292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1510665</wp:posOffset>
            </wp:positionH>
            <wp:positionV relativeFrom="paragraph">
              <wp:posOffset>-167640</wp:posOffset>
            </wp:positionV>
            <wp:extent cx="12700"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830580</wp:posOffset>
            </wp:positionH>
            <wp:positionV relativeFrom="paragraph">
              <wp:posOffset>-167640</wp:posOffset>
            </wp:positionV>
            <wp:extent cx="12700" cy="2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-167640</wp:posOffset>
            </wp:positionV>
            <wp:extent cx="12700"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2049780</wp:posOffset>
            </wp:positionH>
            <wp:positionV relativeFrom="paragraph">
              <wp:posOffset>-167640</wp:posOffset>
            </wp:positionV>
            <wp:extent cx="37465"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-167640</wp:posOffset>
            </wp:positionV>
            <wp:extent cx="12700"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-167640</wp:posOffset>
            </wp:positionV>
            <wp:extent cx="12700"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2655570</wp:posOffset>
            </wp:positionH>
            <wp:positionV relativeFrom="paragraph">
              <wp:posOffset>-167640</wp:posOffset>
            </wp:positionV>
            <wp:extent cx="12700"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-167640</wp:posOffset>
            </wp:positionV>
            <wp:extent cx="12700"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-167640</wp:posOffset>
            </wp:positionV>
            <wp:extent cx="20955"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-167640</wp:posOffset>
            </wp:positionV>
            <wp:extent cx="12700"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-167640</wp:posOffset>
            </wp:positionV>
            <wp:extent cx="12700"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3277870</wp:posOffset>
            </wp:positionH>
            <wp:positionV relativeFrom="paragraph">
              <wp:posOffset>-167640</wp:posOffset>
            </wp:positionV>
            <wp:extent cx="2095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-167640</wp:posOffset>
            </wp:positionV>
            <wp:extent cx="12700" cy="292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-167640</wp:posOffset>
            </wp:positionV>
            <wp:extent cx="12700"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-167640</wp:posOffset>
            </wp:positionV>
            <wp:extent cx="20955" cy="292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-167640</wp:posOffset>
            </wp:positionV>
            <wp:extent cx="12700" cy="292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-167640</wp:posOffset>
            </wp:positionV>
            <wp:extent cx="37465"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-167640</wp:posOffset>
            </wp:positionV>
            <wp:extent cx="12700"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-167640</wp:posOffset>
            </wp:positionV>
            <wp:extent cx="37465"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-167640</wp:posOffset>
            </wp:positionV>
            <wp:extent cx="12700"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-167640</wp:posOffset>
            </wp:positionV>
            <wp:extent cx="12700"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-167640</wp:posOffset>
            </wp:positionV>
            <wp:extent cx="12700"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-167640</wp:posOffset>
            </wp:positionV>
            <wp:extent cx="12700"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-167640</wp:posOffset>
            </wp:positionV>
            <wp:extent cx="20955" cy="292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-167640</wp:posOffset>
            </wp:positionV>
            <wp:extent cx="12700" cy="29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-167640</wp:posOffset>
            </wp:positionV>
            <wp:extent cx="5715"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715" cy="29210"/>
                    </a:xfrm>
                    <a:prstGeom prst="rect">
                      <a:avLst/>
                    </a:prstGeom>
                    <a:noFill/>
                  </pic:spPr>
                </pic:pic>
              </a:graphicData>
            </a:graphic>
          </wp:anchor>
        </w:drawing>
        <w:drawing>
          <wp:anchor simplePos="0" relativeHeight="251657728" behindDoc="1" locked="0" layoutInCell="0" allowOverlap="1">
            <wp:simplePos x="0" y="0"/>
            <wp:positionH relativeFrom="column">
              <wp:posOffset>6961505</wp:posOffset>
            </wp:positionH>
            <wp:positionV relativeFrom="paragraph">
              <wp:posOffset>-167640</wp:posOffset>
            </wp:positionV>
            <wp:extent cx="20955" cy="2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095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40" w:hanging="435"/>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Comparable leases represent those leases signed on spaces for which there was a former tenant.</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paid by the prior tenant in the final 12 months of the term.</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All other leases are categorized as new.</w:t>
      </w:r>
    </w:p>
    <w:p>
      <w:pPr>
        <w:spacing w:after="0" w:line="1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520"/>
          </w:cols>
          <w:pgMar w:left="240" w:top="271" w:right="1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(1)—Non-Comparable Basis (cash, non-straight-lined basis)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Lease Summary—Non-Comparable (2)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gridSpan w:val="4"/>
          </w:tcPr>
          <w:p>
            <w:pPr>
              <w:spacing w:after="0"/>
              <w:rPr>
                <w:sz w:val="20"/>
                <w:szCs w:val="20"/>
                <w:color w:val="auto"/>
              </w:rPr>
            </w:pPr>
            <w:r>
              <w:rPr>
                <w:rFonts w:ascii="Arial" w:cs="Arial" w:eastAsia="Arial" w:hAnsi="Arial"/>
                <w:sz w:val="13"/>
                <w:szCs w:val="13"/>
                <w:b w:val="1"/>
                <w:bCs w:val="1"/>
                <w:color w:val="auto"/>
              </w:rPr>
              <w:t>Contractual</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4"/>
          </w:tcPr>
          <w:p>
            <w:pPr>
              <w:jc w:val="center"/>
              <w:ind w:right="500"/>
              <w:spacing w:after="0" w:line="144" w:lineRule="exact"/>
              <w:rPr>
                <w:sz w:val="20"/>
                <w:szCs w:val="20"/>
                <w:color w:val="auto"/>
              </w:rPr>
            </w:pPr>
            <w:r>
              <w:rPr>
                <w:rFonts w:ascii="Arial" w:cs="Arial" w:eastAsia="Arial" w:hAnsi="Arial"/>
                <w:sz w:val="13"/>
                <w:szCs w:val="13"/>
                <w:b w:val="1"/>
                <w:bCs w:val="1"/>
                <w:color w:val="auto"/>
                <w:w w:val="92"/>
              </w:rPr>
              <w:t>Number of</w:t>
            </w:r>
          </w:p>
        </w:tc>
        <w:tc>
          <w:tcPr>
            <w:tcW w:w="1440" w:type="dxa"/>
            <w:vAlign w:val="bottom"/>
            <w:gridSpan w:val="2"/>
          </w:tcPr>
          <w:p>
            <w:pPr>
              <w:jc w:val="center"/>
              <w:ind w:right="640"/>
              <w:spacing w:after="0" w:line="144" w:lineRule="exact"/>
              <w:rPr>
                <w:sz w:val="20"/>
                <w:szCs w:val="20"/>
                <w:color w:val="auto"/>
              </w:rPr>
            </w:pPr>
            <w:r>
              <w:rPr>
                <w:rFonts w:ascii="Arial" w:cs="Arial" w:eastAsia="Arial" w:hAnsi="Arial"/>
                <w:sz w:val="13"/>
                <w:szCs w:val="13"/>
                <w:b w:val="1"/>
                <w:bCs w:val="1"/>
                <w:color w:val="auto"/>
                <w:w w:val="96"/>
              </w:rPr>
              <w:t>% of Total</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600"/>
              <w:spacing w:after="0" w:line="144" w:lineRule="exact"/>
              <w:rPr>
                <w:sz w:val="20"/>
                <w:szCs w:val="20"/>
                <w:color w:val="auto"/>
              </w:rPr>
            </w:pPr>
            <w:r>
              <w:rPr>
                <w:rFonts w:ascii="Arial" w:cs="Arial" w:eastAsia="Arial" w:hAnsi="Arial"/>
                <w:sz w:val="13"/>
                <w:szCs w:val="13"/>
                <w:b w:val="1"/>
                <w:bCs w:val="1"/>
                <w:color w:val="auto"/>
                <w:w w:val="94"/>
              </w:rPr>
              <w:t>Rent (3)</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Average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39"/>
              <w:spacing w:after="0" w:line="144" w:lineRule="exact"/>
              <w:rPr>
                <w:sz w:val="20"/>
                <w:szCs w:val="20"/>
                <w:color w:val="auto"/>
              </w:rPr>
            </w:pPr>
            <w:r>
              <w:rPr>
                <w:rFonts w:ascii="Arial" w:cs="Arial" w:eastAsia="Arial" w:hAnsi="Arial"/>
                <w:sz w:val="13"/>
                <w:szCs w:val="13"/>
                <w:b w:val="1"/>
                <w:bCs w:val="1"/>
                <w:color w:val="auto"/>
              </w:rPr>
              <w:t>Tenant</w:t>
            </w:r>
          </w:p>
        </w:tc>
        <w:tc>
          <w:tcPr>
            <w:tcW w:w="500" w:type="dxa"/>
            <w:vAlign w:val="bottom"/>
          </w:tcPr>
          <w:p>
            <w:pPr>
              <w:spacing w:after="0"/>
              <w:rPr>
                <w:sz w:val="12"/>
                <w:szCs w:val="12"/>
                <w:color w:val="auto"/>
              </w:rPr>
            </w:pPr>
          </w:p>
        </w:tc>
        <w:tc>
          <w:tcPr>
            <w:tcW w:w="840" w:type="dxa"/>
            <w:vAlign w:val="bottom"/>
            <w:gridSpan w:val="4"/>
          </w:tcPr>
          <w:p>
            <w:pPr>
              <w:ind w:left="20"/>
              <w:spacing w:after="0" w:line="144"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Quarter</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jc w:val="center"/>
              <w:ind w:right="520"/>
              <w:spacing w:after="0"/>
              <w:rPr>
                <w:sz w:val="20"/>
                <w:szCs w:val="20"/>
                <w:color w:val="auto"/>
              </w:rPr>
            </w:pPr>
            <w:r>
              <w:rPr>
                <w:rFonts w:ascii="Arial" w:cs="Arial" w:eastAsia="Arial" w:hAnsi="Arial"/>
                <w:sz w:val="13"/>
                <w:szCs w:val="13"/>
                <w:b w:val="1"/>
                <w:bCs w:val="1"/>
                <w:color w:val="auto"/>
                <w:w w:val="85"/>
              </w:rPr>
              <w:t>Leases Signed</w:t>
            </w:r>
          </w:p>
        </w:tc>
        <w:tc>
          <w:tcPr>
            <w:tcW w:w="144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85"/>
              </w:rPr>
              <w:t>Leases Signed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4"/>
              </w:rPr>
              <w:t>GLA Signed</w:t>
            </w:r>
          </w:p>
        </w:tc>
        <w:tc>
          <w:tcPr>
            <w:tcW w:w="500" w:type="dxa"/>
            <w:vAlign w:val="bottom"/>
          </w:tcPr>
          <w:p>
            <w:pPr>
              <w:spacing w:after="0"/>
              <w:rPr>
                <w:sz w:val="14"/>
                <w:szCs w:val="14"/>
                <w:color w:val="auto"/>
              </w:rPr>
            </w:pPr>
          </w:p>
        </w:tc>
        <w:tc>
          <w:tcPr>
            <w:tcW w:w="1200" w:type="dxa"/>
            <w:vAlign w:val="bottom"/>
            <w:gridSpan w:val="4"/>
          </w:tcPr>
          <w:p>
            <w:pPr>
              <w:jc w:val="center"/>
              <w:ind w:right="520"/>
              <w:spacing w:after="0"/>
              <w:rPr>
                <w:sz w:val="20"/>
                <w:szCs w:val="20"/>
                <w:color w:val="auto"/>
              </w:rPr>
            </w:pPr>
            <w:r>
              <w:rPr>
                <w:rFonts w:ascii="Arial" w:cs="Arial" w:eastAsia="Arial" w:hAnsi="Arial"/>
                <w:sz w:val="13"/>
                <w:szCs w:val="13"/>
                <w:b w:val="1"/>
                <w:bCs w:val="1"/>
                <w:color w:val="auto"/>
                <w:w w:val="93"/>
              </w:rPr>
              <w:t>Per Sq. Ft.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Lease Term (4)</w:t>
            </w:r>
          </w:p>
        </w:tc>
        <w:tc>
          <w:tcPr>
            <w:tcW w:w="5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93"/>
        </w:trPr>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2nd Quarter 2003</w:t>
            </w:r>
          </w:p>
        </w:tc>
        <w:tc>
          <w:tcPr>
            <w:tcW w:w="2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92%</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70,475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15.35</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32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w w:val="89"/>
              </w:rPr>
              <w:t>$ 1,050,000</w:t>
            </w: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gridSpan w:val="2"/>
          </w:tcPr>
          <w:p>
            <w:pPr>
              <w:spacing w:after="0"/>
              <w:rPr>
                <w:sz w:val="20"/>
                <w:szCs w:val="20"/>
                <w:color w:val="auto"/>
              </w:rPr>
            </w:pPr>
            <w:r>
              <w:rPr>
                <w:rFonts w:ascii="Arial" w:cs="Arial" w:eastAsia="Arial" w:hAnsi="Arial"/>
                <w:sz w:val="17"/>
                <w:szCs w:val="17"/>
                <w:color w:val="auto"/>
              </w:rPr>
              <w:t>1st Quarter 2003</w:t>
            </w:r>
          </w:p>
        </w:tc>
        <w:tc>
          <w:tcPr>
            <w:tcW w:w="2300" w:type="dxa"/>
            <w:vAlign w:val="bottom"/>
            <w:gridSpan w:val="4"/>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7"/>
                <w:szCs w:val="17"/>
                <w:color w:val="auto"/>
              </w:rPr>
              <w:t>91%</w:t>
            </w:r>
          </w:p>
        </w:tc>
        <w:tc>
          <w:tcPr>
            <w:tcW w:w="700" w:type="dxa"/>
            <w:vAlign w:val="bottom"/>
          </w:tcPr>
          <w:p>
            <w:pPr>
              <w:jc w:val="right"/>
              <w:spacing w:after="0"/>
              <w:rPr>
                <w:sz w:val="20"/>
                <w:szCs w:val="20"/>
                <w:color w:val="auto"/>
              </w:rPr>
            </w:pPr>
            <w:r>
              <w:rPr>
                <w:rFonts w:ascii="Arial" w:cs="Arial" w:eastAsia="Arial" w:hAnsi="Arial"/>
                <w:sz w:val="17"/>
                <w:szCs w:val="17"/>
                <w:color w:val="auto"/>
              </w:rPr>
              <w:t>150,407</w:t>
            </w:r>
          </w:p>
        </w:tc>
        <w:tc>
          <w:tcPr>
            <w:tcW w:w="600" w:type="dxa"/>
            <w:vAlign w:val="bottom"/>
            <w:gridSpan w:val="2"/>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34.48</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10.4</w:t>
            </w:r>
          </w:p>
        </w:tc>
        <w:tc>
          <w:tcPr>
            <w:tcW w:w="6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436,775</w:t>
            </w: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4th Quarter 2002</w:t>
            </w:r>
          </w:p>
        </w:tc>
        <w:tc>
          <w:tcPr>
            <w:tcW w:w="2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44,874</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29.89</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225,118</w:t>
            </w: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gridSpan w:val="2"/>
          </w:tcPr>
          <w:p>
            <w:pPr>
              <w:spacing w:after="0"/>
              <w:rPr>
                <w:sz w:val="20"/>
                <w:szCs w:val="20"/>
                <w:color w:val="auto"/>
              </w:rPr>
            </w:pPr>
            <w:r>
              <w:rPr>
                <w:rFonts w:ascii="Arial" w:cs="Arial" w:eastAsia="Arial" w:hAnsi="Arial"/>
                <w:sz w:val="17"/>
                <w:szCs w:val="17"/>
                <w:color w:val="auto"/>
                <w:w w:val="98"/>
              </w:rPr>
              <w:t>3rd Quarter 2002</w:t>
            </w:r>
          </w:p>
        </w:tc>
        <w:tc>
          <w:tcPr>
            <w:tcW w:w="2300" w:type="dxa"/>
            <w:vAlign w:val="bottom"/>
            <w:gridSpan w:val="4"/>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7"/>
                <w:szCs w:val="17"/>
                <w:color w:val="auto"/>
              </w:rPr>
              <w:t>96%</w:t>
            </w:r>
          </w:p>
        </w:tc>
        <w:tc>
          <w:tcPr>
            <w:tcW w:w="700" w:type="dxa"/>
            <w:vAlign w:val="bottom"/>
          </w:tcPr>
          <w:p>
            <w:pPr>
              <w:jc w:val="right"/>
              <w:spacing w:after="0"/>
              <w:rPr>
                <w:sz w:val="20"/>
                <w:szCs w:val="20"/>
                <w:color w:val="auto"/>
              </w:rPr>
            </w:pPr>
            <w:r>
              <w:rPr>
                <w:rFonts w:ascii="Arial" w:cs="Arial" w:eastAsia="Arial" w:hAnsi="Arial"/>
                <w:sz w:val="17"/>
                <w:szCs w:val="17"/>
                <w:color w:val="auto"/>
              </w:rPr>
              <w:t>96,327</w:t>
            </w:r>
          </w:p>
        </w:tc>
        <w:tc>
          <w:tcPr>
            <w:tcW w:w="600" w:type="dxa"/>
            <w:vAlign w:val="bottom"/>
            <w:gridSpan w:val="2"/>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31.55</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11.3</w:t>
            </w:r>
          </w:p>
        </w:tc>
        <w:tc>
          <w:tcPr>
            <w:tcW w:w="6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653,631</w:t>
            </w: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Total—12 months</w:t>
            </w:r>
          </w:p>
        </w:tc>
        <w:tc>
          <w:tcPr>
            <w:tcW w:w="2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96%</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362,083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29.41</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32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w w:val="89"/>
              </w:rPr>
              <w:t>$ 2,365,525</w:t>
            </w: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500" w:type="dxa"/>
            <w:vAlign w:val="bottom"/>
            <w:gridSpan w:val="3"/>
          </w:tcPr>
          <w:p>
            <w:pPr>
              <w:spacing w:after="0"/>
              <w:rPr>
                <w:sz w:val="11"/>
                <w:szCs w:val="11"/>
                <w:color w:val="auto"/>
              </w:rPr>
            </w:pPr>
          </w:p>
        </w:tc>
        <w:tc>
          <w:tcPr>
            <w:tcW w:w="760" w:type="dxa"/>
            <w:vAlign w:val="bottom"/>
            <w:tcBorders>
              <w:bottom w:val="single" w:sz="8" w:color="auto"/>
            </w:tcBorders>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84"/>
        </w:trPr>
        <w:tc>
          <w:tcPr>
            <w:tcW w:w="4100" w:type="dxa"/>
            <w:vAlign w:val="bottom"/>
            <w:gridSpan w:val="8"/>
          </w:tcPr>
          <w:p>
            <w:pPr>
              <w:spacing w:after="0"/>
              <w:rPr>
                <w:sz w:val="20"/>
                <w:szCs w:val="20"/>
                <w:color w:val="auto"/>
              </w:rPr>
            </w:pPr>
            <w:r>
              <w:rPr>
                <w:rFonts w:ascii="Arial" w:cs="Arial" w:eastAsia="Arial" w:hAnsi="Arial"/>
                <w:sz w:val="17"/>
                <w:szCs w:val="17"/>
                <w:b w:val="1"/>
                <w:bCs w:val="1"/>
                <w:color w:val="auto"/>
                <w:w w:val="99"/>
              </w:rPr>
              <w:t>Renewal Lease Summary—Non-Comparable (2) (5)</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Contractual</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Average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4"/>
          </w:tcPr>
          <w:p>
            <w:pPr>
              <w:jc w:val="center"/>
              <w:ind w:right="500"/>
              <w:spacing w:after="0" w:line="144" w:lineRule="exact"/>
              <w:rPr>
                <w:sz w:val="20"/>
                <w:szCs w:val="20"/>
                <w:color w:val="auto"/>
              </w:rPr>
            </w:pPr>
            <w:r>
              <w:rPr>
                <w:rFonts w:ascii="Arial" w:cs="Arial" w:eastAsia="Arial" w:hAnsi="Arial"/>
                <w:sz w:val="13"/>
                <w:szCs w:val="13"/>
                <w:b w:val="1"/>
                <w:bCs w:val="1"/>
                <w:color w:val="auto"/>
                <w:w w:val="92"/>
              </w:rPr>
              <w:t>Number of</w:t>
            </w:r>
          </w:p>
        </w:tc>
        <w:tc>
          <w:tcPr>
            <w:tcW w:w="1440" w:type="dxa"/>
            <w:vAlign w:val="bottom"/>
            <w:gridSpan w:val="2"/>
          </w:tcPr>
          <w:p>
            <w:pPr>
              <w:jc w:val="center"/>
              <w:ind w:right="640"/>
              <w:spacing w:after="0" w:line="144" w:lineRule="exact"/>
              <w:rPr>
                <w:sz w:val="20"/>
                <w:szCs w:val="20"/>
                <w:color w:val="auto"/>
              </w:rPr>
            </w:pPr>
            <w:r>
              <w:rPr>
                <w:rFonts w:ascii="Arial" w:cs="Arial" w:eastAsia="Arial" w:hAnsi="Arial"/>
                <w:sz w:val="13"/>
                <w:szCs w:val="13"/>
                <w:b w:val="1"/>
                <w:bCs w:val="1"/>
                <w:color w:val="auto"/>
                <w:w w:val="96"/>
              </w:rPr>
              <w:t>% of Total</w:t>
            </w: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GLA</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600"/>
              <w:spacing w:after="0" w:line="144" w:lineRule="exact"/>
              <w:rPr>
                <w:sz w:val="20"/>
                <w:szCs w:val="20"/>
                <w:color w:val="auto"/>
              </w:rPr>
            </w:pPr>
            <w:r>
              <w:rPr>
                <w:rFonts w:ascii="Arial" w:cs="Arial" w:eastAsia="Arial" w:hAnsi="Arial"/>
                <w:sz w:val="13"/>
                <w:szCs w:val="13"/>
                <w:b w:val="1"/>
                <w:bCs w:val="1"/>
                <w:color w:val="auto"/>
                <w:w w:val="94"/>
              </w:rPr>
              <w:t>Rent (3)</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Lease Term</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39"/>
              <w:spacing w:after="0" w:line="144" w:lineRule="exact"/>
              <w:rPr>
                <w:sz w:val="20"/>
                <w:szCs w:val="20"/>
                <w:color w:val="auto"/>
              </w:rPr>
            </w:pPr>
            <w:r>
              <w:rPr>
                <w:rFonts w:ascii="Arial" w:cs="Arial" w:eastAsia="Arial" w:hAnsi="Arial"/>
                <w:sz w:val="13"/>
                <w:szCs w:val="13"/>
                <w:b w:val="1"/>
                <w:bCs w:val="1"/>
                <w:color w:val="auto"/>
              </w:rPr>
              <w:t>Tenant</w:t>
            </w:r>
          </w:p>
        </w:tc>
        <w:tc>
          <w:tcPr>
            <w:tcW w:w="500" w:type="dxa"/>
            <w:vAlign w:val="bottom"/>
          </w:tcPr>
          <w:p>
            <w:pPr>
              <w:spacing w:after="0"/>
              <w:rPr>
                <w:sz w:val="12"/>
                <w:szCs w:val="12"/>
                <w:color w:val="auto"/>
              </w:rPr>
            </w:pPr>
          </w:p>
        </w:tc>
        <w:tc>
          <w:tcPr>
            <w:tcW w:w="840" w:type="dxa"/>
            <w:vAlign w:val="bottom"/>
            <w:gridSpan w:val="4"/>
          </w:tcPr>
          <w:p>
            <w:pPr>
              <w:ind w:left="20"/>
              <w:spacing w:after="0" w:line="144"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Quarter</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jc w:val="center"/>
              <w:ind w:right="520"/>
              <w:spacing w:after="0"/>
              <w:rPr>
                <w:sz w:val="20"/>
                <w:szCs w:val="20"/>
                <w:color w:val="auto"/>
              </w:rPr>
            </w:pPr>
            <w:r>
              <w:rPr>
                <w:rFonts w:ascii="Arial" w:cs="Arial" w:eastAsia="Arial" w:hAnsi="Arial"/>
                <w:sz w:val="13"/>
                <w:szCs w:val="13"/>
                <w:b w:val="1"/>
                <w:bCs w:val="1"/>
                <w:color w:val="auto"/>
                <w:w w:val="87"/>
              </w:rPr>
              <w:t>Renewals Signed</w:t>
            </w:r>
          </w:p>
        </w:tc>
        <w:tc>
          <w:tcPr>
            <w:tcW w:w="144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85"/>
              </w:rPr>
              <w:t>Leases Signed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Signed</w:t>
            </w:r>
          </w:p>
        </w:tc>
        <w:tc>
          <w:tcPr>
            <w:tcW w:w="500" w:type="dxa"/>
            <w:vAlign w:val="bottom"/>
          </w:tcPr>
          <w:p>
            <w:pPr>
              <w:spacing w:after="0"/>
              <w:rPr>
                <w:sz w:val="14"/>
                <w:szCs w:val="14"/>
                <w:color w:val="auto"/>
              </w:rPr>
            </w:pPr>
          </w:p>
        </w:tc>
        <w:tc>
          <w:tcPr>
            <w:tcW w:w="1200" w:type="dxa"/>
            <w:vAlign w:val="bottom"/>
            <w:gridSpan w:val="4"/>
          </w:tcPr>
          <w:p>
            <w:pPr>
              <w:jc w:val="center"/>
              <w:ind w:right="520"/>
              <w:spacing w:after="0"/>
              <w:rPr>
                <w:sz w:val="20"/>
                <w:szCs w:val="20"/>
                <w:color w:val="auto"/>
              </w:rPr>
            </w:pPr>
            <w:r>
              <w:rPr>
                <w:rFonts w:ascii="Arial" w:cs="Arial" w:eastAsia="Arial" w:hAnsi="Arial"/>
                <w:sz w:val="13"/>
                <w:szCs w:val="13"/>
                <w:b w:val="1"/>
                <w:bCs w:val="1"/>
                <w:color w:val="auto"/>
                <w:w w:val="93"/>
              </w:rPr>
              <w:t>Per Sq. Ft.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(4)</w:t>
            </w:r>
          </w:p>
        </w:tc>
        <w:tc>
          <w:tcPr>
            <w:tcW w:w="5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93"/>
        </w:trPr>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2nd Quarter 2003</w:t>
            </w:r>
          </w:p>
        </w:tc>
        <w:tc>
          <w:tcPr>
            <w:tcW w:w="2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gridSpan w:val="2"/>
          </w:tcPr>
          <w:p>
            <w:pPr>
              <w:spacing w:after="0"/>
              <w:rPr>
                <w:sz w:val="20"/>
                <w:szCs w:val="20"/>
                <w:color w:val="auto"/>
              </w:rPr>
            </w:pPr>
            <w:r>
              <w:rPr>
                <w:rFonts w:ascii="Arial" w:cs="Arial" w:eastAsia="Arial" w:hAnsi="Arial"/>
                <w:sz w:val="17"/>
                <w:szCs w:val="17"/>
                <w:color w:val="auto"/>
              </w:rPr>
              <w:t>1st Quarter 2003</w:t>
            </w:r>
          </w:p>
        </w:tc>
        <w:tc>
          <w:tcPr>
            <w:tcW w:w="230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7"/>
                <w:szCs w:val="17"/>
                <w:color w:val="auto"/>
              </w:rPr>
              <w:t>9%</w:t>
            </w:r>
          </w:p>
        </w:tc>
        <w:tc>
          <w:tcPr>
            <w:tcW w:w="700" w:type="dxa"/>
            <w:vAlign w:val="bottom"/>
          </w:tcPr>
          <w:p>
            <w:pPr>
              <w:jc w:val="right"/>
              <w:spacing w:after="0"/>
              <w:rPr>
                <w:sz w:val="20"/>
                <w:szCs w:val="20"/>
                <w:color w:val="auto"/>
              </w:rPr>
            </w:pPr>
            <w:r>
              <w:rPr>
                <w:rFonts w:ascii="Arial" w:cs="Arial" w:eastAsia="Arial" w:hAnsi="Arial"/>
                <w:sz w:val="17"/>
                <w:szCs w:val="17"/>
                <w:color w:val="auto"/>
              </w:rPr>
              <w:t>7,473</w:t>
            </w:r>
          </w:p>
        </w:tc>
        <w:tc>
          <w:tcPr>
            <w:tcW w:w="600" w:type="dxa"/>
            <w:vAlign w:val="bottom"/>
            <w:gridSpan w:val="2"/>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11.58</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w:t>
            </w:r>
          </w:p>
        </w:tc>
        <w:tc>
          <w:tcPr>
            <w:tcW w:w="6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4th Quarter 2002</w:t>
            </w:r>
          </w:p>
        </w:tc>
        <w:tc>
          <w:tcPr>
            <w:tcW w:w="2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gridSpan w:val="2"/>
          </w:tcPr>
          <w:p>
            <w:pPr>
              <w:spacing w:after="0"/>
              <w:rPr>
                <w:sz w:val="20"/>
                <w:szCs w:val="20"/>
                <w:color w:val="auto"/>
              </w:rPr>
            </w:pPr>
            <w:r>
              <w:rPr>
                <w:rFonts w:ascii="Arial" w:cs="Arial" w:eastAsia="Arial" w:hAnsi="Arial"/>
                <w:sz w:val="17"/>
                <w:szCs w:val="17"/>
                <w:color w:val="auto"/>
                <w:w w:val="98"/>
              </w:rPr>
              <w:t>3rd Quarter 2002</w:t>
            </w:r>
          </w:p>
        </w:tc>
        <w:tc>
          <w:tcPr>
            <w:tcW w:w="230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7"/>
                <w:szCs w:val="17"/>
                <w:color w:val="auto"/>
              </w:rPr>
              <w:t>4%</w:t>
            </w:r>
          </w:p>
        </w:tc>
        <w:tc>
          <w:tcPr>
            <w:tcW w:w="700" w:type="dxa"/>
            <w:vAlign w:val="bottom"/>
          </w:tcPr>
          <w:p>
            <w:pPr>
              <w:jc w:val="right"/>
              <w:spacing w:after="0"/>
              <w:rPr>
                <w:sz w:val="20"/>
                <w:szCs w:val="20"/>
                <w:color w:val="auto"/>
              </w:rPr>
            </w:pPr>
            <w:r>
              <w:rPr>
                <w:rFonts w:ascii="Arial" w:cs="Arial" w:eastAsia="Arial" w:hAnsi="Arial"/>
                <w:sz w:val="17"/>
                <w:szCs w:val="17"/>
                <w:color w:val="auto"/>
              </w:rPr>
              <w:t>8,669</w:t>
            </w:r>
          </w:p>
        </w:tc>
        <w:tc>
          <w:tcPr>
            <w:tcW w:w="600" w:type="dxa"/>
            <w:vAlign w:val="bottom"/>
            <w:gridSpan w:val="2"/>
          </w:tcPr>
          <w:p>
            <w:pPr>
              <w:ind w:left="500"/>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8"/>
                <w:szCs w:val="18"/>
                <w:color w:val="auto"/>
              </w:rPr>
            </w:pPr>
          </w:p>
        </w:tc>
        <w:tc>
          <w:tcPr>
            <w:tcW w:w="10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0.0</w:t>
            </w:r>
          </w:p>
        </w:tc>
        <w:tc>
          <w:tcPr>
            <w:tcW w:w="6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Total—12 months</w:t>
            </w:r>
          </w:p>
        </w:tc>
        <w:tc>
          <w:tcPr>
            <w:tcW w:w="2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17,746</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500" w:type="dxa"/>
            <w:vAlign w:val="bottom"/>
            <w:gridSpan w:val="3"/>
          </w:tcPr>
          <w:p>
            <w:pPr>
              <w:spacing w:after="0"/>
              <w:rPr>
                <w:sz w:val="11"/>
                <w:szCs w:val="11"/>
                <w:color w:val="auto"/>
              </w:rPr>
            </w:pPr>
          </w:p>
        </w:tc>
        <w:tc>
          <w:tcPr>
            <w:tcW w:w="760" w:type="dxa"/>
            <w:vAlign w:val="bottom"/>
            <w:tcBorders>
              <w:bottom w:val="single" w:sz="8" w:color="auto"/>
            </w:tcBorders>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84"/>
        </w:trPr>
        <w:tc>
          <w:tcPr>
            <w:tcW w:w="4100" w:type="dxa"/>
            <w:vAlign w:val="bottom"/>
            <w:gridSpan w:val="8"/>
          </w:tcPr>
          <w:p>
            <w:pPr>
              <w:spacing w:after="0"/>
              <w:rPr>
                <w:sz w:val="20"/>
                <w:szCs w:val="20"/>
                <w:color w:val="auto"/>
              </w:rPr>
            </w:pPr>
            <w:r>
              <w:rPr>
                <w:rFonts w:ascii="Arial" w:cs="Arial" w:eastAsia="Arial" w:hAnsi="Arial"/>
                <w:sz w:val="17"/>
                <w:szCs w:val="17"/>
                <w:b w:val="1"/>
                <w:bCs w:val="1"/>
                <w:color w:val="auto"/>
              </w:rPr>
              <w:t>Total Lease Summary—Non-Comparable (2)</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7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Contractual</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Average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4"/>
          </w:tcPr>
          <w:p>
            <w:pPr>
              <w:jc w:val="center"/>
              <w:ind w:right="500"/>
              <w:spacing w:after="0" w:line="144" w:lineRule="exact"/>
              <w:rPr>
                <w:sz w:val="20"/>
                <w:szCs w:val="20"/>
                <w:color w:val="auto"/>
              </w:rPr>
            </w:pPr>
            <w:r>
              <w:rPr>
                <w:rFonts w:ascii="Arial" w:cs="Arial" w:eastAsia="Arial" w:hAnsi="Arial"/>
                <w:sz w:val="13"/>
                <w:szCs w:val="13"/>
                <w:b w:val="1"/>
                <w:bCs w:val="1"/>
                <w:color w:val="auto"/>
                <w:w w:val="88"/>
              </w:rPr>
              <w:t>Number of Leases</w:t>
            </w:r>
          </w:p>
        </w:tc>
        <w:tc>
          <w:tcPr>
            <w:tcW w:w="1440" w:type="dxa"/>
            <w:vAlign w:val="bottom"/>
            <w:gridSpan w:val="2"/>
          </w:tcPr>
          <w:p>
            <w:pPr>
              <w:jc w:val="center"/>
              <w:ind w:right="640"/>
              <w:spacing w:after="0" w:line="144" w:lineRule="exact"/>
              <w:rPr>
                <w:sz w:val="20"/>
                <w:szCs w:val="20"/>
                <w:color w:val="auto"/>
              </w:rPr>
            </w:pPr>
            <w:r>
              <w:rPr>
                <w:rFonts w:ascii="Arial" w:cs="Arial" w:eastAsia="Arial" w:hAnsi="Arial"/>
                <w:sz w:val="13"/>
                <w:szCs w:val="13"/>
                <w:b w:val="1"/>
                <w:bCs w:val="1"/>
                <w:color w:val="auto"/>
                <w:w w:val="96"/>
              </w:rPr>
              <w:t>% of Total</w:t>
            </w: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GLA</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600"/>
              <w:spacing w:after="0" w:line="144" w:lineRule="exact"/>
              <w:rPr>
                <w:sz w:val="20"/>
                <w:szCs w:val="20"/>
                <w:color w:val="auto"/>
              </w:rPr>
            </w:pPr>
            <w:r>
              <w:rPr>
                <w:rFonts w:ascii="Arial" w:cs="Arial" w:eastAsia="Arial" w:hAnsi="Arial"/>
                <w:sz w:val="13"/>
                <w:szCs w:val="13"/>
                <w:b w:val="1"/>
                <w:bCs w:val="1"/>
                <w:color w:val="auto"/>
                <w:w w:val="94"/>
              </w:rPr>
              <w:t>Rent (3)</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Lease Term</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39"/>
              <w:spacing w:after="0" w:line="144" w:lineRule="exact"/>
              <w:rPr>
                <w:sz w:val="20"/>
                <w:szCs w:val="20"/>
                <w:color w:val="auto"/>
              </w:rPr>
            </w:pPr>
            <w:r>
              <w:rPr>
                <w:rFonts w:ascii="Arial" w:cs="Arial" w:eastAsia="Arial" w:hAnsi="Arial"/>
                <w:sz w:val="13"/>
                <w:szCs w:val="13"/>
                <w:b w:val="1"/>
                <w:bCs w:val="1"/>
                <w:color w:val="auto"/>
              </w:rPr>
              <w:t>Tenant</w:t>
            </w:r>
          </w:p>
        </w:tc>
        <w:tc>
          <w:tcPr>
            <w:tcW w:w="500" w:type="dxa"/>
            <w:vAlign w:val="bottom"/>
          </w:tcPr>
          <w:p>
            <w:pPr>
              <w:spacing w:after="0"/>
              <w:rPr>
                <w:sz w:val="12"/>
                <w:szCs w:val="12"/>
                <w:color w:val="auto"/>
              </w:rPr>
            </w:pPr>
          </w:p>
        </w:tc>
        <w:tc>
          <w:tcPr>
            <w:tcW w:w="840" w:type="dxa"/>
            <w:vAlign w:val="bottom"/>
            <w:gridSpan w:val="4"/>
          </w:tcPr>
          <w:p>
            <w:pPr>
              <w:ind w:left="20"/>
              <w:spacing w:after="0" w:line="144"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3"/>
                <w:szCs w:val="13"/>
                <w:b w:val="1"/>
                <w:bCs w:val="1"/>
                <w:color w:val="auto"/>
              </w:rPr>
              <w:t>Quarter</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90"/>
              </w:rPr>
              <w:t>&amp; Renewals Signed</w:t>
            </w:r>
          </w:p>
        </w:tc>
        <w:tc>
          <w:tcPr>
            <w:tcW w:w="144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85"/>
              </w:rPr>
              <w:t>Leases Signed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Signed</w:t>
            </w:r>
          </w:p>
        </w:tc>
        <w:tc>
          <w:tcPr>
            <w:tcW w:w="500" w:type="dxa"/>
            <w:vAlign w:val="bottom"/>
          </w:tcPr>
          <w:p>
            <w:pPr>
              <w:spacing w:after="0"/>
              <w:rPr>
                <w:sz w:val="14"/>
                <w:szCs w:val="14"/>
                <w:color w:val="auto"/>
              </w:rPr>
            </w:pPr>
          </w:p>
        </w:tc>
        <w:tc>
          <w:tcPr>
            <w:tcW w:w="1200" w:type="dxa"/>
            <w:vAlign w:val="bottom"/>
            <w:gridSpan w:val="4"/>
          </w:tcPr>
          <w:p>
            <w:pPr>
              <w:jc w:val="center"/>
              <w:ind w:right="520"/>
              <w:spacing w:after="0"/>
              <w:rPr>
                <w:sz w:val="20"/>
                <w:szCs w:val="20"/>
                <w:color w:val="auto"/>
              </w:rPr>
            </w:pPr>
            <w:r>
              <w:rPr>
                <w:rFonts w:ascii="Arial" w:cs="Arial" w:eastAsia="Arial" w:hAnsi="Arial"/>
                <w:sz w:val="13"/>
                <w:szCs w:val="13"/>
                <w:b w:val="1"/>
                <w:bCs w:val="1"/>
                <w:color w:val="auto"/>
                <w:w w:val="93"/>
              </w:rPr>
              <w:t>Per Sq. Ft.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(4)</w:t>
            </w:r>
          </w:p>
        </w:tc>
        <w:tc>
          <w:tcPr>
            <w:tcW w:w="5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93"/>
        </w:trPr>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2nd Quarter 2003</w:t>
            </w:r>
          </w:p>
        </w:tc>
        <w:tc>
          <w:tcPr>
            <w:tcW w:w="2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72,079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15.28</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32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w w:val="89"/>
              </w:rPr>
              <w:t>$ 1,050,000</w:t>
            </w: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gridSpan w:val="2"/>
          </w:tcPr>
          <w:p>
            <w:pPr>
              <w:spacing w:after="0"/>
              <w:rPr>
                <w:sz w:val="20"/>
                <w:szCs w:val="20"/>
                <w:color w:val="auto"/>
              </w:rPr>
            </w:pPr>
            <w:r>
              <w:rPr>
                <w:rFonts w:ascii="Arial" w:cs="Arial" w:eastAsia="Arial" w:hAnsi="Arial"/>
                <w:sz w:val="17"/>
                <w:szCs w:val="17"/>
                <w:color w:val="auto"/>
              </w:rPr>
              <w:t>1st Quarter 2003</w:t>
            </w:r>
          </w:p>
        </w:tc>
        <w:tc>
          <w:tcPr>
            <w:tcW w:w="2300" w:type="dxa"/>
            <w:vAlign w:val="bottom"/>
            <w:gridSpan w:val="4"/>
          </w:tcPr>
          <w:p>
            <w:pPr>
              <w:jc w:val="right"/>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7"/>
                <w:szCs w:val="17"/>
                <w:color w:val="auto"/>
              </w:rPr>
              <w:t>100%</w:t>
            </w:r>
          </w:p>
        </w:tc>
        <w:tc>
          <w:tcPr>
            <w:tcW w:w="700" w:type="dxa"/>
            <w:vAlign w:val="bottom"/>
          </w:tcPr>
          <w:p>
            <w:pPr>
              <w:jc w:val="right"/>
              <w:spacing w:after="0"/>
              <w:rPr>
                <w:sz w:val="20"/>
                <w:szCs w:val="20"/>
                <w:color w:val="auto"/>
              </w:rPr>
            </w:pPr>
            <w:r>
              <w:rPr>
                <w:rFonts w:ascii="Arial" w:cs="Arial" w:eastAsia="Arial" w:hAnsi="Arial"/>
                <w:sz w:val="17"/>
                <w:szCs w:val="17"/>
                <w:color w:val="auto"/>
              </w:rPr>
              <w:t>157,880</w:t>
            </w:r>
          </w:p>
        </w:tc>
        <w:tc>
          <w:tcPr>
            <w:tcW w:w="600" w:type="dxa"/>
            <w:vAlign w:val="bottom"/>
            <w:gridSpan w:val="2"/>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33.39</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10.4</w:t>
            </w:r>
          </w:p>
        </w:tc>
        <w:tc>
          <w:tcPr>
            <w:tcW w:w="6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436,775</w:t>
            </w: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4th Quarter 2002</w:t>
            </w:r>
          </w:p>
        </w:tc>
        <w:tc>
          <w:tcPr>
            <w:tcW w:w="2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44,874</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29.89</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225,118</w:t>
            </w: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gridSpan w:val="2"/>
          </w:tcPr>
          <w:p>
            <w:pPr>
              <w:spacing w:after="0"/>
              <w:rPr>
                <w:sz w:val="20"/>
                <w:szCs w:val="20"/>
                <w:color w:val="auto"/>
              </w:rPr>
            </w:pPr>
            <w:r>
              <w:rPr>
                <w:rFonts w:ascii="Arial" w:cs="Arial" w:eastAsia="Arial" w:hAnsi="Arial"/>
                <w:sz w:val="17"/>
                <w:szCs w:val="17"/>
                <w:color w:val="auto"/>
                <w:w w:val="98"/>
              </w:rPr>
              <w:t>3rd Quarter 2002</w:t>
            </w:r>
          </w:p>
        </w:tc>
        <w:tc>
          <w:tcPr>
            <w:tcW w:w="2300" w:type="dxa"/>
            <w:vAlign w:val="bottom"/>
            <w:gridSpan w:val="4"/>
          </w:tcPr>
          <w:p>
            <w:pPr>
              <w:jc w:val="right"/>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7"/>
                <w:szCs w:val="17"/>
                <w:color w:val="auto"/>
              </w:rPr>
              <w:t>100%</w:t>
            </w:r>
          </w:p>
        </w:tc>
        <w:tc>
          <w:tcPr>
            <w:tcW w:w="700" w:type="dxa"/>
            <w:vAlign w:val="bottom"/>
          </w:tcPr>
          <w:p>
            <w:pPr>
              <w:jc w:val="right"/>
              <w:spacing w:after="0"/>
              <w:rPr>
                <w:sz w:val="20"/>
                <w:szCs w:val="20"/>
                <w:color w:val="auto"/>
              </w:rPr>
            </w:pPr>
            <w:r>
              <w:rPr>
                <w:rFonts w:ascii="Arial" w:cs="Arial" w:eastAsia="Arial" w:hAnsi="Arial"/>
                <w:sz w:val="17"/>
                <w:szCs w:val="17"/>
                <w:color w:val="auto"/>
              </w:rPr>
              <w:t>104,996</w:t>
            </w:r>
          </w:p>
        </w:tc>
        <w:tc>
          <w:tcPr>
            <w:tcW w:w="600" w:type="dxa"/>
            <w:vAlign w:val="bottom"/>
            <w:gridSpan w:val="2"/>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28.94</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11.3</w:t>
            </w:r>
          </w:p>
        </w:tc>
        <w:tc>
          <w:tcPr>
            <w:tcW w:w="62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653,631</w:t>
            </w: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Total—12 months</w:t>
            </w:r>
          </w:p>
        </w:tc>
        <w:tc>
          <w:tcPr>
            <w:tcW w:w="23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379,829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28.31</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320" w:type="dxa"/>
            <w:vAlign w:val="bottom"/>
            <w:gridSpan w:val="3"/>
            <w:shd w:val="clear" w:color="auto" w:fill="CCEEFF"/>
          </w:tcPr>
          <w:p>
            <w:pPr>
              <w:ind w:left="500"/>
              <w:spacing w:after="0"/>
              <w:rPr>
                <w:sz w:val="20"/>
                <w:szCs w:val="20"/>
                <w:color w:val="auto"/>
              </w:rPr>
            </w:pPr>
            <w:r>
              <w:rPr>
                <w:rFonts w:ascii="Arial" w:cs="Arial" w:eastAsia="Arial" w:hAnsi="Arial"/>
                <w:sz w:val="17"/>
                <w:szCs w:val="17"/>
                <w:color w:val="auto"/>
                <w:w w:val="89"/>
              </w:rPr>
              <w:t>$ 2,365,525</w:t>
            </w: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2273935</wp:posOffset>
            </wp:positionH>
            <wp:positionV relativeFrom="paragraph">
              <wp:posOffset>-3894455</wp:posOffset>
            </wp:positionV>
            <wp:extent cx="12700" cy="292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1593850</wp:posOffset>
            </wp:positionH>
            <wp:positionV relativeFrom="paragraph">
              <wp:posOffset>-3894455</wp:posOffset>
            </wp:positionV>
            <wp:extent cx="12700" cy="292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-3894455</wp:posOffset>
            </wp:positionV>
            <wp:extent cx="12700" cy="29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-3894455</wp:posOffset>
            </wp:positionV>
            <wp:extent cx="37465" cy="292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-3894455</wp:posOffset>
            </wp:positionV>
            <wp:extent cx="12700" cy="292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3518535</wp:posOffset>
            </wp:positionH>
            <wp:positionV relativeFrom="paragraph">
              <wp:posOffset>-3894455</wp:posOffset>
            </wp:positionV>
            <wp:extent cx="12700" cy="292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-3894455</wp:posOffset>
            </wp:positionV>
            <wp:extent cx="435610"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35610" cy="29210"/>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-3894455</wp:posOffset>
            </wp:positionV>
            <wp:extent cx="12700" cy="292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-3894455</wp:posOffset>
            </wp:positionV>
            <wp:extent cx="12700" cy="292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5890895</wp:posOffset>
            </wp:positionH>
            <wp:positionV relativeFrom="paragraph">
              <wp:posOffset>-3894455</wp:posOffset>
            </wp:positionV>
            <wp:extent cx="12700" cy="292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6405245</wp:posOffset>
            </wp:positionH>
            <wp:positionV relativeFrom="paragraph">
              <wp:posOffset>-3894455</wp:posOffset>
            </wp:positionV>
            <wp:extent cx="12700" cy="292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5957570</wp:posOffset>
            </wp:positionH>
            <wp:positionV relativeFrom="paragraph">
              <wp:posOffset>-3894455</wp:posOffset>
            </wp:positionV>
            <wp:extent cx="20955" cy="292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-3894455</wp:posOffset>
            </wp:positionV>
            <wp:extent cx="12700" cy="292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-3894455</wp:posOffset>
            </wp:positionV>
            <wp:extent cx="12700" cy="292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-3894455</wp:posOffset>
            </wp:positionV>
            <wp:extent cx="20955" cy="292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-1961515</wp:posOffset>
            </wp:positionV>
            <wp:extent cx="12700" cy="292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1593850</wp:posOffset>
            </wp:positionH>
            <wp:positionV relativeFrom="paragraph">
              <wp:posOffset>-1961515</wp:posOffset>
            </wp:positionV>
            <wp:extent cx="12700" cy="292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-1961515</wp:posOffset>
            </wp:positionV>
            <wp:extent cx="12700" cy="292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-1961515</wp:posOffset>
            </wp:positionV>
            <wp:extent cx="37465" cy="292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-1961515</wp:posOffset>
            </wp:positionV>
            <wp:extent cx="12700" cy="292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3518535</wp:posOffset>
            </wp:positionH>
            <wp:positionV relativeFrom="paragraph">
              <wp:posOffset>-1961515</wp:posOffset>
            </wp:positionV>
            <wp:extent cx="12700" cy="292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-1961515</wp:posOffset>
            </wp:positionV>
            <wp:extent cx="12700" cy="292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-1961515</wp:posOffset>
            </wp:positionV>
            <wp:extent cx="12700"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-1961515</wp:posOffset>
            </wp:positionV>
            <wp:extent cx="20955" cy="292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-1961515</wp:posOffset>
            </wp:positionV>
            <wp:extent cx="12700" cy="292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-1961515</wp:posOffset>
            </wp:positionV>
            <wp:extent cx="12700" cy="292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5890895</wp:posOffset>
            </wp:positionH>
            <wp:positionV relativeFrom="paragraph">
              <wp:posOffset>-1961515</wp:posOffset>
            </wp:positionV>
            <wp:extent cx="527050"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27050" cy="2921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-1961515</wp:posOffset>
            </wp:positionV>
            <wp:extent cx="12700" cy="292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-1961515</wp:posOffset>
            </wp:positionV>
            <wp:extent cx="12700" cy="292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-1961515</wp:posOffset>
            </wp:positionV>
            <wp:extent cx="20955" cy="292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-28575</wp:posOffset>
            </wp:positionV>
            <wp:extent cx="12700" cy="292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1593850</wp:posOffset>
            </wp:positionH>
            <wp:positionV relativeFrom="paragraph">
              <wp:posOffset>-28575</wp:posOffset>
            </wp:positionV>
            <wp:extent cx="12700" cy="292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-28575</wp:posOffset>
            </wp:positionV>
            <wp:extent cx="12700" cy="292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-28575</wp:posOffset>
            </wp:positionV>
            <wp:extent cx="37465" cy="292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-28575</wp:posOffset>
            </wp:positionV>
            <wp:extent cx="12700" cy="292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3518535</wp:posOffset>
            </wp:positionH>
            <wp:positionV relativeFrom="paragraph">
              <wp:posOffset>-28575</wp:posOffset>
            </wp:positionV>
            <wp:extent cx="12700" cy="292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-28575</wp:posOffset>
            </wp:positionV>
            <wp:extent cx="12700" cy="292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-28575</wp:posOffset>
            </wp:positionV>
            <wp:extent cx="12700" cy="292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-28575</wp:posOffset>
            </wp:positionV>
            <wp:extent cx="20955" cy="29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-28575</wp:posOffset>
            </wp:positionV>
            <wp:extent cx="12700" cy="292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-28575</wp:posOffset>
            </wp:positionV>
            <wp:extent cx="12700" cy="292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5890895</wp:posOffset>
            </wp:positionH>
            <wp:positionV relativeFrom="paragraph">
              <wp:posOffset>-28575</wp:posOffset>
            </wp:positionV>
            <wp:extent cx="12700" cy="292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6405245</wp:posOffset>
            </wp:positionH>
            <wp:positionV relativeFrom="paragraph">
              <wp:posOffset>-28575</wp:posOffset>
            </wp:positionV>
            <wp:extent cx="12700" cy="292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5957570</wp:posOffset>
            </wp:positionH>
            <wp:positionV relativeFrom="paragraph">
              <wp:posOffset>-28575</wp:posOffset>
            </wp:positionV>
            <wp:extent cx="2095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-28575</wp:posOffset>
            </wp:positionV>
            <wp:extent cx="12700" cy="292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-28575</wp:posOffset>
            </wp:positionV>
            <wp:extent cx="12700" cy="292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6853555</wp:posOffset>
            </wp:positionH>
            <wp:positionV relativeFrom="paragraph">
              <wp:posOffset>-28575</wp:posOffset>
            </wp:positionV>
            <wp:extent cx="20955" cy="29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0955" cy="2921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40" w:hanging="435"/>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3" w:lineRule="exact"/>
        <w:rPr>
          <w:rFonts w:ascii="Arial" w:cs="Arial" w:eastAsia="Arial" w:hAnsi="Arial"/>
          <w:sz w:val="17"/>
          <w:szCs w:val="17"/>
          <w:color w:val="auto"/>
        </w:rPr>
      </w:pPr>
    </w:p>
    <w:p>
      <w:pPr>
        <w:ind w:left="440" w:right="360" w:hanging="435"/>
        <w:spacing w:after="0" w:line="256" w:lineRule="auto"/>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Non-comparable leases represent those leases signed on spaces for which there was no former tenant, or expansion square footage for leases rolling over for which there was no former tenant.</w:t>
      </w:r>
    </w:p>
    <w:p>
      <w:pPr>
        <w:spacing w:after="0" w:line="1" w:lineRule="exact"/>
        <w:rPr>
          <w:rFonts w:ascii="Arial" w:cs="Arial" w:eastAsia="Arial" w:hAnsi="Arial"/>
          <w:sz w:val="17"/>
          <w:szCs w:val="17"/>
          <w:color w:val="auto"/>
        </w:rPr>
      </w:pPr>
    </w:p>
    <w:p>
      <w:pPr>
        <w:ind w:left="440" w:hanging="435"/>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All other leases are categorized as new.</w:t>
      </w:r>
    </w:p>
    <w:p>
      <w:pPr>
        <w:sectPr>
          <w:pgSz w:w="11900" w:h="16838" w:orient="portrait"/>
          <w:cols w:equalWidth="0" w:num="1">
            <w:col w:w="11420"/>
          </w:cols>
          <w:pgMar w:left="240" w:top="271"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Assumes no exercise of lease options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gridSpan w:val="5"/>
          </w:tcPr>
          <w:p>
            <w:pPr>
              <w:ind w:left="300"/>
              <w:spacing w:after="0"/>
              <w:rPr>
                <w:sz w:val="20"/>
                <w:szCs w:val="20"/>
                <w:color w:val="auto"/>
              </w:rPr>
            </w:pPr>
            <w:r>
              <w:rPr>
                <w:rFonts w:ascii="Arial" w:cs="Arial" w:eastAsia="Arial" w:hAnsi="Arial"/>
                <w:sz w:val="13"/>
                <w:szCs w:val="13"/>
                <w:b w:val="1"/>
                <w:bCs w:val="1"/>
                <w:color w:val="auto"/>
              </w:rPr>
              <w:t>Anchor Tenants (1)</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Small Shop Tenants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93"/>
        </w:trPr>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r>
      <w:tr>
        <w:trPr>
          <w:trHeight w:val="228"/>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93"/>
              </w:rPr>
              <w:t>% of Anchor</w:t>
            </w:r>
          </w:p>
        </w:tc>
        <w:tc>
          <w:tcPr>
            <w:tcW w:w="1220" w:type="dxa"/>
            <w:vAlign w:val="bottom"/>
            <w:gridSpan w:val="5"/>
          </w:tcPr>
          <w:p>
            <w:pPr>
              <w:spacing w:after="0"/>
              <w:rPr>
                <w:sz w:val="20"/>
                <w:szCs w:val="20"/>
                <w:color w:val="auto"/>
              </w:rPr>
            </w:pPr>
            <w:r>
              <w:rPr>
                <w:rFonts w:ascii="Arial" w:cs="Arial" w:eastAsia="Arial" w:hAnsi="Arial"/>
                <w:sz w:val="13"/>
                <w:szCs w:val="13"/>
                <w:b w:val="1"/>
                <w:bCs w:val="1"/>
                <w:color w:val="auto"/>
              </w:rPr>
              <w:t>Minimum Rent</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4"/>
              </w:rPr>
              <w:t>% of Small</w:t>
            </w:r>
          </w:p>
        </w:tc>
        <w:tc>
          <w:tcPr>
            <w:tcW w:w="1240" w:type="dxa"/>
            <w:vAlign w:val="bottom"/>
            <w:gridSpan w:val="5"/>
          </w:tcPr>
          <w:p>
            <w:pPr>
              <w:spacing w:after="0"/>
              <w:rPr>
                <w:sz w:val="20"/>
                <w:szCs w:val="20"/>
                <w:color w:val="auto"/>
              </w:rPr>
            </w:pPr>
            <w:r>
              <w:rPr>
                <w:rFonts w:ascii="Arial" w:cs="Arial" w:eastAsia="Arial" w:hAnsi="Arial"/>
                <w:sz w:val="13"/>
                <w:szCs w:val="13"/>
                <w:b w:val="1"/>
                <w:bCs w:val="1"/>
                <w:color w:val="auto"/>
              </w:rPr>
              <w:t>Minimum Rent</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3"/>
              </w:rPr>
              <w:t>% of Total</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3"/>
              </w:rPr>
              <w:t>Minimum Rent</w:t>
            </w:r>
          </w:p>
        </w:tc>
      </w:tr>
      <w:tr>
        <w:trPr>
          <w:trHeight w:val="168"/>
        </w:trPr>
        <w:tc>
          <w:tcPr>
            <w:tcW w:w="28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Year</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96"/>
              </w:rPr>
              <w:t>Expiring SF</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720"/>
              <w:spacing w:after="0"/>
              <w:rPr>
                <w:sz w:val="20"/>
                <w:szCs w:val="20"/>
                <w:color w:val="auto"/>
              </w:rPr>
            </w:pPr>
            <w:r>
              <w:rPr>
                <w:rFonts w:ascii="Arial" w:cs="Arial" w:eastAsia="Arial" w:hAnsi="Arial"/>
                <w:sz w:val="13"/>
                <w:szCs w:val="13"/>
                <w:b w:val="1"/>
                <w:bCs w:val="1"/>
                <w:color w:val="auto"/>
                <w:w w:val="96"/>
              </w:rPr>
              <w:t>SF</w:t>
            </w:r>
          </w:p>
        </w:tc>
        <w:tc>
          <w:tcPr>
            <w:tcW w:w="180" w:type="dxa"/>
            <w:vAlign w:val="bottom"/>
          </w:tcPr>
          <w:p>
            <w:pPr>
              <w:spacing w:after="0"/>
              <w:rPr>
                <w:sz w:val="14"/>
                <w:szCs w:val="14"/>
                <w:color w:val="auto"/>
              </w:rPr>
            </w:pPr>
          </w:p>
        </w:tc>
        <w:tc>
          <w:tcPr>
            <w:tcW w:w="1040" w:type="dxa"/>
            <w:vAlign w:val="bottom"/>
            <w:gridSpan w:val="4"/>
          </w:tcPr>
          <w:p>
            <w:pPr>
              <w:ind w:left="120"/>
              <w:spacing w:after="0"/>
              <w:rPr>
                <w:sz w:val="20"/>
                <w:szCs w:val="20"/>
                <w:color w:val="auto"/>
              </w:rPr>
            </w:pPr>
            <w:r>
              <w:rPr>
                <w:rFonts w:ascii="Arial" w:cs="Arial" w:eastAsia="Arial" w:hAnsi="Arial"/>
                <w:sz w:val="13"/>
                <w:szCs w:val="13"/>
                <w:b w:val="1"/>
                <w:bCs w:val="1"/>
                <w:color w:val="auto"/>
              </w:rPr>
              <w:t>PSF</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36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7"/>
              </w:rPr>
              <w:t>Shop SF</w:t>
            </w:r>
          </w:p>
        </w:tc>
        <w:tc>
          <w:tcPr>
            <w:tcW w:w="200" w:type="dxa"/>
            <w:vAlign w:val="bottom"/>
          </w:tcPr>
          <w:p>
            <w:pPr>
              <w:spacing w:after="0"/>
              <w:rPr>
                <w:sz w:val="14"/>
                <w:szCs w:val="14"/>
                <w:color w:val="auto"/>
              </w:rPr>
            </w:pPr>
          </w:p>
        </w:tc>
        <w:tc>
          <w:tcPr>
            <w:tcW w:w="1040" w:type="dxa"/>
            <w:vAlign w:val="bottom"/>
            <w:gridSpan w:val="4"/>
          </w:tcPr>
          <w:p>
            <w:pPr>
              <w:ind w:left="100"/>
              <w:spacing w:after="0"/>
              <w:rPr>
                <w:sz w:val="20"/>
                <w:szCs w:val="20"/>
                <w:color w:val="auto"/>
              </w:rPr>
            </w:pPr>
            <w:r>
              <w:rPr>
                <w:rFonts w:ascii="Arial" w:cs="Arial" w:eastAsia="Arial" w:hAnsi="Arial"/>
                <w:sz w:val="13"/>
                <w:szCs w:val="13"/>
                <w:b w:val="1"/>
                <w:bCs w:val="1"/>
                <w:color w:val="auto"/>
              </w:rPr>
              <w:t>PSF</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99"/>
              </w:rPr>
              <w:t>Expiring SF</w:t>
            </w:r>
          </w:p>
        </w:tc>
        <w:tc>
          <w:tcPr>
            <w:tcW w:w="3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SF</w:t>
            </w:r>
          </w:p>
        </w:tc>
        <w:tc>
          <w:tcPr>
            <w:tcW w:w="20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PSF</w:t>
            </w:r>
          </w:p>
        </w:tc>
      </w:tr>
      <w:tr>
        <w:trPr>
          <w:trHeight w:val="93"/>
        </w:trPr>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9"/>
        </w:trPr>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2003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w:t>
            </w:r>
          </w:p>
        </w:tc>
        <w:tc>
          <w:tcPr>
            <w:tcW w:w="20" w:type="dxa"/>
            <w:vAlign w:val="bottom"/>
          </w:tcPr>
          <w:p>
            <w:pPr>
              <w:spacing w:after="0"/>
              <w:rPr>
                <w:sz w:val="18"/>
                <w:szCs w:val="18"/>
                <w:color w:val="auto"/>
              </w:rPr>
            </w:pPr>
          </w:p>
        </w:tc>
      </w:tr>
      <w:tr>
        <w:trPr>
          <w:trHeight w:val="209"/>
        </w:trPr>
        <w:tc>
          <w:tcPr>
            <w:tcW w:w="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2004</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730,000</w:t>
            </w:r>
          </w:p>
        </w:tc>
        <w:tc>
          <w:tcPr>
            <w:tcW w:w="1560" w:type="dxa"/>
            <w:vAlign w:val="bottom"/>
            <w:gridSpan w:val="4"/>
          </w:tcPr>
          <w:p>
            <w:pPr>
              <w:jc w:val="right"/>
              <w:ind w:right="340"/>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7.40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736,000</w:t>
            </w:r>
          </w:p>
        </w:tc>
        <w:tc>
          <w:tcPr>
            <w:tcW w:w="1480" w:type="dxa"/>
            <w:vAlign w:val="bottom"/>
            <w:gridSpan w:val="3"/>
          </w:tcPr>
          <w:p>
            <w:pPr>
              <w:jc w:val="right"/>
              <w:ind w:right="360"/>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22.49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1,466,000</w:t>
            </w:r>
          </w:p>
        </w:tc>
        <w:tc>
          <w:tcPr>
            <w:tcW w:w="1500" w:type="dxa"/>
            <w:vAlign w:val="bottom"/>
            <w:gridSpan w:val="3"/>
          </w:tcPr>
          <w:p>
            <w:pPr>
              <w:jc w:val="right"/>
              <w:ind w:right="380"/>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14.97</w:t>
            </w:r>
          </w:p>
        </w:tc>
        <w:tc>
          <w:tcPr>
            <w:tcW w:w="20" w:type="dxa"/>
            <w:vAlign w:val="bottom"/>
          </w:tcPr>
          <w:p>
            <w:pPr>
              <w:spacing w:after="0"/>
              <w:rPr>
                <w:sz w:val="18"/>
                <w:szCs w:val="18"/>
                <w:color w:val="auto"/>
              </w:rPr>
            </w:pPr>
          </w:p>
        </w:tc>
      </w:tr>
      <w:tr>
        <w:trPr>
          <w:trHeight w:val="209"/>
        </w:trPr>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2005</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12.21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22.93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18.92</w:t>
            </w:r>
          </w:p>
        </w:tc>
        <w:tc>
          <w:tcPr>
            <w:tcW w:w="20" w:type="dxa"/>
            <w:vAlign w:val="bottom"/>
          </w:tcPr>
          <w:p>
            <w:pPr>
              <w:spacing w:after="0"/>
              <w:rPr>
                <w:sz w:val="18"/>
                <w:szCs w:val="18"/>
                <w:color w:val="auto"/>
              </w:rPr>
            </w:pPr>
          </w:p>
        </w:tc>
      </w:tr>
      <w:tr>
        <w:trPr>
          <w:trHeight w:val="209"/>
        </w:trPr>
        <w:tc>
          <w:tcPr>
            <w:tcW w:w="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2006</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479,000</w:t>
            </w:r>
          </w:p>
        </w:tc>
        <w:tc>
          <w:tcPr>
            <w:tcW w:w="1560" w:type="dxa"/>
            <w:vAlign w:val="bottom"/>
            <w:gridSpan w:val="4"/>
          </w:tcPr>
          <w:p>
            <w:pPr>
              <w:jc w:val="right"/>
              <w:ind w:right="340"/>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11.52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831,000</w:t>
            </w:r>
          </w:p>
        </w:tc>
        <w:tc>
          <w:tcPr>
            <w:tcW w:w="1480" w:type="dxa"/>
            <w:vAlign w:val="bottom"/>
            <w:gridSpan w:val="3"/>
          </w:tcPr>
          <w:p>
            <w:pPr>
              <w:jc w:val="right"/>
              <w:ind w:right="360"/>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24.92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1,310,000</w:t>
            </w:r>
          </w:p>
        </w:tc>
        <w:tc>
          <w:tcPr>
            <w:tcW w:w="1500" w:type="dxa"/>
            <w:vAlign w:val="bottom"/>
            <w:gridSpan w:val="3"/>
          </w:tcPr>
          <w:p>
            <w:pPr>
              <w:jc w:val="right"/>
              <w:ind w:right="38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20.02</w:t>
            </w:r>
          </w:p>
        </w:tc>
        <w:tc>
          <w:tcPr>
            <w:tcW w:w="20" w:type="dxa"/>
            <w:vAlign w:val="bottom"/>
          </w:tcPr>
          <w:p>
            <w:pPr>
              <w:spacing w:after="0"/>
              <w:rPr>
                <w:sz w:val="18"/>
                <w:szCs w:val="18"/>
                <w:color w:val="auto"/>
              </w:rPr>
            </w:pPr>
          </w:p>
        </w:tc>
      </w:tr>
      <w:tr>
        <w:trPr>
          <w:trHeight w:val="209"/>
        </w:trPr>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2007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10.12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26.12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19.35</w:t>
            </w:r>
          </w:p>
        </w:tc>
        <w:tc>
          <w:tcPr>
            <w:tcW w:w="20" w:type="dxa"/>
            <w:vAlign w:val="bottom"/>
          </w:tcPr>
          <w:p>
            <w:pPr>
              <w:spacing w:after="0"/>
              <w:rPr>
                <w:sz w:val="18"/>
                <w:szCs w:val="18"/>
                <w:color w:val="auto"/>
              </w:rPr>
            </w:pPr>
          </w:p>
        </w:tc>
      </w:tr>
      <w:tr>
        <w:trPr>
          <w:trHeight w:val="209"/>
        </w:trPr>
        <w:tc>
          <w:tcPr>
            <w:tcW w:w="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2008</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879,000</w:t>
            </w:r>
          </w:p>
        </w:tc>
        <w:tc>
          <w:tcPr>
            <w:tcW w:w="1560" w:type="dxa"/>
            <w:vAlign w:val="bottom"/>
            <w:gridSpan w:val="4"/>
          </w:tcPr>
          <w:p>
            <w:pPr>
              <w:jc w:val="right"/>
              <w:ind w:right="340"/>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12.49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754,000</w:t>
            </w:r>
          </w:p>
        </w:tc>
        <w:tc>
          <w:tcPr>
            <w:tcW w:w="1480" w:type="dxa"/>
            <w:vAlign w:val="bottom"/>
            <w:gridSpan w:val="3"/>
          </w:tcPr>
          <w:p>
            <w:pPr>
              <w:jc w:val="right"/>
              <w:ind w:right="360"/>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24.33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1,633,000</w:t>
            </w:r>
          </w:p>
        </w:tc>
        <w:tc>
          <w:tcPr>
            <w:tcW w:w="1500" w:type="dxa"/>
            <w:vAlign w:val="bottom"/>
            <w:gridSpan w:val="3"/>
          </w:tcPr>
          <w:p>
            <w:pPr>
              <w:jc w:val="right"/>
              <w:ind w:right="380"/>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17.96</w:t>
            </w:r>
          </w:p>
        </w:tc>
        <w:tc>
          <w:tcPr>
            <w:tcW w:w="20" w:type="dxa"/>
            <w:vAlign w:val="bottom"/>
          </w:tcPr>
          <w:p>
            <w:pPr>
              <w:spacing w:after="0"/>
              <w:rPr>
                <w:sz w:val="18"/>
                <w:szCs w:val="18"/>
                <w:color w:val="auto"/>
              </w:rPr>
            </w:pPr>
          </w:p>
        </w:tc>
      </w:tr>
      <w:tr>
        <w:trPr>
          <w:trHeight w:val="209"/>
        </w:trPr>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2009</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11.16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32.58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20" w:type="dxa"/>
            <w:vAlign w:val="bottom"/>
          </w:tcPr>
          <w:p>
            <w:pPr>
              <w:spacing w:after="0"/>
              <w:rPr>
                <w:sz w:val="18"/>
                <w:szCs w:val="18"/>
                <w:color w:val="auto"/>
              </w:rPr>
            </w:pPr>
          </w:p>
        </w:tc>
      </w:tr>
      <w:tr>
        <w:trPr>
          <w:trHeight w:val="209"/>
        </w:trPr>
        <w:tc>
          <w:tcPr>
            <w:tcW w:w="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2010</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215,000</w:t>
            </w:r>
          </w:p>
        </w:tc>
        <w:tc>
          <w:tcPr>
            <w:tcW w:w="1560" w:type="dxa"/>
            <w:vAlign w:val="bottom"/>
            <w:gridSpan w:val="4"/>
          </w:tcPr>
          <w:p>
            <w:pPr>
              <w:jc w:val="right"/>
              <w:ind w:right="340"/>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12.95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317,000</w:t>
            </w:r>
          </w:p>
        </w:tc>
        <w:tc>
          <w:tcPr>
            <w:tcW w:w="1480" w:type="dxa"/>
            <w:vAlign w:val="bottom"/>
            <w:gridSpan w:val="3"/>
          </w:tcPr>
          <w:p>
            <w:pPr>
              <w:jc w:val="right"/>
              <w:ind w:right="36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26.32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532,000</w:t>
            </w:r>
          </w:p>
        </w:tc>
        <w:tc>
          <w:tcPr>
            <w:tcW w:w="1500" w:type="dxa"/>
            <w:vAlign w:val="bottom"/>
            <w:gridSpan w:val="3"/>
          </w:tcPr>
          <w:p>
            <w:pPr>
              <w:jc w:val="right"/>
              <w:ind w:right="38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20.92</w:t>
            </w:r>
          </w:p>
        </w:tc>
        <w:tc>
          <w:tcPr>
            <w:tcW w:w="20" w:type="dxa"/>
            <w:vAlign w:val="bottom"/>
          </w:tcPr>
          <w:p>
            <w:pPr>
              <w:spacing w:after="0"/>
              <w:rPr>
                <w:sz w:val="18"/>
                <w:szCs w:val="18"/>
                <w:color w:val="auto"/>
              </w:rPr>
            </w:pPr>
          </w:p>
        </w:tc>
      </w:tr>
      <w:tr>
        <w:trPr>
          <w:trHeight w:val="209"/>
        </w:trPr>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2011</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21.25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33.38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w:t>
            </w:r>
          </w:p>
        </w:tc>
        <w:tc>
          <w:tcPr>
            <w:tcW w:w="20" w:type="dxa"/>
            <w:vAlign w:val="bottom"/>
          </w:tcPr>
          <w:p>
            <w:pPr>
              <w:spacing w:after="0"/>
              <w:rPr>
                <w:sz w:val="18"/>
                <w:szCs w:val="18"/>
                <w:color w:val="auto"/>
              </w:rPr>
            </w:pPr>
          </w:p>
        </w:tc>
      </w:tr>
      <w:tr>
        <w:trPr>
          <w:trHeight w:val="209"/>
        </w:trPr>
        <w:tc>
          <w:tcPr>
            <w:tcW w:w="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2012</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551,000</w:t>
            </w:r>
          </w:p>
        </w:tc>
        <w:tc>
          <w:tcPr>
            <w:tcW w:w="1560" w:type="dxa"/>
            <w:vAlign w:val="bottom"/>
            <w:gridSpan w:val="4"/>
          </w:tcPr>
          <w:p>
            <w:pPr>
              <w:jc w:val="right"/>
              <w:ind w:right="340"/>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12.04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347,000</w:t>
            </w:r>
          </w:p>
        </w:tc>
        <w:tc>
          <w:tcPr>
            <w:tcW w:w="1480" w:type="dxa"/>
            <w:vAlign w:val="bottom"/>
            <w:gridSpan w:val="3"/>
          </w:tcPr>
          <w:p>
            <w:pPr>
              <w:jc w:val="right"/>
              <w:ind w:right="36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42.54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898,000</w:t>
            </w:r>
          </w:p>
        </w:tc>
        <w:tc>
          <w:tcPr>
            <w:tcW w:w="1500" w:type="dxa"/>
            <w:vAlign w:val="bottom"/>
            <w:gridSpan w:val="3"/>
          </w:tcPr>
          <w:p>
            <w:pPr>
              <w:jc w:val="right"/>
              <w:ind w:right="38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23.83</w:t>
            </w:r>
          </w:p>
        </w:tc>
        <w:tc>
          <w:tcPr>
            <w:tcW w:w="20" w:type="dxa"/>
            <w:vAlign w:val="bottom"/>
          </w:tcPr>
          <w:p>
            <w:pPr>
              <w:spacing w:after="0"/>
              <w:rPr>
                <w:sz w:val="18"/>
                <w:szCs w:val="18"/>
                <w:color w:val="auto"/>
              </w:rPr>
            </w:pPr>
          </w:p>
        </w:tc>
      </w:tr>
      <w:tr>
        <w:trPr>
          <w:trHeight w:val="209"/>
        </w:trPr>
        <w:tc>
          <w:tcPr>
            <w:tcW w:w="124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Thereafter</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3,012,000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15.11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37.32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3,571,000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20" w:type="dxa"/>
            <w:vAlign w:val="bottom"/>
          </w:tcPr>
          <w:p>
            <w:pPr>
              <w:spacing w:after="0"/>
              <w:rPr>
                <w:sz w:val="18"/>
                <w:szCs w:val="18"/>
                <w:color w:val="auto"/>
              </w:rPr>
            </w:pPr>
          </w:p>
        </w:tc>
      </w:tr>
      <w:tr>
        <w:trPr>
          <w:trHeight w:val="105"/>
        </w:trPr>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98"/>
        </w:trPr>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9"/>
        </w:trPr>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b w:val="1"/>
                <w:bCs w:val="1"/>
                <w:color w:val="auto"/>
                <w:w w:val="90"/>
              </w:rPr>
              <w:t>Total (2)</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8,216,000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13.02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6,511,000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27.30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14,727,000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w:t>
            </w:r>
          </w:p>
        </w:tc>
        <w:tc>
          <w:tcPr>
            <w:tcW w:w="20" w:type="dxa"/>
            <w:vAlign w:val="bottom"/>
          </w:tcPr>
          <w:p>
            <w:pPr>
              <w:spacing w:after="0"/>
              <w:rPr>
                <w:sz w:val="18"/>
                <w:szCs w:val="18"/>
                <w:color w:val="auto"/>
              </w:rPr>
            </w:pPr>
          </w:p>
        </w:tc>
      </w:tr>
      <w:tr>
        <w:trPr>
          <w:trHeight w:val="127"/>
        </w:trPr>
        <w:tc>
          <w:tcPr>
            <w:tcW w:w="940" w:type="dxa"/>
            <w:vAlign w:val="bottom"/>
            <w:gridSpan w:val="3"/>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415"/>
        </w:trPr>
        <w:tc>
          <w:tcPr>
            <w:tcW w:w="3580" w:type="dxa"/>
            <w:vAlign w:val="bottom"/>
            <w:gridSpan w:val="10"/>
          </w:tcPr>
          <w:p>
            <w:pPr>
              <w:spacing w:after="0"/>
              <w:rPr>
                <w:sz w:val="20"/>
                <w:szCs w:val="20"/>
                <w:color w:val="auto"/>
              </w:rPr>
            </w:pPr>
            <w:r>
              <w:rPr>
                <w:rFonts w:ascii="Arial" w:cs="Arial" w:eastAsia="Arial" w:hAnsi="Arial"/>
                <w:sz w:val="17"/>
                <w:szCs w:val="17"/>
                <w:b w:val="1"/>
                <w:bCs w:val="1"/>
                <w:color w:val="auto"/>
              </w:rPr>
              <w:t>Assumes lease options are exercised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0"/>
        </w:trPr>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gridSpan w:val="5"/>
          </w:tcPr>
          <w:p>
            <w:pPr>
              <w:ind w:left="300"/>
              <w:spacing w:after="0"/>
              <w:rPr>
                <w:sz w:val="20"/>
                <w:szCs w:val="20"/>
                <w:color w:val="auto"/>
              </w:rPr>
            </w:pPr>
            <w:r>
              <w:rPr>
                <w:rFonts w:ascii="Arial" w:cs="Arial" w:eastAsia="Arial" w:hAnsi="Arial"/>
                <w:sz w:val="13"/>
                <w:szCs w:val="13"/>
                <w:b w:val="1"/>
                <w:bCs w:val="1"/>
                <w:color w:val="auto"/>
              </w:rPr>
              <w:t>Anchor Tenants (1)</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Small Shop Tenants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93"/>
        </w:trPr>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380" w:type="dxa"/>
            <w:vAlign w:val="bottom"/>
            <w:gridSpan w:val="3"/>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400" w:type="dxa"/>
            <w:vAlign w:val="bottom"/>
            <w:gridSpan w:val="3"/>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r>
      <w:tr>
        <w:trPr>
          <w:trHeight w:val="228"/>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93"/>
              </w:rPr>
              <w:t>% of Anchor</w:t>
            </w:r>
          </w:p>
        </w:tc>
        <w:tc>
          <w:tcPr>
            <w:tcW w:w="1220" w:type="dxa"/>
            <w:vAlign w:val="bottom"/>
            <w:gridSpan w:val="5"/>
          </w:tcPr>
          <w:p>
            <w:pPr>
              <w:spacing w:after="0"/>
              <w:rPr>
                <w:sz w:val="20"/>
                <w:szCs w:val="20"/>
                <w:color w:val="auto"/>
              </w:rPr>
            </w:pPr>
            <w:r>
              <w:rPr>
                <w:rFonts w:ascii="Arial" w:cs="Arial" w:eastAsia="Arial" w:hAnsi="Arial"/>
                <w:sz w:val="13"/>
                <w:szCs w:val="13"/>
                <w:b w:val="1"/>
                <w:bCs w:val="1"/>
                <w:color w:val="auto"/>
              </w:rPr>
              <w:t>Minimum Rent</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4"/>
              </w:rPr>
              <w:t>% of Small</w:t>
            </w:r>
          </w:p>
        </w:tc>
        <w:tc>
          <w:tcPr>
            <w:tcW w:w="1240" w:type="dxa"/>
            <w:vAlign w:val="bottom"/>
            <w:gridSpan w:val="5"/>
          </w:tcPr>
          <w:p>
            <w:pPr>
              <w:spacing w:after="0"/>
              <w:rPr>
                <w:sz w:val="20"/>
                <w:szCs w:val="20"/>
                <w:color w:val="auto"/>
              </w:rPr>
            </w:pPr>
            <w:r>
              <w:rPr>
                <w:rFonts w:ascii="Arial" w:cs="Arial" w:eastAsia="Arial" w:hAnsi="Arial"/>
                <w:sz w:val="13"/>
                <w:szCs w:val="13"/>
                <w:b w:val="1"/>
                <w:bCs w:val="1"/>
                <w:color w:val="auto"/>
              </w:rPr>
              <w:t>Minimum Rent</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3"/>
              </w:rPr>
              <w:t>% of Total</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3"/>
              </w:rPr>
              <w:t>Minimum Rent</w:t>
            </w:r>
          </w:p>
        </w:tc>
      </w:tr>
      <w:tr>
        <w:trPr>
          <w:trHeight w:val="168"/>
        </w:trPr>
        <w:tc>
          <w:tcPr>
            <w:tcW w:w="28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Year</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96"/>
              </w:rPr>
              <w:t>Expiring SF</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720"/>
              <w:spacing w:after="0"/>
              <w:rPr>
                <w:sz w:val="20"/>
                <w:szCs w:val="20"/>
                <w:color w:val="auto"/>
              </w:rPr>
            </w:pPr>
            <w:r>
              <w:rPr>
                <w:rFonts w:ascii="Arial" w:cs="Arial" w:eastAsia="Arial" w:hAnsi="Arial"/>
                <w:sz w:val="13"/>
                <w:szCs w:val="13"/>
                <w:b w:val="1"/>
                <w:bCs w:val="1"/>
                <w:color w:val="auto"/>
                <w:w w:val="96"/>
              </w:rPr>
              <w:t>SF</w:t>
            </w:r>
          </w:p>
        </w:tc>
        <w:tc>
          <w:tcPr>
            <w:tcW w:w="180" w:type="dxa"/>
            <w:vAlign w:val="bottom"/>
          </w:tcPr>
          <w:p>
            <w:pPr>
              <w:spacing w:after="0"/>
              <w:rPr>
                <w:sz w:val="14"/>
                <w:szCs w:val="14"/>
                <w:color w:val="auto"/>
              </w:rPr>
            </w:pPr>
          </w:p>
        </w:tc>
        <w:tc>
          <w:tcPr>
            <w:tcW w:w="1040" w:type="dxa"/>
            <w:vAlign w:val="bottom"/>
            <w:gridSpan w:val="4"/>
          </w:tcPr>
          <w:p>
            <w:pPr>
              <w:ind w:left="120"/>
              <w:spacing w:after="0"/>
              <w:rPr>
                <w:sz w:val="20"/>
                <w:szCs w:val="20"/>
                <w:color w:val="auto"/>
              </w:rPr>
            </w:pPr>
            <w:r>
              <w:rPr>
                <w:rFonts w:ascii="Arial" w:cs="Arial" w:eastAsia="Arial" w:hAnsi="Arial"/>
                <w:sz w:val="13"/>
                <w:szCs w:val="13"/>
                <w:b w:val="1"/>
                <w:bCs w:val="1"/>
                <w:color w:val="auto"/>
              </w:rPr>
              <w:t>PSF</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36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7"/>
              </w:rPr>
              <w:t>Shop SF</w:t>
            </w:r>
          </w:p>
        </w:tc>
        <w:tc>
          <w:tcPr>
            <w:tcW w:w="200" w:type="dxa"/>
            <w:vAlign w:val="bottom"/>
          </w:tcPr>
          <w:p>
            <w:pPr>
              <w:spacing w:after="0"/>
              <w:rPr>
                <w:sz w:val="14"/>
                <w:szCs w:val="14"/>
                <w:color w:val="auto"/>
              </w:rPr>
            </w:pPr>
          </w:p>
        </w:tc>
        <w:tc>
          <w:tcPr>
            <w:tcW w:w="1040" w:type="dxa"/>
            <w:vAlign w:val="bottom"/>
            <w:gridSpan w:val="4"/>
          </w:tcPr>
          <w:p>
            <w:pPr>
              <w:ind w:left="100"/>
              <w:spacing w:after="0"/>
              <w:rPr>
                <w:sz w:val="20"/>
                <w:szCs w:val="20"/>
                <w:color w:val="auto"/>
              </w:rPr>
            </w:pPr>
            <w:r>
              <w:rPr>
                <w:rFonts w:ascii="Arial" w:cs="Arial" w:eastAsia="Arial" w:hAnsi="Arial"/>
                <w:sz w:val="13"/>
                <w:szCs w:val="13"/>
                <w:b w:val="1"/>
                <w:bCs w:val="1"/>
                <w:color w:val="auto"/>
              </w:rPr>
              <w:t>PSF</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99"/>
              </w:rPr>
              <w:t>Expiring SF</w:t>
            </w:r>
          </w:p>
        </w:tc>
        <w:tc>
          <w:tcPr>
            <w:tcW w:w="3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SF</w:t>
            </w:r>
          </w:p>
        </w:tc>
        <w:tc>
          <w:tcPr>
            <w:tcW w:w="20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PSF</w:t>
            </w:r>
          </w:p>
        </w:tc>
      </w:tr>
      <w:tr>
        <w:trPr>
          <w:trHeight w:val="93"/>
        </w:trPr>
        <w:tc>
          <w:tcPr>
            <w:tcW w:w="94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9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4"/>
          </w:tcPr>
          <w:p>
            <w:pPr>
              <w:spacing w:after="0"/>
              <w:rPr>
                <w:sz w:val="8"/>
                <w:szCs w:val="8"/>
                <w:color w:val="auto"/>
              </w:rPr>
            </w:pPr>
          </w:p>
        </w:tc>
        <w:tc>
          <w:tcPr>
            <w:tcW w:w="740" w:type="dxa"/>
            <w:vAlign w:val="bottom"/>
          </w:tcPr>
          <w:p>
            <w:pPr>
              <w:spacing w:after="0"/>
              <w:rPr>
                <w:sz w:val="8"/>
                <w:szCs w:val="8"/>
                <w:color w:val="auto"/>
              </w:rPr>
            </w:pPr>
          </w:p>
        </w:tc>
        <w:tc>
          <w:tcPr>
            <w:tcW w:w="1480" w:type="dxa"/>
            <w:vAlign w:val="bottom"/>
            <w:gridSpan w:val="3"/>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500" w:type="dxa"/>
            <w:vAlign w:val="bottom"/>
            <w:gridSpan w:val="3"/>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2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09"/>
        </w:trPr>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2003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4"/>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w:t>
            </w:r>
          </w:p>
        </w:tc>
        <w:tc>
          <w:tcPr>
            <w:tcW w:w="20" w:type="dxa"/>
            <w:vAlign w:val="bottom"/>
          </w:tcPr>
          <w:p>
            <w:pPr>
              <w:spacing w:after="0"/>
              <w:rPr>
                <w:sz w:val="18"/>
                <w:szCs w:val="18"/>
                <w:color w:val="auto"/>
              </w:rPr>
            </w:pPr>
          </w:p>
        </w:tc>
      </w:tr>
      <w:tr>
        <w:trPr>
          <w:trHeight w:val="209"/>
        </w:trPr>
        <w:tc>
          <w:tcPr>
            <w:tcW w:w="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2004</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156,000</w:t>
            </w:r>
          </w:p>
        </w:tc>
        <w:tc>
          <w:tcPr>
            <w:tcW w:w="1560" w:type="dxa"/>
            <w:vAlign w:val="bottom"/>
            <w:gridSpan w:val="4"/>
          </w:tcPr>
          <w:p>
            <w:pPr>
              <w:jc w:val="right"/>
              <w:ind w:right="34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5.59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483,000</w:t>
            </w:r>
          </w:p>
        </w:tc>
        <w:tc>
          <w:tcPr>
            <w:tcW w:w="1480" w:type="dxa"/>
            <w:vAlign w:val="bottom"/>
            <w:gridSpan w:val="3"/>
          </w:tcPr>
          <w:p>
            <w:pPr>
              <w:jc w:val="right"/>
              <w:ind w:right="36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23.01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639,000</w:t>
            </w:r>
          </w:p>
        </w:tc>
        <w:tc>
          <w:tcPr>
            <w:tcW w:w="1500" w:type="dxa"/>
            <w:vAlign w:val="bottom"/>
            <w:gridSpan w:val="3"/>
          </w:tcPr>
          <w:p>
            <w:pPr>
              <w:jc w:val="right"/>
              <w:ind w:right="38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18.75</w:t>
            </w:r>
          </w:p>
        </w:tc>
        <w:tc>
          <w:tcPr>
            <w:tcW w:w="20" w:type="dxa"/>
            <w:vAlign w:val="bottom"/>
          </w:tcPr>
          <w:p>
            <w:pPr>
              <w:spacing w:after="0"/>
              <w:rPr>
                <w:sz w:val="18"/>
                <w:szCs w:val="18"/>
                <w:color w:val="auto"/>
              </w:rPr>
            </w:pPr>
          </w:p>
        </w:tc>
      </w:tr>
      <w:tr>
        <w:trPr>
          <w:trHeight w:val="209"/>
        </w:trPr>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2005</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15.58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23.47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23.20</w:t>
            </w:r>
          </w:p>
        </w:tc>
        <w:tc>
          <w:tcPr>
            <w:tcW w:w="20" w:type="dxa"/>
            <w:vAlign w:val="bottom"/>
          </w:tcPr>
          <w:p>
            <w:pPr>
              <w:spacing w:after="0"/>
              <w:rPr>
                <w:sz w:val="18"/>
                <w:szCs w:val="18"/>
                <w:color w:val="auto"/>
              </w:rPr>
            </w:pPr>
          </w:p>
        </w:tc>
      </w:tr>
      <w:tr>
        <w:trPr>
          <w:trHeight w:val="209"/>
        </w:trPr>
        <w:tc>
          <w:tcPr>
            <w:tcW w:w="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2006</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54,000</w:t>
            </w:r>
          </w:p>
        </w:tc>
        <w:tc>
          <w:tcPr>
            <w:tcW w:w="1560" w:type="dxa"/>
            <w:vAlign w:val="bottom"/>
            <w:gridSpan w:val="4"/>
          </w:tcPr>
          <w:p>
            <w:pPr>
              <w:jc w:val="right"/>
              <w:ind w:right="340"/>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12.27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519,000</w:t>
            </w:r>
          </w:p>
        </w:tc>
        <w:tc>
          <w:tcPr>
            <w:tcW w:w="1480" w:type="dxa"/>
            <w:vAlign w:val="bottom"/>
            <w:gridSpan w:val="3"/>
          </w:tcPr>
          <w:p>
            <w:pPr>
              <w:jc w:val="right"/>
              <w:ind w:right="36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27.54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573,000</w:t>
            </w:r>
          </w:p>
        </w:tc>
        <w:tc>
          <w:tcPr>
            <w:tcW w:w="1500" w:type="dxa"/>
            <w:vAlign w:val="bottom"/>
            <w:gridSpan w:val="3"/>
          </w:tcPr>
          <w:p>
            <w:pPr>
              <w:jc w:val="right"/>
              <w:ind w:right="38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26.10</w:t>
            </w:r>
          </w:p>
        </w:tc>
        <w:tc>
          <w:tcPr>
            <w:tcW w:w="20" w:type="dxa"/>
            <w:vAlign w:val="bottom"/>
          </w:tcPr>
          <w:p>
            <w:pPr>
              <w:spacing w:after="0"/>
              <w:rPr>
                <w:sz w:val="18"/>
                <w:szCs w:val="18"/>
                <w:color w:val="auto"/>
              </w:rPr>
            </w:pPr>
          </w:p>
        </w:tc>
      </w:tr>
      <w:tr>
        <w:trPr>
          <w:trHeight w:val="209"/>
        </w:trPr>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2007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26.42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21.95</w:t>
            </w:r>
          </w:p>
        </w:tc>
        <w:tc>
          <w:tcPr>
            <w:tcW w:w="20" w:type="dxa"/>
            <w:vAlign w:val="bottom"/>
          </w:tcPr>
          <w:p>
            <w:pPr>
              <w:spacing w:after="0"/>
              <w:rPr>
                <w:sz w:val="18"/>
                <w:szCs w:val="18"/>
                <w:color w:val="auto"/>
              </w:rPr>
            </w:pPr>
          </w:p>
        </w:tc>
      </w:tr>
      <w:tr>
        <w:trPr>
          <w:trHeight w:val="209"/>
        </w:trPr>
        <w:tc>
          <w:tcPr>
            <w:tcW w:w="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2008</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150,000</w:t>
            </w:r>
          </w:p>
        </w:tc>
        <w:tc>
          <w:tcPr>
            <w:tcW w:w="1560" w:type="dxa"/>
            <w:vAlign w:val="bottom"/>
            <w:gridSpan w:val="4"/>
          </w:tcPr>
          <w:p>
            <w:pPr>
              <w:jc w:val="right"/>
              <w:ind w:right="34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12.72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524,000</w:t>
            </w:r>
          </w:p>
        </w:tc>
        <w:tc>
          <w:tcPr>
            <w:tcW w:w="1480" w:type="dxa"/>
            <w:vAlign w:val="bottom"/>
            <w:gridSpan w:val="3"/>
          </w:tcPr>
          <w:p>
            <w:pPr>
              <w:jc w:val="right"/>
              <w:ind w:right="36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24.86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674,000</w:t>
            </w:r>
          </w:p>
        </w:tc>
        <w:tc>
          <w:tcPr>
            <w:tcW w:w="1500" w:type="dxa"/>
            <w:vAlign w:val="bottom"/>
            <w:gridSpan w:val="3"/>
          </w:tcPr>
          <w:p>
            <w:pPr>
              <w:jc w:val="right"/>
              <w:ind w:right="38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22.16</w:t>
            </w:r>
          </w:p>
        </w:tc>
        <w:tc>
          <w:tcPr>
            <w:tcW w:w="20" w:type="dxa"/>
            <w:vAlign w:val="bottom"/>
          </w:tcPr>
          <w:p>
            <w:pPr>
              <w:spacing w:after="0"/>
              <w:rPr>
                <w:sz w:val="18"/>
                <w:szCs w:val="18"/>
                <w:color w:val="auto"/>
              </w:rPr>
            </w:pPr>
          </w:p>
        </w:tc>
      </w:tr>
      <w:tr>
        <w:trPr>
          <w:trHeight w:val="209"/>
        </w:trPr>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2009</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11.16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33.94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w:t>
            </w:r>
          </w:p>
        </w:tc>
        <w:tc>
          <w:tcPr>
            <w:tcW w:w="20" w:type="dxa"/>
            <w:vAlign w:val="bottom"/>
          </w:tcPr>
          <w:p>
            <w:pPr>
              <w:spacing w:after="0"/>
              <w:rPr>
                <w:sz w:val="18"/>
                <w:szCs w:val="18"/>
                <w:color w:val="auto"/>
              </w:rPr>
            </w:pPr>
          </w:p>
        </w:tc>
      </w:tr>
      <w:tr>
        <w:trPr>
          <w:trHeight w:val="209"/>
        </w:trPr>
        <w:tc>
          <w:tcPr>
            <w:tcW w:w="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2010</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158,000</w:t>
            </w:r>
          </w:p>
        </w:tc>
        <w:tc>
          <w:tcPr>
            <w:tcW w:w="1560" w:type="dxa"/>
            <w:vAlign w:val="bottom"/>
            <w:gridSpan w:val="4"/>
          </w:tcPr>
          <w:p>
            <w:pPr>
              <w:jc w:val="right"/>
              <w:ind w:right="34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13.44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374,000</w:t>
            </w:r>
          </w:p>
        </w:tc>
        <w:tc>
          <w:tcPr>
            <w:tcW w:w="1480" w:type="dxa"/>
            <w:vAlign w:val="bottom"/>
            <w:gridSpan w:val="3"/>
          </w:tcPr>
          <w:p>
            <w:pPr>
              <w:jc w:val="right"/>
              <w:ind w:right="36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29.21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532,000</w:t>
            </w:r>
          </w:p>
        </w:tc>
        <w:tc>
          <w:tcPr>
            <w:tcW w:w="1500" w:type="dxa"/>
            <w:vAlign w:val="bottom"/>
            <w:gridSpan w:val="3"/>
          </w:tcPr>
          <w:p>
            <w:pPr>
              <w:jc w:val="right"/>
              <w:ind w:right="38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24.53</w:t>
            </w:r>
          </w:p>
        </w:tc>
        <w:tc>
          <w:tcPr>
            <w:tcW w:w="20" w:type="dxa"/>
            <w:vAlign w:val="bottom"/>
          </w:tcPr>
          <w:p>
            <w:pPr>
              <w:spacing w:after="0"/>
              <w:rPr>
                <w:sz w:val="18"/>
                <w:szCs w:val="18"/>
                <w:color w:val="auto"/>
              </w:rPr>
            </w:pPr>
          </w:p>
        </w:tc>
      </w:tr>
      <w:tr>
        <w:trPr>
          <w:trHeight w:val="209"/>
        </w:trPr>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2011</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23.89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27.14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26.51</w:t>
            </w:r>
          </w:p>
        </w:tc>
        <w:tc>
          <w:tcPr>
            <w:tcW w:w="20" w:type="dxa"/>
            <w:vAlign w:val="bottom"/>
          </w:tcPr>
          <w:p>
            <w:pPr>
              <w:spacing w:after="0"/>
              <w:rPr>
                <w:sz w:val="18"/>
                <w:szCs w:val="18"/>
                <w:color w:val="auto"/>
              </w:rPr>
            </w:pPr>
          </w:p>
        </w:tc>
      </w:tr>
      <w:tr>
        <w:trPr>
          <w:trHeight w:val="209"/>
        </w:trPr>
        <w:tc>
          <w:tcPr>
            <w:tcW w:w="9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2012</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390,000</w:t>
            </w:r>
          </w:p>
        </w:tc>
        <w:tc>
          <w:tcPr>
            <w:tcW w:w="1560" w:type="dxa"/>
            <w:vAlign w:val="bottom"/>
            <w:gridSpan w:val="4"/>
          </w:tcPr>
          <w:p>
            <w:pPr>
              <w:jc w:val="right"/>
              <w:ind w:right="340"/>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10.46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434,000</w:t>
            </w:r>
          </w:p>
        </w:tc>
        <w:tc>
          <w:tcPr>
            <w:tcW w:w="1480" w:type="dxa"/>
            <w:vAlign w:val="bottom"/>
            <w:gridSpan w:val="3"/>
          </w:tcPr>
          <w:p>
            <w:pPr>
              <w:jc w:val="right"/>
              <w:ind w:right="36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36.79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824,000</w:t>
            </w:r>
          </w:p>
        </w:tc>
        <w:tc>
          <w:tcPr>
            <w:tcW w:w="1500" w:type="dxa"/>
            <w:vAlign w:val="bottom"/>
            <w:gridSpan w:val="3"/>
          </w:tcPr>
          <w:p>
            <w:pPr>
              <w:jc w:val="right"/>
              <w:ind w:right="38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24.33</w:t>
            </w:r>
          </w:p>
        </w:tc>
        <w:tc>
          <w:tcPr>
            <w:tcW w:w="20" w:type="dxa"/>
            <w:vAlign w:val="bottom"/>
          </w:tcPr>
          <w:p>
            <w:pPr>
              <w:spacing w:after="0"/>
              <w:rPr>
                <w:sz w:val="18"/>
                <w:szCs w:val="18"/>
                <w:color w:val="auto"/>
              </w:rPr>
            </w:pPr>
          </w:p>
        </w:tc>
      </w:tr>
      <w:tr>
        <w:trPr>
          <w:trHeight w:val="209"/>
        </w:trPr>
        <w:tc>
          <w:tcPr>
            <w:tcW w:w="124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Thereafter</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6,695,000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17.61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1,967,000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30%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34.02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8,662,000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59%</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w:t>
            </w:r>
          </w:p>
        </w:tc>
        <w:tc>
          <w:tcPr>
            <w:tcW w:w="20" w:type="dxa"/>
            <w:vAlign w:val="bottom"/>
          </w:tcPr>
          <w:p>
            <w:pPr>
              <w:spacing w:after="0"/>
              <w:rPr>
                <w:sz w:val="18"/>
                <w:szCs w:val="18"/>
                <w:color w:val="auto"/>
              </w:rPr>
            </w:pPr>
          </w:p>
        </w:tc>
      </w:tr>
      <w:tr>
        <w:trPr>
          <w:trHeight w:val="105"/>
        </w:trPr>
        <w:tc>
          <w:tcPr>
            <w:tcW w:w="2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9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8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0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98"/>
        </w:trPr>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09"/>
        </w:trPr>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b w:val="1"/>
                <w:bCs w:val="1"/>
                <w:color w:val="auto"/>
                <w:w w:val="90"/>
              </w:rPr>
              <w:t>Total (3)</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8,216,000</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16.43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6,511,000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29.31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14,727,000</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22.12</w:t>
            </w:r>
          </w:p>
        </w:tc>
        <w:tc>
          <w:tcPr>
            <w:tcW w:w="20" w:type="dxa"/>
            <w:vAlign w:val="bottom"/>
          </w:tcPr>
          <w:p>
            <w:pPr>
              <w:spacing w:after="0"/>
              <w:rPr>
                <w:sz w:val="18"/>
                <w:szCs w:val="18"/>
                <w:color w:val="auto"/>
              </w:rPr>
            </w:pPr>
          </w:p>
        </w:tc>
      </w:tr>
      <w:tr>
        <w:trPr>
          <w:trHeight w:val="127"/>
        </w:trPr>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06"/>
        </w:trPr>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-2880360</wp:posOffset>
            </wp:positionV>
            <wp:extent cx="12700" cy="292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-2880360</wp:posOffset>
            </wp:positionV>
            <wp:extent cx="12700" cy="292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-2880360</wp:posOffset>
            </wp:positionV>
            <wp:extent cx="12700" cy="292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-2880360</wp:posOffset>
            </wp:positionV>
            <wp:extent cx="37465" cy="292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-2880360</wp:posOffset>
            </wp:positionV>
            <wp:extent cx="12700" cy="292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-2880360</wp:posOffset>
            </wp:positionV>
            <wp:extent cx="12700" cy="292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-2880360</wp:posOffset>
            </wp:positionV>
            <wp:extent cx="20955" cy="29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-2880360</wp:posOffset>
            </wp:positionV>
            <wp:extent cx="12700" cy="292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-2880360</wp:posOffset>
            </wp:positionV>
            <wp:extent cx="12700" cy="29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-2880360</wp:posOffset>
            </wp:positionV>
            <wp:extent cx="12700" cy="29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-2880360</wp:posOffset>
            </wp:positionV>
            <wp:extent cx="37465" cy="29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-2880360</wp:posOffset>
            </wp:positionV>
            <wp:extent cx="12700" cy="29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-2880360</wp:posOffset>
            </wp:positionV>
            <wp:extent cx="12700" cy="292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-2880360</wp:posOffset>
            </wp:positionV>
            <wp:extent cx="20955"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-2880360</wp:posOffset>
            </wp:positionV>
            <wp:extent cx="12700" cy="292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-2880360</wp:posOffset>
            </wp:positionV>
            <wp:extent cx="12700" cy="292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-2880360</wp:posOffset>
            </wp:positionV>
            <wp:extent cx="12700" cy="292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-2880360</wp:posOffset>
            </wp:positionV>
            <wp:extent cx="37465" cy="292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6712585</wp:posOffset>
            </wp:positionH>
            <wp:positionV relativeFrom="paragraph">
              <wp:posOffset>-2880360</wp:posOffset>
            </wp:positionV>
            <wp:extent cx="12700" cy="292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-2880360</wp:posOffset>
            </wp:positionV>
            <wp:extent cx="12700" cy="292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-2880360</wp:posOffset>
            </wp:positionV>
            <wp:extent cx="20955" cy="292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1253490</wp:posOffset>
            </wp:positionH>
            <wp:positionV relativeFrom="paragraph">
              <wp:posOffset>-167640</wp:posOffset>
            </wp:positionV>
            <wp:extent cx="12700" cy="292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-167640</wp:posOffset>
            </wp:positionV>
            <wp:extent cx="12700" cy="292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-167640</wp:posOffset>
            </wp:positionV>
            <wp:extent cx="12700" cy="292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-167640</wp:posOffset>
            </wp:positionV>
            <wp:extent cx="37465" cy="292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-167640</wp:posOffset>
            </wp:positionV>
            <wp:extent cx="12700" cy="29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-167640</wp:posOffset>
            </wp:positionV>
            <wp:extent cx="12700" cy="292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2390140</wp:posOffset>
            </wp:positionH>
            <wp:positionV relativeFrom="paragraph">
              <wp:posOffset>-167640</wp:posOffset>
            </wp:positionV>
            <wp:extent cx="20955" cy="292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-167640</wp:posOffset>
            </wp:positionV>
            <wp:extent cx="12700" cy="292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-167640</wp:posOffset>
            </wp:positionV>
            <wp:extent cx="12700" cy="292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-167640</wp:posOffset>
            </wp:positionV>
            <wp:extent cx="12700" cy="292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-167640</wp:posOffset>
            </wp:positionV>
            <wp:extent cx="37465" cy="292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-167640</wp:posOffset>
            </wp:positionV>
            <wp:extent cx="12700" cy="292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-167640</wp:posOffset>
            </wp:positionV>
            <wp:extent cx="12700" cy="292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-167640</wp:posOffset>
            </wp:positionV>
            <wp:extent cx="20955" cy="292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-167640</wp:posOffset>
            </wp:positionV>
            <wp:extent cx="12700" cy="292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-167640</wp:posOffset>
            </wp:positionV>
            <wp:extent cx="12700" cy="292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6007100</wp:posOffset>
            </wp:positionH>
            <wp:positionV relativeFrom="paragraph">
              <wp:posOffset>-167640</wp:posOffset>
            </wp:positionV>
            <wp:extent cx="12700" cy="292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-167640</wp:posOffset>
            </wp:positionV>
            <wp:extent cx="37465" cy="292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6712585</wp:posOffset>
            </wp:positionH>
            <wp:positionV relativeFrom="paragraph">
              <wp:posOffset>-167640</wp:posOffset>
            </wp:positionV>
            <wp:extent cx="12700" cy="292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-167640</wp:posOffset>
            </wp:positionV>
            <wp:extent cx="12700" cy="292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-167640</wp:posOffset>
            </wp:positionV>
            <wp:extent cx="20955" cy="292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0955" cy="2921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Notes:</w:t>
      </w:r>
    </w:p>
    <w:p>
      <w:pPr>
        <w:spacing w:after="0" w:line="20" w:lineRule="exact"/>
        <w:rPr>
          <w:sz w:val="20"/>
          <w:szCs w:val="20"/>
          <w:color w:val="auto"/>
        </w:rPr>
      </w:pPr>
    </w:p>
    <w:p>
      <w:pPr>
        <w:ind w:left="440" w:hanging="435"/>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13" w:lineRule="exact"/>
        <w:rPr>
          <w:rFonts w:ascii="Arial" w:cs="Arial" w:eastAsia="Arial" w:hAnsi="Arial"/>
          <w:sz w:val="17"/>
          <w:szCs w:val="17"/>
          <w:color w:val="auto"/>
        </w:rPr>
      </w:pPr>
    </w:p>
    <w:p>
      <w:pPr>
        <w:ind w:left="440" w:right="600" w:hanging="435"/>
        <w:spacing w:after="0" w:line="256" w:lineRule="auto"/>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Minimum Rent reflects contractual rent at the end of the term or option. For leases with CPI or market based increases, such increases are excluded from analysis.</w:t>
      </w:r>
    </w:p>
    <w:p>
      <w:pPr>
        <w:spacing w:after="0" w:line="1" w:lineRule="exact"/>
        <w:rPr>
          <w:rFonts w:ascii="Arial" w:cs="Arial" w:eastAsia="Arial" w:hAnsi="Arial"/>
          <w:sz w:val="17"/>
          <w:szCs w:val="17"/>
          <w:color w:val="auto"/>
        </w:rPr>
      </w:pPr>
    </w:p>
    <w:p>
      <w:pPr>
        <w:ind w:left="440" w:hanging="435"/>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occupied square footage as of June 30, 2003.</w:t>
      </w:r>
    </w:p>
    <w:p>
      <w:pPr>
        <w:sectPr>
          <w:pgSz w:w="11900" w:h="16838" w:orient="portrait"/>
          <w:cols w:equalWidth="0" w:num="1">
            <w:col w:w="11440"/>
          </w:cols>
          <w:pgMar w:left="240" w:top="271" w:right="21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Occupancy Summary—Overall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Occupancy (1)</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(Quarter to Quarter Analysis)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2"/>
              </w:rPr>
              <w:t>At June 30, 2003 (3)</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ind w:left="80"/>
              <w:spacing w:after="0"/>
              <w:rPr>
                <w:sz w:val="20"/>
                <w:szCs w:val="20"/>
                <w:color w:val="auto"/>
              </w:rPr>
            </w:pPr>
            <w:r>
              <w:rPr>
                <w:rFonts w:ascii="Arial" w:cs="Arial" w:eastAsia="Arial" w:hAnsi="Arial"/>
                <w:sz w:val="13"/>
                <w:szCs w:val="13"/>
                <w:b w:val="1"/>
                <w:bCs w:val="1"/>
                <w:color w:val="auto"/>
              </w:rPr>
              <w:t>At June 30, 2002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93"/>
        </w:trPr>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253"/>
        </w:trPr>
        <w:tc>
          <w:tcPr>
            <w:tcW w:w="4820" w:type="dxa"/>
            <w:vAlign w:val="bottom"/>
            <w:gridSpan w:val="4"/>
          </w:tcPr>
          <w:p>
            <w:pPr>
              <w:spacing w:after="0"/>
              <w:rPr>
                <w:sz w:val="20"/>
                <w:szCs w:val="20"/>
                <w:color w:val="auto"/>
              </w:rPr>
            </w:pPr>
            <w:r>
              <w:rPr>
                <w:rFonts w:ascii="Arial" w:cs="Arial" w:eastAsia="Arial" w:hAnsi="Arial"/>
                <w:sz w:val="13"/>
                <w:szCs w:val="13"/>
                <w:b w:val="1"/>
                <w:bCs w:val="1"/>
                <w:color w:val="auto"/>
              </w:rPr>
              <w:t>Type</w:t>
            </w:r>
          </w:p>
        </w:tc>
        <w:tc>
          <w:tcPr>
            <w:tcW w:w="920" w:type="dxa"/>
            <w:vAlign w:val="bottom"/>
            <w:gridSpan w:val="2"/>
          </w:tcPr>
          <w:p>
            <w:pPr>
              <w:ind w:left="340"/>
              <w:spacing w:after="0"/>
              <w:rPr>
                <w:sz w:val="20"/>
                <w:szCs w:val="20"/>
                <w:color w:val="auto"/>
              </w:rPr>
            </w:pPr>
            <w:r>
              <w:rPr>
                <w:rFonts w:ascii="Arial" w:cs="Arial" w:eastAsia="Arial" w:hAnsi="Arial"/>
                <w:sz w:val="13"/>
                <w:szCs w:val="13"/>
                <w:b w:val="1"/>
                <w:bCs w:val="1"/>
                <w:color w:val="auto"/>
              </w:rPr>
              <w:t>Size</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Leased</w:t>
            </w:r>
          </w:p>
        </w:tc>
        <w:tc>
          <w:tcPr>
            <w:tcW w:w="2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Occupancy</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3"/>
          </w:tcPr>
          <w:p>
            <w:pPr>
              <w:ind w:left="40"/>
              <w:spacing w:after="0"/>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Leased</w:t>
            </w:r>
          </w:p>
        </w:tc>
        <w:tc>
          <w:tcPr>
            <w:tcW w:w="26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Occupancy</w:t>
            </w:r>
          </w:p>
        </w:tc>
      </w:tr>
      <w:tr>
        <w:trPr>
          <w:trHeight w:val="93"/>
        </w:trPr>
        <w:tc>
          <w:tcPr>
            <w:tcW w:w="3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98"/>
        </w:trPr>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4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Retail Properties—Excluding Santana Row (2)</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15,370,266</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14,392,184</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93.6%</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14,686,755</w:t>
            </w: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14,092,619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7"/>
              </w:rPr>
              <w:t>96.0%</w:t>
            </w:r>
          </w:p>
        </w:tc>
      </w:tr>
      <w:tr>
        <w:trPr>
          <w:trHeight w:val="209"/>
        </w:trPr>
        <w:tc>
          <w:tcPr>
            <w:tcW w:w="4820" w:type="dxa"/>
            <w:vAlign w:val="bottom"/>
            <w:gridSpan w:val="4"/>
          </w:tcPr>
          <w:p>
            <w:pPr>
              <w:spacing w:after="0"/>
              <w:rPr>
                <w:sz w:val="20"/>
                <w:szCs w:val="20"/>
                <w:color w:val="auto"/>
              </w:rPr>
            </w:pPr>
            <w:r>
              <w:rPr>
                <w:rFonts w:ascii="Arial" w:cs="Arial" w:eastAsia="Arial" w:hAnsi="Arial"/>
                <w:sz w:val="17"/>
                <w:szCs w:val="17"/>
                <w:color w:val="auto"/>
              </w:rPr>
              <w:t>Retail Properties—Including Santana Row Phase I (2)</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15,814,442</w:t>
            </w:r>
          </w:p>
        </w:tc>
        <w:tc>
          <w:tcPr>
            <w:tcW w:w="1260" w:type="dxa"/>
            <w:vAlign w:val="bottom"/>
            <w:gridSpan w:val="4"/>
          </w:tcPr>
          <w:p>
            <w:pPr>
              <w:jc w:val="right"/>
              <w:ind w:right="100"/>
              <w:spacing w:after="0"/>
              <w:rPr>
                <w:sz w:val="20"/>
                <w:szCs w:val="20"/>
                <w:color w:val="auto"/>
              </w:rPr>
            </w:pPr>
            <w:r>
              <w:rPr>
                <w:rFonts w:ascii="Arial" w:cs="Arial" w:eastAsia="Arial" w:hAnsi="Arial"/>
                <w:sz w:val="17"/>
                <w:szCs w:val="17"/>
                <w:color w:val="auto"/>
              </w:rPr>
              <w:t>14,727,393</w:t>
            </w:r>
          </w:p>
        </w:tc>
        <w:tc>
          <w:tcPr>
            <w:tcW w:w="1020" w:type="dxa"/>
            <w:vAlign w:val="bottom"/>
            <w:gridSpan w:val="3"/>
          </w:tcPr>
          <w:p>
            <w:pPr>
              <w:jc w:val="right"/>
              <w:ind w:right="40"/>
              <w:spacing w:after="0"/>
              <w:rPr>
                <w:sz w:val="20"/>
                <w:szCs w:val="20"/>
                <w:color w:val="auto"/>
              </w:rPr>
            </w:pPr>
            <w:r>
              <w:rPr>
                <w:rFonts w:ascii="Arial" w:cs="Arial" w:eastAsia="Arial" w:hAnsi="Arial"/>
                <w:sz w:val="17"/>
                <w:szCs w:val="17"/>
                <w:color w:val="auto"/>
              </w:rPr>
              <w:t>93.1%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7"/>
                <w:szCs w:val="17"/>
                <w:color w:val="auto"/>
              </w:rPr>
              <w:t>N/A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7"/>
                <w:szCs w:val="17"/>
                <w:color w:val="auto"/>
              </w:rPr>
              <w:t>N/A</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7"/>
                <w:szCs w:val="17"/>
                <w:color w:val="auto"/>
              </w:rPr>
              <w:t>N/A</w:t>
            </w:r>
          </w:p>
        </w:tc>
      </w:tr>
      <w:tr>
        <w:trPr>
          <w:trHeight w:val="209"/>
        </w:trPr>
        <w:tc>
          <w:tcPr>
            <w:tcW w:w="4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Rollingwood Apartments (# of units) (4)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282</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277</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98.2%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7"/>
              </w:rPr>
              <w:t>99.3%</w:t>
            </w:r>
          </w:p>
        </w:tc>
      </w:tr>
      <w:tr>
        <w:trPr>
          <w:trHeight w:val="314"/>
        </w:trPr>
        <w:tc>
          <w:tcPr>
            <w:tcW w:w="4820" w:type="dxa"/>
            <w:vAlign w:val="bottom"/>
            <w:gridSpan w:val="4"/>
          </w:tcPr>
          <w:p>
            <w:pPr>
              <w:spacing w:after="0"/>
              <w:rPr>
                <w:sz w:val="20"/>
                <w:szCs w:val="20"/>
                <w:color w:val="auto"/>
              </w:rPr>
            </w:pPr>
            <w:r>
              <w:rPr>
                <w:rFonts w:ascii="Arial" w:cs="Arial" w:eastAsia="Arial" w:hAnsi="Arial"/>
                <w:sz w:val="17"/>
                <w:szCs w:val="17"/>
                <w:b w:val="1"/>
                <w:bCs w:val="1"/>
                <w:color w:val="auto"/>
              </w:rPr>
              <w:t>Overall Occupancy (1)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6"/>
        </w:trPr>
        <w:tc>
          <w:tcPr>
            <w:tcW w:w="164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(Rolling 12 Months)</w:t>
            </w:r>
          </w:p>
        </w:tc>
        <w:tc>
          <w:tcPr>
            <w:tcW w:w="3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02"/>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At June 30, 2003 (3)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6"/>
          </w:tcPr>
          <w:p>
            <w:pPr>
              <w:jc w:val="right"/>
              <w:ind w:right="175"/>
              <w:spacing w:after="0"/>
              <w:rPr>
                <w:sz w:val="20"/>
                <w:szCs w:val="20"/>
                <w:color w:val="auto"/>
              </w:rPr>
            </w:pPr>
            <w:r>
              <w:rPr>
                <w:rFonts w:ascii="Arial" w:cs="Arial" w:eastAsia="Arial" w:hAnsi="Arial"/>
                <w:sz w:val="13"/>
                <w:szCs w:val="13"/>
                <w:b w:val="1"/>
                <w:bCs w:val="1"/>
                <w:color w:val="auto"/>
              </w:rPr>
              <w:t>At March 31, 2003 (3)</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3"/>
        </w:trPr>
        <w:tc>
          <w:tcPr>
            <w:tcW w:w="94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3"/>
          </w:tcPr>
          <w:p>
            <w:pPr>
              <w:spacing w:after="0"/>
              <w:rPr>
                <w:sz w:val="8"/>
                <w:szCs w:val="8"/>
                <w:color w:val="auto"/>
              </w:rPr>
            </w:pPr>
          </w:p>
        </w:tc>
        <w:tc>
          <w:tcPr>
            <w:tcW w:w="3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4"/>
          </w:tcPr>
          <w:p>
            <w:pPr>
              <w:spacing w:after="0"/>
              <w:rPr>
                <w:sz w:val="8"/>
                <w:szCs w:val="8"/>
                <w:color w:val="auto"/>
              </w:rPr>
            </w:pPr>
          </w:p>
        </w:tc>
        <w:tc>
          <w:tcPr>
            <w:tcW w:w="1180" w:type="dxa"/>
            <w:vAlign w:val="bottom"/>
            <w:gridSpan w:val="4"/>
          </w:tcPr>
          <w:p>
            <w:pPr>
              <w:spacing w:after="0"/>
              <w:rPr>
                <w:sz w:val="8"/>
                <w:szCs w:val="8"/>
                <w:color w:val="auto"/>
              </w:rPr>
            </w:pPr>
          </w:p>
        </w:tc>
        <w:tc>
          <w:tcPr>
            <w:tcW w:w="560" w:type="dxa"/>
            <w:vAlign w:val="bottom"/>
            <w:gridSpan w:val="2"/>
          </w:tcPr>
          <w:p>
            <w:pPr>
              <w:spacing w:after="0"/>
              <w:rPr>
                <w:sz w:val="8"/>
                <w:szCs w:val="8"/>
                <w:color w:val="auto"/>
              </w:rPr>
            </w:pPr>
          </w:p>
        </w:tc>
      </w:tr>
      <w:tr>
        <w:trPr>
          <w:trHeight w:val="98"/>
        </w:trPr>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4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Retail Properties—Excluding Santana Row (2)</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color w:val="auto"/>
              </w:rPr>
              <w:t>15,370,266</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w w:val="96"/>
              </w:rPr>
              <w:t>14,392,184</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5"/>
              </w:rPr>
              <w:t>93.6%</w:t>
            </w:r>
          </w:p>
        </w:tc>
        <w:tc>
          <w:tcPr>
            <w:tcW w:w="11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15,254,267</w:t>
            </w:r>
          </w:p>
        </w:tc>
        <w:tc>
          <w:tcPr>
            <w:tcW w:w="1180" w:type="dxa"/>
            <w:vAlign w:val="bottom"/>
            <w:gridSpan w:val="4"/>
            <w:shd w:val="clear" w:color="auto" w:fill="CCEEFF"/>
          </w:tcPr>
          <w:p>
            <w:pPr>
              <w:jc w:val="right"/>
              <w:ind w:right="35"/>
              <w:spacing w:after="0"/>
              <w:rPr>
                <w:sz w:val="20"/>
                <w:szCs w:val="20"/>
                <w:color w:val="auto"/>
              </w:rPr>
            </w:pPr>
            <w:r>
              <w:rPr>
                <w:rFonts w:ascii="Arial" w:cs="Arial" w:eastAsia="Arial" w:hAnsi="Arial"/>
                <w:sz w:val="17"/>
                <w:szCs w:val="17"/>
                <w:color w:val="auto"/>
              </w:rPr>
              <w:t>14,486,515</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7"/>
              </w:rPr>
              <w:t>95.0%</w:t>
            </w:r>
          </w:p>
        </w:tc>
      </w:tr>
      <w:tr>
        <w:trPr>
          <w:trHeight w:val="209"/>
        </w:trPr>
        <w:tc>
          <w:tcPr>
            <w:tcW w:w="4820" w:type="dxa"/>
            <w:vAlign w:val="bottom"/>
            <w:gridSpan w:val="4"/>
          </w:tcPr>
          <w:p>
            <w:pPr>
              <w:spacing w:after="0"/>
              <w:rPr>
                <w:sz w:val="20"/>
                <w:szCs w:val="20"/>
                <w:color w:val="auto"/>
              </w:rPr>
            </w:pPr>
            <w:r>
              <w:rPr>
                <w:rFonts w:ascii="Arial" w:cs="Arial" w:eastAsia="Arial" w:hAnsi="Arial"/>
                <w:sz w:val="17"/>
                <w:szCs w:val="17"/>
                <w:color w:val="auto"/>
              </w:rPr>
              <w:t>Retail Properties—Including Santana Row Phase I (2)</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115"/>
              <w:spacing w:after="0"/>
              <w:rPr>
                <w:sz w:val="20"/>
                <w:szCs w:val="20"/>
                <w:color w:val="auto"/>
              </w:rPr>
            </w:pPr>
            <w:r>
              <w:rPr>
                <w:rFonts w:ascii="Arial" w:cs="Arial" w:eastAsia="Arial" w:hAnsi="Arial"/>
                <w:sz w:val="17"/>
                <w:szCs w:val="17"/>
                <w:color w:val="auto"/>
              </w:rPr>
              <w:t>15,814,442</w:t>
            </w:r>
          </w:p>
        </w:tc>
        <w:tc>
          <w:tcPr>
            <w:tcW w:w="1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w w:val="96"/>
              </w:rPr>
              <w:t>14,727,393</w:t>
            </w:r>
          </w:p>
        </w:tc>
        <w:tc>
          <w:tcPr>
            <w:tcW w:w="540" w:type="dxa"/>
            <w:vAlign w:val="bottom"/>
            <w:gridSpan w:val="3"/>
          </w:tcPr>
          <w:p>
            <w:pPr>
              <w:jc w:val="right"/>
              <w:ind w:right="60"/>
              <w:spacing w:after="0"/>
              <w:rPr>
                <w:sz w:val="20"/>
                <w:szCs w:val="20"/>
                <w:color w:val="auto"/>
              </w:rPr>
            </w:pPr>
            <w:r>
              <w:rPr>
                <w:rFonts w:ascii="Arial" w:cs="Arial" w:eastAsia="Arial" w:hAnsi="Arial"/>
                <w:sz w:val="17"/>
                <w:szCs w:val="17"/>
                <w:color w:val="auto"/>
                <w:w w:val="95"/>
              </w:rPr>
              <w:t>93.1%</w:t>
            </w:r>
          </w:p>
        </w:tc>
        <w:tc>
          <w:tcPr>
            <w:tcW w:w="1120" w:type="dxa"/>
            <w:vAlign w:val="bottom"/>
            <w:gridSpan w:val="5"/>
          </w:tcPr>
          <w:p>
            <w:pPr>
              <w:jc w:val="right"/>
              <w:ind w:right="40"/>
              <w:spacing w:after="0"/>
              <w:rPr>
                <w:sz w:val="20"/>
                <w:szCs w:val="20"/>
                <w:color w:val="auto"/>
              </w:rPr>
            </w:pPr>
            <w:r>
              <w:rPr>
                <w:rFonts w:ascii="Arial" w:cs="Arial" w:eastAsia="Arial" w:hAnsi="Arial"/>
                <w:sz w:val="17"/>
                <w:szCs w:val="17"/>
                <w:color w:val="auto"/>
              </w:rPr>
              <w:t>15,697,961</w:t>
            </w:r>
          </w:p>
        </w:tc>
        <w:tc>
          <w:tcPr>
            <w:tcW w:w="1180" w:type="dxa"/>
            <w:vAlign w:val="bottom"/>
            <w:gridSpan w:val="4"/>
          </w:tcPr>
          <w:p>
            <w:pPr>
              <w:jc w:val="right"/>
              <w:ind w:right="35"/>
              <w:spacing w:after="0"/>
              <w:rPr>
                <w:sz w:val="20"/>
                <w:szCs w:val="20"/>
                <w:color w:val="auto"/>
              </w:rPr>
            </w:pPr>
            <w:r>
              <w:rPr>
                <w:rFonts w:ascii="Arial" w:cs="Arial" w:eastAsia="Arial" w:hAnsi="Arial"/>
                <w:sz w:val="17"/>
                <w:szCs w:val="17"/>
                <w:color w:val="auto"/>
              </w:rPr>
              <w:t>14,807,131</w:t>
            </w:r>
          </w:p>
        </w:tc>
        <w:tc>
          <w:tcPr>
            <w:tcW w:w="560" w:type="dxa"/>
            <w:vAlign w:val="bottom"/>
            <w:gridSpan w:val="2"/>
          </w:tcPr>
          <w:p>
            <w:pPr>
              <w:ind w:left="120"/>
              <w:spacing w:after="0"/>
              <w:rPr>
                <w:sz w:val="20"/>
                <w:szCs w:val="20"/>
                <w:color w:val="auto"/>
              </w:rPr>
            </w:pPr>
            <w:r>
              <w:rPr>
                <w:rFonts w:ascii="Arial" w:cs="Arial" w:eastAsia="Arial" w:hAnsi="Arial"/>
                <w:sz w:val="17"/>
                <w:szCs w:val="17"/>
                <w:color w:val="auto"/>
                <w:w w:val="87"/>
              </w:rPr>
              <w:t>94.3%</w:t>
            </w:r>
          </w:p>
        </w:tc>
      </w:tr>
      <w:tr>
        <w:trPr>
          <w:trHeight w:val="209"/>
        </w:trPr>
        <w:tc>
          <w:tcPr>
            <w:tcW w:w="4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Rollingwood Apartments (# of units) (4)</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color w:val="auto"/>
              </w:rPr>
              <w:t>282</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277</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5"/>
              </w:rPr>
              <w:t>98.2%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282</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278</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7"/>
              </w:rPr>
              <w:t>98.6%</w:t>
            </w:r>
          </w:p>
        </w:tc>
      </w:tr>
      <w:tr>
        <w:trPr>
          <w:trHeight w:val="299"/>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At December 31, 2002 (3)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6"/>
          </w:tcPr>
          <w:p>
            <w:pPr>
              <w:jc w:val="right"/>
              <w:ind w:right="155"/>
              <w:spacing w:after="0"/>
              <w:rPr>
                <w:sz w:val="20"/>
                <w:szCs w:val="20"/>
                <w:color w:val="auto"/>
              </w:rPr>
            </w:pPr>
            <w:r>
              <w:rPr>
                <w:rFonts w:ascii="Arial" w:cs="Arial" w:eastAsia="Arial" w:hAnsi="Arial"/>
                <w:sz w:val="13"/>
                <w:szCs w:val="13"/>
                <w:b w:val="1"/>
                <w:bCs w:val="1"/>
                <w:color w:val="auto"/>
                <w:w w:val="99"/>
              </w:rPr>
              <w:t>At September 30, 2002</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3"/>
        </w:trPr>
        <w:tc>
          <w:tcPr>
            <w:tcW w:w="94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3"/>
          </w:tcPr>
          <w:p>
            <w:pPr>
              <w:spacing w:after="0"/>
              <w:rPr>
                <w:sz w:val="8"/>
                <w:szCs w:val="8"/>
                <w:color w:val="auto"/>
              </w:rPr>
            </w:pPr>
          </w:p>
        </w:tc>
        <w:tc>
          <w:tcPr>
            <w:tcW w:w="540" w:type="dxa"/>
            <w:vAlign w:val="bottom"/>
            <w:gridSpan w:val="3"/>
          </w:tcPr>
          <w:p>
            <w:pPr>
              <w:spacing w:after="0"/>
              <w:rPr>
                <w:sz w:val="8"/>
                <w:szCs w:val="8"/>
                <w:color w:val="auto"/>
              </w:rPr>
            </w:pPr>
          </w:p>
        </w:tc>
        <w:tc>
          <w:tcPr>
            <w:tcW w:w="1120" w:type="dxa"/>
            <w:vAlign w:val="bottom"/>
            <w:gridSpan w:val="5"/>
          </w:tcPr>
          <w:p>
            <w:pPr>
              <w:spacing w:after="0"/>
              <w:rPr>
                <w:sz w:val="8"/>
                <w:szCs w:val="8"/>
                <w:color w:val="auto"/>
              </w:rPr>
            </w:pPr>
          </w:p>
        </w:tc>
        <w:tc>
          <w:tcPr>
            <w:tcW w:w="1180" w:type="dxa"/>
            <w:vAlign w:val="bottom"/>
            <w:gridSpan w:val="4"/>
          </w:tcPr>
          <w:p>
            <w:pPr>
              <w:spacing w:after="0"/>
              <w:rPr>
                <w:sz w:val="8"/>
                <w:szCs w:val="8"/>
                <w:color w:val="auto"/>
              </w:rPr>
            </w:pPr>
          </w:p>
        </w:tc>
        <w:tc>
          <w:tcPr>
            <w:tcW w:w="560" w:type="dxa"/>
            <w:vAlign w:val="bottom"/>
            <w:gridSpan w:val="2"/>
          </w:tcPr>
          <w:p>
            <w:pPr>
              <w:spacing w:after="0"/>
              <w:rPr>
                <w:sz w:val="8"/>
                <w:szCs w:val="8"/>
                <w:color w:val="auto"/>
              </w:rPr>
            </w:pPr>
          </w:p>
        </w:tc>
      </w:tr>
      <w:tr>
        <w:trPr>
          <w:trHeight w:val="98"/>
        </w:trPr>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4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Retail Properties—Excluding Santana Row (2)</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color w:val="auto"/>
              </w:rPr>
              <w:t>14,801,252</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w w:val="96"/>
              </w:rPr>
              <w:t>14,128,278</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5"/>
              </w:rPr>
              <w:t>95.5%</w:t>
            </w:r>
          </w:p>
        </w:tc>
        <w:tc>
          <w:tcPr>
            <w:tcW w:w="11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14,738,000</w:t>
            </w:r>
          </w:p>
        </w:tc>
        <w:tc>
          <w:tcPr>
            <w:tcW w:w="1180" w:type="dxa"/>
            <w:vAlign w:val="bottom"/>
            <w:gridSpan w:val="4"/>
            <w:shd w:val="clear" w:color="auto" w:fill="CCEEFF"/>
          </w:tcPr>
          <w:p>
            <w:pPr>
              <w:jc w:val="right"/>
              <w:ind w:right="35"/>
              <w:spacing w:after="0"/>
              <w:rPr>
                <w:sz w:val="20"/>
                <w:szCs w:val="20"/>
                <w:color w:val="auto"/>
              </w:rPr>
            </w:pPr>
            <w:r>
              <w:rPr>
                <w:rFonts w:ascii="Arial" w:cs="Arial" w:eastAsia="Arial" w:hAnsi="Arial"/>
                <w:sz w:val="17"/>
                <w:szCs w:val="17"/>
                <w:color w:val="auto"/>
              </w:rPr>
              <w:t>14,081,000</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7"/>
              </w:rPr>
              <w:t>95.5%</w:t>
            </w:r>
          </w:p>
        </w:tc>
      </w:tr>
      <w:tr>
        <w:trPr>
          <w:trHeight w:val="209"/>
        </w:trPr>
        <w:tc>
          <w:tcPr>
            <w:tcW w:w="4820" w:type="dxa"/>
            <w:vAlign w:val="bottom"/>
            <w:gridSpan w:val="4"/>
          </w:tcPr>
          <w:p>
            <w:pPr>
              <w:spacing w:after="0"/>
              <w:rPr>
                <w:sz w:val="20"/>
                <w:szCs w:val="20"/>
                <w:color w:val="auto"/>
              </w:rPr>
            </w:pPr>
            <w:r>
              <w:rPr>
                <w:rFonts w:ascii="Arial" w:cs="Arial" w:eastAsia="Arial" w:hAnsi="Arial"/>
                <w:sz w:val="17"/>
                <w:szCs w:val="17"/>
                <w:color w:val="auto"/>
              </w:rPr>
              <w:t>Retail Properties—Including Santana Row Phase I (2)</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115"/>
              <w:spacing w:after="0"/>
              <w:rPr>
                <w:sz w:val="20"/>
                <w:szCs w:val="20"/>
                <w:color w:val="auto"/>
              </w:rPr>
            </w:pPr>
            <w:r>
              <w:rPr>
                <w:rFonts w:ascii="Arial" w:cs="Arial" w:eastAsia="Arial" w:hAnsi="Arial"/>
                <w:sz w:val="17"/>
                <w:szCs w:val="17"/>
                <w:color w:val="auto"/>
              </w:rPr>
              <w:t>15,245,000</w:t>
            </w:r>
          </w:p>
        </w:tc>
        <w:tc>
          <w:tcPr>
            <w:tcW w:w="1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w w:val="96"/>
              </w:rPr>
              <w:t>14,442,000</w:t>
            </w:r>
          </w:p>
        </w:tc>
        <w:tc>
          <w:tcPr>
            <w:tcW w:w="540" w:type="dxa"/>
            <w:vAlign w:val="bottom"/>
            <w:gridSpan w:val="3"/>
          </w:tcPr>
          <w:p>
            <w:pPr>
              <w:jc w:val="right"/>
              <w:ind w:right="60"/>
              <w:spacing w:after="0"/>
              <w:rPr>
                <w:sz w:val="20"/>
                <w:szCs w:val="20"/>
                <w:color w:val="auto"/>
              </w:rPr>
            </w:pPr>
            <w:r>
              <w:rPr>
                <w:rFonts w:ascii="Arial" w:cs="Arial" w:eastAsia="Arial" w:hAnsi="Arial"/>
                <w:sz w:val="17"/>
                <w:szCs w:val="17"/>
                <w:color w:val="auto"/>
                <w:w w:val="95"/>
              </w:rPr>
              <w:t>94.7%</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N/A</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ind w:right="35"/>
              <w:spacing w:after="0"/>
              <w:rPr>
                <w:sz w:val="20"/>
                <w:szCs w:val="20"/>
                <w:color w:val="auto"/>
              </w:rPr>
            </w:pPr>
            <w:r>
              <w:rPr>
                <w:rFonts w:ascii="Arial" w:cs="Arial" w:eastAsia="Arial" w:hAnsi="Arial"/>
                <w:sz w:val="17"/>
                <w:szCs w:val="17"/>
                <w:color w:val="auto"/>
              </w:rPr>
              <w:t>N/A</w:t>
            </w:r>
          </w:p>
        </w:tc>
        <w:tc>
          <w:tcPr>
            <w:tcW w:w="560" w:type="dxa"/>
            <w:vAlign w:val="bottom"/>
            <w:gridSpan w:val="2"/>
          </w:tcPr>
          <w:p>
            <w:pPr>
              <w:ind w:left="120"/>
              <w:spacing w:after="0"/>
              <w:rPr>
                <w:sz w:val="20"/>
                <w:szCs w:val="20"/>
                <w:color w:val="auto"/>
              </w:rPr>
            </w:pPr>
            <w:r>
              <w:rPr>
                <w:rFonts w:ascii="Arial" w:cs="Arial" w:eastAsia="Arial" w:hAnsi="Arial"/>
                <w:sz w:val="17"/>
                <w:szCs w:val="17"/>
                <w:color w:val="auto"/>
              </w:rPr>
              <w:t>N/A</w:t>
            </w:r>
          </w:p>
        </w:tc>
      </w:tr>
      <w:tr>
        <w:trPr>
          <w:trHeight w:val="209"/>
        </w:trPr>
        <w:tc>
          <w:tcPr>
            <w:tcW w:w="48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Rollingwood Apartments (# of units) (4)</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color w:val="auto"/>
              </w:rPr>
              <w:t>282</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275</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5"/>
              </w:rPr>
              <w:t>97.5%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282</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279</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7"/>
              </w:rPr>
              <w:t>98.9%</w:t>
            </w:r>
          </w:p>
        </w:tc>
      </w:tr>
      <w:tr>
        <w:trPr>
          <w:trHeight w:val="105"/>
        </w:trPr>
        <w:tc>
          <w:tcPr>
            <w:tcW w:w="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40" w:hanging="435"/>
        <w:spacing w:after="0"/>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 and Phase II and other future phases of Santana Row.</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444,000 square feet of Santana Row Phase I.</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Residential occupancy for Santana Row is included in the Santana Row Summary schedule.</w:t>
      </w:r>
    </w:p>
    <w:p>
      <w:pPr>
        <w:sectPr>
          <w:pgSz w:w="11900" w:h="16838" w:orient="portrait"/>
          <w:cols w:equalWidth="0" w:num="1">
            <w:col w:w="11420"/>
          </w:cols>
          <w:pgMar w:left="240" w:top="271"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Occupancy Summary—Same Center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Same Center Occupancy (1)</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(Quarter to Quarter Comparison)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ind w:left="240"/>
              <w:spacing w:after="0"/>
              <w:rPr>
                <w:sz w:val="20"/>
                <w:szCs w:val="20"/>
                <w:color w:val="auto"/>
              </w:rPr>
            </w:pPr>
            <w:r>
              <w:rPr>
                <w:rFonts w:ascii="Arial" w:cs="Arial" w:eastAsia="Arial" w:hAnsi="Arial"/>
                <w:sz w:val="13"/>
                <w:szCs w:val="13"/>
                <w:b w:val="1"/>
                <w:bCs w:val="1"/>
                <w:color w:val="auto"/>
              </w:rPr>
              <w:t>At June 30, 2003</w:t>
            </w: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ind w:left="240"/>
              <w:spacing w:after="0"/>
              <w:rPr>
                <w:sz w:val="20"/>
                <w:szCs w:val="20"/>
                <w:color w:val="auto"/>
              </w:rPr>
            </w:pPr>
            <w:r>
              <w:rPr>
                <w:rFonts w:ascii="Arial" w:cs="Arial" w:eastAsia="Arial" w:hAnsi="Arial"/>
                <w:sz w:val="13"/>
                <w:szCs w:val="13"/>
                <w:b w:val="1"/>
                <w:bCs w:val="1"/>
                <w:color w:val="auto"/>
              </w:rPr>
              <w:t>At June 30, 2002</w:t>
            </w:r>
          </w:p>
        </w:tc>
        <w:tc>
          <w:tcPr>
            <w:tcW w:w="840" w:type="dxa"/>
            <w:vAlign w:val="bottom"/>
          </w:tcPr>
          <w:p>
            <w:pPr>
              <w:spacing w:after="0"/>
              <w:rPr>
                <w:sz w:val="14"/>
                <w:szCs w:val="14"/>
                <w:color w:val="auto"/>
              </w:rPr>
            </w:pPr>
          </w:p>
        </w:tc>
      </w:tr>
      <w:tr>
        <w:trPr>
          <w:trHeight w:val="93"/>
        </w:trPr>
        <w:tc>
          <w:tcPr>
            <w:tcW w:w="48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253"/>
        </w:trPr>
        <w:tc>
          <w:tcPr>
            <w:tcW w:w="4820" w:type="dxa"/>
            <w:vAlign w:val="bottom"/>
          </w:tcPr>
          <w:p>
            <w:pPr>
              <w:spacing w:after="0"/>
              <w:rPr>
                <w:sz w:val="20"/>
                <w:szCs w:val="20"/>
                <w:color w:val="auto"/>
              </w:rPr>
            </w:pPr>
            <w:r>
              <w:rPr>
                <w:rFonts w:ascii="Arial" w:cs="Arial" w:eastAsia="Arial" w:hAnsi="Arial"/>
                <w:sz w:val="13"/>
                <w:szCs w:val="13"/>
                <w:b w:val="1"/>
                <w:bCs w:val="1"/>
                <w:color w:val="auto"/>
              </w:rPr>
              <w:t>Type</w:t>
            </w:r>
          </w:p>
        </w:tc>
        <w:tc>
          <w:tcPr>
            <w:tcW w:w="800" w:type="dxa"/>
            <w:vAlign w:val="bottom"/>
          </w:tcPr>
          <w:p>
            <w:pPr>
              <w:ind w:left="340"/>
              <w:spacing w:after="0"/>
              <w:rPr>
                <w:sz w:val="20"/>
                <w:szCs w:val="20"/>
                <w:color w:val="auto"/>
              </w:rPr>
            </w:pPr>
            <w:r>
              <w:rPr>
                <w:rFonts w:ascii="Arial" w:cs="Arial" w:eastAsia="Arial" w:hAnsi="Arial"/>
                <w:sz w:val="13"/>
                <w:szCs w:val="13"/>
                <w:b w:val="1"/>
                <w:bCs w:val="1"/>
                <w:color w:val="auto"/>
              </w:rPr>
              <w:t>Size</w:t>
            </w:r>
          </w:p>
        </w:tc>
        <w:tc>
          <w:tcPr>
            <w:tcW w:w="1380" w:type="dxa"/>
            <w:vAlign w:val="bottom"/>
          </w:tcPr>
          <w:p>
            <w:pPr>
              <w:ind w:left="640"/>
              <w:spacing w:after="0"/>
              <w:rPr>
                <w:sz w:val="20"/>
                <w:szCs w:val="20"/>
                <w:color w:val="auto"/>
              </w:rPr>
            </w:pPr>
            <w:r>
              <w:rPr>
                <w:rFonts w:ascii="Arial" w:cs="Arial" w:eastAsia="Arial" w:hAnsi="Arial"/>
                <w:sz w:val="13"/>
                <w:szCs w:val="13"/>
                <w:b w:val="1"/>
                <w:bCs w:val="1"/>
                <w:color w:val="auto"/>
              </w:rPr>
              <w:t>Leased</w:t>
            </w:r>
          </w:p>
        </w:tc>
        <w:tc>
          <w:tcPr>
            <w:tcW w:w="840" w:type="dxa"/>
            <w:vAlign w:val="bottom"/>
          </w:tcPr>
          <w:p>
            <w:pPr>
              <w:ind w:left="200"/>
              <w:spacing w:after="0"/>
              <w:rPr>
                <w:sz w:val="20"/>
                <w:szCs w:val="20"/>
                <w:color w:val="auto"/>
              </w:rPr>
            </w:pPr>
            <w:r>
              <w:rPr>
                <w:rFonts w:ascii="Arial" w:cs="Arial" w:eastAsia="Arial" w:hAnsi="Arial"/>
                <w:sz w:val="13"/>
                <w:szCs w:val="13"/>
                <w:b w:val="1"/>
                <w:bCs w:val="1"/>
                <w:color w:val="auto"/>
                <w:w w:val="88"/>
              </w:rPr>
              <w:t>Occupancy</w:t>
            </w:r>
          </w:p>
        </w:tc>
        <w:tc>
          <w:tcPr>
            <w:tcW w:w="440" w:type="dxa"/>
            <w:vAlign w:val="bottom"/>
          </w:tcPr>
          <w:p>
            <w:pPr>
              <w:spacing w:after="0"/>
              <w:rPr>
                <w:sz w:val="22"/>
                <w:szCs w:val="22"/>
                <w:color w:val="auto"/>
              </w:rPr>
            </w:pPr>
          </w:p>
        </w:tc>
        <w:tc>
          <w:tcPr>
            <w:tcW w:w="800" w:type="dxa"/>
            <w:vAlign w:val="bottom"/>
          </w:tcPr>
          <w:p>
            <w:pPr>
              <w:ind w:left="320"/>
              <w:spacing w:after="0"/>
              <w:rPr>
                <w:sz w:val="20"/>
                <w:szCs w:val="20"/>
                <w:color w:val="auto"/>
              </w:rPr>
            </w:pPr>
            <w:r>
              <w:rPr>
                <w:rFonts w:ascii="Arial" w:cs="Arial" w:eastAsia="Arial" w:hAnsi="Arial"/>
                <w:sz w:val="13"/>
                <w:szCs w:val="13"/>
                <w:b w:val="1"/>
                <w:bCs w:val="1"/>
                <w:color w:val="auto"/>
              </w:rPr>
              <w:t>Size</w:t>
            </w:r>
          </w:p>
        </w:tc>
        <w:tc>
          <w:tcPr>
            <w:tcW w:w="1360" w:type="dxa"/>
            <w:vAlign w:val="bottom"/>
          </w:tcPr>
          <w:p>
            <w:pPr>
              <w:ind w:left="640"/>
              <w:spacing w:after="0"/>
              <w:rPr>
                <w:sz w:val="20"/>
                <w:szCs w:val="20"/>
                <w:color w:val="auto"/>
              </w:rPr>
            </w:pPr>
            <w:r>
              <w:rPr>
                <w:rFonts w:ascii="Arial" w:cs="Arial" w:eastAsia="Arial" w:hAnsi="Arial"/>
                <w:sz w:val="13"/>
                <w:szCs w:val="13"/>
                <w:b w:val="1"/>
                <w:bCs w:val="1"/>
                <w:color w:val="auto"/>
              </w:rPr>
              <w:t>Leased</w:t>
            </w:r>
          </w:p>
        </w:tc>
        <w:tc>
          <w:tcPr>
            <w:tcW w:w="840" w:type="dxa"/>
            <w:vAlign w:val="bottom"/>
          </w:tcPr>
          <w:p>
            <w:pPr>
              <w:ind w:left="220"/>
              <w:spacing w:after="0"/>
              <w:rPr>
                <w:sz w:val="20"/>
                <w:szCs w:val="20"/>
                <w:color w:val="auto"/>
              </w:rPr>
            </w:pPr>
            <w:r>
              <w:rPr>
                <w:rFonts w:ascii="Arial" w:cs="Arial" w:eastAsia="Arial" w:hAnsi="Arial"/>
                <w:sz w:val="13"/>
                <w:szCs w:val="13"/>
                <w:b w:val="1"/>
                <w:bCs w:val="1"/>
                <w:color w:val="auto"/>
                <w:w w:val="85"/>
              </w:rPr>
              <w:t>Occupancy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24066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40665" cy="825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59055</wp:posOffset>
            </wp:positionV>
            <wp:extent cx="40982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098290"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Properties (leasable square feet) (2)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14,676,207</w:t>
            </w:r>
          </w:p>
        </w:tc>
        <w:tc>
          <w:tcPr>
            <w:tcW w:w="1520" w:type="dxa"/>
            <w:vAlign w:val="bottom"/>
            <w:shd w:val="clear" w:color="auto" w:fill="CCEEFF"/>
          </w:tcPr>
          <w:p>
            <w:pPr>
              <w:jc w:val="right"/>
              <w:ind w:right="260"/>
              <w:spacing w:after="0"/>
              <w:rPr>
                <w:sz w:val="20"/>
                <w:szCs w:val="20"/>
                <w:color w:val="auto"/>
              </w:rPr>
            </w:pPr>
            <w:r>
              <w:rPr>
                <w:rFonts w:ascii="Arial" w:cs="Arial" w:eastAsia="Arial" w:hAnsi="Arial"/>
                <w:sz w:val="17"/>
                <w:szCs w:val="17"/>
                <w:color w:val="auto"/>
              </w:rPr>
              <w:t>13,914,141</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94.8%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14,250,641</w:t>
            </w:r>
          </w:p>
        </w:tc>
        <w:tc>
          <w:tcPr>
            <w:tcW w:w="148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13,669,794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95.9%</w:t>
            </w:r>
          </w:p>
        </w:tc>
      </w:tr>
      <w:tr>
        <w:trPr>
          <w:trHeight w:val="215"/>
        </w:trPr>
        <w:tc>
          <w:tcPr>
            <w:tcW w:w="4820" w:type="dxa"/>
            <w:vAlign w:val="bottom"/>
            <w:gridSpan w:val="2"/>
          </w:tcPr>
          <w:p>
            <w:pPr>
              <w:spacing w:after="0"/>
              <w:rPr>
                <w:sz w:val="20"/>
                <w:szCs w:val="20"/>
                <w:color w:val="auto"/>
              </w:rPr>
            </w:pPr>
            <w:r>
              <w:rPr>
                <w:rFonts w:ascii="Arial" w:cs="Arial" w:eastAsia="Arial" w:hAnsi="Arial"/>
                <w:sz w:val="17"/>
                <w:szCs w:val="17"/>
                <w:color w:val="auto"/>
              </w:rPr>
              <w:t>Rollingwood Apartments (# of units)</w:t>
            </w:r>
          </w:p>
        </w:tc>
        <w:tc>
          <w:tcPr>
            <w:tcW w:w="900" w:type="dxa"/>
            <w:vAlign w:val="bottom"/>
          </w:tcPr>
          <w:p>
            <w:pPr>
              <w:jc w:val="right"/>
              <w:spacing w:after="0"/>
              <w:rPr>
                <w:sz w:val="20"/>
                <w:szCs w:val="20"/>
                <w:color w:val="auto"/>
              </w:rPr>
            </w:pPr>
            <w:r>
              <w:rPr>
                <w:rFonts w:ascii="Arial" w:cs="Arial" w:eastAsia="Arial" w:hAnsi="Arial"/>
                <w:sz w:val="17"/>
                <w:szCs w:val="17"/>
                <w:color w:val="auto"/>
              </w:rPr>
              <w:t>282</w:t>
            </w:r>
          </w:p>
        </w:tc>
        <w:tc>
          <w:tcPr>
            <w:tcW w:w="1520" w:type="dxa"/>
            <w:vAlign w:val="bottom"/>
          </w:tcPr>
          <w:p>
            <w:pPr>
              <w:jc w:val="right"/>
              <w:ind w:right="260"/>
              <w:spacing w:after="0"/>
              <w:rPr>
                <w:sz w:val="20"/>
                <w:szCs w:val="20"/>
                <w:color w:val="auto"/>
              </w:rPr>
            </w:pPr>
            <w:r>
              <w:rPr>
                <w:rFonts w:ascii="Arial" w:cs="Arial" w:eastAsia="Arial" w:hAnsi="Arial"/>
                <w:sz w:val="17"/>
                <w:szCs w:val="17"/>
                <w:color w:val="auto"/>
              </w:rPr>
              <w:t>277</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98.2%</w:t>
            </w:r>
          </w:p>
        </w:tc>
        <w:tc>
          <w:tcPr>
            <w:tcW w:w="940" w:type="dxa"/>
            <w:vAlign w:val="bottom"/>
          </w:tcPr>
          <w:p>
            <w:pPr>
              <w:jc w:val="right"/>
              <w:spacing w:after="0"/>
              <w:rPr>
                <w:sz w:val="20"/>
                <w:szCs w:val="20"/>
                <w:color w:val="auto"/>
              </w:rPr>
            </w:pPr>
            <w:r>
              <w:rPr>
                <w:rFonts w:ascii="Arial" w:cs="Arial" w:eastAsia="Arial" w:hAnsi="Arial"/>
                <w:sz w:val="17"/>
                <w:szCs w:val="17"/>
                <w:color w:val="auto"/>
              </w:rPr>
              <w:t>282</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280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99.3%</w:t>
            </w:r>
          </w:p>
        </w:tc>
      </w:tr>
      <w:tr>
        <w:trPr>
          <w:trHeight w:val="373"/>
        </w:trPr>
        <w:tc>
          <w:tcPr>
            <w:tcW w:w="20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Same Center Occupancy (1)</w:t>
            </w: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6"/>
        </w:trPr>
        <w:tc>
          <w:tcPr>
            <w:tcW w:w="4820" w:type="dxa"/>
            <w:vAlign w:val="bottom"/>
            <w:gridSpan w:val="2"/>
          </w:tcPr>
          <w:p>
            <w:pPr>
              <w:spacing w:after="0"/>
              <w:rPr>
                <w:sz w:val="20"/>
                <w:szCs w:val="20"/>
                <w:color w:val="auto"/>
              </w:rPr>
            </w:pPr>
            <w:r>
              <w:rPr>
                <w:rFonts w:ascii="Arial" w:cs="Arial" w:eastAsia="Arial" w:hAnsi="Arial"/>
                <w:sz w:val="17"/>
                <w:szCs w:val="17"/>
                <w:color w:val="auto"/>
              </w:rPr>
              <w:t>(Rolling 12 Months)</w:t>
            </w:r>
          </w:p>
        </w:tc>
        <w:tc>
          <w:tcPr>
            <w:tcW w:w="9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7"/>
        </w:trPr>
        <w:tc>
          <w:tcPr>
            <w:tcW w:w="2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jc w:val="right"/>
              <w:ind w:right="360"/>
              <w:spacing w:after="0"/>
              <w:rPr>
                <w:sz w:val="20"/>
                <w:szCs w:val="20"/>
                <w:color w:val="auto"/>
              </w:rPr>
            </w:pPr>
            <w:r>
              <w:rPr>
                <w:rFonts w:ascii="Arial" w:cs="Arial" w:eastAsia="Arial" w:hAnsi="Arial"/>
                <w:sz w:val="13"/>
                <w:szCs w:val="13"/>
                <w:b w:val="1"/>
                <w:bCs w:val="1"/>
                <w:color w:val="auto"/>
              </w:rPr>
              <w:t>At June 30, 2003</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jc w:val="right"/>
              <w:ind w:right="318"/>
              <w:spacing w:after="0"/>
              <w:rPr>
                <w:sz w:val="20"/>
                <w:szCs w:val="20"/>
                <w:color w:val="auto"/>
              </w:rPr>
            </w:pPr>
            <w:r>
              <w:rPr>
                <w:rFonts w:ascii="Arial" w:cs="Arial" w:eastAsia="Arial" w:hAnsi="Arial"/>
                <w:sz w:val="13"/>
                <w:szCs w:val="13"/>
                <w:b w:val="1"/>
                <w:bCs w:val="1"/>
                <w:color w:val="auto"/>
                <w:w w:val="96"/>
              </w:rPr>
              <w:t>At March 31, 2003</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3"/>
        </w:trPr>
        <w:tc>
          <w:tcPr>
            <w:tcW w:w="20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98"/>
        </w:trPr>
        <w:tc>
          <w:tcPr>
            <w:tcW w:w="20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Properties (leasable square feet) (2)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14,676,207</w:t>
            </w:r>
          </w:p>
        </w:tc>
        <w:tc>
          <w:tcPr>
            <w:tcW w:w="1520" w:type="dxa"/>
            <w:vAlign w:val="bottom"/>
            <w:shd w:val="clear" w:color="auto" w:fill="CCEEFF"/>
          </w:tcPr>
          <w:p>
            <w:pPr>
              <w:jc w:val="right"/>
              <w:ind w:right="260"/>
              <w:spacing w:after="0"/>
              <w:rPr>
                <w:sz w:val="20"/>
                <w:szCs w:val="20"/>
                <w:color w:val="auto"/>
              </w:rPr>
            </w:pPr>
            <w:r>
              <w:rPr>
                <w:rFonts w:ascii="Arial" w:cs="Arial" w:eastAsia="Arial" w:hAnsi="Arial"/>
                <w:sz w:val="17"/>
                <w:szCs w:val="17"/>
                <w:color w:val="auto"/>
              </w:rPr>
              <w:t>13,914,141</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94.8%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14,688,735</w:t>
            </w:r>
          </w:p>
        </w:tc>
        <w:tc>
          <w:tcPr>
            <w:tcW w:w="148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14,075,558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95.8%</w:t>
            </w:r>
          </w:p>
        </w:tc>
      </w:tr>
      <w:tr>
        <w:trPr>
          <w:trHeight w:val="215"/>
        </w:trPr>
        <w:tc>
          <w:tcPr>
            <w:tcW w:w="4820" w:type="dxa"/>
            <w:vAlign w:val="bottom"/>
            <w:gridSpan w:val="2"/>
          </w:tcPr>
          <w:p>
            <w:pPr>
              <w:spacing w:after="0"/>
              <w:rPr>
                <w:sz w:val="20"/>
                <w:szCs w:val="20"/>
                <w:color w:val="auto"/>
              </w:rPr>
            </w:pPr>
            <w:r>
              <w:rPr>
                <w:rFonts w:ascii="Arial" w:cs="Arial" w:eastAsia="Arial" w:hAnsi="Arial"/>
                <w:sz w:val="17"/>
                <w:szCs w:val="17"/>
                <w:color w:val="auto"/>
              </w:rPr>
              <w:t>Rollingwood Apartments (# of units)</w:t>
            </w:r>
          </w:p>
        </w:tc>
        <w:tc>
          <w:tcPr>
            <w:tcW w:w="900" w:type="dxa"/>
            <w:vAlign w:val="bottom"/>
          </w:tcPr>
          <w:p>
            <w:pPr>
              <w:jc w:val="right"/>
              <w:spacing w:after="0"/>
              <w:rPr>
                <w:sz w:val="20"/>
                <w:szCs w:val="20"/>
                <w:color w:val="auto"/>
              </w:rPr>
            </w:pPr>
            <w:r>
              <w:rPr>
                <w:rFonts w:ascii="Arial" w:cs="Arial" w:eastAsia="Arial" w:hAnsi="Arial"/>
                <w:sz w:val="17"/>
                <w:szCs w:val="17"/>
                <w:color w:val="auto"/>
              </w:rPr>
              <w:t>282</w:t>
            </w:r>
          </w:p>
        </w:tc>
        <w:tc>
          <w:tcPr>
            <w:tcW w:w="1520" w:type="dxa"/>
            <w:vAlign w:val="bottom"/>
          </w:tcPr>
          <w:p>
            <w:pPr>
              <w:jc w:val="right"/>
              <w:ind w:right="260"/>
              <w:spacing w:after="0"/>
              <w:rPr>
                <w:sz w:val="20"/>
                <w:szCs w:val="20"/>
                <w:color w:val="auto"/>
              </w:rPr>
            </w:pPr>
            <w:r>
              <w:rPr>
                <w:rFonts w:ascii="Arial" w:cs="Arial" w:eastAsia="Arial" w:hAnsi="Arial"/>
                <w:sz w:val="17"/>
                <w:szCs w:val="17"/>
                <w:color w:val="auto"/>
              </w:rPr>
              <w:t>277</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98.2%</w:t>
            </w:r>
          </w:p>
        </w:tc>
        <w:tc>
          <w:tcPr>
            <w:tcW w:w="940" w:type="dxa"/>
            <w:vAlign w:val="bottom"/>
          </w:tcPr>
          <w:p>
            <w:pPr>
              <w:jc w:val="right"/>
              <w:spacing w:after="0"/>
              <w:rPr>
                <w:sz w:val="20"/>
                <w:szCs w:val="20"/>
                <w:color w:val="auto"/>
              </w:rPr>
            </w:pPr>
            <w:r>
              <w:rPr>
                <w:rFonts w:ascii="Arial" w:cs="Arial" w:eastAsia="Arial" w:hAnsi="Arial"/>
                <w:sz w:val="17"/>
                <w:szCs w:val="17"/>
                <w:color w:val="auto"/>
              </w:rPr>
              <w:t>282</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278</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98.6%</w:t>
            </w:r>
          </w:p>
        </w:tc>
      </w:tr>
      <w:tr>
        <w:trPr>
          <w:trHeight w:val="358"/>
        </w:trPr>
        <w:tc>
          <w:tcPr>
            <w:tcW w:w="2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jc w:val="right"/>
              <w:ind w:right="220"/>
              <w:spacing w:after="0"/>
              <w:rPr>
                <w:sz w:val="20"/>
                <w:szCs w:val="20"/>
                <w:color w:val="auto"/>
              </w:rPr>
            </w:pPr>
            <w:r>
              <w:rPr>
                <w:rFonts w:ascii="Arial" w:cs="Arial" w:eastAsia="Arial" w:hAnsi="Arial"/>
                <w:sz w:val="13"/>
                <w:szCs w:val="13"/>
                <w:b w:val="1"/>
                <w:bCs w:val="1"/>
                <w:color w:val="auto"/>
                <w:w w:val="89"/>
              </w:rPr>
              <w:t>At December 31, 2002</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gridSpan w:val="2"/>
          </w:tcPr>
          <w:p>
            <w:pPr>
              <w:jc w:val="right"/>
              <w:ind w:right="218"/>
              <w:spacing w:after="0"/>
              <w:rPr>
                <w:sz w:val="20"/>
                <w:szCs w:val="20"/>
                <w:color w:val="auto"/>
              </w:rPr>
            </w:pPr>
            <w:r>
              <w:rPr>
                <w:rFonts w:ascii="Arial" w:cs="Arial" w:eastAsia="Arial" w:hAnsi="Arial"/>
                <w:sz w:val="13"/>
                <w:szCs w:val="13"/>
                <w:b w:val="1"/>
                <w:bCs w:val="1"/>
                <w:color w:val="auto"/>
              </w:rPr>
              <w:t>At September 30, 2002</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3"/>
        </w:trPr>
        <w:tc>
          <w:tcPr>
            <w:tcW w:w="20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98"/>
        </w:trPr>
        <w:tc>
          <w:tcPr>
            <w:tcW w:w="20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9"/>
        </w:trPr>
        <w:tc>
          <w:tcPr>
            <w:tcW w:w="4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Properties (leasable square feet) (2)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14,603,000</w:t>
            </w:r>
          </w:p>
        </w:tc>
        <w:tc>
          <w:tcPr>
            <w:tcW w:w="1520" w:type="dxa"/>
            <w:vAlign w:val="bottom"/>
            <w:shd w:val="clear" w:color="auto" w:fill="CCEEFF"/>
          </w:tcPr>
          <w:p>
            <w:pPr>
              <w:jc w:val="right"/>
              <w:ind w:right="260"/>
              <w:spacing w:after="0"/>
              <w:rPr>
                <w:sz w:val="20"/>
                <w:szCs w:val="20"/>
                <w:color w:val="auto"/>
              </w:rPr>
            </w:pPr>
            <w:r>
              <w:rPr>
                <w:rFonts w:ascii="Arial" w:cs="Arial" w:eastAsia="Arial" w:hAnsi="Arial"/>
                <w:sz w:val="17"/>
                <w:szCs w:val="17"/>
                <w:color w:val="auto"/>
              </w:rPr>
              <w:t>13,965,000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95.6%</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14,368,000</w:t>
            </w:r>
          </w:p>
        </w:tc>
        <w:tc>
          <w:tcPr>
            <w:tcW w:w="148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13,756,000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95.7%</w:t>
            </w:r>
          </w:p>
        </w:tc>
      </w:tr>
      <w:tr>
        <w:trPr>
          <w:trHeight w:val="215"/>
        </w:trPr>
        <w:tc>
          <w:tcPr>
            <w:tcW w:w="4820" w:type="dxa"/>
            <w:vAlign w:val="bottom"/>
            <w:gridSpan w:val="2"/>
          </w:tcPr>
          <w:p>
            <w:pPr>
              <w:spacing w:after="0"/>
              <w:rPr>
                <w:sz w:val="20"/>
                <w:szCs w:val="20"/>
                <w:color w:val="auto"/>
              </w:rPr>
            </w:pPr>
            <w:r>
              <w:rPr>
                <w:rFonts w:ascii="Arial" w:cs="Arial" w:eastAsia="Arial" w:hAnsi="Arial"/>
                <w:sz w:val="17"/>
                <w:szCs w:val="17"/>
                <w:color w:val="auto"/>
              </w:rPr>
              <w:t>Rollingwood Apartments (# of units)</w:t>
            </w:r>
          </w:p>
        </w:tc>
        <w:tc>
          <w:tcPr>
            <w:tcW w:w="900" w:type="dxa"/>
            <w:vAlign w:val="bottom"/>
          </w:tcPr>
          <w:p>
            <w:pPr>
              <w:jc w:val="right"/>
              <w:spacing w:after="0"/>
              <w:rPr>
                <w:sz w:val="20"/>
                <w:szCs w:val="20"/>
                <w:color w:val="auto"/>
              </w:rPr>
            </w:pPr>
            <w:r>
              <w:rPr>
                <w:rFonts w:ascii="Arial" w:cs="Arial" w:eastAsia="Arial" w:hAnsi="Arial"/>
                <w:sz w:val="17"/>
                <w:szCs w:val="17"/>
                <w:color w:val="auto"/>
              </w:rPr>
              <w:t>282</w:t>
            </w:r>
          </w:p>
        </w:tc>
        <w:tc>
          <w:tcPr>
            <w:tcW w:w="1520" w:type="dxa"/>
            <w:vAlign w:val="bottom"/>
          </w:tcPr>
          <w:p>
            <w:pPr>
              <w:jc w:val="right"/>
              <w:ind w:right="260"/>
              <w:spacing w:after="0"/>
              <w:rPr>
                <w:sz w:val="20"/>
                <w:szCs w:val="20"/>
                <w:color w:val="auto"/>
              </w:rPr>
            </w:pPr>
            <w:r>
              <w:rPr>
                <w:rFonts w:ascii="Arial" w:cs="Arial" w:eastAsia="Arial" w:hAnsi="Arial"/>
                <w:sz w:val="17"/>
                <w:szCs w:val="17"/>
                <w:color w:val="auto"/>
              </w:rPr>
              <w:t>275</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97.5%</w:t>
            </w:r>
          </w:p>
        </w:tc>
        <w:tc>
          <w:tcPr>
            <w:tcW w:w="940" w:type="dxa"/>
            <w:vAlign w:val="bottom"/>
          </w:tcPr>
          <w:p>
            <w:pPr>
              <w:jc w:val="right"/>
              <w:spacing w:after="0"/>
              <w:rPr>
                <w:sz w:val="20"/>
                <w:szCs w:val="20"/>
                <w:color w:val="auto"/>
              </w:rPr>
            </w:pPr>
            <w:r>
              <w:rPr>
                <w:rFonts w:ascii="Arial" w:cs="Arial" w:eastAsia="Arial" w:hAnsi="Arial"/>
                <w:sz w:val="17"/>
                <w:szCs w:val="17"/>
                <w:color w:val="auto"/>
              </w:rPr>
              <w:t>282</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279</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5975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9753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0" w:lineRule="exact"/>
        <w:rPr>
          <w:sz w:val="20"/>
          <w:szCs w:val="20"/>
          <w:color w:val="auto"/>
        </w:rPr>
      </w:pPr>
    </w:p>
    <w:p>
      <w:pPr>
        <w:ind w:left="440" w:hanging="435"/>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Excludes centers purchased or sold as well as properties under development and redevelopment.</w:t>
      </w:r>
    </w:p>
    <w:p>
      <w:pPr>
        <w:sectPr>
          <w:pgSz w:w="11900" w:h="16838" w:orient="portrait"/>
          <w:cols w:equalWidth="0" w:num="1">
            <w:col w:w="11420"/>
          </w:cols>
          <w:pgMar w:left="240" w:top="271"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Tenants—Prospective (July 2003 through June 2004)</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88"/>
              </w:rPr>
              <w:t>Percentage of</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600"/>
              <w:spacing w:after="0" w:line="144" w:lineRule="exact"/>
              <w:rPr>
                <w:sz w:val="20"/>
                <w:szCs w:val="20"/>
                <w:color w:val="auto"/>
              </w:rPr>
            </w:pPr>
            <w:r>
              <w:rPr>
                <w:rFonts w:ascii="Arial" w:cs="Arial" w:eastAsia="Arial" w:hAnsi="Arial"/>
                <w:sz w:val="13"/>
                <w:szCs w:val="13"/>
                <w:b w:val="1"/>
                <w:bCs w:val="1"/>
                <w:color w:val="auto"/>
                <w:w w:val="92"/>
              </w:rPr>
              <w:t>Annualized</w:t>
            </w:r>
          </w:p>
        </w:tc>
        <w:tc>
          <w:tcPr>
            <w:tcW w:w="1580" w:type="dxa"/>
            <w:vAlign w:val="bottom"/>
            <w:gridSpan w:val="3"/>
          </w:tcPr>
          <w:p>
            <w:pPr>
              <w:jc w:val="center"/>
              <w:ind w:right="620"/>
              <w:spacing w:after="0" w:line="144" w:lineRule="exact"/>
              <w:rPr>
                <w:sz w:val="20"/>
                <w:szCs w:val="20"/>
                <w:color w:val="auto"/>
              </w:rPr>
            </w:pPr>
            <w:r>
              <w:rPr>
                <w:rFonts w:ascii="Arial" w:cs="Arial" w:eastAsia="Arial" w:hAnsi="Arial"/>
                <w:sz w:val="13"/>
                <w:szCs w:val="13"/>
                <w:b w:val="1"/>
                <w:bCs w:val="1"/>
                <w:color w:val="auto"/>
                <w:w w:val="92"/>
              </w:rPr>
              <w:t>Total Annualized</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60" w:type="dxa"/>
            <w:vAlign w:val="bottom"/>
            <w:gridSpan w:val="2"/>
          </w:tcPr>
          <w:p>
            <w:pPr>
              <w:jc w:val="right"/>
              <w:ind w:right="600"/>
              <w:spacing w:after="0" w:line="144" w:lineRule="exact"/>
              <w:rPr>
                <w:sz w:val="20"/>
                <w:szCs w:val="20"/>
                <w:color w:val="auto"/>
              </w:rPr>
            </w:pPr>
            <w:r>
              <w:rPr>
                <w:rFonts w:ascii="Arial" w:cs="Arial" w:eastAsia="Arial" w:hAnsi="Arial"/>
                <w:sz w:val="13"/>
                <w:szCs w:val="13"/>
                <w:b w:val="1"/>
                <w:bCs w:val="1"/>
                <w:color w:val="auto"/>
                <w:w w:val="86"/>
              </w:rPr>
              <w:t>Percentage of</w:t>
            </w:r>
          </w:p>
        </w:tc>
        <w:tc>
          <w:tcPr>
            <w:tcW w:w="64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83"/>
              </w:rPr>
              <w:t>Stores</w:t>
            </w:r>
          </w:p>
        </w:tc>
        <w:tc>
          <w:tcPr>
            <w:tcW w:w="0" w:type="dxa"/>
            <w:vAlign w:val="bottom"/>
          </w:tcPr>
          <w:p>
            <w:pPr>
              <w:spacing w:after="0"/>
              <w:rPr>
                <w:sz w:val="1"/>
                <w:szCs w:val="1"/>
                <w:color w:val="auto"/>
              </w:rPr>
            </w:pPr>
          </w:p>
        </w:tc>
      </w:tr>
      <w:tr>
        <w:trPr>
          <w:trHeight w:val="168"/>
        </w:trPr>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Rank</w:t>
            </w:r>
          </w:p>
        </w:tc>
        <w:tc>
          <w:tcPr>
            <w:tcW w:w="4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Arial" w:cs="Arial" w:eastAsia="Arial" w:hAnsi="Arial"/>
                <w:sz w:val="13"/>
                <w:szCs w:val="13"/>
                <w:b w:val="1"/>
                <w:bCs w:val="1"/>
                <w:color w:val="auto"/>
              </w:rPr>
              <w:t>Tenant Name</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8"/>
              </w:rPr>
              <w:t>Base Rent</w:t>
            </w:r>
          </w:p>
        </w:tc>
        <w:tc>
          <w:tcPr>
            <w:tcW w:w="158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88"/>
              </w:rPr>
              <w:t>Base Rent</w:t>
            </w:r>
          </w:p>
        </w:tc>
        <w:tc>
          <w:tcPr>
            <w:tcW w:w="1640" w:type="dxa"/>
            <w:vAlign w:val="bottom"/>
            <w:gridSpan w:val="2"/>
          </w:tcPr>
          <w:p>
            <w:pPr>
              <w:jc w:val="right"/>
              <w:ind w:right="920"/>
              <w:spacing w:after="0"/>
              <w:rPr>
                <w:sz w:val="20"/>
                <w:szCs w:val="20"/>
                <w:color w:val="auto"/>
              </w:rPr>
            </w:pPr>
            <w:r>
              <w:rPr>
                <w:rFonts w:ascii="Arial" w:cs="Arial" w:eastAsia="Arial" w:hAnsi="Arial"/>
                <w:sz w:val="13"/>
                <w:szCs w:val="13"/>
                <w:b w:val="1"/>
                <w:bCs w:val="1"/>
                <w:color w:val="auto"/>
                <w:w w:val="94"/>
              </w:rPr>
              <w:t>Tenant GLA</w:t>
            </w:r>
          </w:p>
        </w:tc>
        <w:tc>
          <w:tcPr>
            <w:tcW w:w="13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Total GLA</w:t>
            </w: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Leased</w:t>
            </w:r>
          </w:p>
        </w:tc>
        <w:tc>
          <w:tcPr>
            <w:tcW w:w="0" w:type="dxa"/>
            <w:vAlign w:val="bottom"/>
          </w:tcPr>
          <w:p>
            <w:pPr>
              <w:spacing w:after="0"/>
              <w:rPr>
                <w:sz w:val="1"/>
                <w:szCs w:val="1"/>
                <w:color w:val="auto"/>
              </w:rPr>
            </w:pPr>
          </w:p>
        </w:tc>
      </w:tr>
      <w:tr>
        <w:trPr>
          <w:trHeight w:val="93"/>
        </w:trPr>
        <w:tc>
          <w:tcPr>
            <w:tcW w:w="3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Gap, Inc., The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6,122,251</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2.42%</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210,275</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1.33%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4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Ahold USA, Inc.</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5,730,092</w:t>
            </w:r>
          </w:p>
        </w:tc>
        <w:tc>
          <w:tcPr>
            <w:tcW w:w="4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2.26%</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503,230</w:t>
            </w:r>
          </w:p>
        </w:tc>
        <w:tc>
          <w:tcPr>
            <w:tcW w:w="8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3.18%</w:t>
            </w: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Safeway, Inc.</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5,625,651</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2.22%</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412,536</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2.61%</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spacing w:after="0"/>
              <w:rPr>
                <w:sz w:val="20"/>
                <w:szCs w:val="20"/>
                <w:color w:val="auto"/>
              </w:rPr>
            </w:pPr>
            <w:r>
              <w:rPr>
                <w:rFonts w:ascii="Arial" w:cs="Arial" w:eastAsia="Arial" w:hAnsi="Arial"/>
                <w:sz w:val="17"/>
                <w:szCs w:val="17"/>
                <w:color w:val="auto"/>
              </w:rPr>
              <w:t>4</w:t>
            </w:r>
          </w:p>
        </w:tc>
        <w:tc>
          <w:tcPr>
            <w:tcW w:w="4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Bed, Bath &amp; Beyond, Inc.</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5,040,835</w:t>
            </w:r>
          </w:p>
        </w:tc>
        <w:tc>
          <w:tcPr>
            <w:tcW w:w="4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1.99%</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358,165</w:t>
            </w:r>
          </w:p>
        </w:tc>
        <w:tc>
          <w:tcPr>
            <w:tcW w:w="8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2.26%</w:t>
            </w:r>
          </w:p>
        </w:tc>
        <w:tc>
          <w:tcPr>
            <w:tcW w:w="62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CVS Corporation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3,858,676</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1.52%</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164,266</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spacing w:after="0"/>
              <w:rPr>
                <w:sz w:val="20"/>
                <w:szCs w:val="20"/>
                <w:color w:val="auto"/>
              </w:rPr>
            </w:pPr>
            <w:r>
              <w:rPr>
                <w:rFonts w:ascii="Arial" w:cs="Arial" w:eastAsia="Arial" w:hAnsi="Arial"/>
                <w:sz w:val="17"/>
                <w:szCs w:val="17"/>
                <w:color w:val="auto"/>
              </w:rPr>
              <w:t>6</w:t>
            </w:r>
          </w:p>
        </w:tc>
        <w:tc>
          <w:tcPr>
            <w:tcW w:w="4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Barnes &amp; Noble, Inc.</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3,751,232</w:t>
            </w:r>
          </w:p>
        </w:tc>
        <w:tc>
          <w:tcPr>
            <w:tcW w:w="4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1.48%</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167,765</w:t>
            </w:r>
          </w:p>
        </w:tc>
        <w:tc>
          <w:tcPr>
            <w:tcW w:w="8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1.06%</w:t>
            </w:r>
          </w:p>
        </w:tc>
        <w:tc>
          <w:tcPr>
            <w:tcW w:w="620" w:type="dxa"/>
            <w:vAlign w:val="bottom"/>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TJX Companies, The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3,286,668</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1.30%</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340,547</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2.15%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spacing w:after="0"/>
              <w:rPr>
                <w:sz w:val="20"/>
                <w:szCs w:val="20"/>
                <w:color w:val="auto"/>
              </w:rPr>
            </w:pPr>
            <w:r>
              <w:rPr>
                <w:rFonts w:ascii="Arial" w:cs="Arial" w:eastAsia="Arial" w:hAnsi="Arial"/>
                <w:sz w:val="17"/>
                <w:szCs w:val="17"/>
                <w:color w:val="auto"/>
              </w:rPr>
              <w:t>8</w:t>
            </w:r>
          </w:p>
        </w:tc>
        <w:tc>
          <w:tcPr>
            <w:tcW w:w="4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Toys R Us, Inc.</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3,049,460</w:t>
            </w:r>
          </w:p>
        </w:tc>
        <w:tc>
          <w:tcPr>
            <w:tcW w:w="4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1.20%</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325,582</w:t>
            </w:r>
          </w:p>
        </w:tc>
        <w:tc>
          <w:tcPr>
            <w:tcW w:w="8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2.06%</w:t>
            </w: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Borders Group, Inc.</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2,769,608</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135,181</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0.85%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4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MTS, Inc.</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2,473,316</w:t>
            </w:r>
          </w:p>
        </w:tc>
        <w:tc>
          <w:tcPr>
            <w:tcW w:w="4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0.98%</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106,479</w:t>
            </w:r>
          </w:p>
        </w:tc>
        <w:tc>
          <w:tcPr>
            <w:tcW w:w="8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0.67%</w:t>
            </w: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OPNET Technologies, Inc.</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2,405,564</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0.95%</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60,466</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0.38%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spacing w:after="0"/>
              <w:rPr>
                <w:sz w:val="20"/>
                <w:szCs w:val="20"/>
                <w:color w:val="auto"/>
              </w:rPr>
            </w:pPr>
            <w:r>
              <w:rPr>
                <w:rFonts w:ascii="Arial" w:cs="Arial" w:eastAsia="Arial" w:hAnsi="Arial"/>
                <w:sz w:val="17"/>
                <w:szCs w:val="17"/>
                <w:color w:val="auto"/>
              </w:rPr>
              <w:t>12</w:t>
            </w:r>
          </w:p>
        </w:tc>
        <w:tc>
          <w:tcPr>
            <w:tcW w:w="4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Great Atlantic &amp;Pacific Tea Co</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2,380,178</w:t>
            </w:r>
          </w:p>
        </w:tc>
        <w:tc>
          <w:tcPr>
            <w:tcW w:w="4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0.94%</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239,215</w:t>
            </w:r>
          </w:p>
        </w:tc>
        <w:tc>
          <w:tcPr>
            <w:tcW w:w="8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1.51%</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Dollar Tree Stores, Inc.</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2,343,040</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0.93%</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182,932</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1.16%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spacing w:after="0"/>
              <w:rPr>
                <w:sz w:val="20"/>
                <w:szCs w:val="20"/>
                <w:color w:val="auto"/>
              </w:rPr>
            </w:pPr>
            <w:r>
              <w:rPr>
                <w:rFonts w:ascii="Arial" w:cs="Arial" w:eastAsia="Arial" w:hAnsi="Arial"/>
                <w:sz w:val="17"/>
                <w:szCs w:val="17"/>
                <w:color w:val="auto"/>
              </w:rPr>
              <w:t>14</w:t>
            </w:r>
          </w:p>
        </w:tc>
        <w:tc>
          <w:tcPr>
            <w:tcW w:w="4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Home Depot, Inc.</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2,137,180</w:t>
            </w:r>
          </w:p>
        </w:tc>
        <w:tc>
          <w:tcPr>
            <w:tcW w:w="4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0.84%</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243,660</w:t>
            </w:r>
          </w:p>
        </w:tc>
        <w:tc>
          <w:tcPr>
            <w:tcW w:w="8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1.54%</w:t>
            </w: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Dress Barn, Inc.</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1,939,942</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0.77%</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92,588</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0.59%</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spacing w:after="0"/>
              <w:rPr>
                <w:sz w:val="20"/>
                <w:szCs w:val="20"/>
                <w:color w:val="auto"/>
              </w:rPr>
            </w:pPr>
            <w:r>
              <w:rPr>
                <w:rFonts w:ascii="Arial" w:cs="Arial" w:eastAsia="Arial" w:hAnsi="Arial"/>
                <w:sz w:val="17"/>
                <w:szCs w:val="17"/>
                <w:color w:val="auto"/>
              </w:rPr>
              <w:t>16</w:t>
            </w:r>
          </w:p>
        </w:tc>
        <w:tc>
          <w:tcPr>
            <w:tcW w:w="4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Wakefern Food Corporation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1,938,492</w:t>
            </w:r>
          </w:p>
        </w:tc>
        <w:tc>
          <w:tcPr>
            <w:tcW w:w="4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0.77%</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157,376</w:t>
            </w:r>
          </w:p>
        </w:tc>
        <w:tc>
          <w:tcPr>
            <w:tcW w:w="8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1.00%</w:t>
            </w: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CompUSA, Inc.</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1,921,184</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0.76%</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108,219</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0.68%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spacing w:after="0"/>
              <w:rPr>
                <w:sz w:val="20"/>
                <w:szCs w:val="20"/>
                <w:color w:val="auto"/>
              </w:rPr>
            </w:pPr>
            <w:r>
              <w:rPr>
                <w:rFonts w:ascii="Arial" w:cs="Arial" w:eastAsia="Arial" w:hAnsi="Arial"/>
                <w:sz w:val="17"/>
                <w:szCs w:val="17"/>
                <w:color w:val="auto"/>
              </w:rPr>
              <w:t>18</w:t>
            </w:r>
          </w:p>
        </w:tc>
        <w:tc>
          <w:tcPr>
            <w:tcW w:w="4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Kohl’s Corporation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1,904,874</w:t>
            </w:r>
          </w:p>
        </w:tc>
        <w:tc>
          <w:tcPr>
            <w:tcW w:w="4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0.75%</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390,626</w:t>
            </w:r>
          </w:p>
        </w:tc>
        <w:tc>
          <w:tcPr>
            <w:tcW w:w="8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2.47%</w:t>
            </w: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Bally’s Health &amp; Tennis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1,755,889</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0.69%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139,546</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0.88%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spacing w:after="0"/>
              <w:rPr>
                <w:sz w:val="20"/>
                <w:szCs w:val="20"/>
                <w:color w:val="auto"/>
              </w:rPr>
            </w:pPr>
            <w:r>
              <w:rPr>
                <w:rFonts w:ascii="Arial" w:cs="Arial" w:eastAsia="Arial" w:hAnsi="Arial"/>
                <w:sz w:val="17"/>
                <w:szCs w:val="17"/>
                <w:color w:val="auto"/>
              </w:rPr>
              <w:t>20</w:t>
            </w:r>
          </w:p>
        </w:tc>
        <w:tc>
          <w:tcPr>
            <w:tcW w:w="4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Linens’ N Things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1,678,374</w:t>
            </w:r>
          </w:p>
        </w:tc>
        <w:tc>
          <w:tcPr>
            <w:tcW w:w="4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0.66%</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108,169</w:t>
            </w:r>
          </w:p>
        </w:tc>
        <w:tc>
          <w:tcPr>
            <w:tcW w:w="8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0.68%</w:t>
            </w: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Whole Foods Market, Inc.</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1,670,086</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0.66%</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81,874</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0.52%</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spacing w:after="0"/>
              <w:rPr>
                <w:sz w:val="20"/>
                <w:szCs w:val="20"/>
                <w:color w:val="auto"/>
              </w:rPr>
            </w:pPr>
            <w:r>
              <w:rPr>
                <w:rFonts w:ascii="Arial" w:cs="Arial" w:eastAsia="Arial" w:hAnsi="Arial"/>
                <w:sz w:val="17"/>
                <w:szCs w:val="17"/>
                <w:color w:val="auto"/>
              </w:rPr>
              <w:t>22</w:t>
            </w:r>
          </w:p>
        </w:tc>
        <w:tc>
          <w:tcPr>
            <w:tcW w:w="4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Saks &amp; Company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1,635,300</w:t>
            </w:r>
          </w:p>
        </w:tc>
        <w:tc>
          <w:tcPr>
            <w:tcW w:w="4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0.65%</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35,550</w:t>
            </w:r>
          </w:p>
        </w:tc>
        <w:tc>
          <w:tcPr>
            <w:tcW w:w="8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0.22%</w:t>
            </w: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Loews Cineplex Entertainment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1,569,595</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0.62%</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91,288</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0.58%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jc w:val="right"/>
              <w:spacing w:after="0"/>
              <w:rPr>
                <w:sz w:val="20"/>
                <w:szCs w:val="20"/>
                <w:color w:val="auto"/>
              </w:rPr>
            </w:pPr>
            <w:r>
              <w:rPr>
                <w:rFonts w:ascii="Arial" w:cs="Arial" w:eastAsia="Arial" w:hAnsi="Arial"/>
                <w:sz w:val="17"/>
                <w:szCs w:val="17"/>
                <w:color w:val="auto"/>
              </w:rPr>
              <w:t>24</w:t>
            </w:r>
          </w:p>
        </w:tc>
        <w:tc>
          <w:tcPr>
            <w:tcW w:w="4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Viacom International, Inc.</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1,564,235</w:t>
            </w:r>
          </w:p>
        </w:tc>
        <w:tc>
          <w:tcPr>
            <w:tcW w:w="4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0.62%</w:t>
            </w: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65,592</w:t>
            </w:r>
          </w:p>
        </w:tc>
        <w:tc>
          <w:tcPr>
            <w:tcW w:w="88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0.41%</w:t>
            </w: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Ross Stores, Inc.</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1,525,759</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0.60%</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84,858</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0.54%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Totals—Top 25 Tenants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70,077,481</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27.68%</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4,805,985</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30.39%</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Total Annualized Base Rent: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253,163,212</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Total Portfolio Square Footage: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7"/>
                <w:szCs w:val="17"/>
                <w:color w:val="auto"/>
                <w:w w:val="89"/>
              </w:rPr>
              <w:t>15,814,000(1)(2)</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-423545</wp:posOffset>
            </wp:positionV>
            <wp:extent cx="12700" cy="292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-423545</wp:posOffset>
            </wp:positionV>
            <wp:extent cx="12700" cy="292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-423545</wp:posOffset>
            </wp:positionV>
            <wp:extent cx="20955" cy="292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-423545</wp:posOffset>
            </wp:positionV>
            <wp:extent cx="12700" cy="292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-423545</wp:posOffset>
            </wp:positionV>
            <wp:extent cx="37465" cy="2921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-423545</wp:posOffset>
            </wp:positionV>
            <wp:extent cx="12700" cy="292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5426710</wp:posOffset>
            </wp:positionH>
            <wp:positionV relativeFrom="paragraph">
              <wp:posOffset>-423545</wp:posOffset>
            </wp:positionV>
            <wp:extent cx="37465" cy="292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5990590</wp:posOffset>
            </wp:positionH>
            <wp:positionV relativeFrom="paragraph">
              <wp:posOffset>-423545</wp:posOffset>
            </wp:positionV>
            <wp:extent cx="12700" cy="292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6463665</wp:posOffset>
            </wp:positionH>
            <wp:positionV relativeFrom="paragraph">
              <wp:posOffset>-423545</wp:posOffset>
            </wp:positionV>
            <wp:extent cx="37465" cy="292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-423545</wp:posOffset>
            </wp:positionV>
            <wp:extent cx="12700" cy="292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-423545</wp:posOffset>
            </wp:positionV>
            <wp:extent cx="12700" cy="292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5975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9753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0" w:lineRule="exact"/>
        <w:rPr>
          <w:sz w:val="20"/>
          <w:szCs w:val="20"/>
          <w:color w:val="auto"/>
        </w:rPr>
      </w:pPr>
    </w:p>
    <w:p>
      <w:pPr>
        <w:ind w:left="440" w:hanging="435"/>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pacing w:after="0" w:line="13" w:lineRule="exact"/>
        <w:rPr>
          <w:rFonts w:ascii="Arial" w:cs="Arial" w:eastAsia="Arial" w:hAnsi="Arial"/>
          <w:sz w:val="17"/>
          <w:szCs w:val="17"/>
          <w:color w:val="auto"/>
        </w:rPr>
      </w:pPr>
    </w:p>
    <w:p>
      <w:pPr>
        <w:ind w:left="440" w:hanging="435"/>
        <w:spacing w:after="0"/>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444,000 square feet of Santana Row Phase I, but no future Phases of Santana Row.</w:t>
      </w:r>
    </w:p>
    <w:p>
      <w:pPr>
        <w:sectPr>
          <w:pgSz w:w="11900" w:h="16838" w:orient="portrait"/>
          <w:cols w:equalWidth="0" w:num="1">
            <w:col w:w="11420"/>
          </w:cols>
          <w:pgMar w:left="240" w:top="271"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2002 Sales / Occupancy Costs (1) (2)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55510" cy="209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020"/>
              <w:spacing w:after="0"/>
              <w:rPr>
                <w:sz w:val="20"/>
                <w:szCs w:val="20"/>
                <w:color w:val="auto"/>
              </w:rPr>
            </w:pPr>
            <w:r>
              <w:rPr>
                <w:rFonts w:ascii="Arial" w:cs="Arial" w:eastAsia="Arial" w:hAnsi="Arial"/>
                <w:sz w:val="13"/>
                <w:szCs w:val="13"/>
                <w:b w:val="1"/>
                <w:bCs w:val="1"/>
                <w:color w:val="auto"/>
                <w:w w:val="85"/>
              </w:rPr>
              <w:t>Average</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6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60" w:type="dxa"/>
            <w:vAlign w:val="bottom"/>
            <w:gridSpan w:val="4"/>
          </w:tcPr>
          <w:p>
            <w:pPr>
              <w:ind w:left="440"/>
              <w:spacing w:after="0" w:line="144" w:lineRule="exact"/>
              <w:rPr>
                <w:sz w:val="20"/>
                <w:szCs w:val="20"/>
                <w:color w:val="auto"/>
              </w:rPr>
            </w:pPr>
            <w:r>
              <w:rPr>
                <w:rFonts w:ascii="Arial" w:cs="Arial" w:eastAsia="Arial" w:hAnsi="Arial"/>
                <w:sz w:val="13"/>
                <w:szCs w:val="13"/>
                <w:b w:val="1"/>
                <w:bCs w:val="1"/>
                <w:color w:val="auto"/>
              </w:rPr>
              <w:t>Occupancy Cost</w:t>
            </w:r>
          </w:p>
        </w:tc>
        <w:tc>
          <w:tcPr>
            <w:tcW w:w="12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7"/>
              </w:rPr>
              <w:t>Average Occupancy</w:t>
            </w:r>
          </w:p>
        </w:tc>
      </w:tr>
      <w:tr>
        <w:trPr>
          <w:trHeight w:val="144"/>
        </w:trPr>
        <w:tc>
          <w:tcPr>
            <w:tcW w:w="6440" w:type="dxa"/>
            <w:vAlign w:val="bottom"/>
          </w:tcPr>
          <w:p>
            <w:pPr>
              <w:spacing w:after="0"/>
              <w:rPr>
                <w:sz w:val="12"/>
                <w:szCs w:val="12"/>
                <w:color w:val="auto"/>
              </w:rPr>
            </w:pPr>
          </w:p>
        </w:tc>
        <w:tc>
          <w:tcPr>
            <w:tcW w:w="144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Average Sales Per</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1040"/>
              <w:spacing w:after="0" w:line="144" w:lineRule="exact"/>
              <w:rPr>
                <w:sz w:val="20"/>
                <w:szCs w:val="20"/>
                <w:color w:val="auto"/>
              </w:rPr>
            </w:pPr>
            <w:r>
              <w:rPr>
                <w:rFonts w:ascii="Arial" w:cs="Arial" w:eastAsia="Arial" w:hAnsi="Arial"/>
                <w:sz w:val="13"/>
                <w:szCs w:val="13"/>
                <w:b w:val="1"/>
                <w:bCs w:val="1"/>
                <w:color w:val="auto"/>
                <w:w w:val="91"/>
              </w:rPr>
              <w:t>per Square</w:t>
            </w:r>
          </w:p>
        </w:tc>
        <w:tc>
          <w:tcPr>
            <w:tcW w:w="12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2"/>
              </w:rPr>
              <w:t>Costs as a</w:t>
            </w:r>
          </w:p>
        </w:tc>
      </w:tr>
      <w:tr>
        <w:trPr>
          <w:trHeight w:val="168"/>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w w:val="92"/>
              </w:rPr>
              <w:t>Square Foot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20"/>
              <w:spacing w:after="0"/>
              <w:rPr>
                <w:sz w:val="20"/>
                <w:szCs w:val="20"/>
                <w:color w:val="auto"/>
              </w:rPr>
            </w:pPr>
            <w:r>
              <w:rPr>
                <w:rFonts w:ascii="Arial" w:cs="Arial" w:eastAsia="Arial" w:hAnsi="Arial"/>
                <w:sz w:val="13"/>
                <w:szCs w:val="13"/>
                <w:b w:val="1"/>
                <w:bCs w:val="1"/>
                <w:color w:val="auto"/>
                <w:w w:val="85"/>
              </w:rPr>
              <w:t>Foot</w:t>
            </w:r>
          </w:p>
        </w:tc>
        <w:tc>
          <w:tcPr>
            <w:tcW w:w="12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Percentage of Sales</w:t>
            </w:r>
          </w:p>
        </w:tc>
      </w:tr>
      <w:tr>
        <w:trPr>
          <w:trHeight w:val="93"/>
        </w:trPr>
        <w:tc>
          <w:tcPr>
            <w:tcW w:w="6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02"/>
        </w:trPr>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Reporting Tenants</w:t>
            </w:r>
          </w:p>
        </w:tc>
        <w:tc>
          <w:tcPr>
            <w:tcW w:w="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b w:val="1"/>
                <w:bCs w:val="1"/>
                <w:color w:val="auto"/>
              </w:rPr>
              <w:t>313.08</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w:t>
            </w:r>
          </w:p>
        </w:tc>
        <w:tc>
          <w:tcPr>
            <w:tcW w:w="170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b w:val="1"/>
                <w:bCs w:val="1"/>
                <w:color w:val="auto"/>
              </w:rPr>
              <w:t>20.64</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7"/>
                <w:szCs w:val="17"/>
                <w:b w:val="1"/>
                <w:bCs w:val="1"/>
                <w:color w:val="auto"/>
                <w:w w:val="92"/>
              </w:rPr>
              <w:t>6.6%</w:t>
            </w:r>
          </w:p>
        </w:tc>
      </w:tr>
      <w:tr>
        <w:trPr>
          <w:trHeight w:val="311"/>
        </w:trPr>
        <w:tc>
          <w:tcPr>
            <w:tcW w:w="6440" w:type="dxa"/>
            <w:vAlign w:val="bottom"/>
          </w:tcPr>
          <w:p>
            <w:pPr>
              <w:spacing w:after="0"/>
              <w:rPr>
                <w:sz w:val="20"/>
                <w:szCs w:val="20"/>
                <w:color w:val="auto"/>
              </w:rPr>
            </w:pPr>
            <w:r>
              <w:rPr>
                <w:rFonts w:ascii="Arial" w:cs="Arial" w:eastAsia="Arial" w:hAnsi="Arial"/>
                <w:sz w:val="17"/>
                <w:szCs w:val="17"/>
                <w:color w:val="auto"/>
              </w:rPr>
              <w:t>Reporting Anchor Tenants</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7"/>
                <w:szCs w:val="17"/>
                <w:color w:val="auto"/>
              </w:rPr>
              <w:t>314.92</w:t>
            </w:r>
          </w:p>
        </w:tc>
        <w:tc>
          <w:tcPr>
            <w:tcW w:w="5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920"/>
              <w:spacing w:after="0"/>
              <w:rPr>
                <w:sz w:val="20"/>
                <w:szCs w:val="20"/>
                <w:color w:val="auto"/>
              </w:rPr>
            </w:pPr>
            <w:r>
              <w:rPr>
                <w:rFonts w:ascii="Arial" w:cs="Arial" w:eastAsia="Arial" w:hAnsi="Arial"/>
                <w:sz w:val="17"/>
                <w:szCs w:val="17"/>
                <w:color w:val="auto"/>
              </w:rPr>
              <w:t>15.65</w:t>
            </w:r>
          </w:p>
        </w:tc>
        <w:tc>
          <w:tcPr>
            <w:tcW w:w="1280" w:type="dxa"/>
            <w:vAlign w:val="bottom"/>
            <w:gridSpan w:val="2"/>
          </w:tcPr>
          <w:p>
            <w:pPr>
              <w:ind w:left="900"/>
              <w:spacing w:after="0"/>
              <w:rPr>
                <w:sz w:val="20"/>
                <w:szCs w:val="20"/>
                <w:color w:val="auto"/>
              </w:rPr>
            </w:pPr>
            <w:r>
              <w:rPr>
                <w:rFonts w:ascii="Arial" w:cs="Arial" w:eastAsia="Arial" w:hAnsi="Arial"/>
                <w:sz w:val="17"/>
                <w:szCs w:val="17"/>
                <w:color w:val="auto"/>
                <w:w w:val="92"/>
              </w:rPr>
              <w:t>5.0%</w:t>
            </w:r>
          </w:p>
        </w:tc>
      </w:tr>
      <w:tr>
        <w:trPr>
          <w:trHeight w:val="107"/>
        </w:trPr>
        <w:tc>
          <w:tcPr>
            <w:tcW w:w="6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09"/>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Reporting Small Shop Tenants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310.00</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28.97</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w w:val="92"/>
              </w:rPr>
              <w:t>9.3%</w:t>
            </w:r>
          </w:p>
        </w:tc>
      </w:tr>
    </w:tbl>
    <w:p>
      <w:pPr>
        <w:spacing w:after="0" w:line="135" w:lineRule="exact"/>
        <w:rPr>
          <w:sz w:val="20"/>
          <w:szCs w:val="20"/>
          <w:color w:val="auto"/>
        </w:rPr>
      </w:pPr>
    </w:p>
    <w:p>
      <w:pPr>
        <w:ind w:left="440" w:hanging="435"/>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only those tenants that have 12 months of reported sales in 2002.</w:t>
      </w:r>
    </w:p>
    <w:p>
      <w:pPr>
        <w:spacing w:after="0" w:line="19" w:lineRule="exact"/>
        <w:rPr>
          <w:rFonts w:ascii="Arial" w:cs="Arial" w:eastAsia="Arial" w:hAnsi="Arial"/>
          <w:sz w:val="17"/>
          <w:szCs w:val="17"/>
          <w:color w:val="auto"/>
        </w:rPr>
      </w:pPr>
    </w:p>
    <w:p>
      <w:pPr>
        <w:ind w:left="440" w:hanging="435"/>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Occupancy costs include minimum rent, percentage rent, common area maintenance, real estate tax and merchant’s association dues.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271"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72020" cy="27305"/>
                    </a:xfrm>
                    <a:prstGeom prst="rect">
                      <a:avLst/>
                    </a:prstGeom>
                    <a:noFill/>
                  </pic:spPr>
                </pic:pic>
              </a:graphicData>
            </a:graphic>
          </wp:anchor>
        </w:drawing>
        <w:t>Federal Realty Investment Trust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Disclosures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5510" cy="209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Reconciliation of 2003 EPS to 2003 FFO Guidance ($millions except per share amounts)</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Forecast</w:t>
            </w:r>
          </w:p>
        </w:tc>
        <w:tc>
          <w:tcPr>
            <w:tcW w:w="640" w:type="dxa"/>
            <w:vAlign w:val="bottom"/>
            <w:gridSpan w:val="4"/>
          </w:tcPr>
          <w:p>
            <w:pPr>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to Common Shareholders</w:t>
            </w:r>
          </w:p>
        </w:tc>
        <w:tc>
          <w:tcPr>
            <w:tcW w:w="2500" w:type="dxa"/>
            <w:vAlign w:val="bottom"/>
            <w:gridSpan w:val="2"/>
            <w:shd w:val="clear" w:color="auto" w:fill="CCEEFF"/>
          </w:tcPr>
          <w:p>
            <w:pPr>
              <w:ind w:left="240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(Gain) on sale of assets</w:t>
            </w:r>
          </w:p>
        </w:tc>
        <w:tc>
          <w:tcPr>
            <w:tcW w:w="2500" w:type="dxa"/>
            <w:vAlign w:val="bottom"/>
            <w:gridSpan w:val="2"/>
          </w:tcPr>
          <w:p>
            <w:pPr>
              <w:ind w:left="2400"/>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(0.6)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7"/>
                <w:szCs w:val="17"/>
                <w:color w:val="auto"/>
                <w:w w:val="98"/>
              </w:rPr>
              <w:t>(0.01)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500" w:type="dxa"/>
            <w:vAlign w:val="bottom"/>
            <w:gridSpan w:val="2"/>
            <w:shd w:val="clear" w:color="auto" w:fill="CCEEFF"/>
          </w:tcPr>
          <w:p>
            <w:pPr>
              <w:ind w:left="240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7"/>
                <w:szCs w:val="17"/>
                <w:color w:val="auto"/>
              </w:rPr>
              <w:t>Income Attributable to Operating Partnership Units</w:t>
            </w:r>
          </w:p>
        </w:tc>
        <w:tc>
          <w:tcPr>
            <w:tcW w:w="2500" w:type="dxa"/>
            <w:vAlign w:val="bottom"/>
            <w:gridSpan w:val="2"/>
          </w:tcPr>
          <w:p>
            <w:pPr>
              <w:ind w:left="240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2500" w:type="dxa"/>
            <w:vAlign w:val="bottom"/>
            <w:gridSpan w:val="2"/>
            <w:shd w:val="clear" w:color="auto" w:fill="CCEEFF"/>
          </w:tcPr>
          <w:p>
            <w:pPr>
              <w:ind w:left="240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126.7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Diluted Shares (million)</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5816600</wp:posOffset>
            </wp:positionH>
            <wp:positionV relativeFrom="paragraph">
              <wp:posOffset>-225425</wp:posOffset>
            </wp:positionV>
            <wp:extent cx="336550" cy="292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36550" cy="2921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-225425</wp:posOffset>
            </wp:positionV>
            <wp:extent cx="12700" cy="292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6405245</wp:posOffset>
            </wp:positionH>
            <wp:positionV relativeFrom="paragraph">
              <wp:posOffset>-225425</wp:posOffset>
            </wp:positionV>
            <wp:extent cx="20955" cy="292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-225425</wp:posOffset>
            </wp:positionV>
            <wp:extent cx="37465" cy="292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7465" cy="29210"/>
                    </a:xfrm>
                    <a:prstGeom prst="rect">
                      <a:avLst/>
                    </a:prstGeom>
                    <a:noFill/>
                  </pic:spPr>
                </pic:pic>
              </a:graphicData>
            </a:graphic>
          </wp:anchor>
        </w:drawing>
      </w:r>
    </w:p>
    <w:p>
      <w:pPr>
        <w:sectPr>
          <w:pgSz w:w="11900" w:h="16838" w:orient="portrait"/>
          <w:cols w:equalWidth="0" w:num="1">
            <w:col w:w="10560"/>
          </w:cols>
          <w:pgMar w:left="240" w:top="271" w:right="109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2020" cy="273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72020" cy="27305"/>
                    </a:xfrm>
                    <a:prstGeom prst="rect">
                      <a:avLst/>
                    </a:prstGeom>
                    <a:noFill/>
                  </pic:spPr>
                </pic:pic>
              </a:graphicData>
            </a:graphic>
          </wp:anchor>
        </w:drawing>
        <w:t>Glossary of Terms</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EBITDA</w:t>
      </w:r>
      <w:r>
        <w:rPr>
          <w:rFonts w:ascii="Arial" w:cs="Arial" w:eastAsia="Arial" w:hAnsi="Arial"/>
          <w:sz w:val="17"/>
          <w:szCs w:val="17"/>
          <w:color w:val="auto"/>
        </w:rPr>
        <w:t>: EBITDA is a non-GAAP measure that means net income or loss plus interest expense, income taxes, depreciation and amortization; adjusted for gain or loss</w:t>
      </w:r>
      <w:r>
        <w:rPr>
          <w:rFonts w:ascii="Arial" w:cs="Arial" w:eastAsia="Arial" w:hAnsi="Arial"/>
          <w:sz w:val="17"/>
          <w:szCs w:val="17"/>
          <w:b w:val="1"/>
          <w:bCs w:val="1"/>
          <w:color w:val="auto"/>
        </w:rPr>
        <w:t xml:space="preserve"> </w:t>
      </w:r>
      <w:r>
        <w:rPr>
          <w:rFonts w:ascii="Arial" w:cs="Arial" w:eastAsia="Arial" w:hAnsi="Arial"/>
          <w:sz w:val="17"/>
          <w:szCs w:val="17"/>
          <w:color w:val="auto"/>
        </w:rPr>
        <w:t>on sale of assets, impairment provisions, provision for loss on equity securities and other nonrecurring expenses. EBITDA is presented because it provides useful information regarding our ability to service debt, EBITDA should not be considered an alternative measure of operating results or cash flow from operations as determined in accordance with GAAP. The reconciliation of EBITDA, adjusted for discontinued operations, to net income for the six months ended June 30, 2003 and 2002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4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169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w w:val="91"/>
              </w:rPr>
              <w:t>For the Six Months Ended</w:t>
            </w:r>
          </w:p>
        </w:tc>
      </w:tr>
      <w:tr>
        <w:trPr>
          <w:trHeight w:val="168"/>
        </w:trPr>
        <w:tc>
          <w:tcPr>
            <w:tcW w:w="964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99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3"/>
        </w:trPr>
        <w:tc>
          <w:tcPr>
            <w:tcW w:w="96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3"/>
        </w:trPr>
        <w:tc>
          <w:tcPr>
            <w:tcW w:w="964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570" w:type="dxa"/>
            <w:vAlign w:val="bottom"/>
          </w:tcPr>
          <w:p>
            <w:pPr>
              <w:jc w:val="right"/>
              <w:ind w:right="122"/>
              <w:spacing w:after="0"/>
              <w:rPr>
                <w:sz w:val="20"/>
                <w:szCs w:val="20"/>
                <w:color w:val="auto"/>
              </w:rPr>
            </w:pPr>
            <w:r>
              <w:rPr>
                <w:rFonts w:ascii="Arial" w:cs="Arial" w:eastAsia="Arial" w:hAnsi="Arial"/>
                <w:sz w:val="13"/>
                <w:szCs w:val="13"/>
                <w:b w:val="1"/>
                <w:bCs w:val="1"/>
                <w:color w:val="auto"/>
              </w:rPr>
              <w:t>2003</w:t>
            </w:r>
          </w:p>
        </w:tc>
        <w:tc>
          <w:tcPr>
            <w:tcW w:w="420" w:type="dxa"/>
            <w:vAlign w:val="bottom"/>
          </w:tcPr>
          <w:p>
            <w:pPr>
              <w:spacing w:after="0"/>
              <w:rPr>
                <w:sz w:val="22"/>
                <w:szCs w:val="22"/>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2002</w:t>
            </w:r>
          </w:p>
        </w:tc>
        <w:tc>
          <w:tcPr>
            <w:tcW w:w="100" w:type="dxa"/>
            <w:vAlign w:val="bottom"/>
          </w:tcPr>
          <w:p>
            <w:pPr>
              <w:spacing w:after="0"/>
              <w:rPr>
                <w:sz w:val="22"/>
                <w:szCs w:val="22"/>
                <w:color w:val="auto"/>
              </w:rPr>
            </w:pPr>
          </w:p>
        </w:tc>
      </w:tr>
      <w:tr>
        <w:trPr>
          <w:trHeight w:val="93"/>
        </w:trPr>
        <w:tc>
          <w:tcPr>
            <w:tcW w:w="96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964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96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34,502</w:t>
            </w:r>
          </w:p>
        </w:tc>
        <w:tc>
          <w:tcPr>
            <w:tcW w:w="4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w w:val="87"/>
              </w:rPr>
              <w:t>$ 34,004</w:t>
            </w:r>
          </w:p>
        </w:tc>
      </w:tr>
      <w:tr>
        <w:trPr>
          <w:trHeight w:val="209"/>
        </w:trPr>
        <w:tc>
          <w:tcPr>
            <w:tcW w:w="96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7"/>
                <w:szCs w:val="17"/>
                <w:color w:val="auto"/>
              </w:rPr>
              <w:t>35,575</w:t>
            </w:r>
          </w:p>
        </w:tc>
        <w:tc>
          <w:tcPr>
            <w:tcW w:w="4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7"/>
                <w:szCs w:val="17"/>
                <w:color w:val="auto"/>
              </w:rPr>
              <w:t>32,030</w:t>
            </w:r>
          </w:p>
        </w:tc>
      </w:tr>
      <w:tr>
        <w:trPr>
          <w:trHeight w:val="209"/>
        </w:trPr>
        <w:tc>
          <w:tcPr>
            <w:tcW w:w="9640" w:type="dxa"/>
            <w:vAlign w:val="bottom"/>
            <w:shd w:val="clear" w:color="auto" w:fill="CCEEFF"/>
          </w:tcPr>
          <w:p>
            <w:pPr>
              <w:spacing w:after="0"/>
              <w:rPr>
                <w:sz w:val="20"/>
                <w:szCs w:val="20"/>
                <w:color w:val="auto"/>
              </w:rPr>
            </w:pPr>
            <w:r>
              <w:rPr>
                <w:rFonts w:ascii="Arial" w:cs="Arial" w:eastAsia="Arial" w:hAnsi="Arial"/>
                <w:sz w:val="17"/>
                <w:szCs w:val="17"/>
                <w:color w:val="auto"/>
              </w:rPr>
              <w:t>Interest</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35,831</w:t>
            </w:r>
          </w:p>
        </w:tc>
        <w:tc>
          <w:tcPr>
            <w:tcW w:w="4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31,776</w:t>
            </w:r>
          </w:p>
        </w:tc>
      </w:tr>
      <w:tr>
        <w:trPr>
          <w:trHeight w:val="215"/>
        </w:trPr>
        <w:tc>
          <w:tcPr>
            <w:tcW w:w="9640" w:type="dxa"/>
            <w:vAlign w:val="bottom"/>
          </w:tcPr>
          <w:p>
            <w:pPr>
              <w:spacing w:after="0"/>
              <w:rPr>
                <w:sz w:val="20"/>
                <w:szCs w:val="20"/>
                <w:color w:val="auto"/>
              </w:rPr>
            </w:pPr>
            <w:r>
              <w:rPr>
                <w:rFonts w:ascii="Arial" w:cs="Arial" w:eastAsia="Arial" w:hAnsi="Arial"/>
                <w:sz w:val="17"/>
                <w:szCs w:val="17"/>
                <w:color w:val="auto"/>
              </w:rPr>
              <w:t>(Gain) on sale of real estate net of loss on abandoned developments held for sale</w:t>
            </w:r>
          </w:p>
        </w:tc>
        <w:tc>
          <w:tcPr>
            <w:tcW w:w="90" w:type="dxa"/>
            <w:vAlign w:val="bottom"/>
          </w:tcPr>
          <w:p>
            <w:pPr>
              <w:spacing w:after="0"/>
              <w:rPr>
                <w:sz w:val="18"/>
                <w:szCs w:val="18"/>
                <w:color w:val="auto"/>
              </w:rPr>
            </w:pPr>
          </w:p>
        </w:tc>
        <w:tc>
          <w:tcPr>
            <w:tcW w:w="990" w:type="dxa"/>
            <w:vAlign w:val="bottom"/>
            <w:gridSpan w:val="2"/>
          </w:tcPr>
          <w:p>
            <w:pPr>
              <w:jc w:val="right"/>
              <w:ind w:right="360"/>
              <w:spacing w:after="0"/>
              <w:rPr>
                <w:sz w:val="20"/>
                <w:szCs w:val="20"/>
                <w:color w:val="auto"/>
              </w:rPr>
            </w:pPr>
            <w:r>
              <w:rPr>
                <w:rFonts w:ascii="Arial" w:cs="Arial" w:eastAsia="Arial" w:hAnsi="Arial"/>
                <w:sz w:val="17"/>
                <w:szCs w:val="17"/>
                <w:color w:val="auto"/>
              </w:rPr>
              <w:t>(551)</w:t>
            </w:r>
          </w:p>
        </w:tc>
        <w:tc>
          <w:tcPr>
            <w:tcW w:w="700" w:type="dxa"/>
            <w:vAlign w:val="bottom"/>
            <w:gridSpan w:val="4"/>
          </w:tcPr>
          <w:p>
            <w:pPr>
              <w:jc w:val="right"/>
              <w:ind w:right="40"/>
              <w:spacing w:after="0"/>
              <w:rPr>
                <w:sz w:val="20"/>
                <w:szCs w:val="20"/>
                <w:color w:val="auto"/>
              </w:rPr>
            </w:pPr>
            <w:r>
              <w:rPr>
                <w:rFonts w:ascii="Arial" w:cs="Arial" w:eastAsia="Arial" w:hAnsi="Arial"/>
                <w:sz w:val="17"/>
                <w:szCs w:val="17"/>
                <w:color w:val="auto"/>
              </w:rPr>
              <w:t>(9,454)</w:t>
            </w:r>
          </w:p>
        </w:tc>
      </w:tr>
      <w:tr>
        <w:trPr>
          <w:trHeight w:val="98"/>
        </w:trPr>
        <w:tc>
          <w:tcPr>
            <w:tcW w:w="96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964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9"/>
        </w:trPr>
        <w:tc>
          <w:tcPr>
            <w:tcW w:w="964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105,357</w:t>
            </w:r>
          </w:p>
        </w:tc>
        <w:tc>
          <w:tcPr>
            <w:tcW w:w="4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w w:val="87"/>
              </w:rPr>
              <w:t>$ 88,356</w:t>
            </w:r>
          </w:p>
        </w:tc>
      </w:tr>
      <w:tr>
        <w:trPr>
          <w:trHeight w:val="127"/>
        </w:trPr>
        <w:tc>
          <w:tcPr>
            <w:tcW w:w="96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6115050</wp:posOffset>
            </wp:positionH>
            <wp:positionV relativeFrom="paragraph">
              <wp:posOffset>-28575</wp:posOffset>
            </wp:positionV>
            <wp:extent cx="12700" cy="292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-28575</wp:posOffset>
            </wp:positionV>
            <wp:extent cx="20955" cy="2921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0955" cy="29210"/>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-28575</wp:posOffset>
            </wp:positionV>
            <wp:extent cx="37465" cy="292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7465" cy="2921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-28575</wp:posOffset>
            </wp:positionV>
            <wp:extent cx="394335" cy="292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94335" cy="29210"/>
                    </a:xfrm>
                    <a:prstGeom prst="rect">
                      <a:avLst/>
                    </a:prstGeom>
                    <a:noFill/>
                  </pic:spPr>
                </pic:pic>
              </a:graphicData>
            </a:graphic>
          </wp:anchor>
        </w:drawing>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Gross revenues, including interest income, less rental expenses and real estate taxes.</w:t>
      </w:r>
    </w:p>
    <w:p>
      <w:pPr>
        <w:spacing w:after="0" w:line="157"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b w:val="1"/>
          <w:bCs w:val="1"/>
          <w:color w:val="auto"/>
        </w:rPr>
        <w:t xml:space="preserve">Occupancy: </w:t>
      </w:r>
      <w:r>
        <w:rPr>
          <w:rFonts w:ascii="Arial" w:cs="Arial" w:eastAsia="Arial" w:hAnsi="Arial"/>
          <w:sz w:val="17"/>
          <w:szCs w:val="17"/>
          <w:color w:val="auto"/>
        </w:rPr>
        <w:t>The portion of the property for which the Trust is collecting rent, or for which a lease has been signed but the term has not yet commenced, divided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total square footage available for lease.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Occupancy—overall</w:t>
      </w:r>
      <w:r>
        <w:rPr>
          <w:rFonts w:ascii="Arial" w:cs="Arial" w:eastAsia="Arial" w:hAnsi="Arial"/>
          <w:sz w:val="17"/>
          <w:szCs w:val="17"/>
          <w:color w:val="auto"/>
        </w:rPr>
        <w:t>: Occupancy for the entire portfolio—includes all operating properties owned in reporting period.</w:t>
      </w:r>
    </w:p>
    <w:p>
      <w:pPr>
        <w:spacing w:after="0" w:line="157" w:lineRule="exact"/>
        <w:rPr>
          <w:sz w:val="20"/>
          <w:szCs w:val="20"/>
          <w:color w:val="auto"/>
        </w:rPr>
      </w:pPr>
    </w:p>
    <w:p>
      <w:pPr>
        <w:ind w:right="260"/>
        <w:spacing w:after="0" w:line="285" w:lineRule="auto"/>
        <w:rPr>
          <w:sz w:val="20"/>
          <w:szCs w:val="20"/>
          <w:color w:val="auto"/>
        </w:rPr>
      </w:pPr>
      <w:r>
        <w:rPr>
          <w:rFonts w:ascii="Arial" w:cs="Arial" w:eastAsia="Arial" w:hAnsi="Arial"/>
          <w:sz w:val="17"/>
          <w:szCs w:val="17"/>
          <w:b w:val="1"/>
          <w:bCs w:val="1"/>
          <w:color w:val="auto"/>
        </w:rPr>
        <w:t xml:space="preserve">Occupancy—same center: </w:t>
      </w:r>
      <w:r>
        <w:rPr>
          <w:rFonts w:ascii="Arial" w:cs="Arial" w:eastAsia="Arial" w:hAnsi="Arial"/>
          <w:sz w:val="17"/>
          <w:szCs w:val="17"/>
          <w:color w:val="auto"/>
        </w:rPr>
        <w:t>Occupancy for only those properties owned and operating in the periods being compared. Excludes centers purchased or sold as well as</w:t>
      </w:r>
      <w:r>
        <w:rPr>
          <w:rFonts w:ascii="Arial" w:cs="Arial" w:eastAsia="Arial" w:hAnsi="Arial"/>
          <w:sz w:val="17"/>
          <w:szCs w:val="17"/>
          <w:b w:val="1"/>
          <w:bCs w:val="1"/>
          <w:color w:val="auto"/>
        </w:rPr>
        <w:t xml:space="preserve"> </w:t>
      </w:r>
      <w:r>
        <w:rPr>
          <w:rFonts w:ascii="Arial" w:cs="Arial" w:eastAsia="Arial" w:hAnsi="Arial"/>
          <w:sz w:val="17"/>
          <w:szCs w:val="17"/>
          <w:color w:val="auto"/>
        </w:rPr>
        <w:t>properties under redevelopment and development.</w:t>
      </w:r>
    </w:p>
    <w:p>
      <w:pPr>
        <w:spacing w:after="0" w:line="9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 xml:space="preserve">Tenant improvements: </w:t>
      </w:r>
      <w:r>
        <w:rPr>
          <w:rFonts w:ascii="Arial" w:cs="Arial" w:eastAsia="Arial" w:hAnsi="Arial"/>
          <w:sz w:val="17"/>
          <w:szCs w:val="17"/>
          <w:color w:val="auto"/>
        </w:rPr>
        <w:t>Represents the total dollars committed for the improvement (fit-out) of a space as it relates to a specific lease. The amounts shown represent</w:t>
      </w:r>
      <w:r>
        <w:rPr>
          <w:rFonts w:ascii="Arial" w:cs="Arial" w:eastAsia="Arial" w:hAnsi="Arial"/>
          <w:sz w:val="17"/>
          <w:szCs w:val="17"/>
          <w:b w:val="1"/>
          <w:bCs w:val="1"/>
          <w:color w:val="auto"/>
        </w:rPr>
        <w:t xml:space="preserve"> </w:t>
      </w:r>
      <w:r>
        <w:rPr>
          <w:rFonts w:ascii="Arial" w:cs="Arial" w:eastAsia="Arial" w:hAnsi="Arial"/>
          <w:sz w:val="17"/>
          <w:szCs w:val="17"/>
          <w:color w:val="auto"/>
        </w:rPr>
        <w:t>not only the estimated cost to fit-out the tenant space, but may also include base building costs (i.e. expansion, escalators or new entrances) which are required to make the space leasable.</w:t>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Letter"/>
      <w:start w:val="3"/>
    </w:lvl>
  </w:abstractNum>
  <w:abstractNum w:abstractNumId="1">
    <w:nsid w:val="66EF438D"/>
    <w:multiLevelType w:val="hybridMultilevel"/>
    <w:lvl w:ilvl="0">
      <w:lvlJc w:val="left"/>
      <w:lvlText w:val="%1."/>
      <w:numFmt w:val="decimal"/>
      <w:start w:val="3"/>
    </w:lvl>
  </w:abstractNum>
  <w:abstractNum w:abstractNumId="2">
    <w:nsid w:val="140E0F76"/>
    <w:multiLevelType w:val="hybridMultilevel"/>
    <w:lvl w:ilvl="0">
      <w:lvlJc w:val="left"/>
      <w:lvlText w:val="%1."/>
      <w:numFmt w:val="decimal"/>
      <w:start w:val="1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Ø"/>
      <w:numFmt w:val="bullet"/>
      <w:start w:val="1"/>
    </w:lvl>
  </w:abstractNum>
  <w:abstractNum w:abstractNumId="5">
    <w:nsid w:val="DED7263"/>
    <w:multiLevelType w:val="hybridMultilevel"/>
    <w:lvl w:ilvl="0">
      <w:lvlJc w:val="left"/>
      <w:lvlText w:val="Ø"/>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2019-12-11T18:09:52Z</dcterms:created>
  <dcterms:modified xsi:type="dcterms:W3CDTF">2019-12-11T18:09:52Z</dcterms:modified>
</cp:coreProperties>
</file>