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October 30, 2026</w:t>
      </w:r>
    </w:p>
    <w:p>
      <w:pPr>
        <w:spacing w:after="0" w:line="1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460" w:type="dxa"/>
        <w:tblCellMar>
          <w:top w:w="0" w:type="dxa"/>
          <w:left w:w="0" w:type="dxa"/>
          <w:bottom w:w="0" w:type="dxa"/>
          <w:right w:w="0" w:type="dxa"/>
        </w:tblCellMar>
      </w:tblPr>
      <w:tr>
        <w:trPr>
          <w:trHeight w:val="226"/>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Maryland (Federal Realty Investment Trust)</w:t>
            </w:r>
          </w:p>
        </w:tc>
        <w:tc>
          <w:tcPr>
            <w:tcW w:w="1700" w:type="dxa"/>
            <w:vAlign w:val="bottom"/>
          </w:tcPr>
          <w:p>
            <w:pPr>
              <w:jc w:val="right"/>
              <w:ind w:right="444"/>
              <w:spacing w:after="0"/>
              <w:rPr>
                <w:sz w:val="20"/>
                <w:szCs w:val="20"/>
                <w:color w:val="auto"/>
              </w:rPr>
            </w:pPr>
            <w:r>
              <w:rPr>
                <w:rFonts w:ascii="Times New Roman" w:cs="Times New Roman" w:eastAsia="Times New Roman" w:hAnsi="Times New Roman"/>
                <w:sz w:val="17"/>
                <w:szCs w:val="17"/>
                <w:b w:val="1"/>
                <w:bCs w:val="1"/>
                <w:color w:val="auto"/>
              </w:rPr>
              <w:t>1-07533</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87-3916363</w:t>
            </w:r>
          </w:p>
        </w:tc>
      </w:tr>
      <w:tr>
        <w:trPr>
          <w:trHeight w:val="229"/>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Delaware (Federal Realty OP LP)</w:t>
            </w:r>
          </w:p>
        </w:tc>
        <w:tc>
          <w:tcPr>
            <w:tcW w:w="1700" w:type="dxa"/>
            <w:vAlign w:val="bottom"/>
          </w:tcPr>
          <w:p>
            <w:pPr>
              <w:jc w:val="right"/>
              <w:ind w:right="184"/>
              <w:spacing w:after="0"/>
              <w:rPr>
                <w:sz w:val="20"/>
                <w:szCs w:val="20"/>
                <w:color w:val="auto"/>
              </w:rPr>
            </w:pPr>
            <w:r>
              <w:rPr>
                <w:rFonts w:ascii="Times New Roman" w:cs="Times New Roman" w:eastAsia="Times New Roman" w:hAnsi="Times New Roman"/>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52-0782497</w:t>
            </w:r>
          </w:p>
        </w:tc>
      </w:tr>
      <w:tr>
        <w:trPr>
          <w:trHeight w:val="144"/>
        </w:trPr>
        <w:tc>
          <w:tcPr>
            <w:tcW w:w="4240" w:type="dxa"/>
            <w:vAlign w:val="bottom"/>
          </w:tcPr>
          <w:p>
            <w:pPr>
              <w:jc w:val="center"/>
              <w:ind w:right="884"/>
              <w:spacing w:after="0" w:line="144"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1700" w:type="dxa"/>
            <w:vAlign w:val="bottom"/>
          </w:tcPr>
          <w:p>
            <w:pPr>
              <w:ind w:left="560"/>
              <w:spacing w:after="0" w:line="144"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340" w:type="dxa"/>
            <w:vAlign w:val="bottom"/>
          </w:tcPr>
          <w:p>
            <w:pPr>
              <w:spacing w:after="0"/>
              <w:rPr>
                <w:sz w:val="12"/>
                <w:szCs w:val="12"/>
                <w:color w:val="auto"/>
              </w:rPr>
            </w:pPr>
          </w:p>
        </w:tc>
        <w:tc>
          <w:tcPr>
            <w:tcW w:w="1900" w:type="dxa"/>
            <w:vAlign w:val="bottom"/>
          </w:tcPr>
          <w:p>
            <w:pPr>
              <w:jc w:val="center"/>
              <w:ind w:left="844"/>
              <w:spacing w:after="0" w:line="144"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240" w:type="dxa"/>
            <w:vAlign w:val="bottom"/>
          </w:tcPr>
          <w:p>
            <w:pPr>
              <w:jc w:val="center"/>
              <w:ind w:right="884"/>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17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42"/>
        </w:trPr>
        <w:tc>
          <w:tcPr>
            <w:tcW w:w="42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909 Rose Avenue, Suite 200</w:t>
            </w:r>
          </w:p>
        </w:tc>
        <w:tc>
          <w:tcPr>
            <w:tcW w:w="1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North Bethesda,</w:t>
            </w: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90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301/998-8100</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36"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20" w:type="dxa"/>
            <w:vAlign w:val="bottom"/>
            <w:gridSpan w:val="4"/>
          </w:tcPr>
          <w:p>
            <w:pPr>
              <w:jc w:val="center"/>
              <w:ind w:left="1139"/>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740" w:type="dxa"/>
            <w:vAlign w:val="bottom"/>
            <w:gridSpan w:val="3"/>
          </w:tcPr>
          <w:p>
            <w:pPr>
              <w:jc w:val="center"/>
              <w:ind w:right="19"/>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32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5"/>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4740" w:type="dxa"/>
            <w:vAlign w:val="bottom"/>
            <w:gridSpan w:val="3"/>
          </w:tcPr>
          <w:p>
            <w:pPr>
              <w:jc w:val="center"/>
              <w:spacing w:after="0" w:line="168" w:lineRule="exact"/>
              <w:rPr>
                <w:sz w:val="20"/>
                <w:szCs w:val="20"/>
                <w:color w:val="auto"/>
              </w:rPr>
            </w:pPr>
            <w:r>
              <w:rPr>
                <w:rFonts w:ascii="Times New Roman" w:cs="Times New Roman" w:eastAsia="Times New Roman" w:hAnsi="Times New Roman"/>
                <w:sz w:val="16"/>
                <w:szCs w:val="16"/>
                <w:color w:val="auto"/>
              </w:rPr>
              <w:t>$0.01 par value per share, with associated Common Share Purchase</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3060" w:type="dxa"/>
            <w:vAlign w:val="bottom"/>
            <w:gridSpan w:val="2"/>
          </w:tcPr>
          <w:p>
            <w:pPr>
              <w:jc w:val="center"/>
              <w:ind w:right="1679"/>
              <w:spacing w:after="0"/>
              <w:rPr>
                <w:sz w:val="20"/>
                <w:szCs w:val="20"/>
                <w:color w:val="auto"/>
              </w:rPr>
            </w:pPr>
            <w:r>
              <w:rPr>
                <w:rFonts w:ascii="Times New Roman" w:cs="Times New Roman" w:eastAsia="Times New Roman" w:hAnsi="Times New Roman"/>
                <w:sz w:val="16"/>
                <w:szCs w:val="16"/>
                <w:color w:val="auto"/>
              </w:rPr>
              <w:t>Rights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4740" w:type="dxa"/>
            <w:vAlign w:val="bottom"/>
            <w:gridSpan w:val="3"/>
          </w:tcPr>
          <w:p>
            <w:pPr>
              <w:jc w:val="center"/>
              <w:ind w:right="19"/>
              <w:spacing w:after="0"/>
              <w:rPr>
                <w:sz w:val="20"/>
                <w:szCs w:val="20"/>
                <w:color w:val="auto"/>
              </w:rPr>
            </w:pPr>
            <w:r>
              <w:rPr>
                <w:rFonts w:ascii="Times New Roman" w:cs="Times New Roman" w:eastAsia="Times New Roman" w:hAnsi="Times New Roman"/>
                <w:sz w:val="16"/>
                <w:szCs w:val="16"/>
                <w:color w:val="auto"/>
              </w:rPr>
              <w:t>Depositary Shares, each representing 1/1000 of a 5.00%</w:t>
            </w:r>
          </w:p>
        </w:tc>
        <w:tc>
          <w:tcPr>
            <w:tcW w:w="32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6"/>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4740" w:type="dxa"/>
            <w:vAlign w:val="bottom"/>
            <w:gridSpan w:val="3"/>
          </w:tcPr>
          <w:p>
            <w:pPr>
              <w:jc w:val="center"/>
              <w:spacing w:after="0" w:line="168" w:lineRule="exact"/>
              <w:rPr>
                <w:sz w:val="20"/>
                <w:szCs w:val="20"/>
                <w:color w:val="auto"/>
              </w:rPr>
            </w:pPr>
            <w:r>
              <w:rPr>
                <w:rFonts w:ascii="Times New Roman" w:cs="Times New Roman" w:eastAsia="Times New Roman" w:hAnsi="Times New Roman"/>
                <w:sz w:val="16"/>
                <w:szCs w:val="16"/>
                <w:color w:val="auto"/>
              </w:rPr>
              <w:t>Series C Cumulative Redeemable Preferred Share, $0.01 par value per</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3060" w:type="dxa"/>
            <w:vAlign w:val="bottom"/>
            <w:gridSpan w:val="2"/>
          </w:tcPr>
          <w:p>
            <w:pPr>
              <w:jc w:val="center"/>
              <w:ind w:right="1679"/>
              <w:spacing w:after="0"/>
              <w:rPr>
                <w:sz w:val="20"/>
                <w:szCs w:val="20"/>
                <w:color w:val="auto"/>
              </w:rPr>
            </w:pPr>
            <w:r>
              <w:rPr>
                <w:rFonts w:ascii="Times New Roman" w:cs="Times New Roman" w:eastAsia="Times New Roman" w:hAnsi="Times New Roman"/>
                <w:sz w:val="16"/>
                <w:szCs w:val="16"/>
                <w:color w:val="auto"/>
              </w:rPr>
              <w:t>share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8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1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8" w:lineRule="exact"/>
        <w:rPr>
          <w:sz w:val="24"/>
          <w:szCs w:val="24"/>
          <w:color w:val="auto"/>
        </w:rPr>
      </w:pPr>
    </w:p>
    <w:p>
      <w:pPr>
        <w:ind w:left="20" w:right="60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9" w:lineRule="exact"/>
        <w:rPr>
          <w:sz w:val="24"/>
          <w:szCs w:val="24"/>
          <w:color w:val="auto"/>
        </w:rPr>
      </w:pPr>
    </w:p>
    <w:p>
      <w:pPr>
        <w:ind w:left="20" w:right="540"/>
        <w:spacing w:after="0" w:line="242" w:lineRule="auto"/>
        <w:rPr>
          <w:sz w:val="20"/>
          <w:szCs w:val="20"/>
          <w:color w:val="auto"/>
        </w:rPr>
      </w:pPr>
      <w:r>
        <w:rPr>
          <w:rFonts w:ascii="Times New Roman" w:cs="Times New Roman" w:eastAsia="Times New Roman" w:hAnsi="Times New Roman"/>
          <w:sz w:val="16"/>
          <w:szCs w:val="16"/>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p>
    <w:p>
      <w:pPr>
        <w:spacing w:after="0" w:line="251" w:lineRule="exact"/>
        <w:rPr>
          <w:sz w:val="20"/>
          <w:szCs w:val="20"/>
          <w:color w:val="auto"/>
        </w:rPr>
      </w:pPr>
    </w:p>
    <w:p>
      <w:pPr>
        <w:ind w:firstLine="180"/>
        <w:spacing w:after="0" w:line="268" w:lineRule="auto"/>
        <w:rPr>
          <w:sz w:val="20"/>
          <w:szCs w:val="20"/>
          <w:color w:val="auto"/>
        </w:rPr>
      </w:pPr>
      <w:r>
        <w:rPr>
          <w:rFonts w:ascii="Times New Roman" w:cs="Times New Roman" w:eastAsia="Times New Roman" w:hAnsi="Times New Roman"/>
          <w:sz w:val="21"/>
          <w:szCs w:val="21"/>
          <w:color w:val="auto"/>
        </w:rPr>
        <w:t>The information under this Item 2.02-Results of Operations and Financial Condition and the exhibits attached hereto, are being furnished and shall not be deemed “filed” for any purpose, including for the purposes of Section 18 of the Securities Exchange Act of 1934, as amended (the “Exchange Act”), or otherwise subject to the liabilities of that Section. The information under this Item 2.02 and the exhibits attached hereto shall not be deemed incorporated by reference into any filing under the Securities Act of 1933, as amended, or under the Exchange Act, regardless of any general incorporation language in such filing.</w:t>
      </w:r>
    </w:p>
    <w:p>
      <w:pPr>
        <w:spacing w:after="0" w:line="191" w:lineRule="exact"/>
        <w:rPr>
          <w:sz w:val="20"/>
          <w:szCs w:val="20"/>
          <w:color w:val="auto"/>
        </w:rPr>
      </w:pPr>
    </w:p>
    <w:p>
      <w:pPr>
        <w:ind w:right="100" w:firstLine="180"/>
        <w:spacing w:after="0" w:line="263" w:lineRule="auto"/>
        <w:rPr>
          <w:sz w:val="20"/>
          <w:szCs w:val="20"/>
          <w:color w:val="auto"/>
        </w:rPr>
      </w:pPr>
      <w:r>
        <w:rPr>
          <w:rFonts w:ascii="Times New Roman" w:cs="Times New Roman" w:eastAsia="Times New Roman" w:hAnsi="Times New Roman"/>
          <w:sz w:val="22"/>
          <w:szCs w:val="22"/>
          <w:color w:val="auto"/>
        </w:rPr>
        <w:t>On October 30, 2026, Federal Realty Investment Trust issued supplemental data pertaining to its operations, as well as a press release, to report its financial results for the quarter ended September 30, 2026. The supplemental data and press release are furnished as Exhibit 99.1 hereto.</w:t>
      </w:r>
    </w:p>
    <w:p>
      <w:pPr>
        <w:spacing w:after="0" w:line="200" w:lineRule="exact"/>
        <w:rPr>
          <w:sz w:val="20"/>
          <w:szCs w:val="20"/>
          <w:color w:val="auto"/>
        </w:rPr>
      </w:pPr>
    </w:p>
    <w:p>
      <w:pPr>
        <w:spacing w:after="0" w:line="23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51" w:lineRule="exact"/>
        <w:rPr>
          <w:sz w:val="20"/>
          <w:szCs w:val="20"/>
          <w:color w:val="auto"/>
        </w:rPr>
      </w:pPr>
    </w:p>
    <w:p>
      <w:pPr>
        <w:ind w:left="180"/>
        <w:spacing w:after="0"/>
        <w:tabs>
          <w:tab w:leader="none" w:pos="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Exhibits</w:t>
      </w:r>
    </w:p>
    <w:p>
      <w:pPr>
        <w:spacing w:after="0" w:line="247" w:lineRule="exact"/>
        <w:rPr>
          <w:sz w:val="20"/>
          <w:szCs w:val="20"/>
          <w:color w:val="auto"/>
        </w:rPr>
      </w:pPr>
    </w:p>
    <w:p>
      <w:pPr>
        <w:ind w:left="180"/>
        <w:spacing w:after="0"/>
        <w:tabs>
          <w:tab w:leader="none" w:pos="72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Supplemental information at September 30, 2026 (including press release dated October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94" w:lineRule="exact"/>
        <w:rPr>
          <w:sz w:val="20"/>
          <w:szCs w:val="20"/>
          <w:color w:val="auto"/>
        </w:rPr>
      </w:pPr>
    </w:p>
    <w:p>
      <w:pPr>
        <w:ind w:right="160" w:firstLine="180"/>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registrants have duly caused this report to be signed on their behalf by the undersigned hereunto duly authorized.</w:t>
      </w:r>
    </w:p>
    <w:p>
      <w:pPr>
        <w:spacing w:after="0" w:line="19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FEDERAL REALTY INVESTMENT TRUST</w:t>
      </w:r>
    </w:p>
    <w:p>
      <w:pPr>
        <w:spacing w:after="0" w:line="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FEDERAL REALTY OP LP</w:t>
      </w:r>
    </w:p>
    <w:p>
      <w:pPr>
        <w:spacing w:after="0" w:line="275" w:lineRule="exact"/>
        <w:rPr>
          <w:sz w:val="20"/>
          <w:szCs w:val="20"/>
          <w:color w:val="auto"/>
        </w:rPr>
      </w:pPr>
    </w:p>
    <w:p>
      <w:pPr>
        <w:ind w:left="40"/>
        <w:spacing w:after="0"/>
        <w:tabs>
          <w:tab w:leader="none" w:pos="1520" w:val="left"/>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October 30, 2026</w:t>
      </w:r>
      <w:r>
        <w:rPr>
          <w:sz w:val="20"/>
          <w:szCs w:val="20"/>
          <w:color w:val="auto"/>
        </w:rPr>
        <w:tab/>
      </w:r>
      <w:r>
        <w:rPr>
          <w:rFonts w:ascii="Times New Roman" w:cs="Times New Roman" w:eastAsia="Times New Roman" w:hAnsi="Times New Roman"/>
          <w:sz w:val="21"/>
          <w:szCs w:val="21"/>
          <w:u w:val="single" w:color="auto"/>
          <w:color w:val="auto"/>
        </w:rPr>
        <w:t>/s/ Daniel Guglielmone</w:t>
      </w:r>
    </w:p>
    <w:p>
      <w:pPr>
        <w:spacing w:after="0" w:line="28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Daniel Guglielmone</w:t>
      </w:r>
    </w:p>
    <w:p>
      <w:pPr>
        <w:spacing w:after="0" w:line="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980"/>
              <w:spacing w:after="0"/>
              <w:rPr>
                <w:sz w:val="20"/>
                <w:szCs w:val="20"/>
                <w:color w:val="auto"/>
              </w:rPr>
            </w:pPr>
            <w:r>
              <w:rPr>
                <w:rFonts w:ascii="Times New Roman" w:cs="Times New Roman" w:eastAsia="Times New Roman" w:hAnsi="Times New Roman"/>
                <w:sz w:val="22"/>
                <w:szCs w:val="22"/>
                <w:color w:val="auto"/>
              </w:rPr>
              <w:t>EXHIBIT INDEX</w:t>
            </w:r>
          </w:p>
        </w:tc>
      </w:tr>
      <w:tr>
        <w:trPr>
          <w:trHeight w:val="555"/>
        </w:trPr>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7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5"/>
                <w:szCs w:val="15"/>
                <w:color w:val="auto"/>
              </w:rPr>
            </w:pPr>
          </w:p>
        </w:tc>
        <w:tc>
          <w:tcPr>
            <w:tcW w:w="93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Supplemental Information at September 30, 2026</w:t>
            </w:r>
          </w:p>
        </w:tc>
      </w:tr>
      <w:tr>
        <w:trPr>
          <w:trHeight w:val="304"/>
        </w:trPr>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(the Cover Page Interactive Data File is embedded within the Inline XBRL document)</w:t>
            </w:r>
          </w:p>
        </w:tc>
      </w:tr>
    </w:tbl>
    <w:p>
      <w:pPr>
        <w:sectPr>
          <w:pgSz w:w="11900" w:h="16838" w:orient="portrait"/>
          <w:cols w:equalWidth="0" w:num="1">
            <w:col w:w="11180"/>
          </w:cols>
          <w:pgMar w:left="360" w:top="895"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1</w:t>
            </w:r>
          </w:p>
        </w:tc>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Third Quarter 2026 Earnings Press Release</w:t>
            </w:r>
          </w:p>
        </w:tc>
        <w:tc>
          <w:tcPr>
            <w:tcW w:w="1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16"/>
        </w:trPr>
        <w:tc>
          <w:tcPr>
            <w:tcW w:w="460" w:type="dxa"/>
            <w:vAlign w:val="bottom"/>
            <w:tcBorders>
              <w:top w:val="single" w:sz="8" w:color="CCEEFF"/>
            </w:tcBorders>
          </w:tcPr>
          <w:p>
            <w:pPr>
              <w:spacing w:after="0"/>
              <w:rPr>
                <w:sz w:val="18"/>
                <w:szCs w:val="18"/>
                <w:color w:val="auto"/>
              </w:rPr>
            </w:pPr>
          </w:p>
        </w:tc>
        <w:tc>
          <w:tcPr>
            <w:tcW w:w="75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29"/>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2</w:t>
            </w:r>
          </w:p>
        </w:tc>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Financial Highlights</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460" w:type="dxa"/>
            <w:vAlign w:val="bottom"/>
          </w:tcPr>
          <w:p>
            <w:pPr>
              <w:spacing w:after="0"/>
              <w:rPr>
                <w:sz w:val="16"/>
                <w:szCs w:val="16"/>
                <w:color w:val="auto"/>
              </w:rPr>
            </w:pPr>
          </w:p>
        </w:tc>
        <w:tc>
          <w:tcPr>
            <w:tcW w:w="750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Income Statements</w:t>
            </w:r>
          </w:p>
        </w:tc>
        <w:tc>
          <w:tcPr>
            <w:tcW w:w="13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4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0" w:type="dxa"/>
            <w:vAlign w:val="bottom"/>
            <w:tcBorders>
              <w:bottom w:val="single" w:sz="8" w:color="CCEEFF"/>
            </w:tcBorders>
            <w:shd w:val="clear" w:color="auto" w:fill="CCEEFF"/>
          </w:tcPr>
          <w:p>
            <w:pPr>
              <w:spacing w:after="0"/>
              <w:rPr>
                <w:sz w:val="18"/>
                <w:szCs w:val="18"/>
                <w:color w:val="auto"/>
              </w:rPr>
            </w:pPr>
          </w:p>
        </w:tc>
        <w:tc>
          <w:tcPr>
            <w:tcW w:w="7500" w:type="dxa"/>
            <w:vAlign w:val="bottom"/>
            <w:tcBorders>
              <w:bottom w:val="single" w:sz="8" w:color="CCEEFF"/>
            </w:tcBorders>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12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750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Funds From Operations</w:t>
            </w:r>
          </w:p>
        </w:tc>
        <w:tc>
          <w:tcPr>
            <w:tcW w:w="13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0"/>
        </w:trPr>
        <w:tc>
          <w:tcPr>
            <w:tcW w:w="4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0" w:type="dxa"/>
            <w:vAlign w:val="bottom"/>
            <w:shd w:val="clear" w:color="auto" w:fill="CCEEFF"/>
          </w:tcPr>
          <w:p>
            <w:pPr>
              <w:spacing w:after="0"/>
              <w:rPr>
                <w:sz w:val="18"/>
                <w:szCs w:val="18"/>
                <w:color w:val="auto"/>
              </w:rPr>
            </w:pPr>
          </w:p>
        </w:tc>
        <w:tc>
          <w:tcPr>
            <w:tcW w:w="7500" w:type="dxa"/>
            <w:vAlign w:val="bottom"/>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Other Supplemental Information</w:t>
            </w:r>
          </w:p>
        </w:tc>
        <w:tc>
          <w:tcPr>
            <w:tcW w:w="13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shd w:val="clear" w:color="auto" w:fill="CCEEFF"/>
          </w:tcPr>
          <w:p>
            <w:pPr>
              <w:spacing w:after="0"/>
              <w:rPr>
                <w:sz w:val="18"/>
                <w:szCs w:val="18"/>
                <w:color w:val="auto"/>
              </w:rPr>
            </w:pPr>
          </w:p>
        </w:tc>
      </w:tr>
      <w:tr>
        <w:trPr>
          <w:trHeight w:val="189"/>
        </w:trPr>
        <w:tc>
          <w:tcPr>
            <w:tcW w:w="460" w:type="dxa"/>
            <w:vAlign w:val="bottom"/>
            <w:tcBorders>
              <w:top w:val="single" w:sz="8" w:color="CCEEFF"/>
            </w:tcBorders>
          </w:tcPr>
          <w:p>
            <w:pPr>
              <w:spacing w:after="0"/>
              <w:rPr>
                <w:sz w:val="16"/>
                <w:szCs w:val="16"/>
                <w:color w:val="auto"/>
              </w:rPr>
            </w:pPr>
          </w:p>
        </w:tc>
        <w:tc>
          <w:tcPr>
            <w:tcW w:w="7500" w:type="dxa"/>
            <w:vAlign w:val="bottom"/>
            <w:tcBorders>
              <w:top w:val="single" w:sz="8" w:color="CCEEFF"/>
            </w:tcBorders>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Components of Rental Income</w:t>
            </w:r>
          </w:p>
        </w:tc>
        <w:tc>
          <w:tcPr>
            <w:tcW w:w="1140" w:type="dxa"/>
            <w:vAlign w:val="bottom"/>
            <w:tcBorders>
              <w:top w:val="single" w:sz="8" w:color="CCEEFF"/>
            </w:tcBorders>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20" w:type="dxa"/>
            <w:vAlign w:val="bottom"/>
            <w:tcBorders>
              <w:top w:val="single" w:sz="8" w:color="CCEEFF"/>
            </w:tcBorders>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7500" w:type="dxa"/>
            <w:vAlign w:val="bottom"/>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Comparable Property Information</w:t>
            </w:r>
          </w:p>
        </w:tc>
        <w:tc>
          <w:tcPr>
            <w:tcW w:w="13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shd w:val="clear" w:color="auto" w:fill="CCEEFF"/>
          </w:tcPr>
          <w:p>
            <w:pPr>
              <w:spacing w:after="0"/>
              <w:rPr>
                <w:sz w:val="16"/>
                <w:szCs w:val="16"/>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75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460" w:type="dxa"/>
            <w:vAlign w:val="bottom"/>
          </w:tcPr>
          <w:p>
            <w:pPr>
              <w:spacing w:after="0"/>
              <w:rPr>
                <w:sz w:val="16"/>
                <w:szCs w:val="16"/>
                <w:color w:val="auto"/>
              </w:rPr>
            </w:pPr>
          </w:p>
        </w:tc>
        <w:tc>
          <w:tcPr>
            <w:tcW w:w="750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Market Data, Debt Metrics, and Senior Notes and Debentures Covenants</w:t>
            </w:r>
          </w:p>
        </w:tc>
        <w:tc>
          <w:tcPr>
            <w:tcW w:w="13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r>
      <w:tr>
        <w:trPr>
          <w:trHeight w:val="21"/>
        </w:trPr>
        <w:tc>
          <w:tcPr>
            <w:tcW w:w="4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ind w:left="800" w:hanging="789"/>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Debt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shd w:val="clear" w:color="auto" w:fill="CCEEFF"/>
          </w:tcPr>
          <w:p>
            <w:pPr>
              <w:spacing w:after="0"/>
              <w:rPr>
                <w:sz w:val="17"/>
                <w:szCs w:val="17"/>
                <w:color w:val="auto"/>
              </w:rPr>
            </w:pPr>
          </w:p>
        </w:tc>
        <w:tc>
          <w:tcPr>
            <w:tcW w:w="65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Summary of Outstanding Debt</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shd w:val="clear" w:color="auto" w:fill="CCEEFF"/>
          </w:tcPr>
          <w:p>
            <w:pPr>
              <w:spacing w:after="0"/>
              <w:rPr>
                <w:sz w:val="17"/>
                <w:szCs w:val="17"/>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5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6560" w:type="dxa"/>
            <w:vAlign w:val="bottom"/>
          </w:tcPr>
          <w:p>
            <w:pPr>
              <w:ind w:left="1100"/>
              <w:spacing w:after="0" w:line="189" w:lineRule="exact"/>
              <w:rPr>
                <w:sz w:val="20"/>
                <w:szCs w:val="20"/>
                <w:color w:val="auto"/>
              </w:rPr>
            </w:pPr>
            <w:r>
              <w:rPr>
                <w:rFonts w:ascii="Times New Roman" w:cs="Times New Roman" w:eastAsia="Times New Roman" w:hAnsi="Times New Roman"/>
                <w:sz w:val="18"/>
                <w:szCs w:val="18"/>
                <w:color w:val="auto"/>
              </w:rPr>
              <w:t>Summary of Debt Maturities</w:t>
            </w:r>
          </w:p>
        </w:tc>
        <w:tc>
          <w:tcPr>
            <w:tcW w:w="2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65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Redevelopment and Expansion Opportunities</w:t>
            </w:r>
          </w:p>
        </w:tc>
        <w:tc>
          <w:tcPr>
            <w:tcW w:w="2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6"/>
                <w:szCs w:val="16"/>
                <w:color w:val="auto"/>
              </w:rPr>
            </w:pPr>
          </w:p>
        </w:tc>
      </w:tr>
      <w:tr>
        <w:trPr>
          <w:trHeight w:val="21"/>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5</w:t>
            </w:r>
          </w:p>
        </w:tc>
        <w:tc>
          <w:tcPr>
            <w:tcW w:w="65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Future Redevelopment and Expansion Opportunities</w:t>
            </w:r>
          </w:p>
        </w:tc>
        <w:tc>
          <w:tcPr>
            <w:tcW w:w="2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65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Significant Transactions</w:t>
            </w:r>
          </w:p>
        </w:tc>
        <w:tc>
          <w:tcPr>
            <w:tcW w:w="2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65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Real Estate Status Report</w:t>
            </w:r>
          </w:p>
        </w:tc>
        <w:tc>
          <w:tcPr>
            <w:tcW w:w="2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65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Retail Leasing Summary</w:t>
            </w:r>
          </w:p>
        </w:tc>
        <w:tc>
          <w:tcPr>
            <w:tcW w:w="2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65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Lease Expirations</w:t>
            </w:r>
          </w:p>
        </w:tc>
        <w:tc>
          <w:tcPr>
            <w:tcW w:w="2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65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Portfolio Leased Statistics</w:t>
            </w:r>
          </w:p>
        </w:tc>
        <w:tc>
          <w:tcPr>
            <w:tcW w:w="2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65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Top 25 Tenants</w:t>
            </w:r>
          </w:p>
        </w:tc>
        <w:tc>
          <w:tcPr>
            <w:tcW w:w="2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6"/>
                <w:szCs w:val="16"/>
                <w:color w:val="auto"/>
              </w:rPr>
            </w:pPr>
          </w:p>
        </w:tc>
      </w:tr>
      <w:tr>
        <w:trPr>
          <w:trHeight w:val="21"/>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65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2026 Guidance</w:t>
            </w:r>
          </w:p>
        </w:tc>
        <w:tc>
          <w:tcPr>
            <w:tcW w:w="2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6"/>
                <w:szCs w:val="16"/>
                <w:color w:val="auto"/>
              </w:rPr>
            </w:pPr>
          </w:p>
        </w:tc>
      </w:tr>
      <w:tr>
        <w:trPr>
          <w:trHeight w:val="21"/>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00" w:type="dxa"/>
            <w:vAlign w:val="bottom"/>
            <w:shd w:val="clear" w:color="auto" w:fill="CCEEFF"/>
          </w:tcPr>
          <w:p>
            <w:pPr>
              <w:spacing w:after="0"/>
              <w:rPr>
                <w:sz w:val="23"/>
                <w:szCs w:val="23"/>
                <w:color w:val="auto"/>
              </w:rPr>
            </w:pPr>
          </w:p>
        </w:tc>
        <w:tc>
          <w:tcPr>
            <w:tcW w:w="656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65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Glossary of Terms</w:t>
            </w:r>
          </w:p>
        </w:tc>
        <w:tc>
          <w:tcPr>
            <w:tcW w:w="2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5906135"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6135" cy="146050"/>
                    </a:xfrm>
                    <a:prstGeom prst="rect">
                      <a:avLst/>
                    </a:prstGeom>
                    <a:noFill/>
                  </pic:spPr>
                </pic:pic>
              </a:graphicData>
            </a:graphic>
          </wp:anchor>
        </w:drawing>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06135" cy="145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6135" cy="145415"/>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301-998-8100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300"/>
          </w:cols>
          <w:pgMar w:left="1300" w:top="1022" w:right="1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Language</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2026, and include the following:</w:t>
      </w:r>
    </w:p>
    <w:p>
      <w:pPr>
        <w:spacing w:after="0" w:line="214" w:lineRule="exact"/>
        <w:rPr>
          <w:sz w:val="20"/>
          <w:szCs w:val="20"/>
          <w:color w:val="auto"/>
        </w:rPr>
      </w:pPr>
    </w:p>
    <w:p>
      <w:pPr>
        <w:ind w:left="980" w:right="160" w:hanging="324"/>
        <w:spacing w:after="0" w:line="26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tenants will not pay rent, may vacate early or may file for bankruptcy or that we may be unable to renew leases or re-let space at favorable rents as leases expire or to fill existing vacancy;</w:t>
      </w:r>
    </w:p>
    <w:p>
      <w:pPr>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Times New Roman" w:cs="Times New Roman" w:eastAsia="Times New Roman" w:hAnsi="Times New Roman"/>
          <w:sz w:val="18"/>
          <w:szCs w:val="18"/>
          <w:i w:val="1"/>
          <w:iCs w:val="1"/>
          <w:color w:val="auto"/>
        </w:rPr>
      </w:pPr>
    </w:p>
    <w:p>
      <w:pPr>
        <w:ind w:left="980" w:right="2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growth will be limited if we cannot obtain additional capital, or if the costs of capital we obtain are significantly higher than historical levels;</w:t>
      </w:r>
    </w:p>
    <w:p>
      <w:pPr>
        <w:ind w:left="980" w:hanging="324"/>
        <w:spacing w:after="0"/>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general economic conditions, including inflation, tariffs, and local economic conditions in our geographic markets;</w:t>
      </w:r>
    </w:p>
    <w:p>
      <w:pPr>
        <w:spacing w:after="0" w:line="9" w:lineRule="exact"/>
        <w:rPr>
          <w:rFonts w:ascii="Times New Roman" w:cs="Times New Roman" w:eastAsia="Times New Roman" w:hAnsi="Times New Roman"/>
          <w:sz w:val="18"/>
          <w:szCs w:val="18"/>
          <w:i w:val="1"/>
          <w:iCs w:val="1"/>
          <w:color w:val="auto"/>
        </w:rPr>
      </w:pPr>
    </w:p>
    <w:p>
      <w:pPr>
        <w:ind w:left="980" w:right="36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jc w:val="both"/>
        <w:ind w:left="980" w:right="42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Times New Roman" w:cs="Times New Roman" w:eastAsia="Times New Roman" w:hAnsi="Times New Roman"/>
          <w:sz w:val="18"/>
          <w:szCs w:val="18"/>
          <w:color w:val="auto"/>
        </w:rPr>
      </w:pPr>
    </w:p>
    <w:p>
      <w:pPr>
        <w:ind w:left="980" w:right="20" w:hanging="324"/>
        <w:spacing w:after="0" w:line="253"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2026 and subsequent quarterly reports on Form 10-Q.</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7"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757555</wp:posOffset>
            </wp:positionV>
            <wp:extent cx="2451735" cy="960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4517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NEWS RELEASE</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www.federalrealty.com</w:t>
            </w:r>
          </w:p>
        </w:tc>
      </w:tr>
      <w:tr>
        <w:trPr>
          <w:trHeight w:val="321"/>
        </w:trPr>
        <w:tc>
          <w:tcPr>
            <w:tcW w:w="5340" w:type="dxa"/>
            <w:vAlign w:val="bottom"/>
          </w:tcPr>
          <w:p>
            <w:pPr>
              <w:ind w:left="20"/>
              <w:spacing w:after="0"/>
              <w:rPr>
                <w:sz w:val="20"/>
                <w:szCs w:val="20"/>
                <w:color w:val="auto"/>
              </w:rPr>
            </w:pPr>
            <w:r>
              <w:rPr>
                <w:rFonts w:ascii="Arial" w:cs="Arial" w:eastAsia="Arial" w:hAnsi="Arial"/>
                <w:sz w:val="17"/>
                <w:szCs w:val="17"/>
                <w:b w:val="1"/>
                <w:bCs w:val="1"/>
                <w:color w:val="auto"/>
              </w:rPr>
              <w:t>FOR IMMEDIATE RELEASE</w:t>
            </w:r>
          </w:p>
        </w:tc>
        <w:tc>
          <w:tcPr>
            <w:tcW w:w="5540" w:type="dxa"/>
            <w:vAlign w:val="bottom"/>
          </w:tcPr>
          <w:p>
            <w:pPr>
              <w:spacing w:after="0"/>
              <w:rPr>
                <w:sz w:val="24"/>
                <w:szCs w:val="24"/>
                <w:color w:val="auto"/>
              </w:rPr>
            </w:pPr>
          </w:p>
        </w:tc>
      </w:tr>
      <w:tr>
        <w:trPr>
          <w:trHeight w:val="390"/>
        </w:trPr>
        <w:tc>
          <w:tcPr>
            <w:tcW w:w="5340" w:type="dxa"/>
            <w:vAlign w:val="bottom"/>
          </w:tcPr>
          <w:p>
            <w:pPr>
              <w:ind w:left="20"/>
              <w:spacing w:after="0"/>
              <w:rPr>
                <w:sz w:val="20"/>
                <w:szCs w:val="20"/>
                <w:color w:val="auto"/>
              </w:rPr>
            </w:pPr>
            <w:r>
              <w:rPr>
                <w:rFonts w:ascii="Arial" w:cs="Arial" w:eastAsia="Arial" w:hAnsi="Arial"/>
                <w:sz w:val="18"/>
                <w:szCs w:val="18"/>
                <w:i w:val="1"/>
                <w:iCs w:val="1"/>
                <w:color w:val="auto"/>
              </w:rPr>
              <w:t>Investor Inquiries:</w:t>
            </w:r>
          </w:p>
        </w:tc>
        <w:tc>
          <w:tcPr>
            <w:tcW w:w="554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Jill Sawyer</w:t>
            </w:r>
          </w:p>
        </w:tc>
        <w:tc>
          <w:tcPr>
            <w:tcW w:w="5540" w:type="dxa"/>
            <w:vAlign w:val="bottom"/>
          </w:tcPr>
          <w:p>
            <w:pPr>
              <w:jc w:val="right"/>
              <w:spacing w:after="0"/>
              <w:rPr>
                <w:sz w:val="20"/>
                <w:szCs w:val="20"/>
                <w:color w:val="auto"/>
              </w:rPr>
            </w:pPr>
            <w:r>
              <w:rPr>
                <w:rFonts w:ascii="Arial" w:cs="Arial" w:eastAsia="Arial" w:hAnsi="Arial"/>
                <w:sz w:val="18"/>
                <w:szCs w:val="18"/>
                <w:color w:val="auto"/>
              </w:rPr>
              <w:t>Brenda Pomar</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Senior Vice President, Investor Relations</w:t>
            </w:r>
          </w:p>
        </w:tc>
        <w:tc>
          <w:tcPr>
            <w:tcW w:w="5540" w:type="dxa"/>
            <w:vAlign w:val="bottom"/>
          </w:tcPr>
          <w:p>
            <w:pPr>
              <w:jc w:val="right"/>
              <w:spacing w:after="0"/>
              <w:rPr>
                <w:sz w:val="20"/>
                <w:szCs w:val="20"/>
                <w:color w:val="auto"/>
              </w:rPr>
            </w:pPr>
            <w:r>
              <w:rPr>
                <w:rFonts w:ascii="Arial" w:cs="Arial" w:eastAsia="Arial" w:hAnsi="Arial"/>
                <w:sz w:val="18"/>
                <w:szCs w:val="18"/>
                <w:color w:val="auto"/>
              </w:rPr>
              <w:t>Senior Director, Corporate Communications</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301.998.8265</w:t>
            </w:r>
          </w:p>
        </w:tc>
        <w:tc>
          <w:tcPr>
            <w:tcW w:w="5540" w:type="dxa"/>
            <w:vAlign w:val="bottom"/>
          </w:tcPr>
          <w:p>
            <w:pPr>
              <w:jc w:val="right"/>
              <w:spacing w:after="0"/>
              <w:rPr>
                <w:sz w:val="20"/>
                <w:szCs w:val="20"/>
                <w:color w:val="auto"/>
              </w:rPr>
            </w:pPr>
            <w:r>
              <w:rPr>
                <w:rFonts w:ascii="Arial" w:cs="Arial" w:eastAsia="Arial" w:hAnsi="Arial"/>
                <w:sz w:val="18"/>
                <w:szCs w:val="18"/>
                <w:color w:val="auto"/>
              </w:rPr>
              <w:t>301.998.8316</w:t>
            </w:r>
          </w:p>
        </w:tc>
      </w:tr>
      <w:tr>
        <w:trPr>
          <w:trHeight w:val="239"/>
        </w:trPr>
        <w:tc>
          <w:tcPr>
            <w:tcW w:w="5340" w:type="dxa"/>
            <w:vAlign w:val="bottom"/>
          </w:tcPr>
          <w:p>
            <w:pPr>
              <w:ind w:left="20"/>
              <w:spacing w:after="0"/>
              <w:rPr>
                <w:sz w:val="20"/>
                <w:szCs w:val="20"/>
                <w:color w:val="auto"/>
              </w:rPr>
            </w:pPr>
            <w:r>
              <w:rPr>
                <w:rFonts w:ascii="Arial" w:cs="Arial" w:eastAsia="Arial" w:hAnsi="Arial"/>
                <w:sz w:val="18"/>
                <w:szCs w:val="18"/>
                <w:color w:val="auto"/>
              </w:rPr>
              <w:t>jsawyer@federalrealty.com</w:t>
            </w:r>
          </w:p>
        </w:tc>
        <w:tc>
          <w:tcPr>
            <w:tcW w:w="5540" w:type="dxa"/>
            <w:vAlign w:val="bottom"/>
          </w:tcPr>
          <w:p>
            <w:pPr>
              <w:jc w:val="right"/>
              <w:spacing w:after="0"/>
              <w:rPr>
                <w:sz w:val="20"/>
                <w:szCs w:val="20"/>
                <w:color w:val="auto"/>
              </w:rPr>
            </w:pPr>
            <w:r>
              <w:rPr>
                <w:rFonts w:ascii="Arial" w:cs="Arial" w:eastAsia="Arial" w:hAnsi="Arial"/>
                <w:sz w:val="18"/>
                <w:szCs w:val="18"/>
                <w:color w:val="auto"/>
              </w:rPr>
              <w:t>bpomar@federalrealty.com</w:t>
            </w:r>
          </w:p>
        </w:tc>
      </w:tr>
    </w:tbl>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Reports Strong Third Quarter 2026 Results and Guidance Raise</w:t>
      </w:r>
    </w:p>
    <w:p>
      <w:pPr>
        <w:spacing w:after="0" w:line="191" w:lineRule="exact"/>
        <w:rPr>
          <w:sz w:val="20"/>
          <w:szCs w:val="20"/>
          <w:color w:val="auto"/>
        </w:rPr>
      </w:pPr>
    </w:p>
    <w:p>
      <w:pPr>
        <w:jc w:val="both"/>
        <w:ind w:right="160"/>
        <w:spacing w:after="0" w:line="274" w:lineRule="auto"/>
        <w:rPr>
          <w:sz w:val="20"/>
          <w:szCs w:val="20"/>
          <w:color w:val="auto"/>
        </w:rPr>
      </w:pPr>
      <w:r>
        <w:rPr>
          <w:rFonts w:ascii="Arial" w:cs="Arial" w:eastAsia="Arial" w:hAnsi="Arial"/>
          <w:sz w:val="17"/>
          <w:szCs w:val="17"/>
          <w:color w:val="auto"/>
        </w:rPr>
        <w:t xml:space="preserve">NORTH BETHESDA, Md. (October 30, 2026) – </w:t>
      </w:r>
      <w:r>
        <w:rPr>
          <w:rFonts w:ascii="Arial" w:cs="Arial" w:eastAsia="Arial" w:hAnsi="Arial"/>
          <w:sz w:val="17"/>
          <w:szCs w:val="17"/>
          <w:u w:val="single" w:color="auto"/>
          <w:color w:val="auto"/>
        </w:rPr>
        <w:t>Federal Realty Investment Trust</w:t>
      </w:r>
      <w:r>
        <w:rPr>
          <w:rFonts w:ascii="Arial" w:cs="Arial" w:eastAsia="Arial" w:hAnsi="Arial"/>
          <w:sz w:val="17"/>
          <w:szCs w:val="17"/>
          <w:color w:val="auto"/>
        </w:rPr>
        <w:t xml:space="preserve"> (NYSE: FRT) today reported its results for the third quarter ended September 30, 2026. For the three months ended September 30, 2026 and 2025, net income available for common shareholders per diluted share was $0.74 and $0.69, respectively. Operating income for the same periods was $116.9 million and $110.7 million,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Highlights for the third quarter include:</w:t>
      </w:r>
    </w:p>
    <w:p>
      <w:pPr>
        <w:spacing w:after="0" w:line="169" w:lineRule="exact"/>
        <w:rPr>
          <w:sz w:val="20"/>
          <w:szCs w:val="20"/>
          <w:color w:val="auto"/>
        </w:rPr>
      </w:pPr>
    </w:p>
    <w:p>
      <w:pPr>
        <w:ind w:left="660" w:right="20" w:hanging="328"/>
        <w:spacing w:after="0" w:line="24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7"/>
          <w:szCs w:val="17"/>
          <w:color w:val="262626"/>
        </w:rPr>
        <w:t>Generated Nareit-defined funds from operations available to common shareholders (Nareit FFO) and Core funds from operations available to common shareholders (Core FFO) per diluted share of $1.87 each for the quarter, a 5.6% increase year-over-year.</w:t>
      </w:r>
    </w:p>
    <w:p>
      <w:pPr>
        <w:ind w:left="660" w:hanging="328"/>
        <w:spacing w:after="0"/>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262626"/>
        </w:rPr>
        <w:t>Signed 117 leases for 532,220 square feet of comparable retail space with rent growth of 14% on a cash basis and 25% on a straight-line basis.</w:t>
      </w:r>
    </w:p>
    <w:p>
      <w:pPr>
        <w:ind w:left="1300" w:hanging="320"/>
        <w:spacing w:after="0"/>
        <w:tabs>
          <w:tab w:leader="none" w:pos="1293" w:val="left"/>
        </w:tabs>
        <w:numPr>
          <w:ilvl w:val="1"/>
          <w:numId w:val="4"/>
        </w:numPr>
        <w:rPr>
          <w:rFonts w:ascii="Arial" w:cs="Arial" w:eastAsia="Arial" w:hAnsi="Arial"/>
          <w:sz w:val="17"/>
          <w:szCs w:val="17"/>
          <w:color w:val="auto"/>
        </w:rPr>
      </w:pPr>
      <w:r>
        <w:rPr>
          <w:rFonts w:ascii="Arial" w:cs="Arial" w:eastAsia="Arial" w:hAnsi="Arial"/>
          <w:sz w:val="17"/>
          <w:szCs w:val="17"/>
          <w:color w:val="262626"/>
        </w:rPr>
        <w:t>On a trailing twelve-month basis, signed 447 leases for 2,601,255 square feet of comparable retail space with rent growth of 14% on a cash basis and 25% on a straight-line basis.</w:t>
      </w:r>
    </w:p>
    <w:p>
      <w:pPr>
        <w:ind w:left="660" w:hanging="328"/>
        <w:spacing w:after="0"/>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262626"/>
        </w:rPr>
        <w:t>Generated Comparable Property property operating income (“Comparable Property POI”) growth of 2.5% and Adjusted Comparable Property POI growth (excluding straight-line rents and amortization of in-place leases) of 4.0%.</w:t>
      </w: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262626"/>
        </w:rPr>
        <w:t>Reported overall portfolio occupancy of 93.8% and a leased rate of 96.5% at quarter end, with:</w:t>
      </w:r>
    </w:p>
    <w:p>
      <w:pPr>
        <w:spacing w:after="0" w:line="7" w:lineRule="exact"/>
        <w:rPr>
          <w:rFonts w:ascii="Arial" w:cs="Arial" w:eastAsia="Arial" w:hAnsi="Arial"/>
          <w:sz w:val="17"/>
          <w:szCs w:val="17"/>
          <w:color w:val="auto"/>
        </w:rPr>
      </w:pPr>
    </w:p>
    <w:p>
      <w:pPr>
        <w:ind w:left="1300" w:hanging="320"/>
        <w:spacing w:after="0" w:line="232" w:lineRule="auto"/>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262626"/>
        </w:rPr>
        <w:t>Occupancy flat and leased rate up 40 basis points sequentially.</w:t>
      </w: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262626"/>
        </w:rPr>
        <w:t>Occupancy flat and leased rate up 110 basis points year-over-year.</w:t>
      </w:r>
    </w:p>
    <w:p>
      <w:pPr>
        <w:spacing w:after="0" w:line="7" w:lineRule="exact"/>
        <w:rPr>
          <w:rFonts w:ascii="Arial" w:cs="Arial" w:eastAsia="Arial" w:hAnsi="Arial"/>
          <w:sz w:val="17"/>
          <w:szCs w:val="17"/>
          <w:color w:val="auto"/>
        </w:rPr>
      </w:pPr>
    </w:p>
    <w:p>
      <w:pPr>
        <w:ind w:left="660" w:hanging="328"/>
        <w:spacing w:after="0"/>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262626"/>
        </w:rPr>
        <w:t>Continued strong small shop leased rate, ending the quarter at 94.1% leased, representing an increase of 20 basis points sequentially and 80 basis points year-over-year.</w:t>
      </w: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262626"/>
        </w:rPr>
        <w:t>Issued $460.0 million of 3.50% exchangeable senior notes due August 15, 2031.</w:t>
      </w:r>
    </w:p>
    <w:p>
      <w:pPr>
        <w:spacing w:after="0" w:line="7" w:lineRule="exact"/>
        <w:rPr>
          <w:rFonts w:ascii="Arial" w:cs="Arial" w:eastAsia="Arial" w:hAnsi="Arial"/>
          <w:sz w:val="17"/>
          <w:szCs w:val="17"/>
          <w:color w:val="auto"/>
        </w:rPr>
      </w:pPr>
    </w:p>
    <w:p>
      <w:pPr>
        <w:ind w:left="640" w:hanging="308"/>
        <w:spacing w:after="0" w:line="232"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262626"/>
        </w:rPr>
        <w:t>Repurchased 869,748 shares at a weighted average share price of $108.82 for approximately $95 million through October 9, 2026.</w:t>
      </w:r>
    </w:p>
    <w:p>
      <w:pPr>
        <w:ind w:left="660" w:right="20" w:hanging="328"/>
        <w:spacing w:after="0"/>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262626"/>
        </w:rPr>
        <w:t>Subsequent to quarter end, acquired The Summit, an 870,000-square-foot dominant retail center in Birmingham, AL, with a diverse mix of approximately 120 tenants for $508.0 million.</w:t>
      </w: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262626"/>
        </w:rPr>
        <w:t>Tightened guidance for 2026 earnings per diluted share to $4.23 to $4.27.</w:t>
      </w:r>
    </w:p>
    <w:p>
      <w:pPr>
        <w:spacing w:after="0" w:line="7" w:lineRule="exact"/>
        <w:rPr>
          <w:rFonts w:ascii="Arial" w:cs="Arial" w:eastAsia="Arial" w:hAnsi="Arial"/>
          <w:sz w:val="17"/>
          <w:szCs w:val="17"/>
          <w:color w:val="auto"/>
        </w:rPr>
      </w:pPr>
    </w:p>
    <w:p>
      <w:pPr>
        <w:ind w:left="660" w:right="20" w:hanging="328"/>
        <w:spacing w:after="0" w:line="248"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262626"/>
        </w:rPr>
        <w:t>Raised and tightened guidance for both 2026 Nareit FFO and Core FFO per diluted share to $7.54 to $7.58, representing over 7% Core FFO growth at the midpoint year-over-year.</w:t>
      </w:r>
    </w:p>
    <w:p>
      <w:pPr>
        <w:spacing w:after="0" w:line="21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262626"/>
        </w:rPr>
        <w:t>This was a really powerful quarter from a company that uses all the tools in its toolbox to make its portfolio more and more valuable,” said Donald C.</w:t>
      </w:r>
      <w:r>
        <w:rPr>
          <w:rFonts w:ascii="Arial" w:cs="Arial" w:eastAsia="Arial" w:hAnsi="Arial"/>
          <w:sz w:val="17"/>
          <w:szCs w:val="17"/>
          <w:color w:val="auto"/>
        </w:rPr>
        <w:t xml:space="preserve"> </w:t>
      </w:r>
      <w:r>
        <w:rPr>
          <w:rFonts w:ascii="Arial" w:cs="Arial" w:eastAsia="Arial" w:hAnsi="Arial"/>
          <w:sz w:val="17"/>
          <w:szCs w:val="17"/>
          <w:color w:val="262626"/>
        </w:rPr>
        <w:t>Wood, President and Chief Executive Officer of Federal Realty. “On the operating side, we delivered strong leasing with materially higher new rents, higher leased occupancy and healthy cash POI growth. On the capital allocation side, we stayed disciplined: share repurchases, incremental development on our existing land and an irreplaceable acquisition,” Mr. Wood continued. “The established skill sets of our team and the strength of our balance sheet were on full display this quarter.</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Financial Results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Incom</w:t>
      </w:r>
      <w:r>
        <w:rPr>
          <w:rFonts w:ascii="Arial" w:cs="Arial" w:eastAsia="Arial" w:hAnsi="Arial"/>
          <w:sz w:val="17"/>
          <w:szCs w:val="17"/>
          <w:color w:val="auto"/>
        </w:rPr>
        <w:t>e</w:t>
      </w:r>
    </w:p>
    <w:p>
      <w:pPr>
        <w:spacing w:after="0" w:line="223" w:lineRule="exact"/>
        <w:rPr>
          <w:sz w:val="20"/>
          <w:szCs w:val="20"/>
          <w:color w:val="auto"/>
        </w:rPr>
      </w:pPr>
    </w:p>
    <w:p>
      <w:pPr>
        <w:ind w:right="380"/>
        <w:spacing w:after="0" w:line="301" w:lineRule="auto"/>
        <w:rPr>
          <w:sz w:val="20"/>
          <w:szCs w:val="20"/>
          <w:color w:val="auto"/>
        </w:rPr>
      </w:pPr>
      <w:r>
        <w:rPr>
          <w:rFonts w:ascii="Arial" w:cs="Arial" w:eastAsia="Arial" w:hAnsi="Arial"/>
          <w:sz w:val="17"/>
          <w:szCs w:val="17"/>
          <w:color w:val="auto"/>
        </w:rPr>
        <w:t>For the third quarter of 2026, net income available for common shareholders was $64.2 million and earnings per diluted share was $0.74 versus $59.6 million and $0.69, respectively, for the third quarter of 2025.</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FFO</w:t>
      </w:r>
    </w:p>
    <w:p>
      <w:pPr>
        <w:spacing w:after="0" w:line="154"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Nareit FFO and Core FFO were each $163.0 million, or $1.87 per diluted share, for the third quarter of 2026, compared to $153.0 million, or $1.77 per diluted share, in the third quarter of 2025, a 5.6% per share increase.</w:t>
      </w:r>
    </w:p>
    <w:p>
      <w:pPr>
        <w:spacing w:after="0" w:line="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Nareit FFO is a non-GAAP supplemental earnings measure which the Trust considers meaningful in measuring its operating performance. Core FFO adjusts Nareit FFO to exclude the impact of certain items that management considers are not indicative of the company’s ongoing operating and financial performance. See attachments for a reconciliation of Nareit FFO and Core FFO and a full definition of Core FFO.</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Update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Occupancy</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operational metrics for the commercial portfolio are as of September 30, 2026:</w:t>
      </w:r>
    </w:p>
    <w:p>
      <w:pPr>
        <w:spacing w:after="0" w:line="156"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262626"/>
        </w:rPr>
        <w:t>Overall portfolio occupancy was 93.8%, flat sequentially and year-over-year.</w:t>
      </w:r>
    </w:p>
    <w:p>
      <w:pPr>
        <w:spacing w:after="0" w:line="23" w:lineRule="exact"/>
        <w:rPr>
          <w:rFonts w:ascii="Arial" w:cs="Arial" w:eastAsia="Arial" w:hAnsi="Arial"/>
          <w:sz w:val="17"/>
          <w:szCs w:val="17"/>
          <w:color w:val="auto"/>
        </w:rPr>
      </w:pPr>
    </w:p>
    <w:p>
      <w:pPr>
        <w:ind w:left="640" w:hanging="30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262626"/>
        </w:rPr>
        <w:t>Overall portfolio leased rate was 96.5%, up 40 basis points sequentially and up 110 basis points year-over-year.</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262626"/>
        </w:rPr>
        <w:t>Small shop leased rate was 94.1%, up 20 basis points sequentially and up 80 basis points year-over-year.</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residential leased rate for comparable properties was 95.7% as of September 30, 2026.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Leasing Activity</w:t>
      </w:r>
    </w:p>
    <w:p>
      <w:pPr>
        <w:spacing w:after="0" w:line="221"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During the third quarter of 2026, Federal Realty signed 123 leases totaling 589,726 square feet of retail space. On a comparable space basis, the company signed 117 leases for 532,220 square feet at an average rent of $40.01 per square foot, compared to $35.07 under prior leases, representing a 14% increase on a cash basis and a 25% increase on a straight-line basis.</w:t>
      </w:r>
    </w:p>
    <w:p>
      <w:pPr>
        <w:spacing w:after="0" w:line="100"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On a trailing twelve-month basis, Federal Realty signed 447 comparable leases totaling 2,601,255 square feet, representing 14% rent spreads on a cash basis and 25% on a straight-line basis.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 Activity</w:t>
      </w:r>
    </w:p>
    <w:p>
      <w:pPr>
        <w:spacing w:after="0" w:line="221" w:lineRule="exact"/>
        <w:rPr>
          <w:sz w:val="20"/>
          <w:szCs w:val="20"/>
          <w:color w:val="auto"/>
        </w:rPr>
      </w:pPr>
    </w:p>
    <w:p>
      <w:pPr>
        <w:ind w:left="660" w:right="100" w:hanging="328"/>
        <w:spacing w:after="0" w:line="258" w:lineRule="auto"/>
        <w:tabs>
          <w:tab w:leader="none" w:pos="636" w:val="left"/>
        </w:tabs>
        <w:numPr>
          <w:ilvl w:val="1"/>
          <w:numId w:val="6"/>
        </w:numPr>
        <w:rPr>
          <w:rFonts w:ascii="Arial" w:cs="Arial" w:eastAsia="Arial" w:hAnsi="Arial"/>
          <w:sz w:val="16"/>
          <w:szCs w:val="16"/>
          <w:color w:val="auto"/>
        </w:rPr>
      </w:pPr>
      <w:r>
        <w:rPr>
          <w:rFonts w:ascii="Arial" w:cs="Arial" w:eastAsia="Arial" w:hAnsi="Arial"/>
          <w:sz w:val="17"/>
          <w:szCs w:val="17"/>
          <w:color w:val="262626"/>
        </w:rPr>
        <w:t>On October 1, 2026, the company acquired The Summit, Alabama's premier retail destination, an approximately 870,000-square-foot open-air property in Birmingham, AL, for $508.0 million.</w:t>
      </w:r>
    </w:p>
    <w:p>
      <w:pPr>
        <w:jc w:val="both"/>
        <w:ind w:left="1300" w:hanging="320"/>
        <w:spacing w:after="0" w:line="254" w:lineRule="auto"/>
        <w:tabs>
          <w:tab w:leader="none" w:pos="1293" w:val="left"/>
        </w:tabs>
        <w:numPr>
          <w:ilvl w:val="2"/>
          <w:numId w:val="6"/>
        </w:numPr>
        <w:rPr>
          <w:rFonts w:ascii="Arial" w:cs="Arial" w:eastAsia="Arial" w:hAnsi="Arial"/>
          <w:sz w:val="17"/>
          <w:szCs w:val="17"/>
          <w:color w:val="262626"/>
        </w:rPr>
      </w:pPr>
      <w:r>
        <w:rPr>
          <w:rFonts w:ascii="Arial" w:cs="Arial" w:eastAsia="Arial" w:hAnsi="Arial"/>
          <w:sz w:val="17"/>
          <w:szCs w:val="17"/>
          <w:color w:val="262626"/>
        </w:rPr>
        <w:t>Acquired from the original developer, The Summit is a 100-acre property developed over more than 30 years. It is the most-visited retail destination in Alabama, drawing nearly 9 million visits annually from a trade area reaching 100 miles in every direction, according to Placer.ai.</w:t>
      </w:r>
    </w:p>
    <w:p>
      <w:pPr>
        <w:jc w:val="both"/>
        <w:ind w:left="1300" w:hanging="320"/>
        <w:spacing w:after="0" w:line="248" w:lineRule="auto"/>
        <w:tabs>
          <w:tab w:leader="none" w:pos="1293" w:val="left"/>
        </w:tabs>
        <w:numPr>
          <w:ilvl w:val="2"/>
          <w:numId w:val="6"/>
        </w:numPr>
        <w:rPr>
          <w:rFonts w:ascii="Arial" w:cs="Arial" w:eastAsia="Arial" w:hAnsi="Arial"/>
          <w:sz w:val="17"/>
          <w:szCs w:val="17"/>
          <w:color w:val="auto"/>
        </w:rPr>
      </w:pPr>
      <w:r>
        <w:rPr>
          <w:rFonts w:ascii="Arial" w:cs="Arial" w:eastAsia="Arial" w:hAnsi="Arial"/>
          <w:sz w:val="17"/>
          <w:szCs w:val="17"/>
          <w:color w:val="262626"/>
        </w:rPr>
        <w:t>The tenant roster includes Apple, Trader Joe’s, RH, Nordstrom Rack, ALO, Sephora and North Italia, many of which operate their only Alabama location at the property. Recent commitments from Aritzia, Reformation and LoveShackFancy reinforce The Summit’s position as the entry point for retailers expanding into Alabama.</w:t>
      </w:r>
    </w:p>
    <w:p>
      <w:pPr>
        <w:spacing w:after="0" w:line="1" w:lineRule="exact"/>
        <w:rPr>
          <w:rFonts w:ascii="Arial" w:cs="Arial" w:eastAsia="Arial" w:hAnsi="Arial"/>
          <w:sz w:val="17"/>
          <w:szCs w:val="17"/>
          <w:color w:val="auto"/>
        </w:rPr>
      </w:pPr>
    </w:p>
    <w:p>
      <w:pPr>
        <w:ind w:left="1300" w:hanging="320"/>
        <w:spacing w:after="0" w:line="264" w:lineRule="auto"/>
        <w:tabs>
          <w:tab w:leader="none" w:pos="1293" w:val="left"/>
        </w:tabs>
        <w:numPr>
          <w:ilvl w:val="2"/>
          <w:numId w:val="6"/>
        </w:numPr>
        <w:rPr>
          <w:rFonts w:ascii="Arial" w:cs="Arial" w:eastAsia="Arial" w:hAnsi="Arial"/>
          <w:sz w:val="17"/>
          <w:szCs w:val="17"/>
          <w:color w:val="auto"/>
        </w:rPr>
      </w:pPr>
      <w:r>
        <w:rPr>
          <w:rFonts w:ascii="Arial" w:cs="Arial" w:eastAsia="Arial" w:hAnsi="Arial"/>
          <w:sz w:val="17"/>
          <w:szCs w:val="17"/>
          <w:color w:val="262626"/>
        </w:rPr>
        <w:t xml:space="preserve">Additional information is available in the Investors section of </w:t>
      </w:r>
      <w:r>
        <w:rPr>
          <w:rFonts w:ascii="Arial" w:cs="Arial" w:eastAsia="Arial" w:hAnsi="Arial"/>
          <w:sz w:val="17"/>
          <w:szCs w:val="17"/>
          <w:color w:val="000000"/>
        </w:rPr>
        <w:t>www.federalrealty.com</w:t>
      </w:r>
      <w:r>
        <w:rPr>
          <w:rFonts w:ascii="Arial" w:cs="Arial" w:eastAsia="Arial" w:hAnsi="Arial"/>
          <w:sz w:val="17"/>
          <w:szCs w:val="17"/>
          <w:color w:val="262626"/>
        </w:rPr>
        <w:t>, including the company’s October 1, 2026 press release and a detailed acquisition overview.*</w:t>
      </w:r>
    </w:p>
    <w:p>
      <w:pPr>
        <w:spacing w:after="0" w:line="19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i w:val="1"/>
          <w:iCs w:val="1"/>
          <w:color w:val="auto"/>
        </w:rPr>
        <w:t>* The contents of Federal Realty’s website are not included in or incorporated by reference into this press release.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Activity</w:t>
      </w:r>
    </w:p>
    <w:p>
      <w:pPr>
        <w:spacing w:after="0" w:line="223" w:lineRule="exact"/>
        <w:rPr>
          <w:sz w:val="20"/>
          <w:szCs w:val="20"/>
          <w:color w:val="auto"/>
        </w:rPr>
      </w:pPr>
    </w:p>
    <w:p>
      <w:pPr>
        <w:ind w:left="660" w:right="20" w:hanging="328"/>
        <w:spacing w:after="0" w:line="250" w:lineRule="auto"/>
        <w:tabs>
          <w:tab w:leader="none" w:pos="652" w:val="left"/>
        </w:tabs>
        <w:numPr>
          <w:ilvl w:val="0"/>
          <w:numId w:val="7"/>
        </w:numPr>
        <w:rPr>
          <w:rFonts w:ascii="Arial" w:cs="Arial" w:eastAsia="Arial" w:hAnsi="Arial"/>
          <w:sz w:val="17"/>
          <w:szCs w:val="17"/>
          <w:color w:val="auto"/>
        </w:rPr>
      </w:pPr>
      <w:r>
        <w:rPr>
          <w:rFonts w:ascii="Arial" w:cs="Arial" w:eastAsia="Arial" w:hAnsi="Arial"/>
          <w:sz w:val="17"/>
          <w:szCs w:val="17"/>
          <w:color w:val="262626"/>
        </w:rPr>
        <w:t>On August 11, 2026, the company issued $460.0 million of 3.50% exchangeable senior notes due August 15, 2031, with net proceeds of approximately $451 million.</w:t>
      </w:r>
    </w:p>
    <w:p>
      <w:pPr>
        <w:ind w:left="1300" w:hanging="320"/>
        <w:spacing w:after="0"/>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262626"/>
        </w:rPr>
        <w:t>The notes are initially exchangeable into common shares at approximately $138.54 per share.</w:t>
      </w:r>
    </w:p>
    <w:p>
      <w:pPr>
        <w:spacing w:after="0" w:line="7" w:lineRule="exact"/>
        <w:rPr>
          <w:rFonts w:ascii="Arial" w:cs="Arial" w:eastAsia="Arial" w:hAnsi="Arial"/>
          <w:sz w:val="17"/>
          <w:szCs w:val="17"/>
          <w:color w:val="auto"/>
        </w:rPr>
      </w:pPr>
    </w:p>
    <w:p>
      <w:pPr>
        <w:ind w:left="1300" w:hanging="320"/>
        <w:spacing w:after="0" w:line="248" w:lineRule="auto"/>
        <w:tabs>
          <w:tab w:leader="none" w:pos="1307" w:val="left"/>
        </w:tabs>
        <w:numPr>
          <w:ilvl w:val="1"/>
          <w:numId w:val="7"/>
        </w:numPr>
        <w:rPr>
          <w:rFonts w:ascii="Arial" w:cs="Arial" w:eastAsia="Arial" w:hAnsi="Arial"/>
          <w:sz w:val="17"/>
          <w:szCs w:val="17"/>
          <w:color w:val="auto"/>
        </w:rPr>
      </w:pPr>
      <w:r>
        <w:rPr>
          <w:rFonts w:ascii="Arial" w:cs="Arial" w:eastAsia="Arial" w:hAnsi="Arial"/>
          <w:sz w:val="17"/>
          <w:szCs w:val="17"/>
          <w:color w:val="262626"/>
        </w:rPr>
        <w:t>To offset potential share dilution from an exchange, the company used $21.7 million of the proceeds to purchase capped calls, which provide protection up to a share price of approximately $165.07, a 40% premium to the August 6, 2026 closing price.</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170" w:right="339" w:bottom="1440" w:gutter="0" w:footer="0" w:header="0"/>
          <w:type w:val="continuous"/>
        </w:sectPr>
      </w:pPr>
    </w:p>
    <w:bookmarkStart w:id="7" w:name="page8"/>
    <w:bookmarkEnd w:id="7"/>
    <w:p>
      <w:pPr>
        <w:ind w:left="1300" w:hanging="320"/>
        <w:spacing w:after="0"/>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color w:val="262626"/>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See the company’s Form 8-K filed on August 11, 2026 for more detail.</w:t>
      </w:r>
    </w:p>
    <w:p>
      <w:pPr>
        <w:spacing w:after="0" w:line="23" w:lineRule="exact"/>
        <w:rPr>
          <w:rFonts w:ascii="Arial" w:cs="Arial" w:eastAsia="Arial" w:hAnsi="Arial"/>
          <w:sz w:val="17"/>
          <w:szCs w:val="17"/>
          <w:color w:val="auto"/>
        </w:rPr>
      </w:pPr>
    </w:p>
    <w:p>
      <w:pPr>
        <w:ind w:left="660" w:hanging="328"/>
        <w:spacing w:after="0" w:line="248" w:lineRule="auto"/>
        <w:tabs>
          <w:tab w:leader="none" w:pos="652" w:val="left"/>
        </w:tabs>
        <w:numPr>
          <w:ilvl w:val="0"/>
          <w:numId w:val="8"/>
        </w:numPr>
        <w:rPr>
          <w:rFonts w:ascii="Arial" w:cs="Arial" w:eastAsia="Arial" w:hAnsi="Arial"/>
          <w:sz w:val="17"/>
          <w:szCs w:val="17"/>
          <w:color w:val="auto"/>
        </w:rPr>
      </w:pPr>
      <w:r>
        <w:rPr>
          <w:rFonts w:ascii="Arial" w:cs="Arial" w:eastAsia="Arial" w:hAnsi="Arial"/>
          <w:sz w:val="17"/>
          <w:szCs w:val="17"/>
          <w:color w:val="262626"/>
        </w:rPr>
        <w:t>During the third quarter ended September 30, 2026, and year-to-date through October 9, 2026, the company repurchased and retired a total of 869,748 common shares for $94.7 million, at a weighted average purchase price per share of $108.82.</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Regular Quarterly Dividends</w:t>
      </w:r>
    </w:p>
    <w:p>
      <w:pPr>
        <w:spacing w:after="0" w:line="237" w:lineRule="exact"/>
        <w:rPr>
          <w:sz w:val="20"/>
          <w:szCs w:val="20"/>
          <w:color w:val="auto"/>
        </w:rPr>
      </w:pPr>
    </w:p>
    <w:p>
      <w:pPr>
        <w:jc w:val="both"/>
        <w:ind w:right="260"/>
        <w:spacing w:after="0" w:line="244" w:lineRule="auto"/>
        <w:rPr>
          <w:sz w:val="20"/>
          <w:szCs w:val="20"/>
          <w:color w:val="auto"/>
        </w:rPr>
      </w:pPr>
      <w:r>
        <w:rPr>
          <w:rFonts w:ascii="Arial" w:cs="Arial" w:eastAsia="Arial" w:hAnsi="Arial"/>
          <w:sz w:val="17"/>
          <w:szCs w:val="17"/>
          <w:color w:val="262626"/>
        </w:rPr>
        <w:t xml:space="preserve">Federal Realty </w:t>
      </w:r>
      <w:r>
        <w:rPr>
          <w:rFonts w:ascii="Arial" w:cs="Arial" w:eastAsia="Arial" w:hAnsi="Arial"/>
          <w:sz w:val="17"/>
          <w:szCs w:val="17"/>
          <w:color w:val="000000"/>
        </w:rPr>
        <w:t>announced today that its Board of Trustees declared a regular quarterly cash dividend of $1.16 per common share, resulting in an</w:t>
      </w:r>
      <w:r>
        <w:rPr>
          <w:rFonts w:ascii="Arial" w:cs="Arial" w:eastAsia="Arial" w:hAnsi="Arial"/>
          <w:sz w:val="17"/>
          <w:szCs w:val="17"/>
          <w:color w:val="262626"/>
        </w:rPr>
        <w:t xml:space="preserve"> </w:t>
      </w:r>
      <w:r>
        <w:rPr>
          <w:rFonts w:ascii="Arial" w:cs="Arial" w:eastAsia="Arial" w:hAnsi="Arial"/>
          <w:sz w:val="17"/>
          <w:szCs w:val="17"/>
          <w:color w:val="000000"/>
        </w:rPr>
        <w:t>indicated annual rate of $4.64 per common share. The regular common dividend will be payable on January 15, 2027 to common shareholders of record as of January 4, 2027.</w:t>
      </w:r>
    </w:p>
    <w:p>
      <w:pPr>
        <w:jc w:val="both"/>
        <w:spacing w:after="0" w:line="265" w:lineRule="auto"/>
        <w:rPr>
          <w:sz w:val="20"/>
          <w:szCs w:val="20"/>
          <w:color w:val="auto"/>
        </w:rPr>
      </w:pPr>
      <w:r>
        <w:rPr>
          <w:rFonts w:ascii="Arial" w:cs="Arial" w:eastAsia="Arial" w:hAnsi="Arial"/>
          <w:sz w:val="17"/>
          <w:szCs w:val="17"/>
          <w:color w:val="262626"/>
        </w:rPr>
        <w:t xml:space="preserve">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w:t>
      </w:r>
      <w:r>
        <w:rPr>
          <w:rFonts w:ascii="Arial" w:cs="Arial" w:eastAsia="Arial" w:hAnsi="Arial"/>
          <w:sz w:val="17"/>
          <w:szCs w:val="17"/>
          <w:color w:val="000000"/>
        </w:rPr>
        <w:t>January 15, 2027</w:t>
      </w:r>
      <w:r>
        <w:rPr>
          <w:rFonts w:ascii="Arial" w:cs="Arial" w:eastAsia="Arial" w:hAnsi="Arial"/>
          <w:sz w:val="17"/>
          <w:szCs w:val="17"/>
          <w:color w:val="262626"/>
        </w:rPr>
        <w:t xml:space="preserve"> to shareholders of record as of </w:t>
      </w:r>
      <w:r>
        <w:rPr>
          <w:rFonts w:ascii="Arial" w:cs="Arial" w:eastAsia="Arial" w:hAnsi="Arial"/>
          <w:sz w:val="17"/>
          <w:szCs w:val="17"/>
          <w:color w:val="000000"/>
        </w:rPr>
        <w:t>January 4, 2027</w:t>
      </w:r>
      <w:r>
        <w:rPr>
          <w:rFonts w:ascii="Arial" w:cs="Arial" w:eastAsia="Arial" w:hAnsi="Arial"/>
          <w:sz w:val="17"/>
          <w:szCs w:val="17"/>
          <w:color w:val="262626"/>
        </w:rPr>
        <w:t>.</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2026 Guidance</w:t>
      </w:r>
    </w:p>
    <w:p>
      <w:pPr>
        <w:spacing w:after="0" w:line="237"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Federal Realty has tightened its 2026 earnings per diluted share guidance, and raised and tightened its Nareit FFO and Core FFO guidance, as summarized in the table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760" w:type="dxa"/>
            <w:vAlign w:val="bottom"/>
            <w:gridSpan w:val="2"/>
          </w:tcPr>
          <w:p>
            <w:pPr>
              <w:spacing w:after="0"/>
              <w:rPr>
                <w:sz w:val="20"/>
                <w:szCs w:val="20"/>
                <w:color w:val="auto"/>
              </w:rPr>
            </w:pPr>
            <w:r>
              <w:rPr>
                <w:rFonts w:ascii="Arial" w:cs="Arial" w:eastAsia="Arial" w:hAnsi="Arial"/>
                <w:sz w:val="17"/>
                <w:szCs w:val="17"/>
                <w:b w:val="1"/>
                <w:bCs w:val="1"/>
                <w:color w:val="auto"/>
              </w:rPr>
              <w:t>Full Year 2026 Guidance</w:t>
            </w:r>
          </w:p>
        </w:tc>
        <w:tc>
          <w:tcPr>
            <w:tcW w:w="1960" w:type="dxa"/>
            <w:vAlign w:val="bottom"/>
            <w:gridSpan w:val="2"/>
          </w:tcPr>
          <w:p>
            <w:pPr>
              <w:spacing w:after="0"/>
              <w:rPr>
                <w:sz w:val="20"/>
                <w:szCs w:val="20"/>
                <w:color w:val="auto"/>
              </w:rPr>
            </w:pPr>
            <w:r>
              <w:rPr>
                <w:rFonts w:ascii="Arial" w:cs="Arial" w:eastAsia="Arial" w:hAnsi="Arial"/>
                <w:sz w:val="17"/>
                <w:szCs w:val="17"/>
                <w:b w:val="1"/>
                <w:bCs w:val="1"/>
                <w:color w:val="auto"/>
              </w:rPr>
              <w:t>Revised Guidance</w:t>
            </w:r>
          </w:p>
        </w:tc>
        <w:tc>
          <w:tcPr>
            <w:tcW w:w="2500" w:type="dxa"/>
            <w:vAlign w:val="bottom"/>
            <w:gridSpan w:val="2"/>
          </w:tcPr>
          <w:p>
            <w:pPr>
              <w:spacing w:after="0"/>
              <w:rPr>
                <w:sz w:val="20"/>
                <w:szCs w:val="20"/>
                <w:color w:val="auto"/>
              </w:rPr>
            </w:pPr>
            <w:r>
              <w:rPr>
                <w:rFonts w:ascii="Arial" w:cs="Arial" w:eastAsia="Arial" w:hAnsi="Arial"/>
                <w:sz w:val="17"/>
                <w:szCs w:val="17"/>
                <w:b w:val="1"/>
                <w:bCs w:val="1"/>
                <w:color w:val="auto"/>
              </w:rPr>
              <w:t>Prior Guidance</w:t>
            </w:r>
          </w:p>
        </w:tc>
      </w:tr>
      <w:tr>
        <w:trPr>
          <w:trHeight w:val="34"/>
        </w:trPr>
        <w:tc>
          <w:tcPr>
            <w:tcW w:w="20" w:type="dxa"/>
            <w:vAlign w:val="bottom"/>
          </w:tcPr>
          <w:p>
            <w:pPr>
              <w:spacing w:after="0"/>
              <w:rPr>
                <w:sz w:val="2"/>
                <w:szCs w:val="2"/>
                <w:color w:val="auto"/>
              </w:rPr>
            </w:pPr>
          </w:p>
        </w:tc>
        <w:tc>
          <w:tcPr>
            <w:tcW w:w="1980" w:type="dxa"/>
            <w:vAlign w:val="bottom"/>
            <w:tcBorders>
              <w:top w:val="single" w:sz="8" w:color="auto"/>
            </w:tcBorders>
          </w:tcPr>
          <w:p>
            <w:pPr>
              <w:spacing w:after="0"/>
              <w:rPr>
                <w:sz w:val="2"/>
                <w:szCs w:val="2"/>
                <w:color w:val="auto"/>
              </w:rPr>
            </w:pPr>
          </w:p>
        </w:tc>
        <w:tc>
          <w:tcPr>
            <w:tcW w:w="478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 per diluted share</w:t>
            </w:r>
          </w:p>
        </w:tc>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$4.23 to $4.27</w:t>
            </w: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$4.22 to $4.30</w:t>
            </w:r>
          </w:p>
        </w:tc>
      </w:tr>
      <w:tr>
        <w:trPr>
          <w:trHeight w:val="227"/>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7"/>
                <w:szCs w:val="17"/>
                <w:color w:val="auto"/>
              </w:rPr>
              <w:t>Nareit FFO per diluted share</w:t>
            </w:r>
          </w:p>
        </w:tc>
        <w:tc>
          <w:tcPr>
            <w:tcW w:w="1960" w:type="dxa"/>
            <w:vAlign w:val="bottom"/>
            <w:gridSpan w:val="2"/>
          </w:tcPr>
          <w:p>
            <w:pPr>
              <w:spacing w:after="0"/>
              <w:rPr>
                <w:sz w:val="20"/>
                <w:szCs w:val="20"/>
                <w:color w:val="auto"/>
              </w:rPr>
            </w:pPr>
            <w:r>
              <w:rPr>
                <w:rFonts w:ascii="Arial" w:cs="Arial" w:eastAsia="Arial" w:hAnsi="Arial"/>
                <w:sz w:val="17"/>
                <w:szCs w:val="17"/>
                <w:color w:val="auto"/>
              </w:rPr>
              <w:t>$7.54 to $7.58</w:t>
            </w:r>
          </w:p>
        </w:tc>
        <w:tc>
          <w:tcPr>
            <w:tcW w:w="2500" w:type="dxa"/>
            <w:vAlign w:val="bottom"/>
            <w:gridSpan w:val="2"/>
          </w:tcPr>
          <w:p>
            <w:pPr>
              <w:spacing w:after="0"/>
              <w:rPr>
                <w:sz w:val="20"/>
                <w:szCs w:val="20"/>
                <w:color w:val="auto"/>
              </w:rPr>
            </w:pPr>
            <w:r>
              <w:rPr>
                <w:rFonts w:ascii="Arial" w:cs="Arial" w:eastAsia="Arial" w:hAnsi="Arial"/>
                <w:sz w:val="17"/>
                <w:szCs w:val="17"/>
                <w:color w:val="auto"/>
              </w:rPr>
              <w:t>$7.48 to $7.56</w:t>
            </w:r>
          </w:p>
        </w:tc>
      </w:tr>
      <w:tr>
        <w:trPr>
          <w:trHeight w:val="232"/>
        </w:trPr>
        <w:tc>
          <w:tcPr>
            <w:tcW w:w="20" w:type="dxa"/>
            <w:vAlign w:val="bottom"/>
            <w:shd w:val="clear" w:color="auto" w:fill="CCEEFF"/>
          </w:tcPr>
          <w:p>
            <w:pPr>
              <w:spacing w:after="0"/>
              <w:rPr>
                <w:sz w:val="20"/>
                <w:szCs w:val="20"/>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Core FFO per diluted share</w:t>
            </w:r>
          </w:p>
        </w:tc>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$7.54 to $7.58</w:t>
            </w: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$7.48 to $7.56</w:t>
            </w:r>
          </w:p>
        </w:tc>
      </w:tr>
      <w:tr>
        <w:trPr>
          <w:trHeight w:val="227"/>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7"/>
                <w:szCs w:val="17"/>
                <w:color w:val="auto"/>
              </w:rPr>
              <w:t>Comparable Property POI Growth</w:t>
            </w:r>
          </w:p>
        </w:tc>
        <w:tc>
          <w:tcPr>
            <w:tcW w:w="1960" w:type="dxa"/>
            <w:vAlign w:val="bottom"/>
            <w:gridSpan w:val="2"/>
          </w:tcPr>
          <w:p>
            <w:pPr>
              <w:spacing w:after="0"/>
              <w:rPr>
                <w:sz w:val="20"/>
                <w:szCs w:val="20"/>
                <w:color w:val="auto"/>
              </w:rPr>
            </w:pPr>
            <w:r>
              <w:rPr>
                <w:rFonts w:ascii="Arial" w:cs="Arial" w:eastAsia="Arial" w:hAnsi="Arial"/>
                <w:sz w:val="17"/>
                <w:szCs w:val="17"/>
                <w:color w:val="auto"/>
              </w:rPr>
              <w:t>3.375% to 3.625%</w:t>
            </w:r>
          </w:p>
        </w:tc>
        <w:tc>
          <w:tcPr>
            <w:tcW w:w="2500" w:type="dxa"/>
            <w:vAlign w:val="bottom"/>
            <w:gridSpan w:val="2"/>
          </w:tcPr>
          <w:p>
            <w:pPr>
              <w:spacing w:after="0"/>
              <w:rPr>
                <w:sz w:val="20"/>
                <w:szCs w:val="20"/>
                <w:color w:val="auto"/>
              </w:rPr>
            </w:pPr>
            <w:r>
              <w:rPr>
                <w:rFonts w:ascii="Arial" w:cs="Arial" w:eastAsia="Arial" w:hAnsi="Arial"/>
                <w:sz w:val="17"/>
                <w:szCs w:val="17"/>
                <w:color w:val="auto"/>
              </w:rPr>
              <w:t>3.25% to 3.75%</w:t>
            </w:r>
          </w:p>
        </w:tc>
      </w:tr>
      <w:tr>
        <w:trPr>
          <w:trHeight w:val="232"/>
        </w:trPr>
        <w:tc>
          <w:tcPr>
            <w:tcW w:w="20" w:type="dxa"/>
            <w:vAlign w:val="bottom"/>
            <w:shd w:val="clear" w:color="auto" w:fill="CCEEFF"/>
          </w:tcPr>
          <w:p>
            <w:pPr>
              <w:spacing w:after="0"/>
              <w:rPr>
                <w:sz w:val="20"/>
                <w:szCs w:val="20"/>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Adjusted Comparable Property POI Growth</w:t>
            </w:r>
          </w:p>
        </w:tc>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4.375% to 4.625%</w:t>
            </w: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4.00% to 4.50%</w:t>
            </w:r>
          </w:p>
        </w:tc>
      </w:tr>
      <w:tr>
        <w:trPr>
          <w:trHeight w:val="223"/>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7"/>
                <w:szCs w:val="17"/>
                <w:i w:val="1"/>
                <w:iCs w:val="1"/>
                <w:color w:val="auto"/>
              </w:rPr>
              <w:t>% Core FFO growth over the prior year</w:t>
            </w:r>
          </w:p>
        </w:tc>
        <w:tc>
          <w:tcPr>
            <w:tcW w:w="1480" w:type="dxa"/>
            <w:vAlign w:val="bottom"/>
          </w:tcPr>
          <w:p>
            <w:pPr>
              <w:spacing w:after="0"/>
              <w:rPr>
                <w:sz w:val="20"/>
                <w:szCs w:val="20"/>
                <w:color w:val="auto"/>
              </w:rPr>
            </w:pPr>
            <w:r>
              <w:rPr>
                <w:rFonts w:ascii="Arial" w:cs="Arial" w:eastAsia="Arial" w:hAnsi="Arial"/>
                <w:sz w:val="17"/>
                <w:szCs w:val="17"/>
                <w:i w:val="1"/>
                <w:iCs w:val="1"/>
                <w:color w:val="auto"/>
              </w:rPr>
              <w:t>6.8% - 7.4%</w:t>
            </w:r>
          </w:p>
        </w:tc>
        <w:tc>
          <w:tcPr>
            <w:tcW w:w="48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7"/>
                <w:szCs w:val="17"/>
                <w:i w:val="1"/>
                <w:iCs w:val="1"/>
                <w:color w:val="auto"/>
              </w:rPr>
              <w:t>5.9% - 7.1%</w:t>
            </w:r>
          </w:p>
        </w:tc>
        <w:tc>
          <w:tcPr>
            <w:tcW w:w="1260" w:type="dxa"/>
            <w:vAlign w:val="bottom"/>
          </w:tcPr>
          <w:p>
            <w:pPr>
              <w:spacing w:after="0"/>
              <w:rPr>
                <w:sz w:val="19"/>
                <w:szCs w:val="19"/>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 Information</w:t>
      </w:r>
    </w:p>
    <w:p>
      <w:pPr>
        <w:spacing w:after="0" w:line="237"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262626"/>
        </w:rPr>
        <w:t xml:space="preserve">Federal Realty’s management team will present an in-depth discussion of Federal Realty’s operating performance on its </w:t>
      </w:r>
      <w:r>
        <w:rPr>
          <w:rFonts w:ascii="Arial" w:cs="Arial" w:eastAsia="Arial" w:hAnsi="Arial"/>
          <w:sz w:val="17"/>
          <w:szCs w:val="17"/>
          <w:color w:val="000000"/>
        </w:rPr>
        <w:t>third quarter 2026 earnings</w:t>
      </w:r>
      <w:r>
        <w:rPr>
          <w:rFonts w:ascii="Arial" w:cs="Arial" w:eastAsia="Arial" w:hAnsi="Arial"/>
          <w:sz w:val="17"/>
          <w:szCs w:val="17"/>
          <w:color w:val="262626"/>
        </w:rPr>
        <w:t xml:space="preserve"> </w:t>
      </w:r>
      <w:r>
        <w:rPr>
          <w:rFonts w:ascii="Arial" w:cs="Arial" w:eastAsia="Arial" w:hAnsi="Arial"/>
          <w:sz w:val="17"/>
          <w:szCs w:val="17"/>
          <w:color w:val="000000"/>
        </w:rPr>
        <w:t>conference call, which is scheduled for Friday, October 30, 2026 at 9:00 AM ET. To participate, please call 833-821-4548 or 412-652-1258 prior to the call start time. The teleconference can also be accessed via a live webcast at www.federalrealty.com in the Investors section. A replay of the webcast will be available on Federal Realty’s website at www.federalrealty.com. A telephonic replay of the conference call will also be available through November 13, 2026 by dialing 844-512-2921 or 412-317-6671; Passcode: 10211075.</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Federal Realty</w:t>
      </w:r>
    </w:p>
    <w:p>
      <w:pPr>
        <w:spacing w:after="0" w:line="169"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Federal Realty is a recognized leader in the ownership, operation and redevelopment of high-quality retail-based properties located primarily in major coastal markets and select underserved regions with strong economic and demographic fundamentals. Founded in 1962, Federal Realty's mission is to deliver long-term, sustainable growth through investing in communities where retail demand exceeds supply. This includes a portfolio of open-air shopping centers and mixed-use destinations—such as Santana Row, Pike &amp; Rose, and Assembly Row—which together reflect the company's ability to create distinctive, high-performing environments that serve as vibrant destinations for their communities. Federal Realty's 102 properties include approximately 3,700 tenants in 28.8 million commercial square feet, and approximately 2,700 residential units.</w:t>
      </w:r>
    </w:p>
    <w:p>
      <w:pPr>
        <w:spacing w:after="0" w:line="119"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Federal Realty has increased its quarterly dividends to its shareholders for 59 consecutive years, the longest record in the REIT industry. The company is an S&amp;P 500 index member and its shares are traded on the NYSE under the symbol FRT. For additional information about Federal Realty and its properties, visit www.federalrealty.com.</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Language</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2026 and include the following:</w:t>
      </w:r>
    </w:p>
    <w:p>
      <w:pPr>
        <w:spacing w:after="0" w:line="211" w:lineRule="exact"/>
        <w:rPr>
          <w:sz w:val="20"/>
          <w:szCs w:val="20"/>
          <w:color w:val="auto"/>
        </w:rPr>
      </w:pPr>
    </w:p>
    <w:p>
      <w:pPr>
        <w:ind w:left="980" w:right="60" w:hanging="324"/>
        <w:spacing w:after="0" w:line="321" w:lineRule="auto"/>
        <w:tabs>
          <w:tab w:leader="none" w:pos="976" w:val="left"/>
        </w:tabs>
        <w:numPr>
          <w:ilvl w:val="0"/>
          <w:numId w:val="9"/>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 or to fill existing vacancy;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70" w:right="339" w:bottom="1440" w:gutter="0" w:footer="0" w:header="0"/>
        </w:sectPr>
      </w:pPr>
    </w:p>
    <w:bookmarkStart w:id="8" w:name="page9"/>
    <w:bookmarkEnd w:id="8"/>
    <w:p>
      <w:pPr>
        <w:ind w:left="980" w:right="200" w:hanging="324"/>
        <w:spacing w:after="0" w:line="260" w:lineRule="auto"/>
        <w:tabs>
          <w:tab w:leader="none" w:pos="976"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Arial" w:cs="Arial" w:eastAsia="Arial" w:hAnsi="Arial"/>
          <w:sz w:val="14"/>
          <w:szCs w:val="14"/>
          <w:i w:val="1"/>
          <w:iCs w:val="1"/>
          <w:color w:val="auto"/>
        </w:rPr>
      </w:pPr>
    </w:p>
    <w:p>
      <w:pPr>
        <w:ind w:left="980" w:hanging="324"/>
        <w:spacing w:after="0" w:line="257" w:lineRule="auto"/>
        <w:tabs>
          <w:tab w:leader="none" w:pos="976"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2" w:lineRule="exact"/>
        <w:rPr>
          <w:rFonts w:ascii="Arial" w:cs="Arial" w:eastAsia="Arial" w:hAnsi="Arial"/>
          <w:sz w:val="14"/>
          <w:szCs w:val="14"/>
          <w:i w:val="1"/>
          <w:iCs w:val="1"/>
          <w:color w:val="auto"/>
        </w:rPr>
      </w:pPr>
    </w:p>
    <w:p>
      <w:pPr>
        <w:ind w:left="980" w:hanging="324"/>
        <w:spacing w:after="0"/>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risks that our growth will be limited if we cannot obtain additional capital, or if the costs of capital we obtain are significantly higher than historical levels;</w:t>
      </w:r>
    </w:p>
    <w:p>
      <w:pPr>
        <w:spacing w:after="0" w:line="14" w:lineRule="exact"/>
        <w:rPr>
          <w:rFonts w:ascii="Arial" w:cs="Arial" w:eastAsia="Arial" w:hAnsi="Arial"/>
          <w:sz w:val="14"/>
          <w:szCs w:val="14"/>
          <w:color w:val="auto"/>
        </w:rPr>
      </w:pPr>
    </w:p>
    <w:p>
      <w:pPr>
        <w:ind w:left="980" w:hanging="324"/>
        <w:spacing w:after="0"/>
        <w:tabs>
          <w:tab w:leader="none" w:pos="98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risks associated with general economic conditions, including inflation, tariffs, and local economic conditions in our geographic markets;</w:t>
      </w:r>
    </w:p>
    <w:p>
      <w:pPr>
        <w:spacing w:after="0" w:line="14" w:lineRule="exact"/>
        <w:rPr>
          <w:rFonts w:ascii="Arial" w:cs="Arial" w:eastAsia="Arial" w:hAnsi="Arial"/>
          <w:sz w:val="14"/>
          <w:szCs w:val="14"/>
          <w:i w:val="1"/>
          <w:iCs w:val="1"/>
          <w:color w:val="auto"/>
        </w:rPr>
      </w:pPr>
    </w:p>
    <w:p>
      <w:pPr>
        <w:ind w:left="980" w:right="320" w:hanging="324"/>
        <w:spacing w:after="0" w:line="261" w:lineRule="auto"/>
        <w:tabs>
          <w:tab w:leader="none" w:pos="976"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980" w:hanging="324"/>
        <w:spacing w:after="0" w:line="254" w:lineRule="auto"/>
        <w:tabs>
          <w:tab w:leader="none" w:pos="976"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4"/>
          <w:szCs w:val="14"/>
          <w:i w:val="1"/>
          <w:iCs w:val="1"/>
          <w:color w:val="auto"/>
        </w:rPr>
      </w:pPr>
    </w:p>
    <w:p>
      <w:pPr>
        <w:jc w:val="both"/>
        <w:ind w:left="980" w:right="60" w:hanging="324"/>
        <w:spacing w:after="0" w:line="272" w:lineRule="auto"/>
        <w:tabs>
          <w:tab w:leader="none" w:pos="976"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332"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2026 and subsequent quarterly reports on Form 10-Q.</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85"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0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917,954</w:t>
            </w: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property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24,143</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1,015,814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942,930</w:t>
            </w: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Rental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196,894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taxes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111,426</w:t>
            </w: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34,449</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270,464</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211,585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613,233</w:t>
            </w:r>
          </w:p>
        </w:tc>
        <w:tc>
          <w:tcPr>
            <w:tcW w:w="0" w:type="dxa"/>
            <w:vAlign w:val="bottom"/>
          </w:tcPr>
          <w:p>
            <w:pPr>
              <w:spacing w:after="0"/>
              <w:rPr>
                <w:sz w:val="1"/>
                <w:szCs w:val="1"/>
                <w:color w:val="auto"/>
              </w:rPr>
            </w:pPr>
          </w:p>
        </w:tc>
      </w:tr>
      <w:tr>
        <w:trPr>
          <w:trHeight w:val="250"/>
        </w:trPr>
        <w:tc>
          <w:tcPr>
            <w:tcW w:w="6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77,672</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0" w:type="dxa"/>
            <w:vAlign w:val="bottom"/>
          </w:tcPr>
          <w:p>
            <w:pPr>
              <w:spacing w:after="0"/>
              <w:rPr>
                <w:sz w:val="1"/>
                <w:szCs w:val="1"/>
                <w:color w:val="auto"/>
              </w:rPr>
            </w:pPr>
          </w:p>
        </w:tc>
      </w:tr>
      <w:tr>
        <w:trPr>
          <w:trHeight w:val="250"/>
        </w:trPr>
        <w:tc>
          <w:tcPr>
            <w:tcW w:w="64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421,545</w:t>
            </w:r>
          </w:p>
        </w:tc>
        <w:tc>
          <w:tcPr>
            <w:tcW w:w="0" w:type="dxa"/>
            <w:vAlign w:val="bottom"/>
          </w:tcPr>
          <w:p>
            <w:pPr>
              <w:spacing w:after="0"/>
              <w:rPr>
                <w:sz w:val="1"/>
                <w:szCs w:val="1"/>
                <w:color w:val="auto"/>
              </w:rPr>
            </w:pPr>
          </w:p>
        </w:tc>
      </w:tr>
      <w:tr>
        <w:trPr>
          <w:trHeight w:val="270"/>
        </w:trPr>
        <w:tc>
          <w:tcPr>
            <w:tcW w:w="6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interest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(134,692)</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291,033</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281,333</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275,309</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86,558</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85,978</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86,789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85,808</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22"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620" w:type="dxa"/>
            <w:vAlign w:val="bottom"/>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r>
      <w:tr>
        <w:trPr>
          <w:trHeight w:val="128"/>
        </w:trPr>
        <w:tc>
          <w:tcPr>
            <w:tcW w:w="8620" w:type="dxa"/>
            <w:vAlign w:val="bottom"/>
          </w:tcPr>
          <w:p>
            <w:pPr>
              <w:spacing w:after="0"/>
              <w:rPr>
                <w:sz w:val="11"/>
                <w:szCs w:val="11"/>
                <w:color w:val="auto"/>
              </w:rPr>
            </w:pPr>
          </w:p>
        </w:tc>
        <w:tc>
          <w:tcPr>
            <w:tcW w:w="2620" w:type="dxa"/>
            <w:vAlign w:val="bottom"/>
            <w:gridSpan w:val="5"/>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r>
      <w:tr>
        <w:trPr>
          <w:trHeight w:val="190"/>
        </w:trPr>
        <w:tc>
          <w:tcPr>
            <w:tcW w:w="8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data)</w:t>
            </w:r>
          </w:p>
        </w:tc>
        <w:tc>
          <w:tcPr>
            <w:tcW w:w="1100" w:type="dxa"/>
            <w:vAlign w:val="bottom"/>
          </w:tcPr>
          <w:p>
            <w:pPr>
              <w:spacing w:after="0"/>
              <w:rPr>
                <w:sz w:val="16"/>
                <w:szCs w:val="16"/>
                <w:color w:val="auto"/>
              </w:rPr>
            </w:pPr>
          </w:p>
        </w:tc>
      </w:tr>
      <w:tr>
        <w:trPr>
          <w:trHeight w:val="191"/>
        </w:trPr>
        <w:tc>
          <w:tcPr>
            <w:tcW w:w="8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at cost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(including $2,132,453 and $1,832,190 of consolidated variable interest entities, respectively)</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11,369,346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11,265,167</w:t>
            </w:r>
          </w:p>
        </w:tc>
      </w:tr>
      <w:tr>
        <w:trPr>
          <w:trHeight w:val="175"/>
        </w:trPr>
        <w:tc>
          <w:tcPr>
            <w:tcW w:w="862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$47,661 and $28,418 of consolidated variable interest entities,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382,154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374,735</w:t>
            </w:r>
          </w:p>
        </w:tc>
      </w:tr>
      <w:tr>
        <w:trPr>
          <w:trHeight w:val="223"/>
        </w:trPr>
        <w:tc>
          <w:tcPr>
            <w:tcW w:w="8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11,751,500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11,639,902</w:t>
            </w:r>
          </w:p>
        </w:tc>
      </w:tr>
      <w:tr>
        <w:trPr>
          <w:trHeight w:val="175"/>
        </w:trPr>
        <w:tc>
          <w:tcPr>
            <w:tcW w:w="862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$519,866 and $468,725 of consolidated variable</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(3,521,614)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(3,351,881)</w:t>
            </w:r>
          </w:p>
        </w:tc>
      </w:tr>
      <w:tr>
        <w:trPr>
          <w:trHeight w:val="223"/>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real estate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8,229,886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8,288,021</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107,415</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249,755</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31,881</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83,120</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right of use assets,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354,767</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9,097,032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9,130,460</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6"/>
        </w:trPr>
        <w:tc>
          <w:tcPr>
            <w:tcW w:w="862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$169,228 and $194,176 of consolidated variable interest entities,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521,759</w:t>
            </w: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Notes payable,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1,057,331</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3,389,769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3,364,010</w:t>
            </w: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219,678</w:t>
            </w: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Dividends payable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99,792</w:t>
            </w: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31,548</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72,304</w:t>
            </w: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12,903</w:t>
            </w: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250,494</w:t>
            </w:r>
          </w:p>
        </w:tc>
      </w:tr>
      <w:tr>
        <w:trPr>
          <w:trHeight w:val="223"/>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5,629,819</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181,655</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Preferred shares, authorized 15,000,000 shares, $0.01 par:</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5"/>
        </w:trPr>
        <w:tc>
          <w:tcPr>
            <w:tcW w:w="8620" w:type="dxa"/>
            <w:vAlign w:val="bottom"/>
            <w:shd w:val="clear" w:color="auto" w:fill="CCEEFF"/>
          </w:tcPr>
          <w:p>
            <w:pPr>
              <w:ind w:left="800"/>
              <w:spacing w:after="0" w:line="176" w:lineRule="exact"/>
              <w:rPr>
                <w:sz w:val="20"/>
                <w:szCs w:val="20"/>
                <w:color w:val="auto"/>
              </w:rPr>
            </w:pPr>
            <w:r>
              <w:rPr>
                <w:rFonts w:ascii="Times New Roman" w:cs="Times New Roman" w:eastAsia="Times New Roman" w:hAnsi="Times New Roman"/>
                <w:sz w:val="18"/>
                <w:szCs w:val="18"/>
                <w:color w:val="auto"/>
              </w:rPr>
              <w:t>5.0% Series C Cumulative Redeemable Preferred Shares, (stated at liquidation preference $25,000 per</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6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share), 6,000 shares issued and outstanding</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176"/>
        </w:trPr>
        <w:tc>
          <w:tcPr>
            <w:tcW w:w="8620" w:type="dxa"/>
            <w:vAlign w:val="bottom"/>
          </w:tcPr>
          <w:p>
            <w:pPr>
              <w:ind w:left="800"/>
              <w:spacing w:after="0" w:line="176" w:lineRule="exact"/>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392,878 shares issued and outstanding</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r>
      <w:tr>
        <w:trPr>
          <w:trHeight w:val="175"/>
        </w:trPr>
        <w:tc>
          <w:tcPr>
            <w:tcW w:w="862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Common shares of beneficial interest, $0.01 par, 200,000,000 shares authorized, 86,296,537 and 86,266,009</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4,292,652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4,310,365</w:t>
            </w: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(1,215,383)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(1,224,372)</w:t>
            </w:r>
          </w:p>
        </w:tc>
      </w:tr>
      <w:tr>
        <w:trPr>
          <w:trHeight w:val="230"/>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3,248,731</w:t>
            </w:r>
          </w:p>
        </w:tc>
      </w:tr>
      <w:tr>
        <w:trPr>
          <w:trHeight w:val="229"/>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70,255</w:t>
            </w: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3,319,265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3,318,986</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9,097,032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9,130,460</w:t>
            </w:r>
          </w:p>
        </w:tc>
      </w:tr>
      <w:tr>
        <w:trPr>
          <w:trHeight w:val="20"/>
        </w:trPr>
        <w:tc>
          <w:tcPr>
            <w:tcW w:w="8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022" w:right="339" w:bottom="1440" w:gutter="0" w:footer="0" w:header="0"/>
          <w:type w:val="continuous"/>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06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0"/>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65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Nareit Funds from Operations available for common shareholders (Nareit FFO) (1)</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Borders>
              <w:top w:val="single" w:sz="8" w:color="auto"/>
            </w:tcBorders>
          </w:tcPr>
          <w:p>
            <w:pPr>
              <w:spacing w:after="0" w:line="20" w:lineRule="exact"/>
              <w:rPr>
                <w:sz w:val="1"/>
                <w:szCs w:val="1"/>
                <w:color w:val="auto"/>
              </w:rPr>
            </w:pPr>
          </w:p>
        </w:tc>
        <w:tc>
          <w:tcPr>
            <w:tcW w:w="278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291,033</w:t>
            </w:r>
          </w:p>
        </w:tc>
      </w:tr>
      <w:tr>
        <w:trPr>
          <w:trHeight w:val="229"/>
        </w:trPr>
        <w:tc>
          <w:tcPr>
            <w:tcW w:w="20" w:type="dxa"/>
            <w:vAlign w:val="bottom"/>
          </w:tcPr>
          <w:p>
            <w:pPr>
              <w:spacing w:after="0"/>
              <w:rPr>
                <w:sz w:val="19"/>
                <w:szCs w:val="19"/>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(77,672)</w:t>
            </w:r>
          </w:p>
        </w:tc>
      </w:tr>
      <w:tr>
        <w:trPr>
          <w:trHeight w:val="229"/>
        </w:trPr>
        <w:tc>
          <w:tcPr>
            <w:tcW w:w="20" w:type="dxa"/>
            <w:vAlign w:val="bottom"/>
          </w:tcPr>
          <w:p>
            <w:pPr>
              <w:spacing w:after="0"/>
              <w:rPr>
                <w:sz w:val="19"/>
                <w:szCs w:val="19"/>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236,251</w:t>
            </w:r>
          </w:p>
        </w:tc>
      </w:tr>
      <w:tr>
        <w:trPr>
          <w:trHeight w:val="229"/>
        </w:trPr>
        <w:tc>
          <w:tcPr>
            <w:tcW w:w="20" w:type="dxa"/>
            <w:vAlign w:val="bottom"/>
            <w:shd w:val="clear" w:color="auto" w:fill="CCEEFF"/>
          </w:tcPr>
          <w:p>
            <w:pPr>
              <w:spacing w:after="0"/>
              <w:rPr>
                <w:sz w:val="19"/>
                <w:szCs w:val="19"/>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38,888</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30,464</w:t>
            </w:r>
          </w:p>
        </w:tc>
      </w:tr>
      <w:tr>
        <w:trPr>
          <w:trHeight w:val="223"/>
        </w:trPr>
        <w:tc>
          <w:tcPr>
            <w:tcW w:w="20" w:type="dxa"/>
            <w:vAlign w:val="bottom"/>
          </w:tcPr>
          <w:p>
            <w:pPr>
              <w:spacing w:after="0"/>
              <w:rPr>
                <w:sz w:val="19"/>
                <w:szCs w:val="19"/>
                <w:color w:val="auto"/>
              </w:rPr>
            </w:pPr>
          </w:p>
        </w:tc>
        <w:tc>
          <w:tcPr>
            <w:tcW w:w="6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Funds from operations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164,823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470,376</w:t>
            </w:r>
          </w:p>
        </w:tc>
      </w:tr>
      <w:tr>
        <w:trPr>
          <w:trHeight w:val="229"/>
        </w:trPr>
        <w:tc>
          <w:tcPr>
            <w:tcW w:w="20" w:type="dxa"/>
            <w:vAlign w:val="bottom"/>
            <w:shd w:val="clear" w:color="auto" w:fill="CCEEFF"/>
          </w:tcPr>
          <w:p>
            <w:pPr>
              <w:spacing w:after="0"/>
              <w:rPr>
                <w:sz w:val="19"/>
                <w:szCs w:val="19"/>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on preferred shares (2)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30"/>
        </w:trPr>
        <w:tc>
          <w:tcPr>
            <w:tcW w:w="20" w:type="dxa"/>
            <w:vAlign w:val="bottom"/>
          </w:tcPr>
          <w:p>
            <w:pPr>
              <w:spacing w:after="0"/>
              <w:rPr>
                <w:sz w:val="19"/>
                <w:szCs w:val="19"/>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attributable to downREIT operating partnership units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r>
      <w:tr>
        <w:trPr>
          <w:trHeight w:val="229"/>
        </w:trPr>
        <w:tc>
          <w:tcPr>
            <w:tcW w:w="20" w:type="dxa"/>
            <w:vAlign w:val="bottom"/>
            <w:shd w:val="clear" w:color="auto" w:fill="CCEEFF"/>
          </w:tcPr>
          <w:p>
            <w:pPr>
              <w:spacing w:after="0"/>
              <w:rPr>
                <w:sz w:val="19"/>
                <w:szCs w:val="19"/>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196"/>
        </w:trPr>
        <w:tc>
          <w:tcPr>
            <w:tcW w:w="20" w:type="dxa"/>
            <w:vAlign w:val="bottom"/>
          </w:tcPr>
          <w:p>
            <w:pPr>
              <w:spacing w:after="0"/>
              <w:rPr>
                <w:sz w:val="17"/>
                <w:szCs w:val="17"/>
                <w:color w:val="auto"/>
              </w:rPr>
            </w:pPr>
          </w:p>
        </w:tc>
        <w:tc>
          <w:tcPr>
            <w:tcW w:w="6500" w:type="dxa"/>
            <w:vAlign w:val="bottom"/>
            <w:gridSpan w:val="3"/>
          </w:tcPr>
          <w:p>
            <w:pPr>
              <w:ind w:left="340"/>
              <w:spacing w:after="0" w:line="196" w:lineRule="exact"/>
              <w:rPr>
                <w:sz w:val="20"/>
                <w:szCs w:val="20"/>
                <w:color w:val="auto"/>
              </w:rPr>
            </w:pPr>
            <w:r>
              <w:rPr>
                <w:rFonts w:ascii="Times New Roman" w:cs="Times New Roman" w:eastAsia="Times New Roman" w:hAnsi="Times New Roman"/>
                <w:sz w:val="18"/>
                <w:szCs w:val="18"/>
                <w:color w:val="auto"/>
              </w:rPr>
              <w:t>Nareit FFO</w:t>
            </w: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162,995</w:t>
            </w:r>
          </w:p>
        </w:tc>
        <w:tc>
          <w:tcPr>
            <w:tcW w:w="80" w:type="dxa"/>
            <w:vAlign w:val="bottom"/>
          </w:tcPr>
          <w:p>
            <w:pPr>
              <w:spacing w:after="0"/>
              <w:rPr>
                <w:sz w:val="17"/>
                <w:szCs w:val="17"/>
                <w:color w:val="auto"/>
              </w:rPr>
            </w:pPr>
          </w:p>
        </w:tc>
        <w:tc>
          <w:tcPr>
            <w:tcW w:w="42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153,045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488,343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465,061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diluted (2)(3)</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Nareit FFO per diluted share (3)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2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Core Funds from Operations (Core FFO) (1)</w:t>
            </w:r>
          </w:p>
        </w:tc>
        <w:tc>
          <w:tcPr>
            <w:tcW w:w="328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Nareit FFO</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162,995</w:t>
            </w:r>
          </w:p>
        </w:tc>
        <w:tc>
          <w:tcPr>
            <w:tcW w:w="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153,045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488,343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465,061</w:t>
            </w:r>
          </w:p>
        </w:tc>
      </w:tr>
      <w:tr>
        <w:trPr>
          <w:trHeight w:val="229"/>
        </w:trPr>
        <w:tc>
          <w:tcPr>
            <w:tcW w:w="20" w:type="dxa"/>
            <w:vAlign w:val="bottom"/>
            <w:shd w:val="clear" w:color="auto" w:fill="CCEEFF"/>
          </w:tcPr>
          <w:p>
            <w:pPr>
              <w:spacing w:after="0"/>
              <w:rPr>
                <w:sz w:val="19"/>
                <w:szCs w:val="19"/>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market tax credit transaction income, net</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(13,004)</w:t>
            </w: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of prior period rents deferred during COVID</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3"/>
        </w:trPr>
        <w:tc>
          <w:tcPr>
            <w:tcW w:w="20" w:type="dxa"/>
            <w:vAlign w:val="bottom"/>
          </w:tcPr>
          <w:p>
            <w:pPr>
              <w:spacing w:after="0"/>
              <w:rPr>
                <w:sz w:val="19"/>
                <w:szCs w:val="19"/>
                <w:color w:val="auto"/>
              </w:rPr>
            </w:pPr>
          </w:p>
        </w:tc>
        <w:tc>
          <w:tcPr>
            <w:tcW w:w="6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Core FFO</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162,995</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152,972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488,343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451,848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3220" w:type="dxa"/>
            <w:vAlign w:val="bottom"/>
            <w:shd w:val="clear" w:color="auto" w:fill="CCEEFF"/>
          </w:tcPr>
          <w:p>
            <w:pPr>
              <w:spacing w:after="0"/>
              <w:rPr>
                <w:sz w:val="10"/>
                <w:szCs w:val="10"/>
                <w:color w:val="auto"/>
              </w:rPr>
            </w:pPr>
          </w:p>
        </w:tc>
        <w:tc>
          <w:tcPr>
            <w:tcW w:w="27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230"/>
        </w:trPr>
        <w:tc>
          <w:tcPr>
            <w:tcW w:w="20" w:type="dxa"/>
            <w:vAlign w:val="bottom"/>
          </w:tcPr>
          <w:p>
            <w:pPr>
              <w:spacing w:after="0"/>
              <w:rPr>
                <w:sz w:val="19"/>
                <w:szCs w:val="19"/>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Core FFO per diluted share (3)</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26" w:lineRule="exact"/>
        <w:rPr>
          <w:rFonts w:ascii="Times New Roman" w:cs="Times New Roman" w:eastAsia="Times New Roman" w:hAnsi="Times New Roman"/>
          <w:sz w:val="16"/>
          <w:szCs w:val="16"/>
          <w:color w:val="auto"/>
        </w:rPr>
      </w:pPr>
    </w:p>
    <w:p>
      <w:pPr>
        <w:ind w:left="660" w:right="600" w:hanging="652"/>
        <w:spacing w:after="0" w:line="261"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nine months ended September 30, 2026 and 2025, dividends on our Series 1 preferred stock were not deducted in the calculation of FFO available to common shareholders, as the related shares were dilutive and are included in "weighted average number of common shares, diluted."</w:t>
      </w:r>
    </w:p>
    <w:p>
      <w:pPr>
        <w:spacing w:after="0" w:line="1" w:lineRule="exact"/>
        <w:rPr>
          <w:rFonts w:ascii="Times New Roman" w:cs="Times New Roman" w:eastAsia="Times New Roman" w:hAnsi="Times New Roman"/>
          <w:sz w:val="16"/>
          <w:szCs w:val="16"/>
          <w:color w:val="auto"/>
        </w:rPr>
      </w:pPr>
    </w:p>
    <w:p>
      <w:pPr>
        <w:ind w:left="660" w:right="100" w:hanging="652"/>
        <w:spacing w:after="0" w:line="26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common shares used to compute Nareit and Core FFO per diluted common share includes downREIT operating partnership units that were excluded from the computation of diluted EPS for both the three months ended September 30, 2026 and 2025, and the nine months ended September 30, 2025. Conversion of these operating partnership units is dilutive in the computation of Nareit and Core FFO per diluted share for all periods presented.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00"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Supplemental Information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0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 except ratios)</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000" w:type="dxa"/>
            <w:vAlign w:val="bottom"/>
            <w:tcBorders>
              <w:bottom w:val="single" w:sz="8" w:color="auto"/>
            </w:tcBorders>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9"/>
              </w:rPr>
              <w:t>EBITDA for Real Estate (EBITDAre) (1)</w:t>
            </w:r>
          </w:p>
        </w:tc>
        <w:tc>
          <w:tcPr>
            <w:tcW w:w="346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318,608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291,033</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134,692</w:t>
            </w:r>
          </w:p>
        </w:tc>
      </w:tr>
      <w:tr>
        <w:trPr>
          <w:trHeight w:val="229"/>
        </w:trPr>
        <w:tc>
          <w:tcPr>
            <w:tcW w:w="20" w:type="dxa"/>
            <w:vAlign w:val="bottom"/>
          </w:tcPr>
          <w:p>
            <w:pPr>
              <w:spacing w:after="0"/>
              <w:rPr>
                <w:sz w:val="19"/>
                <w:szCs w:val="19"/>
                <w:color w:val="auto"/>
              </w:rPr>
            </w:pPr>
          </w:p>
        </w:tc>
        <w:tc>
          <w:tcPr>
            <w:tcW w:w="6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20" w:type="dxa"/>
            <w:vAlign w:val="bottom"/>
          </w:tcPr>
          <w:p>
            <w:pPr>
              <w:spacing w:after="0"/>
              <w:rPr>
                <w:sz w:val="19"/>
                <w:szCs w:val="19"/>
                <w:color w:val="auto"/>
              </w:rPr>
            </w:pPr>
          </w:p>
        </w:tc>
        <w:tc>
          <w:tcPr>
            <w:tcW w:w="6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270,464</w:t>
            </w: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(77,672)</w:t>
            </w:r>
          </w:p>
        </w:tc>
      </w:tr>
      <w:tr>
        <w:trPr>
          <w:trHeight w:val="230"/>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Adjustments of EBITDAre of unconsolidated affiliates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EBITDAre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EBITDAre to combined fixed charges and preferred share dividends (2)</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3.9x</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3.9x</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3.9x</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4.0x</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Dividends and Payout Ratios</w:t>
            </w:r>
          </w:p>
        </w:tc>
        <w:tc>
          <w:tcPr>
            <w:tcW w:w="4360" w:type="dxa"/>
            <w:vAlign w:val="bottom"/>
            <w:tcBorders>
              <w:bottom w:val="single" w:sz="8" w:color="CCEEFF"/>
            </w:tcBorders>
            <w:gridSpan w:val="4"/>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Regular common dividends declared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100,164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295,957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287,282</w:t>
            </w:r>
          </w:p>
        </w:tc>
      </w:tr>
      <w:tr>
        <w:trPr>
          <w:trHeight w:val="162"/>
        </w:trPr>
        <w:tc>
          <w:tcPr>
            <w:tcW w:w="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6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Dividend payout ratio as a percentage of Nareit FFO</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646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Summary of Capital Expenditures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Non-maintenance capital expenditures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46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Development, redevelopment and expansions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133,643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9"/>
              </w:rPr>
              <w:t>127,165</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Tenant improvements and incentives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64,824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58,411</w:t>
            </w:r>
          </w:p>
        </w:tc>
      </w:tr>
      <w:tr>
        <w:trPr>
          <w:trHeight w:val="223"/>
        </w:trPr>
        <w:tc>
          <w:tcPr>
            <w:tcW w:w="20" w:type="dxa"/>
            <w:vAlign w:val="bottom"/>
          </w:tcPr>
          <w:p>
            <w:pPr>
              <w:spacing w:after="0"/>
              <w:rPr>
                <w:sz w:val="19"/>
                <w:szCs w:val="19"/>
                <w:color w:val="auto"/>
              </w:rPr>
            </w:pPr>
          </w:p>
        </w:tc>
        <w:tc>
          <w:tcPr>
            <w:tcW w:w="6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non-maintenance capital expenditures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198,467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9"/>
              </w:rPr>
              <w:t>185,576</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19,671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17,299</w:t>
            </w:r>
          </w:p>
        </w:tc>
      </w:tr>
      <w:tr>
        <w:trPr>
          <w:trHeight w:val="223"/>
        </w:trPr>
        <w:tc>
          <w:tcPr>
            <w:tcW w:w="20" w:type="dxa"/>
            <w:vAlign w:val="bottom"/>
          </w:tcPr>
          <w:p>
            <w:pPr>
              <w:spacing w:after="0"/>
              <w:rPr>
                <w:sz w:val="19"/>
                <w:szCs w:val="19"/>
                <w:color w:val="auto"/>
              </w:rPr>
            </w:pPr>
          </w:p>
        </w:tc>
        <w:tc>
          <w:tcPr>
            <w:tcW w:w="6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85,269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218,138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9"/>
              </w:rPr>
              <w:t>202,875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646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costs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17,504</w:t>
            </w:r>
          </w:p>
        </w:tc>
      </w:tr>
      <w:tr>
        <w:trPr>
          <w:trHeight w:val="230"/>
        </w:trPr>
        <w:tc>
          <w:tcPr>
            <w:tcW w:w="20" w:type="dxa"/>
            <w:vAlign w:val="bottom"/>
          </w:tcPr>
          <w:p>
            <w:pPr>
              <w:spacing w:after="0"/>
              <w:rPr>
                <w:sz w:val="19"/>
                <w:szCs w:val="19"/>
                <w:color w:val="auto"/>
              </w:rPr>
            </w:pPr>
          </w:p>
        </w:tc>
        <w:tc>
          <w:tcPr>
            <w:tcW w:w="6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Share-based compensation expense (non-cash)</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11,691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10,913</w:t>
            </w:r>
          </w:p>
        </w:tc>
      </w:tr>
      <w:tr>
        <w:trPr>
          <w:trHeight w:val="203"/>
        </w:trPr>
        <w:tc>
          <w:tcPr>
            <w:tcW w:w="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46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Noncontrolling Interests Supplemental Information (3)</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10,606</w:t>
            </w:r>
          </w:p>
        </w:tc>
      </w:tr>
      <w:tr>
        <w:trPr>
          <w:trHeight w:val="230"/>
        </w:trPr>
        <w:tc>
          <w:tcPr>
            <w:tcW w:w="20" w:type="dxa"/>
            <w:vAlign w:val="bottom"/>
          </w:tcPr>
          <w:p>
            <w:pPr>
              <w:spacing w:after="0"/>
              <w:rPr>
                <w:sz w:val="19"/>
                <w:szCs w:val="19"/>
                <w:color w:val="auto"/>
              </w:rPr>
            </w:pPr>
          </w:p>
        </w:tc>
        <w:tc>
          <w:tcPr>
            <w:tcW w:w="6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1,172</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(3,479)</w:t>
            </w:r>
          </w:p>
        </w:tc>
      </w:tr>
      <w:tr>
        <w:trPr>
          <w:trHeight w:val="230"/>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59" w:lineRule="exact"/>
        <w:rPr>
          <w:rFonts w:ascii="Times New Roman" w:cs="Times New Roman" w:eastAsia="Times New Roman" w:hAnsi="Times New Roman"/>
          <w:sz w:val="16"/>
          <w:szCs w:val="16"/>
          <w:color w:val="auto"/>
        </w:rPr>
      </w:pPr>
    </w:p>
    <w:p>
      <w:pPr>
        <w:ind w:left="660" w:right="100" w:hanging="652"/>
        <w:spacing w:after="0" w:line="290"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charges consist of interest on borrowed funds and finance leases (including capitalized interest), amortization of debt discount/premium and debt costs, and the portion of rent expense representing an interest factor.</w:t>
      </w:r>
    </w:p>
    <w:p>
      <w:pPr>
        <w:ind w:left="660" w:right="340" w:hanging="652"/>
        <w:spacing w:after="0" w:line="298"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components of "net income attributable to noncontrolling interests," but exclude "income attributable to downREIT operating partnership units."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27" w:right="339"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Components of Rental Income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Rental Income (1)</w:t>
            </w:r>
          </w:p>
        </w:tc>
        <w:tc>
          <w:tcPr>
            <w:tcW w:w="280" w:type="dxa"/>
            <w:vAlign w:val="bottom"/>
          </w:tcPr>
          <w:p>
            <w:pPr>
              <w:spacing w:after="0"/>
              <w:rPr>
                <w:sz w:val="19"/>
                <w:szCs w:val="19"/>
                <w:color w:val="auto"/>
              </w:rPr>
            </w:pPr>
          </w:p>
        </w:tc>
        <w:tc>
          <w:tcPr>
            <w:tcW w:w="23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9"/>
                <w:szCs w:val="19"/>
                <w:color w:val="auto"/>
              </w:rPr>
            </w:pPr>
          </w:p>
        </w:tc>
        <w:tc>
          <w:tcPr>
            <w:tcW w:w="208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6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0"/>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Minimum rents (2)</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7"/>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Commercial</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228,354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214,568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679,528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626,239</w:t>
            </w:r>
          </w:p>
        </w:tc>
      </w:tr>
      <w:tr>
        <w:trPr>
          <w:trHeight w:val="226"/>
        </w:trPr>
        <w:tc>
          <w:tcPr>
            <w:tcW w:w="60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Residential</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79,118</w:t>
            </w:r>
          </w:p>
        </w:tc>
      </w:tr>
      <w:tr>
        <w:trPr>
          <w:trHeight w:val="23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68,879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63,447</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205,198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185,984</w:t>
            </w:r>
          </w:p>
        </w:tc>
      </w:tr>
      <w:tr>
        <w:trPr>
          <w:trHeight w:val="226"/>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rents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12,237</w:t>
            </w:r>
          </w:p>
        </w:tc>
      </w:tr>
      <w:tr>
        <w:trPr>
          <w:trHeight w:val="23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lease related (3)</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6,209</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23,919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16,986</w:t>
            </w:r>
          </w:p>
        </w:tc>
      </w:tr>
      <w:tr>
        <w:trPr>
          <w:trHeight w:val="226"/>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Collectibility related impacts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(2,610)</w:t>
            </w:r>
          </w:p>
        </w:tc>
      </w:tr>
      <w:tr>
        <w:trPr>
          <w:trHeight w:val="25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rental income</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329,644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313,183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988,198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917,954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75" w:lineRule="exact"/>
        <w:rPr>
          <w:sz w:val="20"/>
          <w:szCs w:val="20"/>
          <w:color w:val="auto"/>
        </w:rPr>
      </w:pPr>
    </w:p>
    <w:p>
      <w:pPr>
        <w:ind w:left="660" w:right="260" w:hanging="652"/>
        <w:spacing w:after="0" w:line="265" w:lineRule="auto"/>
        <w:tabs>
          <w:tab w:leader="none" w:pos="65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spacing w:after="0" w:line="13"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rents include the following:</w:t>
      </w:r>
    </w:p>
    <w:p>
      <w:pPr>
        <w:spacing w:after="0" w:line="45"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250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6"/>
                <w:szCs w:val="16"/>
                <w:color w:val="auto"/>
              </w:rPr>
            </w:pPr>
          </w:p>
        </w:tc>
      </w:tr>
      <w:tr>
        <w:trPr>
          <w:trHeight w:val="203"/>
        </w:trPr>
        <w:tc>
          <w:tcPr>
            <w:tcW w:w="4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60" w:type="dxa"/>
            <w:vAlign w:val="bottom"/>
            <w:gridSpan w:val="2"/>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r>
      <w:tr>
        <w:trPr>
          <w:trHeight w:val="23"/>
        </w:trPr>
        <w:tc>
          <w:tcPr>
            <w:tcW w:w="45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4540" w:type="dxa"/>
            <w:vAlign w:val="bottom"/>
          </w:tcPr>
          <w:p>
            <w:pPr>
              <w:spacing w:after="0"/>
              <w:rPr>
                <w:sz w:val="16"/>
                <w:szCs w:val="16"/>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190"/>
        </w:trPr>
        <w:tc>
          <w:tcPr>
            <w:tcW w:w="4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88"/>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Straight-line rents</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6.8</w:t>
            </w:r>
          </w:p>
        </w:tc>
        <w:tc>
          <w:tcPr>
            <w:tcW w:w="104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24"/>
                <w:szCs w:val="24"/>
                <w:color w:val="auto"/>
              </w:rPr>
            </w:pP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22.5</w:t>
            </w:r>
          </w:p>
        </w:tc>
        <w:tc>
          <w:tcPr>
            <w:tcW w:w="6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3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in-place leases</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3.4</w:t>
            </w:r>
          </w:p>
        </w:tc>
        <w:tc>
          <w:tcPr>
            <w:tcW w:w="10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11.2</w:t>
            </w:r>
          </w:p>
        </w:tc>
        <w:tc>
          <w:tcPr>
            <w:tcW w:w="6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r>
    </w:tbl>
    <w:p>
      <w:pPr>
        <w:spacing w:after="0" w:line="127" w:lineRule="exact"/>
        <w:rPr>
          <w:sz w:val="20"/>
          <w:szCs w:val="20"/>
          <w:color w:val="auto"/>
        </w:rPr>
      </w:pPr>
    </w:p>
    <w:p>
      <w:pPr>
        <w:ind w:left="660" w:right="180" w:hanging="652"/>
        <w:spacing w:after="0" w:line="281" w:lineRule="auto"/>
        <w:tabs>
          <w:tab w:leader="none" w:pos="65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Includes lease termination fees of $1.0 million and $1.9 million for the three months ended September 30, 2026 and 2025, respectively, and $9.7 million and $4.4 million for the </w:t>
      </w:r>
      <w:r>
        <w:rPr>
          <w:rFonts w:ascii="Times New Roman" w:cs="Times New Roman" w:eastAsia="Times New Roman" w:hAnsi="Times New Roman"/>
          <w:sz w:val="16"/>
          <w:szCs w:val="16"/>
          <w:color w:val="auto"/>
        </w:rPr>
        <w:t>nine</w:t>
      </w:r>
      <w:r>
        <w:rPr>
          <w:rFonts w:ascii="Times New Roman" w:cs="Times New Roman" w:eastAsia="Times New Roman" w:hAnsi="Times New Roman"/>
          <w:sz w:val="17"/>
          <w:szCs w:val="17"/>
          <w:color w:val="auto"/>
        </w:rPr>
        <w:t xml:space="preserv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022" w:right="339" w:bottom="1440" w:gutter="0" w:footer="0" w:header="0"/>
        </w:sectPr>
      </w:pPr>
    </w:p>
    <w:bookmarkStart w:id="14" w:name="page15"/>
    <w:bookmarkEnd w:id="14"/>
    <w:p>
      <w:pPr>
        <w:ind w:left="28"/>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8"/>
          <w:szCs w:val="18"/>
          <w:b w:val="1"/>
          <w:bCs w:val="1"/>
          <w:color w:val="auto"/>
        </w:rPr>
        <w:t>Comparable Property Information</w:t>
      </w:r>
    </w:p>
    <w:p>
      <w:pPr>
        <w:spacing w:after="0" w:line="23"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76" w:lineRule="exact"/>
        <w:rPr>
          <w:sz w:val="20"/>
          <w:szCs w:val="20"/>
          <w:color w:val="auto"/>
        </w:rPr>
      </w:pPr>
    </w:p>
    <w:p>
      <w:pPr>
        <w:ind w:left="28" w:right="80"/>
        <w:spacing w:after="0" w:line="220" w:lineRule="auto"/>
        <w:rPr>
          <w:sz w:val="20"/>
          <w:szCs w:val="20"/>
          <w:color w:val="auto"/>
        </w:rPr>
      </w:pPr>
      <w:r>
        <w:rPr>
          <w:rFonts w:ascii="Times New Roman" w:cs="Times New Roman" w:eastAsia="Times New Roman" w:hAnsi="Times New Roman"/>
          <w:sz w:val="16"/>
          <w:szCs w:val="16"/>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Q3 include: Bala Cynwyd on City Avenue residential - Blayr, Friendship Center, Grossmont Center, Pike &amp; Rose Phase IV, Santana West, Willow Grove Shopping Center, and all properties acquired, disposed of, or not consolidated from Q3 2025 to Q3 2026. Comparable Property property operating income ("Comparable Property POI") and Adjusted Comparable Property POI are non-GAAP measures used by management in evaluating the operating performance of our properties period over period. Adjusted Comparable Property POI excludes the impact of straight-line rents and amortization of in-place leases from Comparable Property POI.</w:t>
      </w:r>
    </w:p>
    <w:p>
      <w:pPr>
        <w:spacing w:after="0" w:line="107" w:lineRule="exact"/>
        <w:rPr>
          <w:sz w:val="20"/>
          <w:szCs w:val="20"/>
          <w:color w:val="auto"/>
        </w:rPr>
      </w:pPr>
    </w:p>
    <w:tbl>
      <w:tblPr>
        <w:tblLayout w:type="fixed"/>
        <w:tblInd w:w="8"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480" w:type="dxa"/>
            <w:vAlign w:val="bottom"/>
            <w:gridSpan w:val="6"/>
          </w:tcPr>
          <w:p>
            <w:pPr>
              <w:spacing w:after="0"/>
              <w:rPr>
                <w:sz w:val="20"/>
                <w:szCs w:val="20"/>
                <w:color w:val="auto"/>
              </w:rPr>
            </w:pPr>
            <w:r>
              <w:rPr>
                <w:rFonts w:ascii="Times New Roman" w:cs="Times New Roman" w:eastAsia="Times New Roman" w:hAnsi="Times New Roman"/>
                <w:sz w:val="16"/>
                <w:szCs w:val="16"/>
                <w:i w:val="1"/>
                <w:iCs w:val="1"/>
                <w:color w:val="auto"/>
              </w:rPr>
              <w:t>Reconciliation of GAAP operating income to Comparable Property POI and Adjusted Comparable Property POI</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3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4"/>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4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9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7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116,855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110,668</w:t>
            </w:r>
          </w:p>
        </w:tc>
        <w:tc>
          <w:tcPr>
            <w:tcW w:w="9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4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Add: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100,260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94,277</w:t>
            </w:r>
          </w:p>
        </w:tc>
        <w:tc>
          <w:tcPr>
            <w:tcW w:w="9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4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11,649</w:t>
            </w:r>
          </w:p>
        </w:tc>
        <w:tc>
          <w:tcPr>
            <w:tcW w:w="9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sale of real estate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74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Property operating income (POI)</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229,896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216,594</w:t>
            </w:r>
          </w:p>
        </w:tc>
        <w:tc>
          <w:tcPr>
            <w:tcW w:w="940" w:type="dxa"/>
            <w:vAlign w:val="bottom"/>
          </w:tcPr>
          <w:p>
            <w:pPr>
              <w:spacing w:after="0"/>
              <w:rPr>
                <w:sz w:val="17"/>
                <w:szCs w:val="17"/>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Non-comparable POI - acquisitions/dispositions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w:t>
            </w:r>
          </w:p>
        </w:tc>
        <w:tc>
          <w:tcPr>
            <w:tcW w:w="94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6"/>
                <w:szCs w:val="16"/>
                <w:color w:val="auto"/>
              </w:rPr>
              <w:t>Less: Non-comparable POI - redevelopment, development &amp; other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(9,841)</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(5,993)</w:t>
            </w:r>
          </w:p>
        </w:tc>
        <w:tc>
          <w:tcPr>
            <w:tcW w:w="940" w:type="dxa"/>
            <w:vAlign w:val="bottom"/>
            <w:tcBorders>
              <w:bottom w:val="single" w:sz="8" w:color="CCEEFF"/>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7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Comparable Property POI</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210,783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205,610</w:t>
            </w:r>
          </w:p>
        </w:tc>
        <w:tc>
          <w:tcPr>
            <w:tcW w:w="9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4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Less: Straight-line rents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(5,828)</w:t>
            </w:r>
          </w:p>
        </w:tc>
        <w:tc>
          <w:tcPr>
            <w:tcW w:w="9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Amortization of in-place leases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940" w:type="dxa"/>
            <w:vAlign w:val="bottom"/>
            <w:shd w:val="clear" w:color="auto" w:fill="CCEEFF"/>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74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Adjusted Comparable Property POI</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204,657</w:t>
            </w:r>
          </w:p>
        </w:tc>
        <w:tc>
          <w:tcPr>
            <w:tcW w:w="8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196,771</w:t>
            </w:r>
          </w:p>
        </w:tc>
        <w:tc>
          <w:tcPr>
            <w:tcW w:w="940" w:type="dxa"/>
            <w:vAlign w:val="bottom"/>
          </w:tcPr>
          <w:p>
            <w:pPr>
              <w:spacing w:after="0"/>
              <w:rPr>
                <w:sz w:val="17"/>
                <w:szCs w:val="17"/>
                <w:color w:val="auto"/>
              </w:rPr>
            </w:pPr>
          </w:p>
        </w:tc>
      </w:tr>
      <w:tr>
        <w:trPr>
          <w:trHeight w:val="289"/>
        </w:trPr>
        <w:tc>
          <w:tcPr>
            <w:tcW w:w="20" w:type="dxa"/>
            <w:vAlign w:val="bottom"/>
          </w:tcPr>
          <w:p>
            <w:pPr>
              <w:spacing w:after="0"/>
              <w:rPr>
                <w:sz w:val="24"/>
                <w:szCs w:val="24"/>
                <w:color w:val="auto"/>
              </w:rPr>
            </w:pPr>
          </w:p>
        </w:tc>
        <w:tc>
          <w:tcPr>
            <w:tcW w:w="7480" w:type="dxa"/>
            <w:vAlign w:val="bottom"/>
            <w:gridSpan w:val="6"/>
          </w:tcPr>
          <w:p>
            <w:pPr>
              <w:spacing w:after="0"/>
              <w:rPr>
                <w:sz w:val="20"/>
                <w:szCs w:val="20"/>
                <w:color w:val="auto"/>
              </w:rPr>
            </w:pPr>
            <w:r>
              <w:rPr>
                <w:rFonts w:ascii="Times New Roman" w:cs="Times New Roman" w:eastAsia="Times New Roman" w:hAnsi="Times New Roman"/>
                <w:sz w:val="16"/>
                <w:szCs w:val="16"/>
                <w:i w:val="1"/>
                <w:iCs w:val="1"/>
                <w:color w:val="auto"/>
              </w:rPr>
              <w:t>Additional information regarding the components of Comparable Property POI</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3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4"/>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14"/>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7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Minimum rents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229,474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225,153</w:t>
            </w:r>
          </w:p>
        </w:tc>
        <w:tc>
          <w:tcPr>
            <w:tcW w:w="9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4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Cost reimbursements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61,901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59,840</w:t>
            </w:r>
          </w:p>
        </w:tc>
        <w:tc>
          <w:tcPr>
            <w:tcW w:w="9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14,767</w:t>
            </w:r>
          </w:p>
        </w:tc>
        <w:tc>
          <w:tcPr>
            <w:tcW w:w="94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6"/>
                <w:szCs w:val="16"/>
                <w:color w:val="auto"/>
              </w:rPr>
              <w:t>Collectibility related impacts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940" w:type="dxa"/>
            <w:vAlign w:val="bottom"/>
            <w:tcBorders>
              <w:bottom w:val="single" w:sz="8" w:color="CCEEFF"/>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7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property revenue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305,391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298,947</w:t>
            </w:r>
          </w:p>
        </w:tc>
        <w:tc>
          <w:tcPr>
            <w:tcW w:w="940" w:type="dxa"/>
            <w:vAlign w:val="bottom"/>
            <w:shd w:val="clear" w:color="auto" w:fill="CCEEFF"/>
          </w:tcPr>
          <w:p>
            <w:pPr>
              <w:spacing w:after="0"/>
              <w:rPr>
                <w:sz w:val="18"/>
                <w:szCs w:val="18"/>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20" w:type="dxa"/>
            <w:vAlign w:val="bottom"/>
            <w:shd w:val="clear" w:color="auto" w:fill="CCEEFF"/>
          </w:tcPr>
          <w:p>
            <w:pPr>
              <w:spacing w:after="0"/>
              <w:rPr>
                <w:sz w:val="18"/>
                <w:szCs w:val="18"/>
                <w:color w:val="auto"/>
              </w:rPr>
            </w:pPr>
          </w:p>
        </w:tc>
        <w:tc>
          <w:tcPr>
            <w:tcW w:w="7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Rental expenses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(58,257)</w:t>
            </w:r>
          </w:p>
        </w:tc>
        <w:tc>
          <w:tcPr>
            <w:tcW w:w="94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6"/>
                <w:szCs w:val="16"/>
                <w:color w:val="auto"/>
              </w:rPr>
              <w:t>Real estate taxes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(36,499)</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(35,080)</w:t>
            </w:r>
          </w:p>
        </w:tc>
        <w:tc>
          <w:tcPr>
            <w:tcW w:w="940" w:type="dxa"/>
            <w:vAlign w:val="bottom"/>
            <w:tcBorders>
              <w:bottom w:val="single" w:sz="8" w:color="CCEEFF"/>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7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property expenses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(94,608)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(93,337)</w:t>
            </w:r>
          </w:p>
        </w:tc>
        <w:tc>
          <w:tcPr>
            <w:tcW w:w="940" w:type="dxa"/>
            <w:vAlign w:val="bottom"/>
            <w:shd w:val="clear" w:color="auto" w:fill="CCEEFF"/>
          </w:tcPr>
          <w:p>
            <w:pPr>
              <w:spacing w:after="0"/>
              <w:rPr>
                <w:sz w:val="18"/>
                <w:szCs w:val="18"/>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7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Comparable Property POI</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210,783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205,610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w:t>
            </w: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20" w:type="dxa"/>
            <w:vAlign w:val="bottom"/>
            <w:shd w:val="clear" w:color="auto" w:fill="CCEEFF"/>
          </w:tcPr>
          <w:p>
            <w:pPr>
              <w:spacing w:after="0"/>
              <w:rPr>
                <w:sz w:val="18"/>
                <w:szCs w:val="18"/>
                <w:color w:val="auto"/>
              </w:rPr>
            </w:pPr>
          </w:p>
        </w:tc>
        <w:tc>
          <w:tcPr>
            <w:tcW w:w="7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Comparable Property POI</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196,771</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w:t>
            </w:r>
          </w:p>
        </w:tc>
      </w:tr>
      <w:tr>
        <w:trPr>
          <w:trHeight w:val="283"/>
        </w:trPr>
        <w:tc>
          <w:tcPr>
            <w:tcW w:w="20" w:type="dxa"/>
            <w:vAlign w:val="bottom"/>
          </w:tcPr>
          <w:p>
            <w:pPr>
              <w:spacing w:after="0"/>
              <w:rPr>
                <w:sz w:val="24"/>
                <w:szCs w:val="24"/>
                <w:color w:val="auto"/>
              </w:rPr>
            </w:pPr>
          </w:p>
        </w:tc>
        <w:tc>
          <w:tcPr>
            <w:tcW w:w="7480" w:type="dxa"/>
            <w:vAlign w:val="bottom"/>
            <w:gridSpan w:val="6"/>
          </w:tcPr>
          <w:p>
            <w:pPr>
              <w:spacing w:after="0"/>
              <w:rPr>
                <w:sz w:val="20"/>
                <w:szCs w:val="20"/>
                <w:color w:val="auto"/>
              </w:rPr>
            </w:pPr>
            <w:r>
              <w:rPr>
                <w:rFonts w:ascii="Times New Roman" w:cs="Times New Roman" w:eastAsia="Times New Roman" w:hAnsi="Times New Roman"/>
                <w:sz w:val="16"/>
                <w:szCs w:val="16"/>
                <w:i w:val="1"/>
                <w:iCs w:val="1"/>
                <w:color w:val="auto"/>
              </w:rPr>
              <w:t>Comparable Property - Summary of Capital Expenditures (2)</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3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4"/>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4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9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7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Redevelopment and tenant improvements and incentives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32,150</w:t>
            </w:r>
          </w:p>
        </w:tc>
        <w:tc>
          <w:tcPr>
            <w:tcW w:w="94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6"/>
                <w:szCs w:val="16"/>
                <w:color w:val="auto"/>
              </w:rPr>
              <w:t>Maintenance capital expenditures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9,612</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940" w:type="dxa"/>
            <w:vAlign w:val="bottom"/>
            <w:tcBorders>
              <w:bottom w:val="single" w:sz="8" w:color="CCEEFF"/>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38,452</w:t>
            </w:r>
          </w:p>
        </w:tc>
        <w:tc>
          <w:tcPr>
            <w:tcW w:w="94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7480" w:type="dxa"/>
            <w:vAlign w:val="bottom"/>
            <w:gridSpan w:val="6"/>
          </w:tcPr>
          <w:p>
            <w:pPr>
              <w:spacing w:after="0"/>
              <w:rPr>
                <w:sz w:val="20"/>
                <w:szCs w:val="20"/>
                <w:color w:val="auto"/>
              </w:rPr>
            </w:pPr>
            <w:r>
              <w:rPr>
                <w:rFonts w:ascii="Times New Roman" w:cs="Times New Roman" w:eastAsia="Times New Roman" w:hAnsi="Times New Roman"/>
                <w:sz w:val="16"/>
                <w:szCs w:val="16"/>
                <w:i w:val="1"/>
                <w:iCs w:val="1"/>
                <w:color w:val="auto"/>
              </w:rPr>
              <w:t>Comparable Property - Occupancy Statistics (2)</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3"/>
        </w:trPr>
        <w:tc>
          <w:tcPr>
            <w:tcW w:w="20" w:type="dxa"/>
            <w:vAlign w:val="bottom"/>
          </w:tcPr>
          <w:p>
            <w:pPr>
              <w:spacing w:after="0"/>
              <w:rPr>
                <w:sz w:val="20"/>
                <w:szCs w:val="20"/>
                <w:color w:val="auto"/>
              </w:rPr>
            </w:pPr>
          </w:p>
        </w:tc>
        <w:tc>
          <w:tcPr>
            <w:tcW w:w="314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940" w:type="dxa"/>
            <w:vAlign w:val="bottom"/>
          </w:tcPr>
          <w:p>
            <w:pPr>
              <w:spacing w:after="0"/>
              <w:rPr>
                <w:sz w:val="20"/>
                <w:szCs w:val="20"/>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3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940" w:type="dxa"/>
            <w:vAlign w:val="bottom"/>
            <w:tcBorders>
              <w:bottom w:val="single" w:sz="8" w:color="CCEEFF"/>
            </w:tcBorders>
          </w:tcPr>
          <w:p>
            <w:pPr>
              <w:spacing w:after="0"/>
              <w:rPr>
                <w:sz w:val="18"/>
                <w:szCs w:val="18"/>
                <w:color w:val="auto"/>
              </w:rPr>
            </w:pPr>
          </w:p>
        </w:tc>
      </w:tr>
      <w:tr>
        <w:trPr>
          <w:trHeight w:val="211"/>
        </w:trPr>
        <w:tc>
          <w:tcPr>
            <w:tcW w:w="20" w:type="dxa"/>
            <w:vAlign w:val="bottom"/>
            <w:shd w:val="clear" w:color="auto" w:fill="CCEEFF"/>
          </w:tcPr>
          <w:p>
            <w:pPr>
              <w:spacing w:after="0"/>
              <w:rPr>
                <w:sz w:val="18"/>
                <w:szCs w:val="18"/>
                <w:color w:val="auto"/>
              </w:rPr>
            </w:pPr>
          </w:p>
        </w:tc>
        <w:tc>
          <w:tcPr>
            <w:tcW w:w="7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GLA - comparable commercial properties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26,168,000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26,129,000</w:t>
            </w:r>
          </w:p>
        </w:tc>
        <w:tc>
          <w:tcPr>
            <w:tcW w:w="9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4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Leased % - comparable commercial properties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9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Occupancy % - comparable commercial properties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940" w:type="dxa"/>
            <w:vAlign w:val="bottom"/>
            <w:shd w:val="clear" w:color="auto" w:fill="CCEEFF"/>
          </w:tcPr>
          <w:p>
            <w:pPr>
              <w:spacing w:after="0"/>
              <w:rPr>
                <w:sz w:val="19"/>
                <w:szCs w:val="19"/>
                <w:color w:val="auto"/>
              </w:rPr>
            </w:pPr>
          </w:p>
        </w:tc>
      </w:tr>
    </w:tbl>
    <w:p>
      <w:pPr>
        <w:spacing w:after="0" w:line="6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10" w:lineRule="exact"/>
        <w:rPr>
          <w:sz w:val="20"/>
          <w:szCs w:val="20"/>
          <w:color w:val="auto"/>
        </w:rPr>
      </w:pPr>
    </w:p>
    <w:p>
      <w:pPr>
        <w:ind w:left="408" w:hanging="408"/>
        <w:spacing w:after="0"/>
        <w:tabs>
          <w:tab w:leader="none" w:pos="40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lease termination fees of $1.0 million and $1.9 million for the three months ended September 30, 2026 and 2025, respectively.</w:t>
      </w:r>
    </w:p>
    <w:p>
      <w:pPr>
        <w:spacing w:after="0" w:line="5" w:lineRule="exact"/>
        <w:rPr>
          <w:rFonts w:ascii="Times New Roman" w:cs="Times New Roman" w:eastAsia="Times New Roman" w:hAnsi="Times New Roman"/>
          <w:sz w:val="16"/>
          <w:szCs w:val="16"/>
          <w:color w:val="auto"/>
        </w:rPr>
      </w:pPr>
    </w:p>
    <w:p>
      <w:pPr>
        <w:ind w:left="408" w:hanging="408"/>
        <w:spacing w:after="0"/>
        <w:tabs>
          <w:tab w:leader="none" w:pos="40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page 10 for "Summary of Capital Expenditures" and page 25 for portfolio occupancy statistics for our entire portfolio.</w:t>
      </w:r>
    </w:p>
    <w:p>
      <w:pPr>
        <w:sectPr>
          <w:pgSz w:w="11900" w:h="16838" w:orient="portrait"/>
          <w:cols w:equalWidth="0" w:num="1">
            <w:col w:w="11248"/>
          </w:cols>
          <w:pgMar w:left="312" w:top="603" w:right="339" w:bottom="1440" w:gutter="0" w:footer="0" w:header="0"/>
        </w:sectPr>
      </w:pPr>
    </w:p>
    <w:p>
      <w:pPr>
        <w:spacing w:after="0" w:line="13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8"/>
          </w:cols>
          <w:pgMar w:left="312" w:top="603" w:right="339" w:bottom="1440" w:gutter="0" w:footer="0" w:header="0"/>
          <w:type w:val="continuous"/>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Market Data, Debt Metrics, and Senior Notes and Debentures Covenants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6"/>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Common shares outstanding and downREIT operating partnership units (1)</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86,792</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 price per common share</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0" w:type="dxa"/>
            <w:vAlign w:val="bottom"/>
          </w:tcPr>
          <w:p>
            <w:pPr>
              <w:spacing w:after="0"/>
              <w:rPr>
                <w:sz w:val="1"/>
                <w:szCs w:val="1"/>
                <w:color w:val="auto"/>
              </w:rPr>
            </w:pPr>
          </w:p>
        </w:tc>
      </w:tr>
      <w:tr>
        <w:trPr>
          <w:trHeight w:val="223"/>
        </w:trPr>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6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Common equity market capitalization including downREIT operating partnership units</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9,402,063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8,792,898</w:t>
            </w: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Series C preferred shares outstanding</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Liquidation price per Series C preferred share</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23"/>
        </w:trPr>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6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Series C preferred equity market capitalization</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Series 1 preferred shares outstanding (2)</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Liquidation price per Series 1 preferred share</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3"/>
        </w:trPr>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6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Series 1 preferred equity market capitalization</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market capitalization</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9,561,888</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8,952,723</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4,883,584</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4,723,344</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(111,311)</w:t>
            </w:r>
          </w:p>
        </w:tc>
        <w:tc>
          <w:tcPr>
            <w:tcW w:w="0" w:type="dxa"/>
            <w:vAlign w:val="bottom"/>
          </w:tcPr>
          <w:p>
            <w:pPr>
              <w:spacing w:after="0"/>
              <w:rPr>
                <w:sz w:val="1"/>
                <w:szCs w:val="1"/>
                <w:color w:val="auto"/>
              </w:rPr>
            </w:pPr>
          </w:p>
        </w:tc>
      </w:tr>
      <w:tr>
        <w:trPr>
          <w:trHeight w:val="223"/>
        </w:trPr>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6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net debt (3)</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4,773,856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4,612,033</w:t>
            </w:r>
          </w:p>
        </w:tc>
        <w:tc>
          <w:tcPr>
            <w:tcW w:w="0" w:type="dxa"/>
            <w:vAlign w:val="bottom"/>
          </w:tcPr>
          <w:p>
            <w:pPr>
              <w:spacing w:after="0"/>
              <w:rPr>
                <w:sz w:val="1"/>
                <w:szCs w:val="1"/>
                <w:color w:val="auto"/>
              </w:rPr>
            </w:pPr>
          </w:p>
        </w:tc>
      </w:tr>
      <w:tr>
        <w:trPr>
          <w:trHeight w:val="196"/>
        </w:trPr>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market capitalization</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14,335,744</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13,564,756</w:t>
            </w:r>
          </w:p>
        </w:tc>
        <w:tc>
          <w:tcPr>
            <w:tcW w:w="0" w:type="dxa"/>
            <w:vAlign w:val="bottom"/>
          </w:tcPr>
          <w:p>
            <w:pPr>
              <w:spacing w:after="0"/>
              <w:rPr>
                <w:sz w:val="1"/>
                <w:szCs w:val="1"/>
                <w:color w:val="auto"/>
              </w:rPr>
            </w:pPr>
          </w:p>
        </w:tc>
      </w:tr>
      <w:tr>
        <w:trPr>
          <w:trHeight w:val="20"/>
        </w:trPr>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Leverage and Liquidity Ratio</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debt to market capitalization at market price per common share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3"/>
        </w:trPr>
        <w:tc>
          <w:tcPr>
            <w:tcW w:w="440" w:type="dxa"/>
            <w:vAlign w:val="bottom"/>
            <w:gridSpan w:val="2"/>
          </w:tcPr>
          <w:p>
            <w:pPr>
              <w:spacing w:after="0"/>
              <w:rPr>
                <w:sz w:val="17"/>
                <w:szCs w:val="17"/>
                <w:color w:val="auto"/>
              </w:rPr>
            </w:pPr>
          </w:p>
        </w:tc>
        <w:tc>
          <w:tcPr>
            <w:tcW w:w="7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and Debentures Covenants (4)</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80" w:type="dxa"/>
            <w:vAlign w:val="bottom"/>
          </w:tcPr>
          <w:p>
            <w:pPr>
              <w:spacing w:after="0"/>
              <w:rPr>
                <w:sz w:val="14"/>
                <w:szCs w:val="14"/>
                <w:color w:val="auto"/>
              </w:rPr>
            </w:pPr>
          </w:p>
        </w:tc>
        <w:tc>
          <w:tcPr>
            <w:tcW w:w="1320" w:type="dxa"/>
            <w:vAlign w:val="bottom"/>
          </w:tcPr>
          <w:p>
            <w:pPr>
              <w:jc w:val="right"/>
              <w:ind w:right="132"/>
              <w:spacing w:after="0" w:line="162" w:lineRule="exact"/>
              <w:rPr>
                <w:sz w:val="20"/>
                <w:szCs w:val="20"/>
                <w:color w:val="auto"/>
              </w:rPr>
            </w:pPr>
            <w:r>
              <w:rPr>
                <w:rFonts w:ascii="Times New Roman" w:cs="Times New Roman" w:eastAsia="Times New Roman" w:hAnsi="Times New Roman"/>
                <w:sz w:val="16"/>
                <w:szCs w:val="16"/>
                <w:b w:val="1"/>
                <w:bCs w:val="1"/>
                <w:color w:val="auto"/>
              </w:rPr>
              <w:t>Debt Covenant</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Threshold (5)</w:t>
            </w:r>
          </w:p>
        </w:tc>
        <w:tc>
          <w:tcPr>
            <w:tcW w:w="0" w:type="dxa"/>
            <w:vAlign w:val="bottom"/>
          </w:tcPr>
          <w:p>
            <w:pPr>
              <w:spacing w:after="0"/>
              <w:rPr>
                <w:sz w:val="1"/>
                <w:szCs w:val="1"/>
                <w:color w:val="auto"/>
              </w:rPr>
            </w:pPr>
          </w:p>
        </w:tc>
      </w:tr>
      <w:tr>
        <w:trPr>
          <w:trHeight w:val="225"/>
        </w:trPr>
        <w:tc>
          <w:tcPr>
            <w:tcW w:w="240" w:type="dxa"/>
            <w:vAlign w:val="bottom"/>
            <w:tcBorders>
              <w:top w:val="single" w:sz="8" w:color="CCEEFF"/>
            </w:tcBorders>
            <w:shd w:val="clear" w:color="auto" w:fill="CCEEFF"/>
          </w:tcPr>
          <w:p>
            <w:pPr>
              <w:spacing w:after="0"/>
              <w:rPr>
                <w:sz w:val="19"/>
                <w:szCs w:val="19"/>
                <w:color w:val="auto"/>
              </w:rPr>
            </w:pPr>
          </w:p>
        </w:tc>
        <w:tc>
          <w:tcPr>
            <w:tcW w:w="786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 to Total Assets</w:t>
            </w:r>
          </w:p>
        </w:tc>
        <w:tc>
          <w:tcPr>
            <w:tcW w:w="2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ind w:right="172"/>
              <w:spacing w:after="0"/>
              <w:rPr>
                <w:sz w:val="20"/>
                <w:szCs w:val="20"/>
                <w:color w:val="auto"/>
              </w:rPr>
            </w:pPr>
            <w:r>
              <w:rPr>
                <w:rFonts w:ascii="Times New Roman" w:cs="Times New Roman" w:eastAsia="Times New Roman" w:hAnsi="Times New Roman"/>
                <w:sz w:val="18"/>
                <w:szCs w:val="18"/>
                <w:color w:val="auto"/>
                <w:w w:val="96"/>
              </w:rPr>
              <w:t>39%</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6"/>
              </w:rPr>
              <w:t>&lt; 60%</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Secured Debt to Total Assets</w:t>
            </w:r>
          </w:p>
        </w:tc>
        <w:tc>
          <w:tcPr>
            <w:tcW w:w="280" w:type="dxa"/>
            <w:vAlign w:val="bottom"/>
          </w:tcPr>
          <w:p>
            <w:pPr>
              <w:spacing w:after="0"/>
              <w:rPr>
                <w:sz w:val="19"/>
                <w:szCs w:val="19"/>
                <w:color w:val="auto"/>
              </w:rPr>
            </w:pPr>
          </w:p>
        </w:tc>
        <w:tc>
          <w:tcPr>
            <w:tcW w:w="12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6"/>
              </w:rPr>
              <w:t>&lt; 40%</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Income to Annual Debt Service Charge</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3.7x</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9"/>
              </w:rPr>
              <w:t>&gt; 1.5x</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Unencumbered Assets to Unsecured Debt</w:t>
            </w:r>
          </w:p>
        </w:tc>
        <w:tc>
          <w:tcPr>
            <w:tcW w:w="280" w:type="dxa"/>
            <w:vAlign w:val="bottom"/>
          </w:tcPr>
          <w:p>
            <w:pPr>
              <w:spacing w:after="0"/>
              <w:rPr>
                <w:sz w:val="20"/>
                <w:szCs w:val="20"/>
                <w:color w:val="auto"/>
              </w:rPr>
            </w:pP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9"/>
              </w:rPr>
              <w:t>252%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&gt; 150%</w:t>
            </w:r>
          </w:p>
        </w:tc>
        <w:tc>
          <w:tcPr>
            <w:tcW w:w="0" w:type="dxa"/>
            <w:vAlign w:val="bottom"/>
          </w:tcPr>
          <w:p>
            <w:pPr>
              <w:spacing w:after="0"/>
              <w:rPr>
                <w:sz w:val="1"/>
                <w:szCs w:val="1"/>
                <w:color w:val="auto"/>
              </w:rPr>
            </w:pPr>
          </w:p>
        </w:tc>
      </w:tr>
      <w:tr>
        <w:trPr>
          <w:trHeight w:val="481"/>
        </w:trPr>
        <w:tc>
          <w:tcPr>
            <w:tcW w:w="8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Notes: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top w:val="single" w:sz="8" w:color="auto"/>
            </w:tcBorders>
          </w:tcPr>
          <w:p>
            <w:pPr>
              <w:spacing w:after="0"/>
              <w:rPr>
                <w:sz w:val="24"/>
                <w:szCs w:val="24"/>
                <w:color w:val="auto"/>
              </w:rPr>
            </w:pPr>
          </w:p>
        </w:tc>
        <w:tc>
          <w:tcPr>
            <w:tcW w:w="930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Amounts include 526,408 and 526,915 downREIT operating partnership units outstanding at September 30, 2026 and 2025, respectively.</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22"/>
                <w:szCs w:val="22"/>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These shares, issued March 8, 2007, are unregistered.</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9"/>
                <w:szCs w:val="19"/>
                <w:color w:val="auto"/>
              </w:rPr>
            </w:pPr>
          </w:p>
        </w:tc>
        <w:tc>
          <w:tcPr>
            <w:tcW w:w="10800" w:type="dxa"/>
            <w:vAlign w:val="bottom"/>
            <w:gridSpan w:val="6"/>
          </w:tcPr>
          <w:p>
            <w:pPr>
              <w:ind w:left="220"/>
              <w:spacing w:after="0"/>
              <w:rPr>
                <w:sz w:val="20"/>
                <w:szCs w:val="20"/>
                <w:color w:val="auto"/>
              </w:rPr>
            </w:pPr>
            <w:r>
              <w:rPr>
                <w:rFonts w:ascii="Times New Roman" w:cs="Times New Roman" w:eastAsia="Times New Roman" w:hAnsi="Times New Roman"/>
                <w:sz w:val="16"/>
                <w:szCs w:val="16"/>
                <w:color w:val="auto"/>
              </w:rPr>
              <w:t>Total net debt includes mortgages payable, notes payable, senior notes and debentures, net of premiums/discounts and debt issuance costs and net of cash and cash</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equivalents from our consolidated balance sheet.</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22"/>
                <w:szCs w:val="22"/>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The reference period for calculating these covenants is the most recent twelve months ended September 30, 2026.</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20"/>
                <w:szCs w:val="20"/>
                <w:color w:val="auto"/>
              </w:rPr>
            </w:pPr>
          </w:p>
        </w:tc>
        <w:tc>
          <w:tcPr>
            <w:tcW w:w="10800" w:type="dxa"/>
            <w:vAlign w:val="bottom"/>
            <w:gridSpan w:val="6"/>
          </w:tcPr>
          <w:p>
            <w:pPr>
              <w:ind w:left="220"/>
              <w:spacing w:after="0"/>
              <w:rPr>
                <w:sz w:val="20"/>
                <w:szCs w:val="20"/>
                <w:color w:val="auto"/>
              </w:rPr>
            </w:pPr>
            <w:r>
              <w:rPr>
                <w:rFonts w:ascii="Times New Roman" w:cs="Times New Roman" w:eastAsia="Times New Roman" w:hAnsi="Times New Roman"/>
                <w:sz w:val="16"/>
                <w:szCs w:val="16"/>
                <w:color w:val="auto"/>
              </w:rPr>
              <w:t>For a detailed description of the senior unsecured notes covenants and definitions of the terms, please refer to our filings with the Securities and Exchange</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Commission.</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2"/>
        </w:trPr>
        <w:tc>
          <w:tcPr>
            <w:tcW w:w="240" w:type="dxa"/>
            <w:vAlign w:val="bottom"/>
          </w:tcPr>
          <w:p>
            <w:pPr>
              <w:spacing w:after="0"/>
              <w:rPr>
                <w:sz w:val="24"/>
                <w:szCs w:val="24"/>
                <w:color w:val="auto"/>
              </w:rPr>
            </w:pPr>
          </w:p>
        </w:tc>
        <w:tc>
          <w:tcPr>
            <w:tcW w:w="7860" w:type="dxa"/>
            <w:vAlign w:val="bottom"/>
            <w:gridSpan w:val="2"/>
          </w:tcPr>
          <w:p>
            <w:pPr>
              <w:ind w:left="530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2"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Outstanding Debt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0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Stated maturity date</w:t>
            </w:r>
          </w:p>
        </w:tc>
        <w:tc>
          <w:tcPr>
            <w:tcW w:w="2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20" w:type="dxa"/>
            <w:vAlign w:val="bottom"/>
          </w:tcPr>
          <w:p>
            <w:pPr>
              <w:spacing w:after="0"/>
              <w:rPr>
                <w:sz w:val="11"/>
                <w:szCs w:val="1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right"/>
              <w:ind w:right="79"/>
              <w:spacing w:after="0" w:line="13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2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effective rate (7)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Mortgages payable (1)</w:t>
            </w:r>
          </w:p>
        </w:tc>
        <w:tc>
          <w:tcPr>
            <w:tcW w:w="2240" w:type="dxa"/>
            <w:vAlign w:val="bottom"/>
            <w:tcBorders>
              <w:bottom w:val="single" w:sz="8" w:color="CCEEFF"/>
            </w:tcBorders>
            <w:gridSpan w:val="2"/>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Bethesda Row</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28, 2026 (2)</w:t>
            </w: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SOFR + 0.95%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Plaza El Segundo</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5, 2027</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1, 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Azalea (3)</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30, 2028 (4)</w:t>
            </w:r>
          </w:p>
        </w:tc>
        <w:tc>
          <w:tcPr>
            <w:tcW w:w="2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SOFR + 0.85%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Brook 35</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July 1, 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Hoboken (24 Buildings)</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15, 2029</w:t>
            </w:r>
          </w:p>
        </w:tc>
        <w:tc>
          <w:tcPr>
            <w:tcW w:w="2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SOFR + 1.95% (5)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49,357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Various Hoboken (4 Buildings)</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Various through 2029</w:t>
            </w: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4.88% to 5.76%</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Chelsea</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15, 2031</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5.36%</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20" w:type="dxa"/>
            <w:vAlign w:val="bottom"/>
            <w:gridSpan w:val="4"/>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497,588</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00" w:type="dxa"/>
            <w:vAlign w:val="bottom"/>
            <w:gridSpan w:val="6"/>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 and discount</w:t>
            </w:r>
          </w:p>
        </w:tc>
        <w:tc>
          <w:tcPr>
            <w:tcW w:w="1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720" w:type="dxa"/>
            <w:vAlign w:val="bottom"/>
            <w:tcBorders>
              <w:bottom w:val="single" w:sz="8" w:color="CCEEFF"/>
            </w:tcBorders>
            <w:gridSpan w:val="4"/>
          </w:tcPr>
          <w:p>
            <w:pPr>
              <w:ind w:left="68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9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496,694</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rPr>
              <w:t>4.42%</w:t>
            </w:r>
          </w:p>
        </w:tc>
        <w:tc>
          <w:tcPr>
            <w:tcW w:w="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9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2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Notes payable</w:t>
            </w: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$750 million term loan (3)</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20, 2028</w:t>
            </w:r>
          </w:p>
        </w:tc>
        <w:tc>
          <w:tcPr>
            <w:tcW w:w="2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SOFR + 0.85%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Revolving credit facility (3)(6)</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April 12, 2030</w:t>
            </w: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SOFR + 0.725%</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$250 million term loan (3)</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31, 2031</w:t>
            </w:r>
          </w:p>
        </w:tc>
        <w:tc>
          <w:tcPr>
            <w:tcW w:w="2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SOFR + 0.85%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gridSpan w:val="4"/>
          </w:tcPr>
          <w:p>
            <w:pPr>
              <w:ind w:left="360"/>
              <w:spacing w:after="0"/>
              <w:rPr>
                <w:sz w:val="20"/>
                <w:szCs w:val="20"/>
                <w:color w:val="auto"/>
              </w:rPr>
            </w:pPr>
            <w:r>
              <w:rPr>
                <w:rFonts w:ascii="Times New Roman" w:cs="Times New Roman" w:eastAsia="Times New Roman" w:hAnsi="Times New Roman"/>
                <w:sz w:val="16"/>
                <w:szCs w:val="16"/>
                <w:color w:val="auto"/>
              </w:rPr>
              <w:t>Various</w:t>
            </w:r>
          </w:p>
        </w:tc>
        <w:tc>
          <w:tcPr>
            <w:tcW w:w="2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Various through 2059</w:t>
            </w:r>
          </w:p>
        </w:tc>
        <w:tc>
          <w:tcPr>
            <w:tcW w:w="206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4"/>
              </w:rPr>
              <w:t>Various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72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1,001,055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gridSpan w:val="4"/>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9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72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notes payable, net</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997,121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4.69%</w:t>
            </w:r>
          </w:p>
        </w:tc>
        <w:tc>
          <w:tcPr>
            <w:tcW w:w="4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72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Senior notes and debentures</w:t>
            </w:r>
          </w:p>
        </w:tc>
        <w:tc>
          <w:tcPr>
            <w:tcW w:w="1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1820" w:type="dxa"/>
            <w:vAlign w:val="bottom"/>
            <w:tcBorders>
              <w:top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9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7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3.25% notes</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15, 2027</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6.82% medium term notes</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1, 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5.375% notes</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1, 2028</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5.375%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3.25% exchangeable notes</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January 15, 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3.20% notes</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15, 2029</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3.50% notes</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1, 2030</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3.50% exchangeable notes</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15, 2031</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4.50% notes</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1, 2044</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3.625% notes</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 2046</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3.625%</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20" w:type="dxa"/>
            <w:vAlign w:val="bottom"/>
            <w:gridSpan w:val="4"/>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3,410,000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00" w:type="dxa"/>
            <w:vAlign w:val="bottom"/>
            <w:gridSpan w:val="6"/>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720" w:type="dxa"/>
            <w:vAlign w:val="bottom"/>
            <w:tcBorders>
              <w:bottom w:val="single" w:sz="8" w:color="CCEEFF"/>
            </w:tcBorders>
            <w:gridSpan w:val="4"/>
          </w:tcPr>
          <w:p>
            <w:pPr>
              <w:ind w:left="68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9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3,389,769</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rPr>
              <w:t>4.02%</w:t>
            </w:r>
          </w:p>
        </w:tc>
        <w:tc>
          <w:tcPr>
            <w:tcW w:w="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Total debt, net</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4,883,584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9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fixed rate debt, net</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4,081,469</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4.06%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variable rate debt, net</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802,115</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4.90%</w:t>
            </w:r>
          </w:p>
        </w:tc>
        <w:tc>
          <w:tcPr>
            <w:tcW w:w="4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debt, net</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4,883,584</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4.20%</w:t>
            </w:r>
          </w:p>
        </w:tc>
        <w:tc>
          <w:tcPr>
            <w:tcW w:w="4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Notes:</w:t>
      </w:r>
    </w:p>
    <w:p>
      <w:pPr>
        <w:spacing w:after="0" w:line="63" w:lineRule="exact"/>
        <w:rPr>
          <w:sz w:val="20"/>
          <w:szCs w:val="20"/>
          <w:color w:val="auto"/>
        </w:rPr>
      </w:pPr>
    </w:p>
    <w:p>
      <w:pPr>
        <w:ind w:left="660" w:right="220" w:hanging="652"/>
        <w:spacing w:after="0" w:line="262" w:lineRule="auto"/>
        <w:tabs>
          <w:tab w:leader="none" w:pos="654"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Mortgages payable does not include our share of debt on our unconsolidated real estate partnerships. At September 30, 2026, our share of unconsolidated debt was approximately $61.7 million. At September 30, 2026, our noncontrolling interests' share of mortgages payable was $12.7 million.</w:t>
      </w:r>
    </w:p>
    <w:p>
      <w:pPr>
        <w:spacing w:after="0" w:line="1" w:lineRule="exact"/>
        <w:rPr>
          <w:rFonts w:ascii="Times New Roman" w:cs="Times New Roman" w:eastAsia="Times New Roman" w:hAnsi="Times New Roman"/>
          <w:sz w:val="15"/>
          <w:szCs w:val="15"/>
          <w:color w:val="auto"/>
        </w:rPr>
      </w:pPr>
    </w:p>
    <w:p>
      <w:pPr>
        <w:ind w:left="660" w:hanging="652"/>
        <w:spacing w:after="0"/>
        <w:tabs>
          <w:tab w:leader="none" w:pos="6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one one-year extension, at our option, to extend the maturity date of this mortgage loan to December 28, 2027.</w:t>
      </w:r>
    </w:p>
    <w:p>
      <w:pPr>
        <w:spacing w:after="0" w:line="43" w:lineRule="exact"/>
        <w:rPr>
          <w:rFonts w:ascii="Times New Roman" w:cs="Times New Roman" w:eastAsia="Times New Roman" w:hAnsi="Times New Roman"/>
          <w:sz w:val="15"/>
          <w:szCs w:val="15"/>
          <w:color w:val="auto"/>
        </w:rPr>
      </w:pPr>
    </w:p>
    <w:p>
      <w:pPr>
        <w:ind w:left="660" w:right="240" w:hanging="652"/>
        <w:spacing w:after="0" w:line="256" w:lineRule="auto"/>
        <w:tabs>
          <w:tab w:leader="none" w:pos="654"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Azalea mortgage loan, revolving credit facility SOFR loans and our unsecured term loans bear interest at Daily Simple SOFR, as defined in the respective credit agreements, plus a spread, based on our current credit rating. The interest rate on $450.0 million of our $750.0 million term loan is fixed at a weighted average interest rate of 4.17% through March 1, 2028 through interest rate swap agreements.</w:t>
      </w:r>
    </w:p>
    <w:p>
      <w:pPr>
        <w:spacing w:after="0" w:line="1" w:lineRule="exact"/>
        <w:rPr>
          <w:rFonts w:ascii="Times New Roman" w:cs="Times New Roman" w:eastAsia="Times New Roman" w:hAnsi="Times New Roman"/>
          <w:sz w:val="15"/>
          <w:szCs w:val="15"/>
          <w:color w:val="auto"/>
        </w:rPr>
      </w:pPr>
    </w:p>
    <w:p>
      <w:pPr>
        <w:ind w:left="660" w:hanging="652"/>
        <w:spacing w:after="0"/>
        <w:tabs>
          <w:tab w:leader="none" w:pos="6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two one-year extensions, at our option, to extend the maturity date of this mortgage loan to October 30, 2030.</w:t>
      </w:r>
    </w:p>
    <w:p>
      <w:pPr>
        <w:spacing w:after="0" w:line="43" w:lineRule="exact"/>
        <w:rPr>
          <w:rFonts w:ascii="Times New Roman" w:cs="Times New Roman" w:eastAsia="Times New Roman" w:hAnsi="Times New Roman"/>
          <w:sz w:val="15"/>
          <w:szCs w:val="15"/>
          <w:color w:val="auto"/>
        </w:rPr>
      </w:pPr>
    </w:p>
    <w:p>
      <w:pPr>
        <w:ind w:left="660" w:hanging="652"/>
        <w:spacing w:after="0"/>
        <w:tabs>
          <w:tab w:leader="none" w:pos="6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interest rate on this mortgage loan is fixed at 3.67% through two interest rate swap agreements.</w:t>
      </w:r>
    </w:p>
    <w:p>
      <w:pPr>
        <w:spacing w:after="0" w:line="30" w:lineRule="exact"/>
        <w:rPr>
          <w:rFonts w:ascii="Times New Roman" w:cs="Times New Roman" w:eastAsia="Times New Roman" w:hAnsi="Times New Roman"/>
          <w:sz w:val="15"/>
          <w:szCs w:val="15"/>
          <w:color w:val="auto"/>
        </w:rPr>
      </w:pPr>
    </w:p>
    <w:p>
      <w:pPr>
        <w:ind w:left="660" w:right="120" w:hanging="652"/>
        <w:spacing w:after="0" w:line="256" w:lineRule="auto"/>
        <w:tabs>
          <w:tab w:leader="none" w:pos="654"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maximum amount drawn under our revolving credit facility during the three and nine months ended September 30, 2026 was $346.8 million and $699.5 million, respectively. The weighted average interest rate on borrowings under our credit facility, before amortization of debt fees, was 4.3% and 4.4% for the three and nine months ended September 30, 2026, respectively.</w:t>
      </w:r>
    </w:p>
    <w:p>
      <w:pPr>
        <w:spacing w:after="0" w:line="15" w:lineRule="exact"/>
        <w:rPr>
          <w:rFonts w:ascii="Times New Roman" w:cs="Times New Roman" w:eastAsia="Times New Roman" w:hAnsi="Times New Roman"/>
          <w:sz w:val="15"/>
          <w:szCs w:val="15"/>
          <w:color w:val="auto"/>
        </w:rPr>
      </w:pPr>
    </w:p>
    <w:p>
      <w:pPr>
        <w:ind w:left="660" w:hanging="652"/>
        <w:spacing w:after="0"/>
        <w:tabs>
          <w:tab w:leader="none" w:pos="6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 effective interest rate includes the amortization of any debt issuance costs and discounts and premiums, if applicable, except as described in Note 8.</w:t>
      </w:r>
    </w:p>
    <w:p>
      <w:pPr>
        <w:spacing w:after="0" w:line="43" w:lineRule="exact"/>
        <w:rPr>
          <w:rFonts w:ascii="Times New Roman" w:cs="Times New Roman" w:eastAsia="Times New Roman" w:hAnsi="Times New Roman"/>
          <w:sz w:val="15"/>
          <w:szCs w:val="15"/>
          <w:color w:val="auto"/>
        </w:rPr>
      </w:pPr>
    </w:p>
    <w:p>
      <w:pPr>
        <w:ind w:left="660" w:hanging="652"/>
        <w:spacing w:after="0"/>
        <w:tabs>
          <w:tab w:leader="none" w:pos="6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 effective interest rate excludes $1.1 million in quarterly financing fees and quarterly debt fee amortization on our revolving credit facility.</w:t>
      </w:r>
    </w:p>
    <w:p>
      <w:pPr>
        <w:sectPr>
          <w:pgSz w:w="11900" w:h="16838" w:orient="portrait"/>
          <w:cols w:equalWidth="0" w:num="1">
            <w:col w:w="11240"/>
          </w:cols>
          <w:pgMar w:left="320" w:top="623" w:right="339" w:bottom="1440" w:gutter="0" w:footer="0" w:header="0"/>
        </w:sectPr>
      </w:pP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623" w:right="339" w:bottom="1440"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of Debt Maturities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00" w:type="dxa"/>
            <w:vAlign w:val="bottom"/>
          </w:tcPr>
          <w:p>
            <w:pPr>
              <w:spacing w:after="0"/>
              <w:rPr>
                <w:sz w:val="16"/>
                <w:szCs w:val="16"/>
                <w:color w:val="auto"/>
              </w:rPr>
            </w:pPr>
          </w:p>
        </w:tc>
        <w:tc>
          <w:tcPr>
            <w:tcW w:w="164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Scheduled</w:t>
            </w:r>
          </w:p>
        </w:tc>
        <w:tc>
          <w:tcPr>
            <w:tcW w:w="220" w:type="dxa"/>
            <w:vAlign w:val="bottom"/>
          </w:tcPr>
          <w:p>
            <w:pPr>
              <w:spacing w:after="0"/>
              <w:rPr>
                <w:sz w:val="16"/>
                <w:szCs w:val="16"/>
                <w:color w:val="auto"/>
              </w:rPr>
            </w:pPr>
          </w:p>
        </w:tc>
        <w:tc>
          <w:tcPr>
            <w:tcW w:w="128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Pr>
          <w:p>
            <w:pPr>
              <w:spacing w:after="0"/>
              <w:rPr>
                <w:sz w:val="16"/>
                <w:szCs w:val="16"/>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Percent of Debt</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Weighted Average Rate</w:t>
            </w:r>
          </w:p>
        </w:tc>
        <w:tc>
          <w:tcPr>
            <w:tcW w:w="0" w:type="dxa"/>
            <w:vAlign w:val="bottom"/>
          </w:tcPr>
          <w:p>
            <w:pPr>
              <w:spacing w:after="0"/>
              <w:rPr>
                <w:sz w:val="1"/>
                <w:szCs w:val="1"/>
                <w:color w:val="auto"/>
              </w:rPr>
            </w:pPr>
          </w:p>
        </w:tc>
      </w:tr>
      <w:tr>
        <w:trPr>
          <w:trHeight w:val="214"/>
        </w:trPr>
        <w:tc>
          <w:tcPr>
            <w:tcW w:w="19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2220" w:type="dxa"/>
            <w:vAlign w:val="bottom"/>
            <w:tcBorders>
              <w:bottom w:val="single" w:sz="8" w:color="auto"/>
            </w:tcBorders>
          </w:tcPr>
          <w:p>
            <w:pPr>
              <w:jc w:val="right"/>
              <w:ind w:right="1051"/>
              <w:spacing w:after="0"/>
              <w:rPr>
                <w:sz w:val="20"/>
                <w:szCs w:val="20"/>
                <w:color w:val="auto"/>
              </w:rPr>
            </w:pPr>
            <w:r>
              <w:rPr>
                <w:rFonts w:ascii="Times New Roman" w:cs="Times New Roman" w:eastAsia="Times New Roman" w:hAnsi="Times New Roman"/>
                <w:sz w:val="16"/>
                <w:szCs w:val="16"/>
                <w:b w:val="1"/>
                <w:bCs w:val="1"/>
                <w:color w:val="auto"/>
              </w:rPr>
              <w:t>(5)</w:t>
            </w: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3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890,682</w:t>
            </w:r>
          </w:p>
        </w:tc>
        <w:tc>
          <w:tcPr>
            <w:tcW w:w="380" w:type="dxa"/>
            <w:vAlign w:val="bottom"/>
          </w:tcPr>
          <w:p>
            <w:pPr>
              <w:jc w:val="right"/>
              <w:ind w:right="97"/>
              <w:spacing w:after="0"/>
              <w:rPr>
                <w:sz w:val="20"/>
                <w:szCs w:val="20"/>
                <w:color w:val="auto"/>
              </w:rPr>
            </w:pPr>
            <w:r>
              <w:rPr>
                <w:rFonts w:ascii="Times New Roman" w:cs="Times New Roman" w:eastAsia="Times New Roman" w:hAnsi="Times New Roman"/>
                <w:sz w:val="16"/>
                <w:szCs w:val="16"/>
                <w:color w:val="auto"/>
                <w:w w:val="96"/>
              </w:rPr>
              <w:t>(1)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893,319</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352,511</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943,105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945,434</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1,205,000</w:t>
            </w:r>
          </w:p>
        </w:tc>
        <w:tc>
          <w:tcPr>
            <w:tcW w:w="3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w w:val="96"/>
              </w:rPr>
              <w:t>(2)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1,205,684</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710,000</w:t>
            </w:r>
          </w:p>
        </w:tc>
        <w:tc>
          <w:tcPr>
            <w:tcW w:w="380" w:type="dxa"/>
            <w:vAlign w:val="bottom"/>
          </w:tcPr>
          <w:p>
            <w:pPr>
              <w:jc w:val="right"/>
              <w:ind w:right="97"/>
              <w:spacing w:after="0"/>
              <w:rPr>
                <w:sz w:val="20"/>
                <w:szCs w:val="20"/>
                <w:color w:val="auto"/>
              </w:rPr>
            </w:pPr>
            <w:r>
              <w:rPr>
                <w:rFonts w:ascii="Times New Roman" w:cs="Times New Roman" w:eastAsia="Times New Roman" w:hAnsi="Times New Roman"/>
                <w:sz w:val="16"/>
                <w:szCs w:val="16"/>
                <w:color w:val="auto"/>
                <w:w w:val="96"/>
              </w:rPr>
              <w:t>(3)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710,059</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2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 xml:space="preserve">4.3 % </w:t>
            </w: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200" w:type="dxa"/>
            <w:vAlign w:val="bottom"/>
          </w:tcPr>
          <w:p>
            <w:pPr>
              <w:spacing w:after="0"/>
              <w:rPr>
                <w:sz w:val="19"/>
                <w:szCs w:val="19"/>
                <w:color w:val="auto"/>
              </w:rPr>
            </w:pP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2035</w:t>
            </w:r>
          </w:p>
        </w:tc>
        <w:tc>
          <w:tcPr>
            <w:tcW w:w="200" w:type="dxa"/>
            <w:vAlign w:val="bottom"/>
          </w:tcPr>
          <w:p>
            <w:pPr>
              <w:spacing w:after="0"/>
              <w:rPr>
                <w:sz w:val="19"/>
                <w:szCs w:val="19"/>
                <w:color w:val="auto"/>
              </w:rPr>
            </w:pP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801,000</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801,000</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3"/>
        </w:trPr>
        <w:tc>
          <w:tcPr>
            <w:tcW w:w="1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4,899,787</w:t>
            </w:r>
          </w:p>
        </w:tc>
        <w:tc>
          <w:tcPr>
            <w:tcW w:w="3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4,908,643</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(4)</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above table assumes all extension options are exercised.</w:t>
      </w:r>
    </w:p>
    <w:p>
      <w:pPr>
        <w:spacing w:after="0" w:line="100"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$200.0 million mortgage loan secured by Bethesda Row matures on December 28, 2026 plus one one-year extension, at our option to December 28, 2027.</w:t>
      </w:r>
    </w:p>
    <w:p>
      <w:pPr>
        <w:spacing w:after="0" w:line="59" w:lineRule="exact"/>
        <w:rPr>
          <w:rFonts w:ascii="Times New Roman" w:cs="Times New Roman" w:eastAsia="Times New Roman" w:hAnsi="Times New Roman"/>
          <w:sz w:val="16"/>
          <w:szCs w:val="16"/>
          <w:color w:val="auto"/>
        </w:rPr>
      </w:pPr>
    </w:p>
    <w:p>
      <w:pPr>
        <w:ind w:left="660" w:right="40" w:hanging="652"/>
        <w:spacing w:after="0" w:line="290"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$750.0 million term loan matures on March 20, 2028, plus two one-year extensions at our option to March 20, 2030. Additionally, our $55.0 million mortgage loan secured by Azalea matures on October 30, 2028, plus two one-year extensions at our option to October 30, 2030.</w:t>
      </w:r>
    </w:p>
    <w:p>
      <w:pPr>
        <w:ind w:left="660" w:right="320" w:hanging="652"/>
        <w:spacing w:after="0" w:line="280"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$1.4 billion revolving credit facility matures on April 12, 2030, plus two six-month extensions at our option to April 12, 2031. As of September 30, 2026, there was no balance outstanding under this facility.</w:t>
      </w:r>
    </w:p>
    <w:p>
      <w:pPr>
        <w:spacing w:after="0" w:line="16" w:lineRule="exact"/>
        <w:rPr>
          <w:rFonts w:ascii="Times New Roman" w:cs="Times New Roman" w:eastAsia="Times New Roman" w:hAnsi="Times New Roman"/>
          <w:sz w:val="16"/>
          <w:szCs w:val="16"/>
          <w:color w:val="auto"/>
        </w:rPr>
      </w:pPr>
    </w:p>
    <w:p>
      <w:pPr>
        <w:ind w:left="660" w:right="40" w:hanging="652"/>
        <w:spacing w:after="0" w:line="263"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debt maturities differ from the total reported on the consolidated balance sheet due to the debt issuance costs and unamortized net premium/discount on certain mortgage loans, notes payable, and senior notes as of September 30, 2026. The weighted average remaining term on our mortgages payable, notes payable, and senior notes and debentures is approximately 5 years.</w:t>
      </w:r>
    </w:p>
    <w:p>
      <w:pPr>
        <w:spacing w:after="0" w:line="2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reflects the weighted average interest rate, as of September 30, 2026, on debt maturing in the respective year.</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excludes $1.1 million in quarterly financing fees and quarterly debt fee amortization on our $1.4 billion revolving credit facility.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022"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Redevelopment and Expansion Opportunities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The following redevelopment opportunities are actively being worked on by the Trust. (1)</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 to</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 2026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50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POI Delivered</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ROI (2)</w:t>
            </w:r>
          </w:p>
        </w:tc>
        <w:tc>
          <w:tcPr>
            <w:tcW w:w="7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(as a % of 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millions)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millions)</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Projects in process:</w:t>
            </w:r>
          </w:p>
        </w:tc>
        <w:tc>
          <w:tcPr>
            <w:tcW w:w="6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0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Santana West (3)</w:t>
            </w:r>
          </w:p>
        </w:tc>
        <w:tc>
          <w:tcPr>
            <w:tcW w:w="1120" w:type="dxa"/>
            <w:vAlign w:val="bottom"/>
          </w:tcPr>
          <w:p>
            <w:pPr>
              <w:ind w:left="40"/>
              <w:spacing w:after="0" w:line="135" w:lineRule="exact"/>
              <w:rPr>
                <w:sz w:val="20"/>
                <w:szCs w:val="20"/>
                <w:color w:val="auto"/>
              </w:rPr>
            </w:pPr>
            <w:r>
              <w:rPr>
                <w:rFonts w:ascii="Times New Roman" w:cs="Times New Roman" w:eastAsia="Times New Roman" w:hAnsi="Times New Roman"/>
                <w:sz w:val="14"/>
                <w:szCs w:val="14"/>
                <w:color w:val="auto"/>
              </w:rPr>
              <w:t>San Jose, CA</w:t>
            </w:r>
          </w:p>
        </w:tc>
        <w:tc>
          <w:tcPr>
            <w:tcW w:w="504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Development of a 369,000 square foot office building. The building is fully leased.</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5% - 6%</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$325 -</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$315</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75% - 80%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Pike &amp; Rose - 915 Meeting</w:t>
            </w:r>
          </w:p>
        </w:tc>
        <w:tc>
          <w:tcPr>
            <w:tcW w:w="1120" w:type="dxa"/>
            <w:vAlign w:val="bottom"/>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North Bethesda,</w:t>
            </w:r>
          </w:p>
        </w:tc>
        <w:tc>
          <w:tcPr>
            <w:tcW w:w="504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Development of a 262,000 square foot office building with 10,000 square feet of</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6 %</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$180 -</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w:t>
            </w:r>
          </w:p>
        </w:tc>
        <w:tc>
          <w:tcPr>
            <w:tcW w:w="10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90% - 95%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Street (3)</w:t>
            </w:r>
          </w:p>
        </w:tc>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MD</w:t>
            </w:r>
          </w:p>
        </w:tc>
        <w:tc>
          <w:tcPr>
            <w:tcW w:w="5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retail space. The building is fully leased.</w:t>
            </w: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Santana Row - Lot 12</w:t>
            </w:r>
          </w:p>
        </w:tc>
        <w:tc>
          <w:tcPr>
            <w:tcW w:w="1120" w:type="dxa"/>
            <w:vAlign w:val="bottom"/>
          </w:tcPr>
          <w:p>
            <w:pPr>
              <w:ind w:left="40"/>
              <w:spacing w:after="0" w:line="135" w:lineRule="exact"/>
              <w:rPr>
                <w:sz w:val="20"/>
                <w:szCs w:val="20"/>
                <w:color w:val="auto"/>
              </w:rPr>
            </w:pPr>
            <w:r>
              <w:rPr>
                <w:rFonts w:ascii="Times New Roman" w:cs="Times New Roman" w:eastAsia="Times New Roman" w:hAnsi="Times New Roman"/>
                <w:sz w:val="14"/>
                <w:szCs w:val="14"/>
                <w:color w:val="auto"/>
              </w:rPr>
              <w:t>San Jose, CA</w:t>
            </w:r>
          </w:p>
        </w:tc>
        <w:tc>
          <w:tcPr>
            <w:tcW w:w="504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Development of a new six-story building with 258 residential units and associated</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 - 7%</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$140 -</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$70</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parking</w:t>
            </w:r>
          </w:p>
        </w:tc>
        <w:tc>
          <w:tcPr>
            <w:tcW w:w="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Willow Grove</w:t>
            </w:r>
          </w:p>
        </w:tc>
        <w:tc>
          <w:tcPr>
            <w:tcW w:w="616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Willow Grove, PA Demolition of 130,000 square feet of existing retail to construct a new six-story</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7 %</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$110 -</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10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040" w:type="dxa"/>
            <w:vAlign w:val="bottom"/>
            <w:shd w:val="clear" w:color="auto" w:fill="CCEEFF"/>
          </w:tcPr>
          <w:p>
            <w:pPr>
              <w:ind w:left="60"/>
              <w:spacing w:after="0" w:line="139" w:lineRule="exact"/>
              <w:rPr>
                <w:sz w:val="20"/>
                <w:szCs w:val="20"/>
                <w:color w:val="auto"/>
              </w:rPr>
            </w:pPr>
            <w:r>
              <w:rPr>
                <w:rFonts w:ascii="Times New Roman" w:cs="Times New Roman" w:eastAsia="Times New Roman" w:hAnsi="Times New Roman"/>
                <w:sz w:val="14"/>
                <w:szCs w:val="14"/>
                <w:color w:val="auto"/>
              </w:rPr>
              <w:t>mixed use building with 261 residential units, a 438 space parking structure, and an</w:t>
            </w: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$120</w:t>
            </w:r>
          </w:p>
        </w:tc>
        <w:tc>
          <w:tcPr>
            <w:tcW w:w="7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0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additional 52,000 square feet of retail space</w:t>
            </w:r>
          </w:p>
        </w:tc>
        <w:tc>
          <w:tcPr>
            <w:tcW w:w="7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Bala Cynwyd on City Avenue -</w:t>
            </w:r>
          </w:p>
        </w:tc>
        <w:tc>
          <w:tcPr>
            <w:tcW w:w="1120" w:type="dxa"/>
            <w:vAlign w:val="bottom"/>
          </w:tcPr>
          <w:p>
            <w:pPr>
              <w:ind w:left="40"/>
              <w:spacing w:after="0" w:line="135" w:lineRule="exact"/>
              <w:rPr>
                <w:sz w:val="20"/>
                <w:szCs w:val="20"/>
                <w:color w:val="auto"/>
              </w:rPr>
            </w:pPr>
            <w:r>
              <w:rPr>
                <w:rFonts w:ascii="Times New Roman" w:cs="Times New Roman" w:eastAsia="Times New Roman" w:hAnsi="Times New Roman"/>
                <w:sz w:val="14"/>
                <w:szCs w:val="14"/>
                <w:color w:val="auto"/>
              </w:rPr>
              <w:t>Bala Cynwyd, PA</w:t>
            </w:r>
          </w:p>
        </w:tc>
        <w:tc>
          <w:tcPr>
            <w:tcW w:w="504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Demolition of two-level department store building to construct a new six story</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7 %</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$90 - $95</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$82</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10% - 15%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86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Blayr</w:t>
            </w:r>
          </w:p>
        </w:tc>
        <w:tc>
          <w:tcPr>
            <w:tcW w:w="1120" w:type="dxa"/>
            <w:vAlign w:val="bottom"/>
          </w:tcPr>
          <w:p>
            <w:pPr>
              <w:spacing w:after="0"/>
              <w:rPr>
                <w:sz w:val="12"/>
                <w:szCs w:val="12"/>
                <w:color w:val="auto"/>
              </w:rPr>
            </w:pPr>
          </w:p>
        </w:tc>
        <w:tc>
          <w:tcPr>
            <w:tcW w:w="504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building with 217 residential units, 19,000 square feet of retail and a two-story</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parking structure with 234 parking stalls. All residential units delivered as of June 30,</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2026.</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Hoboken - 301 Washington</w:t>
            </w:r>
          </w:p>
        </w:tc>
        <w:tc>
          <w:tcPr>
            <w:tcW w:w="1120" w:type="dxa"/>
            <w:vAlign w:val="bottom"/>
            <w:shd w:val="clear" w:color="auto" w:fill="CCEEFF"/>
          </w:tcPr>
          <w:p>
            <w:pPr>
              <w:ind w:left="40"/>
              <w:spacing w:after="0" w:line="135" w:lineRule="exact"/>
              <w:rPr>
                <w:sz w:val="20"/>
                <w:szCs w:val="20"/>
                <w:color w:val="auto"/>
              </w:rPr>
            </w:pPr>
            <w:r>
              <w:rPr>
                <w:rFonts w:ascii="Times New Roman" w:cs="Times New Roman" w:eastAsia="Times New Roman" w:hAnsi="Times New Roman"/>
                <w:sz w:val="14"/>
                <w:szCs w:val="14"/>
                <w:color w:val="auto"/>
              </w:rPr>
              <w:t>Hoboken, NJ</w:t>
            </w:r>
          </w:p>
        </w:tc>
        <w:tc>
          <w:tcPr>
            <w:tcW w:w="504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4"/>
                <w:szCs w:val="14"/>
                <w:color w:val="auto"/>
              </w:rPr>
              <w:t>Development of a new five-story, 45-unit residential building with 10,200 square feet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 - 7%</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$45 - $48</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$29</w:t>
            </w:r>
          </w:p>
        </w:tc>
        <w:tc>
          <w:tcPr>
            <w:tcW w:w="10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Street</w:t>
            </w:r>
          </w:p>
        </w:tc>
        <w:tc>
          <w:tcPr>
            <w:tcW w:w="1120" w:type="dxa"/>
            <w:vAlign w:val="bottom"/>
            <w:shd w:val="clear" w:color="auto" w:fill="CCEEFF"/>
          </w:tcPr>
          <w:p>
            <w:pPr>
              <w:spacing w:after="0"/>
              <w:rPr>
                <w:sz w:val="17"/>
                <w:szCs w:val="17"/>
                <w:color w:val="auto"/>
              </w:rPr>
            </w:pPr>
          </w:p>
        </w:tc>
        <w:tc>
          <w:tcPr>
            <w:tcW w:w="5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of ground floor retail space.</w:t>
            </w: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50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 to</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ROI (4)</w:t>
            </w:r>
          </w:p>
        </w:tc>
        <w:tc>
          <w:tcPr>
            <w:tcW w:w="7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Stabilization (5)</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millions)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millions)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5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Grossmont Center</w:t>
            </w:r>
          </w:p>
        </w:tc>
        <w:tc>
          <w:tcPr>
            <w:tcW w:w="148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La Mesa, CA</w:t>
            </w:r>
          </w:p>
        </w:tc>
        <w:tc>
          <w:tcPr>
            <w:tcW w:w="504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Multi-phase redevelopment of the property encompassing 351,000 square feet of</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 - 10%</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10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2029</w:t>
            </w:r>
          </w:p>
        </w:tc>
        <w:tc>
          <w:tcPr>
            <w:tcW w:w="0" w:type="dxa"/>
            <w:vAlign w:val="bottom"/>
          </w:tcPr>
          <w:p>
            <w:pPr>
              <w:spacing w:after="0"/>
              <w:rPr>
                <w:sz w:val="1"/>
                <w:szCs w:val="1"/>
                <w:color w:val="auto"/>
              </w:rPr>
            </w:pPr>
          </w:p>
        </w:tc>
      </w:tr>
      <w:tr>
        <w:trPr>
          <w:trHeight w:val="139"/>
        </w:trPr>
        <w:tc>
          <w:tcPr>
            <w:tcW w:w="15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5040" w:type="dxa"/>
            <w:vAlign w:val="bottom"/>
            <w:shd w:val="clear" w:color="auto" w:fill="CCEEFF"/>
          </w:tcPr>
          <w:p>
            <w:pPr>
              <w:ind w:left="80"/>
              <w:spacing w:after="0" w:line="139" w:lineRule="exact"/>
              <w:rPr>
                <w:sz w:val="20"/>
                <w:szCs w:val="20"/>
                <w:color w:val="auto"/>
              </w:rPr>
            </w:pPr>
            <w:r>
              <w:rPr>
                <w:rFonts w:ascii="Times New Roman" w:cs="Times New Roman" w:eastAsia="Times New Roman" w:hAnsi="Times New Roman"/>
                <w:sz w:val="14"/>
                <w:szCs w:val="14"/>
                <w:color w:val="auto"/>
              </w:rPr>
              <w:t>anchor and small shop space, focusing on revitalizing the northern side of the</w:t>
            </w: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50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while demolishing the southern portion of the property to allow for</w:t>
            </w: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5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construction of a new anchor building pre-leased to Bass Pro Shops.</w:t>
            </w:r>
          </w:p>
        </w:tc>
        <w:tc>
          <w:tcPr>
            <w:tcW w:w="7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Andorra</w:t>
            </w:r>
          </w:p>
        </w:tc>
        <w:tc>
          <w:tcPr>
            <w:tcW w:w="1480" w:type="dxa"/>
            <w:vAlign w:val="bottom"/>
          </w:tcPr>
          <w:p>
            <w:pPr>
              <w:ind w:left="420"/>
              <w:spacing w:after="0" w:line="135" w:lineRule="exact"/>
              <w:rPr>
                <w:sz w:val="20"/>
                <w:szCs w:val="20"/>
                <w:color w:val="auto"/>
              </w:rPr>
            </w:pPr>
            <w:r>
              <w:rPr>
                <w:rFonts w:ascii="Times New Roman" w:cs="Times New Roman" w:eastAsia="Times New Roman" w:hAnsi="Times New Roman"/>
                <w:sz w:val="14"/>
                <w:szCs w:val="14"/>
                <w:color w:val="auto"/>
              </w:rPr>
              <w:t>Philadelphia, PA</w:t>
            </w:r>
          </w:p>
        </w:tc>
        <w:tc>
          <w:tcPr>
            <w:tcW w:w="504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Demolition of 31,500 square feet of anchor and small shop spaces to construct a</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 - 8%</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$30</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$28</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Stabilized</w:t>
            </w:r>
          </w:p>
        </w:tc>
        <w:tc>
          <w:tcPr>
            <w:tcW w:w="0" w:type="dxa"/>
            <w:vAlign w:val="bottom"/>
          </w:tcPr>
          <w:p>
            <w:pPr>
              <w:spacing w:after="0"/>
              <w:rPr>
                <w:sz w:val="1"/>
                <w:szCs w:val="1"/>
                <w:color w:val="auto"/>
              </w:rPr>
            </w:pPr>
          </w:p>
        </w:tc>
      </w:tr>
      <w:tr>
        <w:trPr>
          <w:trHeight w:val="139"/>
        </w:trPr>
        <w:tc>
          <w:tcPr>
            <w:tcW w:w="1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4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50,000 square foot turnkey building for Giant and redevelopment of 27,000 square</w:t>
            </w: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feet of vacant small shop space at the north end of the property to construct 10,400</w:t>
            </w: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square feet of small shop, and a 10,000 square foot anchor tenant.</w:t>
            </w: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5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Santana Row</w:t>
            </w:r>
          </w:p>
        </w:tc>
        <w:tc>
          <w:tcPr>
            <w:tcW w:w="1480" w:type="dxa"/>
            <w:vAlign w:val="bottom"/>
            <w:shd w:val="clear" w:color="auto" w:fill="CCEEFF"/>
          </w:tcPr>
          <w:p>
            <w:pPr>
              <w:ind w:left="420"/>
              <w:spacing w:after="0" w:line="135" w:lineRule="exact"/>
              <w:rPr>
                <w:sz w:val="20"/>
                <w:szCs w:val="20"/>
                <w:color w:val="auto"/>
              </w:rPr>
            </w:pPr>
            <w:r>
              <w:rPr>
                <w:rFonts w:ascii="Times New Roman" w:cs="Times New Roman" w:eastAsia="Times New Roman" w:hAnsi="Times New Roman"/>
                <w:sz w:val="14"/>
                <w:szCs w:val="14"/>
                <w:color w:val="auto"/>
              </w:rPr>
              <w:t>San Jose, CA</w:t>
            </w:r>
          </w:p>
        </w:tc>
        <w:tc>
          <w:tcPr>
            <w:tcW w:w="50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4"/>
                <w:szCs w:val="14"/>
                <w:color w:val="auto"/>
              </w:rPr>
              <w:t>Reconfiguration of a 52,000 square foot building for a new lease with Life Time</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9 %</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$8</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w:t>
            </w:r>
          </w:p>
        </w:tc>
        <w:tc>
          <w:tcPr>
            <w:tcW w:w="10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2027</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Fitness.</w:t>
            </w: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Dedham Plaza</w:t>
            </w:r>
          </w:p>
        </w:tc>
        <w:tc>
          <w:tcPr>
            <w:tcW w:w="1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Dedham, MA</w:t>
            </w:r>
          </w:p>
        </w:tc>
        <w:tc>
          <w:tcPr>
            <w:tcW w:w="50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New 3,600 square foot pad building for a new restaurant tenant.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0" w:type="dxa"/>
            <w:vAlign w:val="bottom"/>
          </w:tcPr>
          <w:p>
            <w:pPr>
              <w:spacing w:after="0"/>
              <w:rPr>
                <w:sz w:val="1"/>
                <w:szCs w:val="1"/>
                <w:color w:val="auto"/>
              </w:rPr>
            </w:pPr>
          </w:p>
        </w:tc>
      </w:tr>
      <w:tr>
        <w:trPr>
          <w:trHeight w:val="115"/>
        </w:trPr>
        <w:tc>
          <w:tcPr>
            <w:tcW w:w="2980" w:type="dxa"/>
            <w:vAlign w:val="bottom"/>
            <w:gridSpan w:val="2"/>
            <w:shd w:val="clear" w:color="auto" w:fill="CCEEFF"/>
          </w:tcPr>
          <w:p>
            <w:pPr>
              <w:spacing w:after="0"/>
              <w:rPr>
                <w:sz w:val="10"/>
                <w:szCs w:val="10"/>
                <w:color w:val="auto"/>
              </w:rPr>
            </w:pPr>
          </w:p>
        </w:tc>
        <w:tc>
          <w:tcPr>
            <w:tcW w:w="50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Active Property Improvement Projects (6)</w:t>
            </w:r>
          </w:p>
        </w:tc>
        <w:tc>
          <w:tcPr>
            <w:tcW w:w="504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Ongoing improvements at six properties to better position those properties to capture</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8% - 16%</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$44</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$30</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 disproportionate amount of retail demand</w:t>
            </w: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Notes:</w:t>
      </w:r>
    </w:p>
    <w:p>
      <w:pPr>
        <w:spacing w:after="0" w:line="107" w:lineRule="exact"/>
        <w:rPr>
          <w:sz w:val="20"/>
          <w:szCs w:val="20"/>
          <w:color w:val="auto"/>
        </w:rPr>
      </w:pPr>
    </w:p>
    <w:p>
      <w:pPr>
        <w:ind w:left="260" w:right="20" w:hanging="252"/>
        <w:spacing w:after="0" w:line="270" w:lineRule="auto"/>
        <w:tabs>
          <w:tab w:leader="none" w:pos="253"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guarantee that the Trust will ultimately complete any or all of these opportunities, that the ROI or Projected Costs will be the amounts shown or that stabilization will occur as anticipated. The projected returns on investment (ROI) and Projected Cost are management's best estimate based on current information and may change over time. Anticipated total cost, projected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2" w:lineRule="exact"/>
        <w:rPr>
          <w:rFonts w:ascii="Times New Roman" w:cs="Times New Roman" w:eastAsia="Times New Roman" w:hAnsi="Times New Roman"/>
          <w:sz w:val="13"/>
          <w:szCs w:val="13"/>
          <w:color w:val="auto"/>
        </w:rPr>
      </w:pPr>
    </w:p>
    <w:p>
      <w:pPr>
        <w:jc w:val="both"/>
        <w:ind w:left="260" w:hanging="252"/>
        <w:spacing w:after="0" w:line="279" w:lineRule="auto"/>
        <w:tabs>
          <w:tab w:leader="none" w:pos="253"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ROI for mixed-use redevelopment/expansion projects reflects the unleveraged Property Operating Income (POI) generated by the project and is calculated as POI divided by cost. Projected POI delivered is an approximate calculation of the POI delivered or expected to be delivered and is calculated based on the Projected Cost and Projected ROI disclosed herewith and is based on the mid-point of the range, if applicable. Projected POI delivered includes straight line rent.</w:t>
      </w:r>
    </w:p>
    <w:p>
      <w:pPr>
        <w:spacing w:after="0" w:line="5" w:lineRule="exact"/>
        <w:rPr>
          <w:rFonts w:ascii="Times New Roman" w:cs="Times New Roman" w:eastAsia="Times New Roman" w:hAnsi="Times New Roman"/>
          <w:sz w:val="13"/>
          <w:szCs w:val="13"/>
          <w:color w:val="auto"/>
        </w:rPr>
      </w:pPr>
    </w:p>
    <w:p>
      <w:pPr>
        <w:ind w:left="260" w:hanging="252"/>
        <w:spacing w:after="0"/>
        <w:tabs>
          <w:tab w:leader="none" w:pos="2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costs for Pike &amp; Rose include an allocation of infrastructure costs for the entire project. Santana West includes an allocation of infrastructure for the Santana West site.</w:t>
      </w:r>
    </w:p>
    <w:p>
      <w:pPr>
        <w:spacing w:after="0" w:line="53" w:lineRule="exact"/>
        <w:rPr>
          <w:rFonts w:ascii="Times New Roman" w:cs="Times New Roman" w:eastAsia="Times New Roman" w:hAnsi="Times New Roman"/>
          <w:sz w:val="13"/>
          <w:szCs w:val="13"/>
          <w:color w:val="auto"/>
        </w:rPr>
      </w:pPr>
    </w:p>
    <w:p>
      <w:pPr>
        <w:ind w:left="260" w:right="40" w:hanging="252"/>
        <w:spacing w:after="0" w:line="270" w:lineRule="auto"/>
        <w:tabs>
          <w:tab w:leader="none" w:pos="253"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ROI for redevelopment projects generally reflects only the deal specific cash, unleveraged incremental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spacing w:after="0" w:line="2" w:lineRule="exact"/>
        <w:rPr>
          <w:rFonts w:ascii="Times New Roman" w:cs="Times New Roman" w:eastAsia="Times New Roman" w:hAnsi="Times New Roman"/>
          <w:sz w:val="13"/>
          <w:szCs w:val="13"/>
          <w:color w:val="auto"/>
        </w:rPr>
      </w:pPr>
    </w:p>
    <w:p>
      <w:pPr>
        <w:ind w:left="260" w:hanging="252"/>
        <w:spacing w:after="0"/>
        <w:tabs>
          <w:tab w:leader="none" w:pos="2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Stabilization is generally the year in which 90% physical occupancy of the redeveloped space is achieved. Economic stabilization may occur at a later point in time.</w:t>
      </w:r>
    </w:p>
    <w:p>
      <w:pPr>
        <w:spacing w:after="0" w:line="53" w:lineRule="exact"/>
        <w:rPr>
          <w:rFonts w:ascii="Times New Roman" w:cs="Times New Roman" w:eastAsia="Times New Roman" w:hAnsi="Times New Roman"/>
          <w:sz w:val="13"/>
          <w:szCs w:val="13"/>
          <w:color w:val="auto"/>
        </w:rPr>
      </w:pPr>
    </w:p>
    <w:p>
      <w:pPr>
        <w:ind w:left="260" w:right="40" w:hanging="252"/>
        <w:spacing w:after="0" w:line="273" w:lineRule="auto"/>
        <w:tabs>
          <w:tab w:leader="none" w:pos="253"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704"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7"/>
          <w:szCs w:val="17"/>
          <w:b w:val="1"/>
          <w:bCs w:val="1"/>
          <w:color w:val="auto"/>
        </w:rPr>
        <w:t>Federal Realty Investment Trust</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Future Redevelopment and Expansion Opportunities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2026</w:t>
      </w:r>
    </w:p>
    <w:p>
      <w:pPr>
        <w:spacing w:after="0" w:line="312" w:lineRule="exact"/>
        <w:rPr>
          <w:sz w:val="20"/>
          <w:szCs w:val="20"/>
          <w:color w:val="auto"/>
        </w:rPr>
      </w:pPr>
    </w:p>
    <w:p>
      <w:pPr>
        <w:ind w:left="20" w:right="160"/>
        <w:spacing w:after="0" w:line="228"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shd w:val="clear" w:color="auto" w:fill="DBDBDB"/>
          </w:tcPr>
          <w:p>
            <w:pPr>
              <w:spacing w:after="0"/>
              <w:rPr>
                <w:sz w:val="18"/>
                <w:szCs w:val="18"/>
                <w:color w:val="auto"/>
              </w:rPr>
            </w:pPr>
          </w:p>
        </w:tc>
        <w:tc>
          <w:tcPr>
            <w:tcW w:w="218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6"/>
                <w:szCs w:val="16"/>
                <w:b w:val="1"/>
                <w:bCs w:val="1"/>
                <w:color w:val="auto"/>
              </w:rPr>
              <w:t>Redevelopment Opportunities</w:t>
            </w:r>
          </w:p>
        </w:tc>
        <w:tc>
          <w:tcPr>
            <w:tcW w:w="2040" w:type="dxa"/>
            <w:vAlign w:val="bottom"/>
            <w:tcBorders>
              <w:bottom w:val="single" w:sz="8" w:color="auto"/>
            </w:tcBorders>
            <w:shd w:val="clear" w:color="auto" w:fill="DBDBDB"/>
          </w:tcPr>
          <w:p>
            <w:pPr>
              <w:spacing w:after="0"/>
              <w:rPr>
                <w:sz w:val="18"/>
                <w:szCs w:val="18"/>
                <w:color w:val="auto"/>
              </w:rPr>
            </w:pPr>
          </w:p>
        </w:tc>
      </w:tr>
      <w:tr>
        <w:trPr>
          <w:trHeight w:val="208"/>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080" w:type="dxa"/>
            <w:vAlign w:val="bottom"/>
            <w:tcBorders>
              <w:bottom w:val="single" w:sz="8" w:color="auto"/>
            </w:tcBorders>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Expansion/Conversion (4)</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Residential (5)</w:t>
            </w:r>
          </w:p>
        </w:tc>
        <w:tc>
          <w:tcPr>
            <w:tcW w:w="20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Mixed Use - Long Term</w:t>
            </w:r>
          </w:p>
        </w:tc>
      </w:tr>
      <w:tr>
        <w:trPr>
          <w:trHeight w:val="215"/>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Assembly Row (1)</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Somerville, MA</w:t>
            </w:r>
          </w:p>
        </w:tc>
        <w:tc>
          <w:tcPr>
            <w:tcW w:w="2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40" w:type="dxa"/>
            <w:vAlign w:val="bottom"/>
          </w:tcPr>
          <w:p>
            <w:pPr>
              <w:jc w:val="center"/>
              <w:ind w:right="179"/>
              <w:spacing w:after="0"/>
              <w:rPr>
                <w:sz w:val="20"/>
                <w:szCs w:val="20"/>
                <w:color w:val="auto"/>
              </w:rPr>
            </w:pPr>
            <w:r>
              <w:rPr>
                <w:rFonts w:ascii="Wingdings" w:cs="Wingdings" w:eastAsia="Wingdings" w:hAnsi="Wingdings"/>
                <w:sz w:val="16"/>
                <w:szCs w:val="16"/>
                <w:b w:val="1"/>
                <w:bCs w:val="1"/>
                <w:color w:val="auto"/>
                <w:highlight w:val="black"/>
              </w:rPr>
              <w:t>ü</w:t>
            </w:r>
          </w:p>
        </w:tc>
      </w:tr>
      <w:tr>
        <w:trPr>
          <w:trHeight w:val="23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 Cynwyd on City Avenue</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Bala Cynwyd, PA</w:t>
            </w:r>
          </w:p>
        </w:tc>
        <w:tc>
          <w:tcPr>
            <w:tcW w:w="2080" w:type="dxa"/>
            <w:vAlign w:val="bottom"/>
            <w:shd w:val="clear" w:color="auto" w:fill="CCEEFF"/>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shd w:val="clear" w:color="auto" w:fill="CCEEFF"/>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040" w:type="dxa"/>
            <w:vAlign w:val="bottom"/>
            <w:shd w:val="clear" w:color="auto" w:fill="CCEEFF"/>
          </w:tcPr>
          <w:p>
            <w:pPr>
              <w:spacing w:after="0"/>
              <w:rPr>
                <w:sz w:val="20"/>
                <w:szCs w:val="20"/>
                <w:color w:val="auto"/>
              </w:rPr>
            </w:pPr>
          </w:p>
        </w:tc>
      </w:tr>
      <w:tr>
        <w:trPr>
          <w:trHeight w:val="22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Barracks Road</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Charlottesville, VA</w:t>
            </w:r>
          </w:p>
        </w:tc>
        <w:tc>
          <w:tcPr>
            <w:tcW w:w="2080" w:type="dxa"/>
            <w:vAlign w:val="bottom"/>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040" w:type="dxa"/>
            <w:vAlign w:val="bottom"/>
          </w:tcPr>
          <w:p>
            <w:pPr>
              <w:spacing w:after="0"/>
              <w:rPr>
                <w:sz w:val="19"/>
                <w:szCs w:val="19"/>
                <w:color w:val="auto"/>
              </w:rPr>
            </w:pPr>
          </w:p>
        </w:tc>
      </w:tr>
      <w:tr>
        <w:trPr>
          <w:trHeight w:val="22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Bethesda Row</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Bethesda, MD</w:t>
            </w:r>
          </w:p>
        </w:tc>
        <w:tc>
          <w:tcPr>
            <w:tcW w:w="2080" w:type="dxa"/>
            <w:vAlign w:val="bottom"/>
            <w:shd w:val="clear" w:color="auto" w:fill="CCEEFF"/>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shd w:val="clear" w:color="auto" w:fill="CCEEFF"/>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040" w:type="dxa"/>
            <w:vAlign w:val="bottom"/>
            <w:shd w:val="clear" w:color="auto" w:fill="CCEEFF"/>
          </w:tcPr>
          <w:p>
            <w:pPr>
              <w:spacing w:after="0"/>
              <w:rPr>
                <w:sz w:val="19"/>
                <w:szCs w:val="19"/>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Camelback Colonnade</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Phoenix, AZ</w:t>
            </w:r>
          </w:p>
        </w:tc>
        <w:tc>
          <w:tcPr>
            <w:tcW w:w="2080" w:type="dxa"/>
            <w:vAlign w:val="bottom"/>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040" w:type="dxa"/>
            <w:vAlign w:val="bottom"/>
          </w:tcPr>
          <w:p>
            <w:pPr>
              <w:spacing w:after="0"/>
              <w:rPr>
                <w:sz w:val="18"/>
                <w:szCs w:val="18"/>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Chelsea Commons</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Chelsea, MA</w:t>
            </w:r>
          </w:p>
        </w:tc>
        <w:tc>
          <w:tcPr>
            <w:tcW w:w="2080" w:type="dxa"/>
            <w:vAlign w:val="bottom"/>
            <w:shd w:val="clear" w:color="auto" w:fill="CCEEFF"/>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Congressional North Shopping Center</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Rockville, MD</w:t>
            </w:r>
          </w:p>
        </w:tc>
        <w:tc>
          <w:tcPr>
            <w:tcW w:w="20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040" w:type="dxa"/>
            <w:vAlign w:val="bottom"/>
          </w:tcPr>
          <w:p>
            <w:pPr>
              <w:spacing w:after="0"/>
              <w:rPr>
                <w:sz w:val="18"/>
                <w:szCs w:val="18"/>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Dedham Plaza</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Dedham, MA</w:t>
            </w:r>
          </w:p>
        </w:tc>
        <w:tc>
          <w:tcPr>
            <w:tcW w:w="2080" w:type="dxa"/>
            <w:vAlign w:val="bottom"/>
            <w:shd w:val="clear" w:color="auto" w:fill="CCEEFF"/>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 Monte Shopping Center</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Monterey, CA</w:t>
            </w:r>
          </w:p>
        </w:tc>
        <w:tc>
          <w:tcPr>
            <w:tcW w:w="20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040" w:type="dxa"/>
            <w:vAlign w:val="bottom"/>
          </w:tcPr>
          <w:p>
            <w:pPr>
              <w:spacing w:after="0"/>
              <w:rPr>
                <w:sz w:val="18"/>
                <w:szCs w:val="18"/>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Escondido Promenade</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Escondido, CA</w:t>
            </w:r>
          </w:p>
        </w:tc>
        <w:tc>
          <w:tcPr>
            <w:tcW w:w="2080" w:type="dxa"/>
            <w:vAlign w:val="bottom"/>
            <w:shd w:val="clear" w:color="auto" w:fill="CCEEFF"/>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Fairfax Junction</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Fairfax, VA</w:t>
            </w:r>
          </w:p>
        </w:tc>
        <w:tc>
          <w:tcPr>
            <w:tcW w:w="2080" w:type="dxa"/>
            <w:vAlign w:val="bottom"/>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040" w:type="dxa"/>
            <w:vAlign w:val="bottom"/>
          </w:tcPr>
          <w:p>
            <w:pPr>
              <w:spacing w:after="0"/>
              <w:rPr>
                <w:sz w:val="18"/>
                <w:szCs w:val="18"/>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Plaza</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Rockville, MD</w:t>
            </w:r>
          </w:p>
        </w:tc>
        <w:tc>
          <w:tcPr>
            <w:tcW w:w="20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040" w:type="dxa"/>
            <w:vAlign w:val="bottom"/>
            <w:shd w:val="clear" w:color="auto" w:fill="CCEEFF"/>
          </w:tcPr>
          <w:p>
            <w:pPr>
              <w:spacing w:after="0"/>
              <w:rPr>
                <w:sz w:val="19"/>
                <w:szCs w:val="19"/>
                <w:color w:val="auto"/>
              </w:rPr>
            </w:pPr>
          </w:p>
        </w:tc>
      </w:tr>
      <w:tr>
        <w:trPr>
          <w:trHeight w:val="22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Finley Square</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Downers Grove, IL</w:t>
            </w:r>
          </w:p>
        </w:tc>
        <w:tc>
          <w:tcPr>
            <w:tcW w:w="2080" w:type="dxa"/>
            <w:vAlign w:val="bottom"/>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Fresh Meadows</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Queens, NY</w:t>
            </w:r>
          </w:p>
        </w:tc>
        <w:tc>
          <w:tcPr>
            <w:tcW w:w="2080" w:type="dxa"/>
            <w:vAlign w:val="bottom"/>
            <w:shd w:val="clear" w:color="auto" w:fill="CCEEFF"/>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Friendship Center</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Washington, DC</w:t>
            </w:r>
          </w:p>
        </w:tc>
        <w:tc>
          <w:tcPr>
            <w:tcW w:w="2080" w:type="dxa"/>
            <w:vAlign w:val="bottom"/>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040" w:type="dxa"/>
            <w:vAlign w:val="bottom"/>
          </w:tcPr>
          <w:p>
            <w:pPr>
              <w:spacing w:after="0"/>
              <w:rPr>
                <w:sz w:val="18"/>
                <w:szCs w:val="18"/>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Governor Plaza</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Glen Burnie, MD</w:t>
            </w:r>
          </w:p>
        </w:tc>
        <w:tc>
          <w:tcPr>
            <w:tcW w:w="2080" w:type="dxa"/>
            <w:vAlign w:val="bottom"/>
            <w:shd w:val="clear" w:color="auto" w:fill="CCEEFF"/>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Grossmont Center</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La Mesa, CA</w:t>
            </w:r>
          </w:p>
        </w:tc>
        <w:tc>
          <w:tcPr>
            <w:tcW w:w="2080" w:type="dxa"/>
            <w:vAlign w:val="bottom"/>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Huntington</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Huntington, NY</w:t>
            </w:r>
          </w:p>
        </w:tc>
        <w:tc>
          <w:tcPr>
            <w:tcW w:w="20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040" w:type="dxa"/>
            <w:vAlign w:val="bottom"/>
            <w:shd w:val="clear" w:color="auto" w:fill="CCEEFF"/>
          </w:tcPr>
          <w:p>
            <w:pPr>
              <w:spacing w:after="0"/>
              <w:rPr>
                <w:sz w:val="19"/>
                <w:szCs w:val="19"/>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Huntington Square</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East Northport, NY</w:t>
            </w:r>
          </w:p>
        </w:tc>
        <w:tc>
          <w:tcPr>
            <w:tcW w:w="2080" w:type="dxa"/>
            <w:vAlign w:val="bottom"/>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Northeast</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Philadelphia, PA</w:t>
            </w:r>
          </w:p>
        </w:tc>
        <w:tc>
          <w:tcPr>
            <w:tcW w:w="2080" w:type="dxa"/>
            <w:vAlign w:val="bottom"/>
            <w:shd w:val="clear" w:color="auto" w:fill="CCEEFF"/>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Pike &amp; Rose (2)</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North Bethesda, MD</w:t>
            </w:r>
          </w:p>
        </w:tc>
        <w:tc>
          <w:tcPr>
            <w:tcW w:w="2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40" w:type="dxa"/>
            <w:vAlign w:val="bottom"/>
          </w:tcPr>
          <w:p>
            <w:pPr>
              <w:jc w:val="center"/>
              <w:ind w:right="179"/>
              <w:spacing w:after="0"/>
              <w:rPr>
                <w:sz w:val="20"/>
                <w:szCs w:val="20"/>
                <w:color w:val="auto"/>
              </w:rPr>
            </w:pPr>
            <w:r>
              <w:rPr>
                <w:rFonts w:ascii="Wingdings" w:cs="Wingdings" w:eastAsia="Wingdings" w:hAnsi="Wingdings"/>
                <w:sz w:val="16"/>
                <w:szCs w:val="16"/>
                <w:b w:val="1"/>
                <w:bCs w:val="1"/>
                <w:color w:val="auto"/>
                <w:highlight w:val="black"/>
              </w:rPr>
              <w:t>ü</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Pike 7 Plaza</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Vienna, VA</w:t>
            </w:r>
          </w:p>
        </w:tc>
        <w:tc>
          <w:tcPr>
            <w:tcW w:w="20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040" w:type="dxa"/>
            <w:vAlign w:val="bottom"/>
            <w:shd w:val="clear" w:color="auto" w:fill="CCEEFF"/>
          </w:tcPr>
          <w:p>
            <w:pPr>
              <w:jc w:val="center"/>
              <w:ind w:right="179"/>
              <w:spacing w:after="0"/>
              <w:rPr>
                <w:sz w:val="20"/>
                <w:szCs w:val="20"/>
                <w:color w:val="auto"/>
              </w:rPr>
            </w:pPr>
            <w:r>
              <w:rPr>
                <w:rFonts w:ascii="Wingdings" w:cs="Wingdings" w:eastAsia="Wingdings" w:hAnsi="Wingdings"/>
                <w:sz w:val="16"/>
                <w:szCs w:val="16"/>
                <w:b w:val="1"/>
                <w:bCs w:val="1"/>
                <w:color w:val="auto"/>
                <w:highlight w:val="black"/>
              </w:rPr>
              <w:t>ü</w:t>
            </w: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Providence Place</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Fairfax, VA</w:t>
            </w:r>
          </w:p>
        </w:tc>
        <w:tc>
          <w:tcPr>
            <w:tcW w:w="2080" w:type="dxa"/>
            <w:vAlign w:val="bottom"/>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040" w:type="dxa"/>
            <w:vAlign w:val="bottom"/>
          </w:tcPr>
          <w:p>
            <w:pPr>
              <w:spacing w:after="0"/>
              <w:rPr>
                <w:sz w:val="18"/>
                <w:szCs w:val="18"/>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Riverpoint Center</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Chicago, IL</w:t>
            </w:r>
          </w:p>
        </w:tc>
        <w:tc>
          <w:tcPr>
            <w:tcW w:w="2080" w:type="dxa"/>
            <w:vAlign w:val="bottom"/>
            <w:shd w:val="clear" w:color="auto" w:fill="CCEEFF"/>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Santana Row (3)</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San Jose, CA</w:t>
            </w:r>
          </w:p>
        </w:tc>
        <w:tc>
          <w:tcPr>
            <w:tcW w:w="2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40" w:type="dxa"/>
            <w:vAlign w:val="bottom"/>
          </w:tcPr>
          <w:p>
            <w:pPr>
              <w:jc w:val="center"/>
              <w:ind w:right="179"/>
              <w:spacing w:after="0"/>
              <w:rPr>
                <w:sz w:val="20"/>
                <w:szCs w:val="20"/>
                <w:color w:val="auto"/>
              </w:rPr>
            </w:pPr>
            <w:r>
              <w:rPr>
                <w:rFonts w:ascii="Wingdings" w:cs="Wingdings" w:eastAsia="Wingdings" w:hAnsi="Wingdings"/>
                <w:sz w:val="16"/>
                <w:szCs w:val="16"/>
                <w:b w:val="1"/>
                <w:bCs w:val="1"/>
                <w:color w:val="auto"/>
                <w:highlight w:val="black"/>
              </w:rPr>
              <w:t>ü</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Shops at Pembroke Gardens</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Pembroke Pines, FL</w:t>
            </w:r>
          </w:p>
        </w:tc>
        <w:tc>
          <w:tcPr>
            <w:tcW w:w="20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040" w:type="dxa"/>
            <w:vAlign w:val="bottom"/>
            <w:shd w:val="clear" w:color="auto" w:fill="CCEEFF"/>
          </w:tcPr>
          <w:p>
            <w:pPr>
              <w:spacing w:after="0"/>
              <w:rPr>
                <w:sz w:val="19"/>
                <w:szCs w:val="19"/>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AVENUE at White Marsh</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White Marsh, MD</w:t>
            </w:r>
          </w:p>
        </w:tc>
        <w:tc>
          <w:tcPr>
            <w:tcW w:w="20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040" w:type="dxa"/>
            <w:vAlign w:val="bottom"/>
          </w:tcPr>
          <w:p>
            <w:pPr>
              <w:spacing w:after="0"/>
              <w:rPr>
                <w:sz w:val="18"/>
                <w:szCs w:val="18"/>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Tower Shopping Center</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Springfield, VA</w:t>
            </w:r>
          </w:p>
        </w:tc>
        <w:tc>
          <w:tcPr>
            <w:tcW w:w="2080" w:type="dxa"/>
            <w:vAlign w:val="bottom"/>
            <w:shd w:val="clear" w:color="auto" w:fill="CCEEFF"/>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Troy Hills</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Parsippany-Troy, NJ</w:t>
            </w:r>
          </w:p>
        </w:tc>
        <w:tc>
          <w:tcPr>
            <w:tcW w:w="2080" w:type="dxa"/>
            <w:vAlign w:val="bottom"/>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Village at Shirlington</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Arlington, VA</w:t>
            </w:r>
          </w:p>
        </w:tc>
        <w:tc>
          <w:tcPr>
            <w:tcW w:w="20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040" w:type="dxa"/>
            <w:vAlign w:val="bottom"/>
            <w:shd w:val="clear" w:color="auto" w:fill="CCEEFF"/>
          </w:tcPr>
          <w:p>
            <w:pPr>
              <w:spacing w:after="0"/>
              <w:rPr>
                <w:sz w:val="19"/>
                <w:szCs w:val="19"/>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Village Pointe</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Omaha, NE</w:t>
            </w:r>
          </w:p>
        </w:tc>
        <w:tc>
          <w:tcPr>
            <w:tcW w:w="2080" w:type="dxa"/>
            <w:vAlign w:val="bottom"/>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Virginia Gateway</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Gainesville, VA</w:t>
            </w:r>
          </w:p>
        </w:tc>
        <w:tc>
          <w:tcPr>
            <w:tcW w:w="2080" w:type="dxa"/>
            <w:vAlign w:val="bottom"/>
            <w:shd w:val="clear" w:color="auto" w:fill="CCEEFF"/>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Westgate Center</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San Jose, CA</w:t>
            </w:r>
          </w:p>
        </w:tc>
        <w:tc>
          <w:tcPr>
            <w:tcW w:w="2080" w:type="dxa"/>
            <w:vAlign w:val="bottom"/>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040" w:type="dxa"/>
            <w:vAlign w:val="bottom"/>
          </w:tcPr>
          <w:p>
            <w:pPr>
              <w:spacing w:after="0"/>
              <w:rPr>
                <w:sz w:val="18"/>
                <w:szCs w:val="18"/>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Willow Lawn</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Richmond, VA</w:t>
            </w:r>
          </w:p>
        </w:tc>
        <w:tc>
          <w:tcPr>
            <w:tcW w:w="20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040" w:type="dxa"/>
            <w:vAlign w:val="bottom"/>
            <w:shd w:val="clear" w:color="auto" w:fill="CCEEFF"/>
          </w:tcPr>
          <w:p>
            <w:pPr>
              <w:spacing w:after="0"/>
              <w:rPr>
                <w:sz w:val="19"/>
                <w:szCs w:val="19"/>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Wynnewood</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Wynnewood, PA</w:t>
            </w:r>
          </w:p>
        </w:tc>
        <w:tc>
          <w:tcPr>
            <w:tcW w:w="2080" w:type="dxa"/>
            <w:vAlign w:val="bottom"/>
          </w:tcPr>
          <w:p>
            <w:pPr>
              <w:jc w:val="center"/>
              <w:ind w:left="159"/>
              <w:spacing w:after="0"/>
              <w:rPr>
                <w:sz w:val="20"/>
                <w:szCs w:val="20"/>
                <w:color w:val="auto"/>
              </w:rPr>
            </w:pPr>
            <w:r>
              <w:rPr>
                <w:rFonts w:ascii="Wingdings" w:cs="Wingdings" w:eastAsia="Wingdings" w:hAnsi="Wingdings"/>
                <w:sz w:val="16"/>
                <w:szCs w:val="16"/>
                <w:b w:val="1"/>
                <w:bCs w:val="1"/>
                <w:color w:val="auto"/>
                <w:highlight w:val="black"/>
              </w:rPr>
              <w:t>ü</w:t>
            </w:r>
          </w:p>
        </w:tc>
        <w:tc>
          <w:tcPr>
            <w:tcW w:w="218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040" w:type="dxa"/>
            <w:vAlign w:val="bottom"/>
          </w:tcPr>
          <w:p>
            <w:pPr>
              <w:spacing w:after="0"/>
              <w:rPr>
                <w:sz w:val="18"/>
                <w:szCs w:val="18"/>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127"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Remaining entitlements at Assembly Row include approximately 1.5 million square feet of commercial-use buildings and 326 residential units.</w:t>
      </w:r>
    </w:p>
    <w:p>
      <w:pPr>
        <w:spacing w:after="0" w:line="23"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Remaining entitlements at Pike &amp; Rose include approximately 530,000 square feet of commercial-use buildings and 741 residential units.</w:t>
      </w:r>
    </w:p>
    <w:p>
      <w:pPr>
        <w:spacing w:after="0" w:line="5" w:lineRule="exact"/>
        <w:rPr>
          <w:rFonts w:ascii="Times New Roman" w:cs="Times New Roman" w:eastAsia="Times New Roman" w:hAnsi="Times New Roman"/>
          <w:sz w:val="16"/>
          <w:szCs w:val="16"/>
          <w:color w:val="auto"/>
        </w:rPr>
      </w:pPr>
    </w:p>
    <w:p>
      <w:pPr>
        <w:ind w:left="660" w:right="460" w:hanging="652"/>
        <w:spacing w:after="0" w:line="255"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Remaining entitlements at Santana Row include approximately 321,000 square feet of commercial space and 137 residential units, as well as approximately 604,000 square feet of commercial space across from Santana Row at Santana West.</w:t>
      </w:r>
    </w:p>
    <w:p>
      <w:pPr>
        <w:ind w:left="660" w:right="440" w:hanging="652"/>
        <w:spacing w:after="0" w:line="255"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expansion/conversion includes opportunities at successful retail properties to convert previously underutilized land into new GLA, to convert other existing uses into more productive uses for the property, and/or to add both single tenant and multi-tenant stand-alone pad buildings.</w:t>
      </w:r>
    </w:p>
    <w:p>
      <w:pPr>
        <w:ind w:left="660" w:hanging="652"/>
        <w:spacing w:after="0"/>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Residential includes opportunities to add residential units to existing retail and mixed-use properties.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937" w:right="35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Significant Transactions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Property Acquisitions</w:t>
            </w: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5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20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City/State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GLA</w:t>
            </w: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Acquisition Price</w:t>
            </w:r>
          </w:p>
        </w:tc>
        <w:tc>
          <w:tcPr>
            <w:tcW w:w="80" w:type="dxa"/>
            <w:vAlign w:val="bottom"/>
          </w:tcPr>
          <w:p>
            <w:pPr>
              <w:spacing w:after="0"/>
              <w:rPr>
                <w:sz w:val="21"/>
                <w:szCs w:val="21"/>
                <w:color w:val="auto"/>
              </w:rPr>
            </w:pPr>
          </w:p>
        </w:tc>
        <w:tc>
          <w:tcPr>
            <w:tcW w:w="17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Principal Tenants</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5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 square feet)</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720" w:type="dxa"/>
            <w:vAlign w:val="bottom"/>
            <w:gridSpan w:val="5"/>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March 12, 2026</w:t>
            </w:r>
          </w:p>
        </w:tc>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Congressional North Shopping</w:t>
            </w:r>
          </w:p>
        </w:tc>
        <w:tc>
          <w:tcPr>
            <w:tcW w:w="178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Rockville, Maryland</w:t>
            </w:r>
          </w:p>
        </w:tc>
        <w:tc>
          <w:tcPr>
            <w:tcW w:w="1440" w:type="dxa"/>
            <w:vAlign w:val="bottom"/>
            <w:gridSpan w:val="3"/>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217,000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72.3</w:t>
            </w:r>
          </w:p>
        </w:tc>
        <w:tc>
          <w:tcPr>
            <w:tcW w:w="8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Aldi / Michaels / RH Outlet /</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Center</w:t>
            </w:r>
          </w:p>
        </w:tc>
        <w:tc>
          <w:tcPr>
            <w:tcW w:w="1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Petco / Staples</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gridSpan w:val="5"/>
          </w:tcPr>
          <w:p>
            <w:pPr>
              <w:ind w:left="20"/>
              <w:spacing w:after="0" w:line="162" w:lineRule="exact"/>
              <w:rPr>
                <w:sz w:val="20"/>
                <w:szCs w:val="20"/>
                <w:color w:val="auto"/>
              </w:rPr>
            </w:pPr>
            <w:r>
              <w:rPr>
                <w:rFonts w:ascii="Times New Roman" w:cs="Times New Roman" w:eastAsia="Times New Roman" w:hAnsi="Times New Roman"/>
                <w:sz w:val="16"/>
                <w:szCs w:val="16"/>
                <w:color w:val="auto"/>
              </w:rPr>
              <w:t>April 17, 2026</w:t>
            </w:r>
          </w:p>
        </w:tc>
        <w:tc>
          <w:tcPr>
            <w:tcW w:w="20" w:type="dxa"/>
            <w:vAlign w:val="bottom"/>
          </w:tcPr>
          <w:p>
            <w:pPr>
              <w:spacing w:after="0"/>
              <w:rPr>
                <w:sz w:val="14"/>
                <w:szCs w:val="14"/>
                <w:color w:val="auto"/>
              </w:rPr>
            </w:pPr>
          </w:p>
        </w:tc>
        <w:tc>
          <w:tcPr>
            <w:tcW w:w="24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Kingstowne Towne Center (1)</w:t>
            </w:r>
          </w:p>
        </w:tc>
        <w:tc>
          <w:tcPr>
            <w:tcW w:w="1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Alexandria, Virginia</w:t>
            </w:r>
          </w:p>
        </w:tc>
        <w:tc>
          <w:tcPr>
            <w:tcW w:w="14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88,000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4"/>
                <w:szCs w:val="14"/>
                <w:color w:val="auto"/>
              </w:rPr>
            </w:pPr>
          </w:p>
        </w:tc>
        <w:tc>
          <w:tcPr>
            <w:tcW w:w="18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Regal Cinemas / Multiple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720" w:type="dxa"/>
            <w:vAlign w:val="bottom"/>
            <w:gridSpan w:val="5"/>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October 1, 2026</w:t>
            </w:r>
          </w:p>
        </w:tc>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The Summit</w:t>
            </w:r>
          </w:p>
        </w:tc>
        <w:tc>
          <w:tcPr>
            <w:tcW w:w="17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Birmingham, Alabama</w:t>
            </w:r>
          </w:p>
        </w:tc>
        <w:tc>
          <w:tcPr>
            <w:tcW w:w="1440" w:type="dxa"/>
            <w:vAlign w:val="bottom"/>
            <w:gridSpan w:val="3"/>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870,000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508.0</w:t>
            </w:r>
          </w:p>
        </w:tc>
        <w:tc>
          <w:tcPr>
            <w:tcW w:w="8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Trader Joe's / Apple / RH /</w:t>
            </w: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Nordstrom Rack / ALO / Sephora</w:t>
            </w:r>
          </w:p>
        </w:tc>
        <w:tc>
          <w:tcPr>
            <w:tcW w:w="0" w:type="dxa"/>
            <w:vAlign w:val="bottom"/>
          </w:tcPr>
          <w:p>
            <w:pPr>
              <w:spacing w:after="0"/>
              <w:rPr>
                <w:sz w:val="1"/>
                <w:szCs w:val="1"/>
                <w:color w:val="auto"/>
              </w:rPr>
            </w:pPr>
          </w:p>
        </w:tc>
      </w:tr>
      <w:tr>
        <w:trPr>
          <w:trHeight w:val="291"/>
        </w:trPr>
        <w:tc>
          <w:tcPr>
            <w:tcW w:w="74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(1)  This retail building will be operated as part of our existing Kingstowne Towne Center property.</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17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Property Dispositions</w:t>
            </w: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22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City/State</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w w:val="99"/>
              </w:rPr>
              <w:t>Sales Price</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5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Borders>
              <w:top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5, 2026</w:t>
            </w:r>
          </w:p>
        </w:tc>
        <w:tc>
          <w:tcPr>
            <w:tcW w:w="20" w:type="dxa"/>
            <w:vAlign w:val="bottom"/>
            <w:shd w:val="clear" w:color="auto" w:fill="CCEEFF"/>
          </w:tcPr>
          <w:p>
            <w:pPr>
              <w:spacing w:after="0"/>
              <w:rPr>
                <w:sz w:val="18"/>
                <w:szCs w:val="18"/>
                <w:color w:val="auto"/>
              </w:rPr>
            </w:pPr>
          </w:p>
        </w:tc>
        <w:tc>
          <w:tcPr>
            <w:tcW w:w="4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Santana Row Residential (1 building)</w:t>
            </w:r>
          </w:p>
        </w:tc>
        <w:tc>
          <w:tcPr>
            <w:tcW w:w="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 Jose, California</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0" w:type="dxa"/>
            <w:vAlign w:val="bottom"/>
          </w:tcPr>
          <w:p>
            <w:pPr>
              <w:spacing w:after="0"/>
              <w:rPr>
                <w:sz w:val="1"/>
                <w:szCs w:val="1"/>
                <w:color w:val="auto"/>
              </w:rPr>
            </w:pPr>
          </w:p>
        </w:tc>
      </w:tr>
      <w:tr>
        <w:trPr>
          <w:trHeight w:val="213"/>
        </w:trPr>
        <w:tc>
          <w:tcPr>
            <w:tcW w:w="1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February 5, 2026</w:t>
            </w:r>
          </w:p>
        </w:tc>
        <w:tc>
          <w:tcPr>
            <w:tcW w:w="20" w:type="dxa"/>
            <w:vAlign w:val="bottom"/>
          </w:tcPr>
          <w:p>
            <w:pPr>
              <w:spacing w:after="0"/>
              <w:rPr>
                <w:sz w:val="18"/>
                <w:szCs w:val="18"/>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Courthouse Center</w:t>
            </w: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Rockville, Maryland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1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8, 2026</w:t>
            </w:r>
          </w:p>
        </w:tc>
        <w:tc>
          <w:tcPr>
            <w:tcW w:w="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CocoWalk (1 retail building)</w:t>
            </w:r>
          </w:p>
        </w:tc>
        <w:tc>
          <w:tcPr>
            <w:tcW w:w="1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Coconut Grove, Florida</w:t>
            </w: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3"/>
        </w:trPr>
        <w:tc>
          <w:tcPr>
            <w:tcW w:w="1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May 21, 2026</w:t>
            </w:r>
          </w:p>
        </w:tc>
        <w:tc>
          <w:tcPr>
            <w:tcW w:w="20" w:type="dxa"/>
            <w:vAlign w:val="bottom"/>
          </w:tcPr>
          <w:p>
            <w:pPr>
              <w:spacing w:after="0"/>
              <w:rPr>
                <w:sz w:val="18"/>
                <w:szCs w:val="18"/>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Barcroft Plaza</w:t>
            </w: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Falls Church, Virginia</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219"/>
        </w:trPr>
        <w:tc>
          <w:tcPr>
            <w:tcW w:w="1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19, 2026</w:t>
            </w:r>
          </w:p>
        </w:tc>
        <w:tc>
          <w:tcPr>
            <w:tcW w:w="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Dartmouth</w:t>
            </w:r>
          </w:p>
        </w:tc>
        <w:tc>
          <w:tcPr>
            <w:tcW w:w="1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9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Dartmouth, Massachusetts</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Financing Transactions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Revolving Credit Facility</w:t>
      </w:r>
    </w:p>
    <w:p>
      <w:pPr>
        <w:spacing w:after="0" w:line="10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On April 14, 2026, we amended and restated our revolving credit facility, increasing the borrowing capacity from $1.25 billion to $1.4 billion, lowering the spread over SOFR to 72.5 basis points based on our current credit rating, and extending the maturity date to April 12, 2030, plus two six-month extensions at our option. In addition, we have an option to increase the credit facility through an accordion feature to $2.0 billion.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Issuance of Debt</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27"/>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Issuance Date</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Debt</w:t>
            </w: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Stated Interest Rate</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Maturity Date</w:t>
            </w:r>
          </w:p>
        </w:tc>
      </w:tr>
      <w:tr>
        <w:trPr>
          <w:trHeight w:val="211"/>
        </w:trPr>
        <w:tc>
          <w:tcPr>
            <w:tcW w:w="1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11, 2026</w:t>
            </w: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3.50% Exchangeable Senior Notes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8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August 15, 2031</w:t>
            </w:r>
          </w:p>
        </w:tc>
      </w:tr>
    </w:tbl>
    <w:p>
      <w:pPr>
        <w:spacing w:after="0" w:line="81" w:lineRule="exact"/>
        <w:rPr>
          <w:sz w:val="20"/>
          <w:szCs w:val="20"/>
          <w:color w:val="auto"/>
        </w:rPr>
      </w:pPr>
    </w:p>
    <w:p>
      <w:pPr>
        <w:ind w:left="260" w:right="60" w:hanging="252"/>
        <w:spacing w:after="0" w:line="280" w:lineRule="auto"/>
        <w:tabs>
          <w:tab w:leader="none" w:pos="2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proceeds after the initial purchaser’s discount and estimated offering costs were approximately $451 million, of which $21.7 million was used to pay the capped call premium. See our Form 8-K filing on August 11, 2026 for additional information on this transaction.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Repayment of Debt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nine months ended September 30, 2026, we repaid the following debt, at par: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Repayment Date(s)</w:t>
            </w: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Debt</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Payoff Amount</w:t>
            </w:r>
          </w:p>
        </w:tc>
      </w:tr>
      <w:tr>
        <w:trPr>
          <w:trHeight w:val="211"/>
        </w:trPr>
        <w:tc>
          <w:tcPr>
            <w:tcW w:w="1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280" w:type="dxa"/>
            <w:vAlign w:val="bottom"/>
          </w:tcPr>
          <w:p>
            <w:pPr>
              <w:spacing w:after="0"/>
              <w:rPr>
                <w:sz w:val="18"/>
                <w:szCs w:val="18"/>
                <w:color w:val="auto"/>
              </w:rPr>
            </w:pPr>
          </w:p>
        </w:tc>
      </w:tr>
      <w:tr>
        <w:trPr>
          <w:trHeight w:val="218"/>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17, 2026</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1.25%</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4280" w:type="dxa"/>
            <w:vAlign w:val="bottom"/>
            <w:shd w:val="clear" w:color="auto" w:fill="CCEEFF"/>
          </w:tcPr>
          <w:p>
            <w:pPr>
              <w:spacing w:after="0"/>
              <w:rPr>
                <w:sz w:val="18"/>
                <w:szCs w:val="18"/>
                <w:color w:val="auto"/>
              </w:rPr>
            </w:pPr>
          </w:p>
        </w:tc>
      </w:tr>
      <w:tr>
        <w:trPr>
          <w:trHeight w:val="21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March/July 2026</w:t>
            </w:r>
          </w:p>
        </w:tc>
        <w:tc>
          <w:tcPr>
            <w:tcW w:w="31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Eight Hoboken mortgage loans</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4280" w:type="dxa"/>
            <w:vAlign w:val="bottom"/>
          </w:tcPr>
          <w:p>
            <w:pPr>
              <w:spacing w:after="0"/>
              <w:rPr>
                <w:sz w:val="18"/>
                <w:szCs w:val="18"/>
                <w:color w:val="auto"/>
              </w:rPr>
            </w:pPr>
          </w:p>
        </w:tc>
      </w:tr>
      <w:tr>
        <w:trPr>
          <w:trHeight w:val="219"/>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30, 2026</w:t>
            </w:r>
          </w:p>
        </w:tc>
        <w:tc>
          <w:tcPr>
            <w:tcW w:w="3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Bell Gardens mortgage loan</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4280" w:type="dxa"/>
            <w:vAlign w:val="bottom"/>
            <w:shd w:val="clear" w:color="auto" w:fill="CCEEFF"/>
          </w:tcPr>
          <w:p>
            <w:pPr>
              <w:spacing w:after="0"/>
              <w:rPr>
                <w:sz w:val="19"/>
                <w:szCs w:val="19"/>
                <w:color w:val="auto"/>
              </w:rPr>
            </w:pPr>
          </w:p>
        </w:tc>
      </w:tr>
      <w:tr>
        <w:trPr>
          <w:trHeight w:val="210"/>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17, 2026</w:t>
            </w: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7.48%</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Debentures</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4280" w:type="dxa"/>
            <w:vAlign w:val="bottom"/>
          </w:tcPr>
          <w:p>
            <w:pPr>
              <w:spacing w:after="0"/>
              <w:rPr>
                <w:sz w:val="18"/>
                <w:szCs w:val="18"/>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Issuance of Common Shares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nine months ended September 30, 2026, we sold 493,374 common shares for gross proceeds of $61.1 million, at a gross share price of $123.92.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Repurchase of Common Shares</w:t>
      </w:r>
    </w:p>
    <w:p>
      <w:pPr>
        <w:spacing w:after="0" w:line="10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During the nine months ended September 30, 2026, and through October 9, 2026, we repurchased a total of 869,748 common shares for $94.7 million, at a weighted average purchase price per share of $108.82.</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860"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Real Estate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Grocery</w:t>
            </w:r>
          </w:p>
        </w:tc>
        <w:tc>
          <w:tcPr>
            <w:tcW w:w="1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74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Anchor</w:t>
            </w:r>
          </w:p>
        </w:tc>
        <w:tc>
          <w:tcPr>
            <w:tcW w:w="12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GLA</w:t>
            </w: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 (2)</w:t>
            </w:r>
          </w:p>
        </w:tc>
        <w:tc>
          <w:tcPr>
            <w:tcW w:w="2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920" w:type="dxa"/>
            <w:vAlign w:val="bottom"/>
            <w:gridSpan w:val="5"/>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Washington Metropolitan Area</w:t>
            </w: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Bethesda Row</w:t>
            </w:r>
          </w:p>
        </w:tc>
        <w:tc>
          <w:tcPr>
            <w:tcW w:w="3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(3)</w:t>
            </w:r>
          </w:p>
        </w:tc>
        <w:tc>
          <w:tcPr>
            <w:tcW w:w="24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279,389</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532,000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tcPr>
          <w:p>
            <w:pPr>
              <w:jc w:val="center"/>
              <w:ind w:left="17"/>
              <w:spacing w:after="0" w:line="122" w:lineRule="exact"/>
              <w:rPr>
                <w:sz w:val="20"/>
                <w:szCs w:val="20"/>
                <w:color w:val="auto"/>
              </w:rPr>
            </w:pPr>
            <w:r>
              <w:rPr>
                <w:rFonts w:ascii="Times New Roman" w:cs="Times New Roman" w:eastAsia="Times New Roman" w:hAnsi="Times New Roman"/>
                <w:sz w:val="13"/>
                <w:szCs w:val="13"/>
                <w:color w:val="auto"/>
                <w:w w:val="92"/>
              </w:rPr>
              <w:t>180</w:t>
            </w: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40,000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Apple / Anthropologie / Sephora / Equinox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Birch &amp; Broad</w:t>
            </w:r>
          </w:p>
        </w:tc>
        <w:tc>
          <w:tcPr>
            <w:tcW w:w="36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26,288</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51,000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Staples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Chesterbrook</w:t>
            </w:r>
          </w:p>
        </w:tc>
        <w:tc>
          <w:tcPr>
            <w:tcW w:w="3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4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51,365</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89,000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35,000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Starbucks / Multiple Restaurants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Congressional</w:t>
            </w:r>
          </w:p>
        </w:tc>
        <w:tc>
          <w:tcPr>
            <w:tcW w:w="3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(5)</w:t>
            </w:r>
          </w:p>
        </w:tc>
        <w:tc>
          <w:tcPr>
            <w:tcW w:w="24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70,847</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217,000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33,000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Michaels / Staples / RH Outlet / Petco</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North Shopping</w:t>
            </w:r>
          </w:p>
        </w:tc>
        <w:tc>
          <w:tcPr>
            <w:tcW w:w="36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Center</w:t>
            </w:r>
          </w:p>
        </w:tc>
        <w:tc>
          <w:tcPr>
            <w:tcW w:w="3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Congressional Plaza</w:t>
            </w:r>
          </w:p>
        </w:tc>
        <w:tc>
          <w:tcPr>
            <w:tcW w:w="3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4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115,733</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309,000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740" w:type="dxa"/>
            <w:vAlign w:val="bottom"/>
          </w:tcPr>
          <w:p>
            <w:pPr>
              <w:jc w:val="center"/>
              <w:ind w:left="17"/>
              <w:spacing w:after="0" w:line="122" w:lineRule="exact"/>
              <w:rPr>
                <w:sz w:val="20"/>
                <w:szCs w:val="20"/>
                <w:color w:val="auto"/>
              </w:rPr>
            </w:pPr>
            <w:r>
              <w:rPr>
                <w:rFonts w:ascii="Times New Roman" w:cs="Times New Roman" w:eastAsia="Times New Roman" w:hAnsi="Times New Roman"/>
                <w:sz w:val="13"/>
                <w:szCs w:val="13"/>
                <w:color w:val="auto"/>
                <w:w w:val="92"/>
              </w:rPr>
              <w:t>194</w:t>
            </w: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25,000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The Fresh Market</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Ulta / Barnes &amp; Noble / Container Store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Gap Factory Store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Fairfax Junction</w:t>
            </w:r>
          </w:p>
        </w:tc>
        <w:tc>
          <w:tcPr>
            <w:tcW w:w="3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(5)</w:t>
            </w:r>
          </w:p>
        </w:tc>
        <w:tc>
          <w:tcPr>
            <w:tcW w:w="24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46,883</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23,000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Planet 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Federal Plaza</w:t>
            </w:r>
          </w:p>
        </w:tc>
        <w:tc>
          <w:tcPr>
            <w:tcW w:w="360" w:type="dxa"/>
            <w:vAlign w:val="bottom"/>
          </w:tcPr>
          <w:p>
            <w:pPr>
              <w:spacing w:after="0"/>
              <w:rPr>
                <w:sz w:val="10"/>
                <w:szCs w:val="10"/>
                <w:color w:val="auto"/>
              </w:rPr>
            </w:pPr>
          </w:p>
        </w:tc>
        <w:tc>
          <w:tcPr>
            <w:tcW w:w="24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75,449</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249,000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74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14,000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Micro Center / Ross Dress for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Friendship Center</w:t>
            </w:r>
          </w:p>
        </w:tc>
        <w:tc>
          <w:tcPr>
            <w:tcW w:w="36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39,911</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Maggiano's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w w:val="98"/>
              </w:rPr>
              <w:t>Gaithersburg Square</w:t>
            </w:r>
          </w:p>
        </w:tc>
        <w:tc>
          <w:tcPr>
            <w:tcW w:w="360" w:type="dxa"/>
            <w:vAlign w:val="bottom"/>
          </w:tcPr>
          <w:p>
            <w:pPr>
              <w:spacing w:after="0"/>
              <w:rPr>
                <w:sz w:val="10"/>
                <w:szCs w:val="10"/>
                <w:color w:val="auto"/>
              </w:rPr>
            </w:pPr>
          </w:p>
        </w:tc>
        <w:tc>
          <w:tcPr>
            <w:tcW w:w="24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39,733</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Ross Dress for Less / Ashley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Furniture HomeStore / CVS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Graham Park Plaza</w:t>
            </w:r>
          </w:p>
        </w:tc>
        <w:tc>
          <w:tcPr>
            <w:tcW w:w="36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28,572</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58,000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Advanced Auto Parts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Idylwood Plaza</w:t>
            </w:r>
          </w:p>
        </w:tc>
        <w:tc>
          <w:tcPr>
            <w:tcW w:w="360" w:type="dxa"/>
            <w:vAlign w:val="bottom"/>
          </w:tcPr>
          <w:p>
            <w:pPr>
              <w:spacing w:after="0"/>
              <w:rPr>
                <w:sz w:val="10"/>
                <w:szCs w:val="10"/>
                <w:color w:val="auto"/>
              </w:rPr>
            </w:pPr>
          </w:p>
        </w:tc>
        <w:tc>
          <w:tcPr>
            <w:tcW w:w="24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20,795</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23,000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Lidl</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Bassett Furniture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Kingstowne Towne</w:t>
            </w:r>
          </w:p>
        </w:tc>
        <w:tc>
          <w:tcPr>
            <w:tcW w:w="36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233,073</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499,000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135,000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Giant Food / Safeway</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TJ Maxx / HomeGoods / Ross Dress for Less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Center</w:t>
            </w:r>
          </w:p>
        </w:tc>
        <w:tc>
          <w:tcPr>
            <w:tcW w:w="360" w:type="dxa"/>
            <w:vAlign w:val="bottom"/>
            <w:tcBorders>
              <w:bottom w:val="single" w:sz="8" w:color="CCEEFF"/>
            </w:tcBorders>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Regal Cinemas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Laurel</w:t>
            </w:r>
          </w:p>
        </w:tc>
        <w:tc>
          <w:tcPr>
            <w:tcW w:w="360" w:type="dxa"/>
            <w:vAlign w:val="bottom"/>
          </w:tcPr>
          <w:p>
            <w:pPr>
              <w:spacing w:after="0"/>
              <w:rPr>
                <w:sz w:val="10"/>
                <w:szCs w:val="10"/>
                <w:color w:val="auto"/>
              </w:rPr>
            </w:pPr>
          </w:p>
        </w:tc>
        <w:tc>
          <w:tcPr>
            <w:tcW w:w="24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62,286</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367,000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74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61,000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L.A. Fitness / HomeGoods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Montrose Crossing</w:t>
            </w:r>
          </w:p>
        </w:tc>
        <w:tc>
          <w:tcPr>
            <w:tcW w:w="36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172,106</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73,000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 / Target</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HomeSense / Old Navy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w:t>
            </w:r>
          </w:p>
        </w:tc>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Mount</w:t>
            </w:r>
          </w:p>
        </w:tc>
        <w:tc>
          <w:tcPr>
            <w:tcW w:w="360" w:type="dxa"/>
            <w:vAlign w:val="bottom"/>
          </w:tcPr>
          <w:p>
            <w:pPr>
              <w:spacing w:after="0"/>
              <w:rPr>
                <w:sz w:val="10"/>
                <w:szCs w:val="10"/>
                <w:color w:val="auto"/>
              </w:rPr>
            </w:pPr>
          </w:p>
        </w:tc>
        <w:tc>
          <w:tcPr>
            <w:tcW w:w="24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99,177</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565,000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4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62,000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Shoppers Food</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Home Depot / Old Navy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Vernon/South</w:t>
            </w:r>
          </w:p>
        </w:tc>
        <w:tc>
          <w:tcPr>
            <w:tcW w:w="360" w:type="dxa"/>
            <w:vAlign w:val="bottom"/>
          </w:tcPr>
          <w:p>
            <w:pPr>
              <w:spacing w:after="0"/>
              <w:rPr>
                <w:sz w:val="10"/>
                <w:szCs w:val="10"/>
                <w:color w:val="auto"/>
              </w:rPr>
            </w:pPr>
          </w:p>
        </w:tc>
        <w:tc>
          <w:tcPr>
            <w:tcW w:w="24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Warehouse</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Burlington / Ulta</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80" w:type="dxa"/>
            <w:vAlign w:val="bottom"/>
            <w:gridSpan w:val="2"/>
          </w:tcPr>
          <w:p>
            <w:pPr>
              <w:spacing w:after="0" w:line="131" w:lineRule="exact"/>
              <w:rPr>
                <w:sz w:val="20"/>
                <w:szCs w:val="20"/>
                <w:color w:val="auto"/>
              </w:rPr>
            </w:pPr>
            <w:r>
              <w:rPr>
                <w:rFonts w:ascii="Times New Roman" w:cs="Times New Roman" w:eastAsia="Times New Roman" w:hAnsi="Times New Roman"/>
                <w:sz w:val="13"/>
                <w:szCs w:val="13"/>
                <w:color w:val="auto"/>
              </w:rPr>
              <w:t>Valley/7770</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Richmond Hwy</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Old Keene Mill</w:t>
            </w:r>
          </w:p>
        </w:tc>
        <w:tc>
          <w:tcPr>
            <w:tcW w:w="36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20,382</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90,000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14,000</w:t>
            </w:r>
          </w:p>
        </w:tc>
        <w:tc>
          <w:tcPr>
            <w:tcW w:w="120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Trader Joe's</w:t>
            </w:r>
          </w:p>
        </w:tc>
        <w:tc>
          <w:tcPr>
            <w:tcW w:w="2360" w:type="dxa"/>
            <w:vAlign w:val="bottom"/>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color w:val="auto"/>
              </w:rPr>
              <w:t>Walgreens / Planet 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Pike &amp; Rose</w:t>
            </w:r>
          </w:p>
        </w:tc>
        <w:tc>
          <w:tcPr>
            <w:tcW w:w="360" w:type="dxa"/>
            <w:vAlign w:val="bottom"/>
          </w:tcPr>
          <w:p>
            <w:pPr>
              <w:spacing w:after="0"/>
              <w:rPr>
                <w:sz w:val="10"/>
                <w:szCs w:val="10"/>
                <w:color w:val="auto"/>
              </w:rPr>
            </w:pPr>
          </w:p>
        </w:tc>
        <w:tc>
          <w:tcPr>
            <w:tcW w:w="24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808,390</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955,000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jc w:val="center"/>
              <w:ind w:left="17"/>
              <w:spacing w:after="0" w:line="122" w:lineRule="exact"/>
              <w:rPr>
                <w:sz w:val="20"/>
                <w:szCs w:val="20"/>
                <w:color w:val="auto"/>
              </w:rPr>
            </w:pPr>
            <w:r>
              <w:rPr>
                <w:rFonts w:ascii="Times New Roman" w:cs="Times New Roman" w:eastAsia="Times New Roman" w:hAnsi="Times New Roman"/>
                <w:sz w:val="13"/>
                <w:szCs w:val="13"/>
                <w:color w:val="auto"/>
                <w:w w:val="92"/>
              </w:rPr>
              <w:t>447</w:t>
            </w: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Porsche / Uniqlo / REI / H&amp;M / L.L Bean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Pike 7 Plaza</w:t>
            </w:r>
          </w:p>
        </w:tc>
        <w:tc>
          <w:tcPr>
            <w:tcW w:w="36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57,261</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175,000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24,000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Lidl</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DSW / Ulta</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Plaza del Mercado</w:t>
            </w:r>
          </w:p>
        </w:tc>
        <w:tc>
          <w:tcPr>
            <w:tcW w:w="360" w:type="dxa"/>
            <w:vAlign w:val="bottom"/>
          </w:tcPr>
          <w:p>
            <w:pPr>
              <w:spacing w:after="0"/>
              <w:rPr>
                <w:sz w:val="10"/>
                <w:szCs w:val="10"/>
                <w:color w:val="auto"/>
              </w:rPr>
            </w:pPr>
          </w:p>
        </w:tc>
        <w:tc>
          <w:tcPr>
            <w:tcW w:w="24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47,277</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116,000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74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18,000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L.A.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Providence Place</w:t>
            </w:r>
          </w:p>
        </w:tc>
        <w:tc>
          <w:tcPr>
            <w:tcW w:w="36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37,908</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65,000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Micro Center / CVS / Michaels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Quince Orchard</w:t>
            </w:r>
          </w:p>
        </w:tc>
        <w:tc>
          <w:tcPr>
            <w:tcW w:w="3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(3)</w:t>
            </w:r>
          </w:p>
        </w:tc>
        <w:tc>
          <w:tcPr>
            <w:tcW w:w="24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41,859</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81 %</w:t>
            </w:r>
          </w:p>
        </w:tc>
        <w:tc>
          <w:tcPr>
            <w:tcW w:w="74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19,000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HomeGoods / L.A. Fitness / Staples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Tower Shopping</w:t>
            </w:r>
          </w:p>
        </w:tc>
        <w:tc>
          <w:tcPr>
            <w:tcW w:w="36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30,824</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26,000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L.A. Mart</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Total Wine &amp; More / Talbots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Center</w:t>
            </w:r>
          </w:p>
        </w:tc>
        <w:tc>
          <w:tcPr>
            <w:tcW w:w="360" w:type="dxa"/>
            <w:vAlign w:val="bottom"/>
            <w:tcBorders>
              <w:bottom w:val="single" w:sz="8" w:color="CCEEFF"/>
            </w:tcBorders>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Twinbrooke Centre</w:t>
            </w:r>
          </w:p>
        </w:tc>
        <w:tc>
          <w:tcPr>
            <w:tcW w:w="360" w:type="dxa"/>
            <w:vAlign w:val="bottom"/>
          </w:tcPr>
          <w:p>
            <w:pPr>
              <w:spacing w:after="0"/>
              <w:rPr>
                <w:sz w:val="10"/>
                <w:szCs w:val="10"/>
                <w:color w:val="auto"/>
              </w:rPr>
            </w:pPr>
          </w:p>
        </w:tc>
        <w:tc>
          <w:tcPr>
            <w:tcW w:w="24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44,762</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35,000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Outback Steakhouse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Tyson's Station</w:t>
            </w:r>
          </w:p>
        </w:tc>
        <w:tc>
          <w:tcPr>
            <w:tcW w:w="36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7,023</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15,000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Village at</w:t>
            </w:r>
          </w:p>
        </w:tc>
        <w:tc>
          <w:tcPr>
            <w:tcW w:w="3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(3)</w:t>
            </w:r>
          </w:p>
        </w:tc>
        <w:tc>
          <w:tcPr>
            <w:tcW w:w="24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88,675</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74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28,000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AMC / Multiple Restaurants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Shirlington</w:t>
            </w:r>
          </w:p>
        </w:tc>
        <w:tc>
          <w:tcPr>
            <w:tcW w:w="36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Virginia Gateway</w:t>
            </w:r>
          </w:p>
        </w:tc>
        <w:tc>
          <w:tcPr>
            <w:tcW w:w="36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213,350</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668,000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70,000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 / Target</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HomeGoods / Total Wine &amp; More / Best Buy</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 / BJ's Wholesale</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 Ulta / Lowe's (S)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Club (S)</w:t>
            </w: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Westpost</w:t>
            </w:r>
          </w:p>
        </w:tc>
        <w:tc>
          <w:tcPr>
            <w:tcW w:w="360" w:type="dxa"/>
            <w:vAlign w:val="bottom"/>
          </w:tcPr>
          <w:p>
            <w:pPr>
              <w:spacing w:after="0"/>
              <w:rPr>
                <w:sz w:val="10"/>
                <w:szCs w:val="10"/>
                <w:color w:val="auto"/>
              </w:rPr>
            </w:pPr>
          </w:p>
        </w:tc>
        <w:tc>
          <w:tcPr>
            <w:tcW w:w="24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121,150</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298,000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79,000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9"/>
              </w:rPr>
              <w:t>Harris Teeter / Target</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Ulta / Walgreens / DSW</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Wildwood</w:t>
            </w:r>
          </w:p>
        </w:tc>
        <w:tc>
          <w:tcPr>
            <w:tcW w:w="36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28,436</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21,000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Balducci's</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Multiple Restaurants</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tcPr>
          <w:p>
            <w:pPr>
              <w:ind w:left="180"/>
              <w:spacing w:after="0" w:line="146" w:lineRule="exact"/>
              <w:rPr>
                <w:sz w:val="20"/>
                <w:szCs w:val="20"/>
                <w:color w:val="auto"/>
              </w:rPr>
            </w:pPr>
            <w:r>
              <w:rPr>
                <w:rFonts w:ascii="Times New Roman" w:cs="Times New Roman" w:eastAsia="Times New Roman" w:hAnsi="Times New Roman"/>
                <w:sz w:val="13"/>
                <w:szCs w:val="13"/>
                <w:b w:val="1"/>
                <w:bCs w:val="1"/>
                <w:color w:val="auto"/>
                <w:w w:val="95"/>
              </w:rPr>
              <w:t>Total Washington Metropolitan Area</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2,908,904</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7,331,000</w:t>
            </w:r>
          </w:p>
        </w:tc>
        <w:tc>
          <w:tcPr>
            <w:tcW w:w="8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California</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Azalea</w:t>
            </w:r>
          </w:p>
        </w:tc>
        <w:tc>
          <w:tcPr>
            <w:tcW w:w="3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4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109,724</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226,000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Walmart (S)</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Ross Dress for Less / Ulta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Michaels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Bell Gardens</w:t>
            </w:r>
          </w:p>
        </w:tc>
        <w:tc>
          <w:tcPr>
            <w:tcW w:w="3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8"/>
              </w:rPr>
              <w:t>(3)(4)</w:t>
            </w:r>
          </w:p>
        </w:tc>
        <w:tc>
          <w:tcPr>
            <w:tcW w:w="24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120,547</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371,000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74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108,000</w:t>
            </w:r>
          </w:p>
        </w:tc>
        <w:tc>
          <w:tcPr>
            <w:tcW w:w="356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Food 4 Less / El Super Marshalls / Ross Dress for Less / Bob's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Discount Furniture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Colorado Blvd</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2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True Food Kitchen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28"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028" w:right="339" w:bottom="1440" w:gutter="0" w:footer="0" w:header="0"/>
          <w:type w:val="continuous"/>
        </w:sectPr>
      </w:pPr>
    </w:p>
    <w:bookmarkStart w:id="22" w:name="page23"/>
    <w:bookmarkEnd w:id="22"/>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Real Estate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Grocery</w:t>
            </w:r>
          </w:p>
        </w:tc>
        <w:tc>
          <w:tcPr>
            <w:tcW w:w="1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74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Anchor</w:t>
            </w:r>
          </w:p>
        </w:tc>
        <w:tc>
          <w:tcPr>
            <w:tcW w:w="12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GLA</w:t>
            </w:r>
          </w:p>
        </w:tc>
        <w:tc>
          <w:tcPr>
            <w:tcW w:w="1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 (2)</w:t>
            </w:r>
          </w:p>
        </w:tc>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Crow Canyon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San Francisco-Oakland-Hayward, CA</w:t>
            </w: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94,963</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239,000</w:t>
            </w:r>
          </w:p>
        </w:tc>
        <w:tc>
          <w:tcPr>
            <w:tcW w:w="8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2"/>
                <w:szCs w:val="12"/>
                <w:color w:val="auto"/>
              </w:rPr>
            </w:pPr>
          </w:p>
        </w:tc>
        <w:tc>
          <w:tcPr>
            <w:tcW w:w="5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32,000</w:t>
            </w:r>
          </w:p>
        </w:tc>
        <w:tc>
          <w:tcPr>
            <w:tcW w:w="1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Sprouts</w:t>
            </w:r>
          </w:p>
        </w:tc>
        <w:tc>
          <w:tcPr>
            <w:tcW w:w="23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Total Wine &amp; More / Alamo Ace Hardware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Commons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Del Monte</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Salinas, CA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131,838</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675,000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85 %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25,000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3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Macy's / Petco / Pottery Barn / Apple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Shopping Center</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Sephora</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East Bay Bridge</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San Francisco-Oakland-Hayward, CA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181,096</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9"/>
              </w:rPr>
              <w:t>199,000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Pak-N-Save / Target</w:t>
            </w:r>
          </w:p>
        </w:tc>
        <w:tc>
          <w:tcPr>
            <w:tcW w:w="23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Home Depot / Nordstrom Rack / Michaels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Escondido</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San Diego-Carlsbad, CA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135,811</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 (S)</w:t>
            </w:r>
          </w:p>
        </w:tc>
        <w:tc>
          <w:tcPr>
            <w:tcW w:w="23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TJ Maxx / Dick’s Sporting Goods / Ross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Promenade</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Dress for Less / Bob's Discount Furniture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Fourth Street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Francisco-Oakland-Hayward, CA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28,126</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82 %</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CB2</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Freedom Plaza</w:t>
            </w:r>
          </w:p>
        </w:tc>
        <w:tc>
          <w:tcPr>
            <w:tcW w:w="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(3)(4)</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44,037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31,000</w:t>
            </w:r>
          </w:p>
        </w:tc>
        <w:tc>
          <w:tcPr>
            <w:tcW w:w="1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Smart &amp; Final</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Nike / Blink Fitness / Ross Dress for Less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Grossmont Center</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Diego-Carlsbad, CA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185,501</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294,000</w:t>
            </w: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Target / Walmart</w:t>
            </w:r>
          </w:p>
        </w:tc>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Barnes &amp; Noble / CVS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Hastings Ranch</w:t>
            </w:r>
          </w:p>
        </w:tc>
        <w:tc>
          <w:tcPr>
            <w:tcW w:w="40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(3)</w:t>
            </w:r>
          </w:p>
        </w:tc>
        <w:tc>
          <w:tcPr>
            <w:tcW w:w="24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26,015</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3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Marshalls / HomeGoods / CVS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Plaza</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Old Town Center</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44,745</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89 %</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3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Anthropologie / Sephora / Arhaus Furniture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Teleferic Barcelona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Olivo at Mission</w:t>
            </w:r>
          </w:p>
        </w:tc>
        <w:tc>
          <w:tcPr>
            <w:tcW w:w="40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4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82,982</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155,000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32,000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w:t>
            </w:r>
          </w:p>
        </w:tc>
        <w:tc>
          <w:tcPr>
            <w:tcW w:w="23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24 Hour Fitness / Ross Dress for Less / Ulta</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Hills</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Pinole Vista</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San Francisco-Oakland-Hayward, CA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58,493</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216,000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43,000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FoodMaxx</w:t>
            </w:r>
          </w:p>
        </w:tc>
        <w:tc>
          <w:tcPr>
            <w:tcW w:w="23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TJ Maxx / Nordstrom Rack / HomeGoods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Crossing</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Ulta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Plaza Del Sol</w:t>
            </w:r>
          </w:p>
        </w:tc>
        <w:tc>
          <w:tcPr>
            <w:tcW w:w="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18,145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Superior Grocers (S)</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Marshalls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Plaza El Segundo /</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311,350</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503,000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66,000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3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Nordstrom Rack / HomeGoods / Dick's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The Point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Sporting Goods / Multiple Restaurants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San Antonio Center</w:t>
            </w:r>
          </w:p>
        </w:tc>
        <w:tc>
          <w:tcPr>
            <w:tcW w:w="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52,457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141,000</w:t>
            </w:r>
          </w:p>
        </w:tc>
        <w:tc>
          <w:tcPr>
            <w:tcW w:w="1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6"/>
              </w:rPr>
              <w:t>Trader Joe's / Walmart</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24 Hour Fitness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Santana Row</w:t>
            </w:r>
          </w:p>
        </w:tc>
        <w:tc>
          <w:tcPr>
            <w:tcW w:w="4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(3)</w:t>
            </w: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1,348,873</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1,530,000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jc w:val="center"/>
              <w:ind w:left="17"/>
              <w:spacing w:after="0" w:line="122" w:lineRule="exact"/>
              <w:rPr>
                <w:sz w:val="20"/>
                <w:szCs w:val="20"/>
                <w:color w:val="auto"/>
              </w:rPr>
            </w:pPr>
            <w:r>
              <w:rPr>
                <w:rFonts w:ascii="Times New Roman" w:cs="Times New Roman" w:eastAsia="Times New Roman" w:hAnsi="Times New Roman"/>
                <w:sz w:val="13"/>
                <w:szCs w:val="13"/>
                <w:color w:val="auto"/>
                <w:w w:val="92"/>
              </w:rPr>
              <w:t>342</w:t>
            </w:r>
          </w:p>
        </w:tc>
        <w:tc>
          <w:tcPr>
            <w:tcW w:w="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3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Crate &amp; Barrel / Container Store / Sephora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Sylmar Towne</w:t>
            </w:r>
          </w:p>
        </w:tc>
        <w:tc>
          <w:tcPr>
            <w:tcW w:w="40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4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49,118</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43,000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Food 4 Less</w:t>
            </w:r>
          </w:p>
        </w:tc>
        <w:tc>
          <w:tcPr>
            <w:tcW w:w="23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CVS / Ross Dress for Less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Center</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Westgate Center</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165,964</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650,000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7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9"/>
              </w:rPr>
              <w:t>215,000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 / T&amp;T</w:t>
            </w:r>
          </w:p>
        </w:tc>
        <w:tc>
          <w:tcPr>
            <w:tcW w:w="23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Nordstrom Rack / Nike Factory / TJ Maxx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Supermarket</w:t>
            </w:r>
          </w:p>
        </w:tc>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Ross Dress for Less</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60" w:type="dxa"/>
            <w:vAlign w:val="bottom"/>
            <w:shd w:val="clear" w:color="auto" w:fill="CCEEFF"/>
          </w:tcPr>
          <w:p>
            <w:pPr>
              <w:ind w:left="1580"/>
              <w:spacing w:after="0" w:line="146" w:lineRule="exact"/>
              <w:rPr>
                <w:sz w:val="20"/>
                <w:szCs w:val="20"/>
                <w:color w:val="auto"/>
              </w:rPr>
            </w:pPr>
            <w:r>
              <w:rPr>
                <w:rFonts w:ascii="Times New Roman" w:cs="Times New Roman" w:eastAsia="Times New Roman" w:hAnsi="Times New Roman"/>
                <w:sz w:val="13"/>
                <w:szCs w:val="13"/>
                <w:b w:val="1"/>
                <w:bCs w:val="1"/>
                <w:color w:val="auto"/>
                <w:w w:val="95"/>
              </w:rPr>
              <w:t>Total California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3,203,238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6,993,000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7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460" w:type="dxa"/>
            <w:vAlign w:val="bottom"/>
            <w:gridSpan w:val="3"/>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NY Metro/New Jersey</w:t>
            </w:r>
          </w:p>
        </w:tc>
        <w:tc>
          <w:tcPr>
            <w:tcW w:w="2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Brick Plaza</w:t>
            </w:r>
          </w:p>
        </w:tc>
        <w:tc>
          <w:tcPr>
            <w:tcW w:w="4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(3)</w:t>
            </w: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105,430</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405,000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14,000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3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L.A. Fitness / HomeGoods / Ulta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Brook 35</w:t>
            </w:r>
          </w:p>
        </w:tc>
        <w:tc>
          <w:tcPr>
            <w:tcW w:w="40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(4) (5)</w:t>
            </w:r>
          </w:p>
        </w:tc>
        <w:tc>
          <w:tcPr>
            <w:tcW w:w="24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55,227</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3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Banana Republic / Gap / Tommy's Tavern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Darien Commons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Bridgeport-Stamford-Norwalk, CT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155,479</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7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92"/>
              </w:rPr>
              <w:t>124</w:t>
            </w: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Equinox / Walgreens / Multiple Restaurants</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Fresh Meadows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100,534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43,000</w:t>
            </w:r>
          </w:p>
        </w:tc>
        <w:tc>
          <w:tcPr>
            <w:tcW w:w="1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Lidl / Island of Gold</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AMC / Kohl's / Planet Fitness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Georgetowne</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89,088</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7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43,000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Foodway</w:t>
            </w:r>
          </w:p>
        </w:tc>
        <w:tc>
          <w:tcPr>
            <w:tcW w:w="23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Five Below / Multiple Restaurants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Shopping Center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Greenlawn Plaza</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35,249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46,000</w:t>
            </w:r>
          </w:p>
        </w:tc>
        <w:tc>
          <w:tcPr>
            <w:tcW w:w="1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Greenlawn Farms</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Planet Fitness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Greenwich Avenue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Bridgeport-Stamford-Norwalk, CT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23,748</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Saks Fifth Avenue</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Hauppauge</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42,607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61,000</w:t>
            </w:r>
          </w:p>
        </w:tc>
        <w:tc>
          <w:tcPr>
            <w:tcW w:w="1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Shop Rite</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TJ Maxx / Five Below</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Hoboken</w:t>
            </w:r>
          </w:p>
        </w:tc>
        <w:tc>
          <w:tcPr>
            <w:tcW w:w="40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246,743</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170,000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740" w:type="dxa"/>
            <w:vAlign w:val="bottom"/>
          </w:tcPr>
          <w:p>
            <w:pPr>
              <w:jc w:val="center"/>
              <w:ind w:left="17"/>
              <w:spacing w:after="0" w:line="122" w:lineRule="exact"/>
              <w:rPr>
                <w:sz w:val="20"/>
                <w:szCs w:val="20"/>
                <w:color w:val="auto"/>
              </w:rPr>
            </w:pPr>
            <w:r>
              <w:rPr>
                <w:rFonts w:ascii="Times New Roman" w:cs="Times New Roman" w:eastAsia="Times New Roman" w:hAnsi="Times New Roman"/>
                <w:sz w:val="13"/>
                <w:szCs w:val="13"/>
                <w:color w:val="auto"/>
                <w:w w:val="92"/>
              </w:rPr>
              <w:t>129</w:t>
            </w:r>
          </w:p>
        </w:tc>
        <w:tc>
          <w:tcPr>
            <w:tcW w:w="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3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CVS / New York Sports Club / Sephora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2"/>
              </w:rPr>
              <w:t>(6)</w:t>
            </w:r>
          </w:p>
        </w:tc>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Huntington</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114,805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43,000</w:t>
            </w:r>
          </w:p>
        </w:tc>
        <w:tc>
          <w:tcPr>
            <w:tcW w:w="1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Whole Foods</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Petsmart / REI / Ulta</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Huntington Square</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52,001</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7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20,000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 / Stop &amp; Shop</w:t>
            </w:r>
          </w:p>
        </w:tc>
        <w:tc>
          <w:tcPr>
            <w:tcW w:w="23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24 Hour Fitness / AMC</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w:t>
            </w: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Melville Mall</w:t>
            </w:r>
          </w:p>
        </w:tc>
        <w:tc>
          <w:tcPr>
            <w:tcW w:w="40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(3)</w:t>
            </w:r>
          </w:p>
        </w:tc>
        <w:tc>
          <w:tcPr>
            <w:tcW w:w="24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109,047</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53,000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Uncle Giuseppe's</w:t>
            </w:r>
          </w:p>
        </w:tc>
        <w:tc>
          <w:tcPr>
            <w:tcW w:w="23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Marshalls / Dick's Sporting Goods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Marketplace</w:t>
            </w:r>
          </w:p>
        </w:tc>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Mercer on One</w:t>
            </w:r>
          </w:p>
        </w:tc>
        <w:tc>
          <w:tcPr>
            <w:tcW w:w="4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(3)</w:t>
            </w: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Trenton, NJ</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126,418</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551,000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7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75,000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Shop Rite</w:t>
            </w:r>
          </w:p>
        </w:tc>
        <w:tc>
          <w:tcPr>
            <w:tcW w:w="23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Nike / Ross Dress for Less / Nordstrom Rack</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REI / Tesla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028"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Real Estate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Grocery</w:t>
            </w:r>
          </w:p>
        </w:tc>
        <w:tc>
          <w:tcPr>
            <w:tcW w:w="1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74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Anchor</w:t>
            </w:r>
          </w:p>
        </w:tc>
        <w:tc>
          <w:tcPr>
            <w:tcW w:w="11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GLA</w:t>
            </w:r>
          </w:p>
        </w:tc>
        <w:tc>
          <w:tcPr>
            <w:tcW w:w="1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 (2)</w:t>
            </w:r>
          </w:p>
        </w:tc>
        <w:tc>
          <w:tcPr>
            <w:tcW w:w="2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The Grove at</w:t>
            </w: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 (5)</w:t>
            </w: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139,700</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3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Bloomies / lululemon / Anthropologie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Shrewsbury</w:t>
            </w:r>
          </w:p>
        </w:tc>
        <w:tc>
          <w:tcPr>
            <w:tcW w:w="4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Pottery Barn / Williams Sonoma</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Troy Hills</w:t>
            </w:r>
          </w:p>
        </w:tc>
        <w:tc>
          <w:tcPr>
            <w:tcW w:w="42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37,023</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211,000</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7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4"/>
              </w:rPr>
              <w:t>65,000</w:t>
            </w:r>
          </w:p>
        </w:tc>
        <w:tc>
          <w:tcPr>
            <w:tcW w:w="1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Target</w:t>
            </w:r>
          </w:p>
        </w:tc>
        <w:tc>
          <w:tcPr>
            <w:tcW w:w="2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Floor &amp; Décor</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Total NY Metro/New Jersey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1,433,099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3,278,000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New England</w:t>
            </w:r>
          </w:p>
        </w:tc>
        <w:tc>
          <w:tcPr>
            <w:tcW w:w="3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2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23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Assembly Row /</w:t>
            </w:r>
          </w:p>
        </w:tc>
        <w:tc>
          <w:tcPr>
            <w:tcW w:w="42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1,159,916</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1,230,000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jc w:val="center"/>
              <w:ind w:left="17"/>
              <w:spacing w:after="0" w:line="122" w:lineRule="exact"/>
              <w:rPr>
                <w:sz w:val="20"/>
                <w:szCs w:val="20"/>
                <w:color w:val="auto"/>
              </w:rPr>
            </w:pPr>
            <w:r>
              <w:rPr>
                <w:rFonts w:ascii="Times New Roman" w:cs="Times New Roman" w:eastAsia="Times New Roman" w:hAnsi="Times New Roman"/>
                <w:sz w:val="13"/>
                <w:szCs w:val="13"/>
                <w:color w:val="auto"/>
                <w:w w:val="92"/>
              </w:rPr>
              <w:t>947</w:t>
            </w: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18,000</w:t>
            </w:r>
          </w:p>
        </w:tc>
        <w:tc>
          <w:tcPr>
            <w:tcW w:w="1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3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TJ Maxx / HomeGoods / AMC / Nike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Assembly Square</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3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Burlington / LEGO Discovery Center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Marketplace</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Campus Plaza</w:t>
            </w:r>
          </w:p>
        </w:tc>
        <w:tc>
          <w:tcPr>
            <w:tcW w:w="4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32,213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46,000</w:t>
            </w:r>
          </w:p>
        </w:tc>
        <w:tc>
          <w:tcPr>
            <w:tcW w:w="1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Roche Bros.</w:t>
            </w:r>
          </w:p>
        </w:tc>
        <w:tc>
          <w:tcPr>
            <w:tcW w:w="2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Burlington / Five Below</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Chelsea Commons</w:t>
            </w:r>
          </w:p>
        </w:tc>
        <w:tc>
          <w:tcPr>
            <w:tcW w:w="42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41,364</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233,000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3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Home Depot / Planet Fitness / CVS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Dedham Plaza</w:t>
            </w:r>
          </w:p>
        </w:tc>
        <w:tc>
          <w:tcPr>
            <w:tcW w:w="4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56,035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80,000</w:t>
            </w:r>
          </w:p>
        </w:tc>
        <w:tc>
          <w:tcPr>
            <w:tcW w:w="1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Star Market</w:t>
            </w:r>
          </w:p>
        </w:tc>
        <w:tc>
          <w:tcPr>
            <w:tcW w:w="2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Planet Fitness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Linden Square</w:t>
            </w:r>
          </w:p>
        </w:tc>
        <w:tc>
          <w:tcPr>
            <w:tcW w:w="42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160,642</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7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91"/>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41,000</w:t>
            </w:r>
          </w:p>
        </w:tc>
        <w:tc>
          <w:tcPr>
            <w:tcW w:w="1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Roche Bros.</w:t>
            </w:r>
          </w:p>
        </w:tc>
        <w:tc>
          <w:tcPr>
            <w:tcW w:w="2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CVS / Multiple Restaurants</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Queen Anne Plaza</w:t>
            </w:r>
          </w:p>
        </w:tc>
        <w:tc>
          <w:tcPr>
            <w:tcW w:w="4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149,000</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50,000</w:t>
            </w:r>
          </w:p>
        </w:tc>
        <w:tc>
          <w:tcPr>
            <w:tcW w:w="1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Big Y Foods</w:t>
            </w:r>
          </w:p>
        </w:tc>
        <w:tc>
          <w:tcPr>
            <w:tcW w:w="2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TJ Maxx / HomeGoods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New England</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1,470,133</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2,202,000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gridSpan w:val="6"/>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Philadelphia Metropolitan Area</w:t>
            </w: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Andorra</w:t>
            </w:r>
          </w:p>
        </w:tc>
        <w:tc>
          <w:tcPr>
            <w:tcW w:w="42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60,501</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272,000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44,000</w:t>
            </w:r>
          </w:p>
        </w:tc>
        <w:tc>
          <w:tcPr>
            <w:tcW w:w="1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3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TJ Maxx / Kohl's / L.A. Fitness / Five Below</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Bala Cynwyd on</w:t>
            </w:r>
          </w:p>
        </w:tc>
        <w:tc>
          <w:tcPr>
            <w:tcW w:w="42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146,772</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179,000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740" w:type="dxa"/>
            <w:vAlign w:val="bottom"/>
          </w:tcPr>
          <w:p>
            <w:pPr>
              <w:jc w:val="center"/>
              <w:ind w:left="17"/>
              <w:spacing w:after="0" w:line="122" w:lineRule="exact"/>
              <w:rPr>
                <w:sz w:val="20"/>
                <w:szCs w:val="20"/>
                <w:color w:val="auto"/>
              </w:rPr>
            </w:pPr>
            <w:r>
              <w:rPr>
                <w:rFonts w:ascii="Times New Roman" w:cs="Times New Roman" w:eastAsia="Times New Roman" w:hAnsi="Times New Roman"/>
                <w:sz w:val="13"/>
                <w:szCs w:val="13"/>
                <w:color w:val="auto"/>
                <w:w w:val="92"/>
              </w:rPr>
              <w:t>304</w:t>
            </w: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45,000</w:t>
            </w:r>
          </w:p>
        </w:tc>
        <w:tc>
          <w:tcPr>
            <w:tcW w:w="1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Acme Markets</w:t>
            </w:r>
          </w:p>
        </w:tc>
        <w:tc>
          <w:tcPr>
            <w:tcW w:w="23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Michaels / L.A.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City Avenue</w:t>
            </w:r>
          </w:p>
        </w:tc>
        <w:tc>
          <w:tcPr>
            <w:tcW w:w="42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Ellisburg</w:t>
            </w:r>
          </w:p>
        </w:tc>
        <w:tc>
          <w:tcPr>
            <w:tcW w:w="42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41,167</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47,000</w:t>
            </w:r>
          </w:p>
        </w:tc>
        <w:tc>
          <w:tcPr>
            <w:tcW w:w="1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3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Five Below / RH Outlet</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Flourtown</w:t>
            </w:r>
          </w:p>
        </w:tc>
        <w:tc>
          <w:tcPr>
            <w:tcW w:w="42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20,080</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75,000</w:t>
            </w:r>
          </w:p>
        </w:tc>
        <w:tc>
          <w:tcPr>
            <w:tcW w:w="1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3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Movie Tavern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Langhorne Square</w:t>
            </w:r>
          </w:p>
        </w:tc>
        <w:tc>
          <w:tcPr>
            <w:tcW w:w="42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25,163</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226,000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55,000</w:t>
            </w:r>
          </w:p>
        </w:tc>
        <w:tc>
          <w:tcPr>
            <w:tcW w:w="1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Redner's Warehouse</w:t>
            </w:r>
          </w:p>
        </w:tc>
        <w:tc>
          <w:tcPr>
            <w:tcW w:w="23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Marshalls / Planet 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Markets</w:t>
            </w:r>
          </w:p>
        </w:tc>
        <w:tc>
          <w:tcPr>
            <w:tcW w:w="2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Lawrence Park</w:t>
            </w:r>
          </w:p>
        </w:tc>
        <w:tc>
          <w:tcPr>
            <w:tcW w:w="42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67,050</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359,000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53,000</w:t>
            </w:r>
          </w:p>
        </w:tc>
        <w:tc>
          <w:tcPr>
            <w:tcW w:w="1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Acme Markets</w:t>
            </w:r>
          </w:p>
        </w:tc>
        <w:tc>
          <w:tcPr>
            <w:tcW w:w="23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TJ Maxx / HomeGoods / Barnes &amp; Noble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Northeast</w:t>
            </w:r>
          </w:p>
        </w:tc>
        <w:tc>
          <w:tcPr>
            <w:tcW w:w="42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37,627</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Lidl (S)</w:t>
            </w:r>
          </w:p>
        </w:tc>
        <w:tc>
          <w:tcPr>
            <w:tcW w:w="23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Marshalls / Ulta / Skechers / Crunch 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Willow Grove</w:t>
            </w:r>
          </w:p>
        </w:tc>
        <w:tc>
          <w:tcPr>
            <w:tcW w:w="42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55,810</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89,000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31,000</w:t>
            </w:r>
          </w:p>
        </w:tc>
        <w:tc>
          <w:tcPr>
            <w:tcW w:w="1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Amazon Food</w:t>
            </w:r>
          </w:p>
        </w:tc>
        <w:tc>
          <w:tcPr>
            <w:tcW w:w="23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Marshalls / Five Below</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Wynnewood</w:t>
            </w:r>
          </w:p>
        </w:tc>
        <w:tc>
          <w:tcPr>
            <w:tcW w:w="42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53,684</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239,000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40" w:type="dxa"/>
            <w:vAlign w:val="bottom"/>
            <w:shd w:val="clear" w:color="auto" w:fill="CCEEFF"/>
          </w:tcPr>
          <w:p>
            <w:pPr>
              <w:jc w:val="center"/>
              <w:ind w:left="17"/>
              <w:spacing w:after="0" w:line="122" w:lineRule="exact"/>
              <w:rPr>
                <w:sz w:val="20"/>
                <w:szCs w:val="20"/>
                <w:color w:val="auto"/>
              </w:rPr>
            </w:pPr>
            <w:r>
              <w:rPr>
                <w:rFonts w:ascii="Times New Roman" w:cs="Times New Roman" w:eastAsia="Times New Roman" w:hAnsi="Times New Roman"/>
                <w:sz w:val="13"/>
                <w:szCs w:val="13"/>
                <w:color w:val="auto"/>
                <w:w w:val="91"/>
              </w:rPr>
              <w:t>9</w:t>
            </w: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98,000</w:t>
            </w:r>
          </w:p>
        </w:tc>
        <w:tc>
          <w:tcPr>
            <w:tcW w:w="1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3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Old Navy / DSW</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9"/>
              </w:rPr>
              <w:t>Total Philadelphia Metropolitan Area</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507,854</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1,991,000</w:t>
            </w:r>
          </w:p>
        </w:tc>
        <w:tc>
          <w:tcPr>
            <w:tcW w:w="8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Baltimore</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Annapolis Town</w:t>
            </w:r>
          </w:p>
        </w:tc>
        <w:tc>
          <w:tcPr>
            <w:tcW w:w="42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177,829</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478,000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71,000</w:t>
            </w:r>
          </w:p>
        </w:tc>
        <w:tc>
          <w:tcPr>
            <w:tcW w:w="1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 /</w:t>
            </w:r>
          </w:p>
        </w:tc>
        <w:tc>
          <w:tcPr>
            <w:tcW w:w="23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RH / Pottery Barn / Williams Sonoma / Life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Center</w:t>
            </w:r>
          </w:p>
        </w:tc>
        <w:tc>
          <w:tcPr>
            <w:tcW w:w="4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Target (S)</w:t>
            </w:r>
          </w:p>
        </w:tc>
        <w:tc>
          <w:tcPr>
            <w:tcW w:w="2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Time Fitness / Anthropologie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Governor Plaza</w:t>
            </w:r>
          </w:p>
        </w:tc>
        <w:tc>
          <w:tcPr>
            <w:tcW w:w="42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35,132</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16,500</w:t>
            </w:r>
          </w:p>
        </w:tc>
        <w:tc>
          <w:tcPr>
            <w:tcW w:w="11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3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9"/>
              </w:rPr>
              <w:t>Dick's Sporting Goods / Ross Dress for Less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Petco / Bob's Discount Furniture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Perring Plaza</w:t>
            </w:r>
          </w:p>
        </w:tc>
        <w:tc>
          <w:tcPr>
            <w:tcW w:w="42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47,869</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58,000</w:t>
            </w:r>
          </w:p>
        </w:tc>
        <w:tc>
          <w:tcPr>
            <w:tcW w:w="1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3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7"/>
              </w:rPr>
              <w:t>Home Depot / Dick's Sporting Goods / Micro</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Center / Burlington</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THE AVENUE at</w:t>
            </w:r>
          </w:p>
        </w:tc>
        <w:tc>
          <w:tcPr>
            <w:tcW w:w="42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(5)</w:t>
            </w: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137,730</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315,000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3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AMC / Ulta / Old Navy / Nike / Multiple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White Marsh</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The Shoppes at</w:t>
            </w:r>
          </w:p>
        </w:tc>
        <w:tc>
          <w:tcPr>
            <w:tcW w:w="42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19,992</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Nottingham Square</w:t>
            </w:r>
          </w:p>
        </w:tc>
        <w:tc>
          <w:tcPr>
            <w:tcW w:w="4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White Marsh Other</w:t>
            </w:r>
          </w:p>
        </w:tc>
        <w:tc>
          <w:tcPr>
            <w:tcW w:w="42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24,529</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White Marsh Plaza</w:t>
            </w:r>
          </w:p>
        </w:tc>
        <w:tc>
          <w:tcPr>
            <w:tcW w:w="4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27,315</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54,000</w:t>
            </w:r>
          </w:p>
        </w:tc>
        <w:tc>
          <w:tcPr>
            <w:tcW w:w="1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Giant Food</w:t>
            </w:r>
          </w:p>
        </w:tc>
        <w:tc>
          <w:tcPr>
            <w:tcW w:w="2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Baltimore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470,396</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028"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Real Estate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Grocery</w:t>
            </w:r>
          </w:p>
        </w:tc>
        <w:tc>
          <w:tcPr>
            <w:tcW w:w="1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74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Anchor</w:t>
            </w:r>
          </w:p>
        </w:tc>
        <w:tc>
          <w:tcPr>
            <w:tcW w:w="12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3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GLA</w:t>
            </w: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 (2)</w:t>
            </w:r>
          </w:p>
        </w:tc>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South Florida</w:t>
            </w:r>
          </w:p>
        </w:tc>
        <w:tc>
          <w:tcPr>
            <w:tcW w:w="3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60" w:type="dxa"/>
            <w:vAlign w:val="bottom"/>
            <w:gridSpan w:val="4"/>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CocoWalk</w:t>
            </w:r>
          </w:p>
        </w:tc>
        <w:tc>
          <w:tcPr>
            <w:tcW w:w="3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(7)</w:t>
            </w:r>
          </w:p>
        </w:tc>
        <w:tc>
          <w:tcPr>
            <w:tcW w:w="24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Miami-Fort Lauderdale-West Palm Beach, FL</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200,612</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271,000</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3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Cinepolis Theaters / Youfit Health Club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4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Del Mar Village</w:t>
            </w:r>
          </w:p>
        </w:tc>
        <w:tc>
          <w:tcPr>
            <w:tcW w:w="36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8"/>
              </w:rPr>
              <w:t>Miami-Fort Lauderdale-West Palm Beach, FL</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76,652</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187,000</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44,000</w:t>
            </w:r>
          </w:p>
        </w:tc>
        <w:tc>
          <w:tcPr>
            <w:tcW w:w="1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Aldi</w:t>
            </w: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060" w:type="dxa"/>
            <w:vAlign w:val="bottom"/>
            <w:gridSpan w:val="4"/>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Shops at Pembroke</w:t>
            </w:r>
          </w:p>
        </w:tc>
        <w:tc>
          <w:tcPr>
            <w:tcW w:w="360" w:type="dxa"/>
            <w:vAlign w:val="bottom"/>
            <w:shd w:val="clear" w:color="auto" w:fill="CCEEFF"/>
          </w:tcPr>
          <w:p>
            <w:pPr>
              <w:spacing w:after="0"/>
              <w:rPr>
                <w:sz w:val="11"/>
                <w:szCs w:val="11"/>
                <w:color w:val="auto"/>
              </w:rPr>
            </w:pPr>
          </w:p>
        </w:tc>
        <w:tc>
          <w:tcPr>
            <w:tcW w:w="244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w w:val="98"/>
              </w:rPr>
              <w:t>Miami-Fort Lauderdale-West Palm Beach, FL</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197,140</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392,000</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3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Nike Factory / Old Navy / DSW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Gardens</w:t>
            </w:r>
          </w:p>
        </w:tc>
        <w:tc>
          <w:tcPr>
            <w:tcW w:w="360" w:type="dxa"/>
            <w:vAlign w:val="bottom"/>
            <w:tcBorders>
              <w:bottom w:val="single" w:sz="8" w:color="CCEEFF"/>
            </w:tcBorders>
            <w:shd w:val="clear" w:color="auto" w:fill="CCEEFF"/>
          </w:tcPr>
          <w:p>
            <w:pPr>
              <w:spacing w:after="0"/>
              <w:rPr>
                <w:sz w:val="14"/>
                <w:szCs w:val="14"/>
                <w:color w:val="auto"/>
              </w:rPr>
            </w:pPr>
          </w:p>
        </w:tc>
        <w:tc>
          <w:tcPr>
            <w:tcW w:w="24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Anthropologie / Multiple 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color w:val="auto"/>
              </w:rPr>
              <w:t>Tower Shops</w:t>
            </w:r>
          </w:p>
        </w:tc>
        <w:tc>
          <w:tcPr>
            <w:tcW w:w="360" w:type="dxa"/>
            <w:vAlign w:val="bottom"/>
          </w:tcPr>
          <w:p>
            <w:pPr>
              <w:spacing w:after="0"/>
              <w:rPr>
                <w:sz w:val="10"/>
                <w:szCs w:val="10"/>
                <w:color w:val="auto"/>
              </w:rPr>
            </w:pPr>
          </w:p>
        </w:tc>
        <w:tc>
          <w:tcPr>
            <w:tcW w:w="24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Miami-Fort Lauderdale-West Palm Beach, FL</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107,107</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431,000</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12,000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 / Costco</w:t>
            </w:r>
          </w:p>
        </w:tc>
        <w:tc>
          <w:tcPr>
            <w:tcW w:w="23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TJ Maxx / Ross Dress for Less / Best Buy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w:t>
            </w: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Ulta / Home Depot (S)</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4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South Florida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581,511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1,281,000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060" w:type="dxa"/>
            <w:vAlign w:val="bottom"/>
            <w:gridSpan w:val="4"/>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Chicago</w:t>
            </w:r>
          </w:p>
        </w:tc>
        <w:tc>
          <w:tcPr>
            <w:tcW w:w="3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color w:val="auto"/>
              </w:rPr>
              <w:t>Crossroads</w:t>
            </w:r>
          </w:p>
        </w:tc>
        <w:tc>
          <w:tcPr>
            <w:tcW w:w="360" w:type="dxa"/>
            <w:vAlign w:val="bottom"/>
          </w:tcPr>
          <w:p>
            <w:pPr>
              <w:spacing w:after="0"/>
              <w:rPr>
                <w:sz w:val="10"/>
                <w:szCs w:val="10"/>
                <w:color w:val="auto"/>
              </w:rPr>
            </w:pPr>
          </w:p>
        </w:tc>
        <w:tc>
          <w:tcPr>
            <w:tcW w:w="24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37,662</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168,000</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3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L.A. Fitness / Ulta / Binny's / Ferguson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Home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60" w:type="dxa"/>
            <w:vAlign w:val="bottom"/>
            <w:gridSpan w:val="4"/>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Finley Square</w:t>
            </w:r>
          </w:p>
        </w:tc>
        <w:tc>
          <w:tcPr>
            <w:tcW w:w="360" w:type="dxa"/>
            <w:vAlign w:val="bottom"/>
            <w:shd w:val="clear" w:color="auto" w:fill="CCEEFF"/>
          </w:tcPr>
          <w:p>
            <w:pPr>
              <w:spacing w:after="0"/>
              <w:rPr>
                <w:sz w:val="10"/>
                <w:szCs w:val="10"/>
                <w:color w:val="auto"/>
              </w:rPr>
            </w:pPr>
          </w:p>
        </w:tc>
        <w:tc>
          <w:tcPr>
            <w:tcW w:w="24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42,148</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253,000</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3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Marshalls / HomeGoods / Michaels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4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Portillo's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color w:val="auto"/>
              </w:rPr>
              <w:t>Garden Market</w:t>
            </w:r>
          </w:p>
        </w:tc>
        <w:tc>
          <w:tcPr>
            <w:tcW w:w="360" w:type="dxa"/>
            <w:vAlign w:val="bottom"/>
          </w:tcPr>
          <w:p>
            <w:pPr>
              <w:spacing w:after="0"/>
              <w:rPr>
                <w:sz w:val="10"/>
                <w:szCs w:val="10"/>
                <w:color w:val="auto"/>
              </w:rPr>
            </w:pPr>
          </w:p>
        </w:tc>
        <w:tc>
          <w:tcPr>
            <w:tcW w:w="24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17,601</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141,000</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63,000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Mariano's Fresh</w:t>
            </w:r>
          </w:p>
        </w:tc>
        <w:tc>
          <w:tcPr>
            <w:tcW w:w="23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Walgreens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Market</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Riverpoint Center</w:t>
            </w:r>
          </w:p>
        </w:tc>
        <w:tc>
          <w:tcPr>
            <w:tcW w:w="360" w:type="dxa"/>
            <w:vAlign w:val="bottom"/>
            <w:shd w:val="clear" w:color="auto" w:fill="CCEEFF"/>
          </w:tcPr>
          <w:p>
            <w:pPr>
              <w:spacing w:after="0"/>
              <w:rPr>
                <w:sz w:val="15"/>
                <w:szCs w:val="15"/>
                <w:color w:val="auto"/>
              </w:rPr>
            </w:pPr>
          </w:p>
        </w:tc>
        <w:tc>
          <w:tcPr>
            <w:tcW w:w="2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Chicago-Naperville-Elgin, IL-IN-WI</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124,471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211,000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86,000</w:t>
            </w:r>
          </w:p>
        </w:tc>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Jewel Osco</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Marshalls / Old Navy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Chicago</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221,882</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773,000</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3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Barracks Road</w:t>
            </w:r>
          </w:p>
        </w:tc>
        <w:tc>
          <w:tcPr>
            <w:tcW w:w="360" w:type="dxa"/>
            <w:vAlign w:val="bottom"/>
            <w:shd w:val="clear" w:color="auto" w:fill="CCEEFF"/>
          </w:tcPr>
          <w:p>
            <w:pPr>
              <w:spacing w:after="0"/>
              <w:rPr>
                <w:sz w:val="15"/>
                <w:szCs w:val="15"/>
                <w:color w:val="auto"/>
              </w:rPr>
            </w:pPr>
          </w:p>
        </w:tc>
        <w:tc>
          <w:tcPr>
            <w:tcW w:w="2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Charlottesville, VA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82,232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484,000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125,000</w:t>
            </w:r>
          </w:p>
        </w:tc>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6"/>
              </w:rPr>
              <w:t>Harris Teeter / Kroger</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Anthropologie / Old Navy / Ulta / Michaels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color w:val="auto"/>
              </w:rPr>
              <w:t>Camelback</w:t>
            </w:r>
          </w:p>
        </w:tc>
        <w:tc>
          <w:tcPr>
            <w:tcW w:w="3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4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Phoenix-Mesa-Chandler, AZ</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187,020</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607,000</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82,000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Fry's Food &amp; Drug</w:t>
            </w:r>
          </w:p>
        </w:tc>
        <w:tc>
          <w:tcPr>
            <w:tcW w:w="23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Marshalls / Nordstrom Last Chance / Best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Colonnade</w:t>
            </w:r>
          </w:p>
        </w:tc>
        <w:tc>
          <w:tcPr>
            <w:tcW w:w="3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Buy / HomeGoods / Burlington</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Gratiot Plaza</w:t>
            </w:r>
          </w:p>
        </w:tc>
        <w:tc>
          <w:tcPr>
            <w:tcW w:w="360" w:type="dxa"/>
            <w:vAlign w:val="bottom"/>
            <w:shd w:val="clear" w:color="auto" w:fill="CCEEFF"/>
          </w:tcPr>
          <w:p>
            <w:pPr>
              <w:spacing w:after="0"/>
              <w:rPr>
                <w:sz w:val="15"/>
                <w:szCs w:val="15"/>
                <w:color w:val="auto"/>
              </w:rPr>
            </w:pPr>
          </w:p>
        </w:tc>
        <w:tc>
          <w:tcPr>
            <w:tcW w:w="2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Detroit-Warren-Dearborn, MI</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21,714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205,000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69,000</w:t>
            </w:r>
          </w:p>
        </w:tc>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Kroger</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Best Buy / Bob's Discount Furniture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Lancaster</w:t>
            </w:r>
          </w:p>
        </w:tc>
        <w:tc>
          <w:tcPr>
            <w:tcW w:w="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24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Lancaster, PA</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8,220</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127,000</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75,000</w:t>
            </w:r>
          </w:p>
        </w:tc>
        <w:tc>
          <w:tcPr>
            <w:tcW w:w="1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Giant Food</w:t>
            </w: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AutoZone</w:t>
            </w: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060" w:type="dxa"/>
            <w:vAlign w:val="bottom"/>
            <w:gridSpan w:val="4"/>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w w:val="99"/>
              </w:rPr>
              <w:t>The Shops at Hilton</w:t>
            </w:r>
          </w:p>
        </w:tc>
        <w:tc>
          <w:tcPr>
            <w:tcW w:w="36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8"/>
              </w:rPr>
              <w:t>(3)(4)</w:t>
            </w:r>
          </w:p>
        </w:tc>
        <w:tc>
          <w:tcPr>
            <w:tcW w:w="244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Phoenix-Mesa-Chandler, AZ</w:t>
            </w:r>
          </w:p>
        </w:tc>
        <w:tc>
          <w:tcPr>
            <w:tcW w:w="7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89,486</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305,000</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87</w:t>
            </w:r>
          </w:p>
        </w:tc>
        <w:tc>
          <w:tcPr>
            <w:tcW w:w="1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3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CVS / Houston's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Village</w:t>
            </w:r>
          </w:p>
        </w:tc>
        <w:tc>
          <w:tcPr>
            <w:tcW w:w="360" w:type="dxa"/>
            <w:vAlign w:val="bottom"/>
            <w:tcBorders>
              <w:bottom w:val="single" w:sz="8" w:color="CCEEFF"/>
            </w:tcBorders>
            <w:shd w:val="clear" w:color="auto" w:fill="CCEEFF"/>
          </w:tcPr>
          <w:p>
            <w:pPr>
              <w:spacing w:after="0"/>
              <w:rPr>
                <w:sz w:val="14"/>
                <w:szCs w:val="14"/>
                <w:color w:val="auto"/>
              </w:rPr>
            </w:pPr>
          </w:p>
        </w:tc>
        <w:tc>
          <w:tcPr>
            <w:tcW w:w="24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color w:val="auto"/>
              </w:rPr>
              <w:t>Town Center</w:t>
            </w:r>
          </w:p>
        </w:tc>
        <w:tc>
          <w:tcPr>
            <w:tcW w:w="360" w:type="dxa"/>
            <w:vAlign w:val="bottom"/>
          </w:tcPr>
          <w:p>
            <w:pPr>
              <w:spacing w:after="0"/>
              <w:rPr>
                <w:sz w:val="10"/>
                <w:szCs w:val="10"/>
                <w:color w:val="auto"/>
              </w:rPr>
            </w:pPr>
          </w:p>
        </w:tc>
        <w:tc>
          <w:tcPr>
            <w:tcW w:w="24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Kansas City, MO-KS</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267,016</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552,000</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12,000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3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8"/>
              </w:rPr>
              <w:t>Crate &amp; Barrel / Pottery Barn / RH / Apple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color w:val="auto"/>
              </w:rPr>
              <w:t>Crossing / Town</w:t>
            </w:r>
          </w:p>
        </w:tc>
        <w:tc>
          <w:tcPr>
            <w:tcW w:w="3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3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Aritzia / Macy's (S) / Dick's House of Sport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Center Plaza</w:t>
            </w:r>
          </w:p>
        </w:tc>
        <w:tc>
          <w:tcPr>
            <w:tcW w:w="3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29th Place</w:t>
            </w:r>
          </w:p>
        </w:tc>
        <w:tc>
          <w:tcPr>
            <w:tcW w:w="360" w:type="dxa"/>
            <w:vAlign w:val="bottom"/>
            <w:shd w:val="clear" w:color="auto" w:fill="CCEEFF"/>
          </w:tcPr>
          <w:p>
            <w:pPr>
              <w:spacing w:after="0"/>
              <w:rPr>
                <w:sz w:val="15"/>
                <w:szCs w:val="15"/>
                <w:color w:val="auto"/>
              </w:rPr>
            </w:pPr>
          </w:p>
        </w:tc>
        <w:tc>
          <w:tcPr>
            <w:tcW w:w="2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Charlottesville, VA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41,220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168,000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HomeGoods / DSW / Staples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color w:val="auto"/>
              </w:rPr>
              <w:t>Village Pointe</w:t>
            </w:r>
          </w:p>
        </w:tc>
        <w:tc>
          <w:tcPr>
            <w:tcW w:w="360" w:type="dxa"/>
            <w:vAlign w:val="bottom"/>
          </w:tcPr>
          <w:p>
            <w:pPr>
              <w:spacing w:after="0"/>
              <w:rPr>
                <w:sz w:val="10"/>
                <w:szCs w:val="10"/>
                <w:color w:val="auto"/>
              </w:rPr>
            </w:pPr>
          </w:p>
        </w:tc>
        <w:tc>
          <w:tcPr>
            <w:tcW w:w="244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Omaha, NE-IA</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147,587</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452,000</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3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Nordstrom Rack / Best Buy / Apple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Sephora / lululemon / Scheels (S)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60" w:type="dxa"/>
            <w:vAlign w:val="bottom"/>
            <w:gridSpan w:val="4"/>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Willow Lawn</w:t>
            </w:r>
          </w:p>
        </w:tc>
        <w:tc>
          <w:tcPr>
            <w:tcW w:w="360" w:type="dxa"/>
            <w:vAlign w:val="bottom"/>
            <w:shd w:val="clear" w:color="auto" w:fill="CCEEFF"/>
          </w:tcPr>
          <w:p>
            <w:pPr>
              <w:spacing w:after="0"/>
              <w:rPr>
                <w:sz w:val="10"/>
                <w:szCs w:val="10"/>
                <w:color w:val="auto"/>
              </w:rPr>
            </w:pPr>
          </w:p>
        </w:tc>
        <w:tc>
          <w:tcPr>
            <w:tcW w:w="24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Richmond, VA</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109,988</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463,000</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66,000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Kroger</w:t>
            </w:r>
          </w:p>
        </w:tc>
        <w:tc>
          <w:tcPr>
            <w:tcW w:w="23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Old Navy / Ross Dress for Less / Gold's</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Gym / Dick's Sporting Goods / Ulta</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Other</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954,483</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3,363,000</w:t>
            </w:r>
          </w:p>
        </w:tc>
        <w:tc>
          <w:tcPr>
            <w:tcW w:w="80" w:type="dxa"/>
            <w:vAlign w:val="bottom"/>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24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gridSpan w:val="2"/>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c>
          <w:tcPr>
            <w:tcW w:w="23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Grand Total</w:t>
            </w:r>
          </w:p>
        </w:tc>
        <w:tc>
          <w:tcPr>
            <w:tcW w:w="3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$ 11,751,500</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2,292</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28,802,000</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97 %</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2,683</w:t>
            </w: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1" w:lineRule="exact"/>
        <w:rPr>
          <w:sz w:val="20"/>
          <w:szCs w:val="20"/>
          <w:color w:val="auto"/>
        </w:rPr>
      </w:pPr>
    </w:p>
    <w:p>
      <w:pPr>
        <w:ind w:left="620" w:right="80" w:hanging="594"/>
        <w:spacing w:after="0" w:line="239" w:lineRule="auto"/>
        <w:tabs>
          <w:tab w:leader="none" w:pos="6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Represents the GLA and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14" w:lineRule="exact"/>
        <w:rPr>
          <w:rFonts w:ascii="Times New Roman" w:cs="Times New Roman" w:eastAsia="Times New Roman" w:hAnsi="Times New Roman"/>
          <w:sz w:val="14"/>
          <w:szCs w:val="14"/>
          <w:color w:val="auto"/>
        </w:rPr>
      </w:pPr>
    </w:p>
    <w:p>
      <w:pPr>
        <w:ind w:left="620" w:hanging="594"/>
        <w:spacing w:after="0"/>
        <w:tabs>
          <w:tab w:leader="none" w:pos="6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TBA indicates that a lease is signed.</w:t>
      </w:r>
    </w:p>
    <w:p>
      <w:pPr>
        <w:spacing w:after="0" w:line="41" w:lineRule="exact"/>
        <w:rPr>
          <w:rFonts w:ascii="Times New Roman" w:cs="Times New Roman" w:eastAsia="Times New Roman" w:hAnsi="Times New Roman"/>
          <w:sz w:val="14"/>
          <w:szCs w:val="14"/>
          <w:color w:val="auto"/>
        </w:rPr>
      </w:pPr>
    </w:p>
    <w:p>
      <w:pPr>
        <w:ind w:left="620" w:hanging="594"/>
        <w:spacing w:after="0"/>
        <w:tabs>
          <w:tab w:leader="none" w:pos="6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this property is owned pursuant to a ground lease.</w:t>
      </w:r>
    </w:p>
    <w:p>
      <w:pPr>
        <w:spacing w:after="0" w:line="41" w:lineRule="exact"/>
        <w:rPr>
          <w:rFonts w:ascii="Times New Roman" w:cs="Times New Roman" w:eastAsia="Times New Roman" w:hAnsi="Times New Roman"/>
          <w:sz w:val="14"/>
          <w:szCs w:val="14"/>
          <w:color w:val="auto"/>
        </w:rPr>
      </w:pPr>
    </w:p>
    <w:p>
      <w:pPr>
        <w:ind w:left="620" w:hanging="594"/>
        <w:spacing w:after="0"/>
        <w:tabs>
          <w:tab w:leader="none" w:pos="6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Trust has a controlling financial interest in this property.</w:t>
      </w:r>
    </w:p>
    <w:p>
      <w:pPr>
        <w:spacing w:after="0" w:line="41" w:lineRule="exact"/>
        <w:rPr>
          <w:rFonts w:ascii="Times New Roman" w:cs="Times New Roman" w:eastAsia="Times New Roman" w:hAnsi="Times New Roman"/>
          <w:sz w:val="14"/>
          <w:szCs w:val="14"/>
          <w:color w:val="auto"/>
        </w:rPr>
      </w:pPr>
    </w:p>
    <w:p>
      <w:pPr>
        <w:ind w:left="620" w:right="340" w:hanging="594"/>
        <w:spacing w:after="0" w:line="239" w:lineRule="auto"/>
        <w:tabs>
          <w:tab w:leader="none" w:pos="6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14" w:lineRule="exact"/>
        <w:rPr>
          <w:rFonts w:ascii="Times New Roman" w:cs="Times New Roman" w:eastAsia="Times New Roman" w:hAnsi="Times New Roman"/>
          <w:sz w:val="14"/>
          <w:szCs w:val="14"/>
          <w:color w:val="auto"/>
        </w:rPr>
      </w:pPr>
    </w:p>
    <w:p>
      <w:pPr>
        <w:ind w:left="620" w:hanging="594"/>
        <w:spacing w:after="0"/>
        <w:tabs>
          <w:tab w:leader="none" w:pos="6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40 buildings primarily along Washington Street and 14th Street in Hoboken, New Jersey.</w:t>
      </w:r>
    </w:p>
    <w:p>
      <w:pPr>
        <w:spacing w:after="0" w:line="41" w:lineRule="exact"/>
        <w:rPr>
          <w:rFonts w:ascii="Times New Roman" w:cs="Times New Roman" w:eastAsia="Times New Roman" w:hAnsi="Times New Roman"/>
          <w:sz w:val="14"/>
          <w:szCs w:val="14"/>
          <w:color w:val="auto"/>
        </w:rPr>
      </w:pPr>
    </w:p>
    <w:p>
      <w:pPr>
        <w:ind w:left="620" w:hanging="594"/>
        <w:spacing w:after="0"/>
        <w:tabs>
          <w:tab w:leader="none" w:pos="6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CocoWalk and three buildings in Coconut Grove.</w:t>
      </w:r>
    </w:p>
    <w:p>
      <w:pPr>
        <w:spacing w:after="0" w:line="42" w:lineRule="exact"/>
        <w:rPr>
          <w:sz w:val="20"/>
          <w:szCs w:val="20"/>
          <w:color w:val="auto"/>
        </w:rPr>
      </w:pPr>
    </w:p>
    <w:p>
      <w:pPr>
        <w:ind w:left="620" w:hanging="594"/>
        <w:spacing w:after="0"/>
        <w:tabs>
          <w:tab w:leader="none" w:pos="6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Shadow anchor located adjacent to the property, but is not part of the owned property.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028"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Retail Leasing Summary (1)</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Total Lease Summary - Comparable (2)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w w:val="94"/>
              </w:rPr>
              <w:t>Contractual</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Cash Basis %</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Straight-lined</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Weighted</w:t>
            </w:r>
          </w:p>
        </w:tc>
        <w:tc>
          <w:tcPr>
            <w:tcW w:w="10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1"/>
                <w:szCs w:val="11"/>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0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10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Annual Increase in</w:t>
            </w: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Basis %</w:t>
            </w:r>
          </w:p>
        </w:tc>
        <w:tc>
          <w:tcPr>
            <w:tcW w:w="7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vMerge w:val="restart"/>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9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660" w:type="dxa"/>
            <w:vAlign w:val="bottom"/>
          </w:tcPr>
          <w:p>
            <w:pPr>
              <w:jc w:val="center"/>
              <w:ind w:right="12"/>
              <w:spacing w:after="0" w:line="108" w:lineRule="exact"/>
              <w:rPr>
                <w:sz w:val="20"/>
                <w:szCs w:val="20"/>
                <w:color w:val="auto"/>
              </w:rPr>
            </w:pPr>
            <w:r>
              <w:rPr>
                <w:rFonts w:ascii="Times New Roman" w:cs="Times New Roman" w:eastAsia="Times New Roman" w:hAnsi="Times New Roman"/>
                <w:sz w:val="11"/>
                <w:szCs w:val="11"/>
                <w:b w:val="1"/>
                <w:bCs w:val="1"/>
                <w:color w:val="auto"/>
              </w:rPr>
              <w:t>Rent (3) Per</w:t>
            </w:r>
          </w:p>
        </w:tc>
        <w:tc>
          <w:tcPr>
            <w:tcW w:w="10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7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Increase Over</w:t>
            </w:r>
          </w:p>
        </w:tc>
        <w:tc>
          <w:tcPr>
            <w:tcW w:w="880" w:type="dxa"/>
            <w:vAlign w:val="bottom"/>
            <w:gridSpan w:val="3"/>
          </w:tcPr>
          <w:p>
            <w:pPr>
              <w:jc w:val="right"/>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Increase Over</w:t>
            </w:r>
          </w:p>
        </w:tc>
        <w:tc>
          <w:tcPr>
            <w:tcW w:w="7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0" w:type="dxa"/>
            <w:vAlign w:val="bottom"/>
          </w:tcPr>
          <w:p>
            <w:pPr>
              <w:spacing w:after="0"/>
              <w:rPr>
                <w:sz w:val="9"/>
                <w:szCs w:val="9"/>
                <w:color w:val="auto"/>
              </w:rPr>
            </w:pPr>
          </w:p>
        </w:tc>
        <w:tc>
          <w:tcPr>
            <w:tcW w:w="10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3"/>
            <w:vMerge w:val="continue"/>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Sq. Ft. (PSF)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Rent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2026</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532,220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2,630,742</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19,345,996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6"/>
                <w:szCs w:val="16"/>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819,273</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3,649,131</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22,149,106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649,078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2,619,479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14,278,520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4th Quarter 2025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7"/>
                <w:szCs w:val="17"/>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600,684</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39.09</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10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2,552,365</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18,043,426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2,601,255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11,451,717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73,817,048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1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New Lease Summary - Comparable (2)</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Cash Basis %</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Straight-lined</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Weighted</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0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w w:val="94"/>
              </w:rPr>
              <w:t>Contractual</w:t>
            </w:r>
          </w:p>
        </w:tc>
        <w:tc>
          <w:tcPr>
            <w:tcW w:w="100" w:type="dxa"/>
            <w:vAlign w:val="bottom"/>
          </w:tcPr>
          <w:p>
            <w:pPr>
              <w:spacing w:after="0"/>
              <w:rPr>
                <w:sz w:val="9"/>
                <w:szCs w:val="9"/>
                <w:color w:val="auto"/>
              </w:rPr>
            </w:pPr>
          </w:p>
        </w:tc>
        <w:tc>
          <w:tcPr>
            <w:tcW w:w="9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Annual Increase in</w:t>
            </w: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Basis %</w:t>
            </w:r>
          </w:p>
        </w:tc>
        <w:tc>
          <w:tcPr>
            <w:tcW w:w="7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vMerge w:val="restart"/>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9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7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Increase Over</w:t>
            </w:r>
          </w:p>
        </w:tc>
        <w:tc>
          <w:tcPr>
            <w:tcW w:w="880" w:type="dxa"/>
            <w:vAlign w:val="bottom"/>
            <w:gridSpan w:val="3"/>
          </w:tcPr>
          <w:p>
            <w:pPr>
              <w:jc w:val="right"/>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Increase Over</w:t>
            </w:r>
          </w:p>
        </w:tc>
        <w:tc>
          <w:tcPr>
            <w:tcW w:w="7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0" w:type="dxa"/>
            <w:vAlign w:val="bottom"/>
          </w:tcPr>
          <w:p>
            <w:pPr>
              <w:spacing w:after="0"/>
              <w:rPr>
                <w:sz w:val="9"/>
                <w:szCs w:val="9"/>
                <w:color w:val="auto"/>
              </w:rPr>
            </w:pPr>
          </w:p>
        </w:tc>
        <w:tc>
          <w:tcPr>
            <w:tcW w:w="10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3"/>
            <w:vMerge w:val="continue"/>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Rent (3) PSF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Rent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2"/>
        </w:trPr>
        <w:tc>
          <w:tcPr>
            <w:tcW w:w="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2026</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322,647</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2,072,316</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18,833,886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375,567</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30.37</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2,874,478</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21,602,686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242,901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37.98</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1,880,171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13,563,195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4th Quarter 2025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7"/>
                <w:szCs w:val="17"/>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261,082</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36.39</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10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2,040,053</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15,259,185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58.45</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1,202,197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8,867,018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69,258,952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1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Renewal Lease Summary - Comparable (2) (7)</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Cash Basis %</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Straight-lined</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Weighted</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0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w w:val="94"/>
              </w:rPr>
              <w:t>Contractual</w:t>
            </w:r>
          </w:p>
        </w:tc>
        <w:tc>
          <w:tcPr>
            <w:tcW w:w="100" w:type="dxa"/>
            <w:vAlign w:val="bottom"/>
          </w:tcPr>
          <w:p>
            <w:pPr>
              <w:spacing w:after="0"/>
              <w:rPr>
                <w:sz w:val="9"/>
                <w:szCs w:val="9"/>
                <w:color w:val="auto"/>
              </w:rPr>
            </w:pPr>
          </w:p>
        </w:tc>
        <w:tc>
          <w:tcPr>
            <w:tcW w:w="9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Annual Increase in</w:t>
            </w: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Basis %</w:t>
            </w:r>
          </w:p>
        </w:tc>
        <w:tc>
          <w:tcPr>
            <w:tcW w:w="7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vMerge w:val="restart"/>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9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7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Increase Over</w:t>
            </w:r>
          </w:p>
        </w:tc>
        <w:tc>
          <w:tcPr>
            <w:tcW w:w="880" w:type="dxa"/>
            <w:vAlign w:val="bottom"/>
            <w:gridSpan w:val="3"/>
          </w:tcPr>
          <w:p>
            <w:pPr>
              <w:jc w:val="right"/>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Increase Over</w:t>
            </w:r>
          </w:p>
        </w:tc>
        <w:tc>
          <w:tcPr>
            <w:tcW w:w="7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0" w:type="dxa"/>
            <w:vAlign w:val="bottom"/>
          </w:tcPr>
          <w:p>
            <w:pPr>
              <w:spacing w:after="0"/>
              <w:rPr>
                <w:sz w:val="9"/>
                <w:szCs w:val="9"/>
                <w:color w:val="auto"/>
              </w:rPr>
            </w:pPr>
          </w:p>
        </w:tc>
        <w:tc>
          <w:tcPr>
            <w:tcW w:w="10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3"/>
            <w:vMerge w:val="continue"/>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Rent (3) PSF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Rent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2026</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209,573</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558,426</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512,110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59 %</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443,706</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34.74</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774,653</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546,420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59 %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406,177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34.48</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739,308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715,325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4th Quarter 2025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7"/>
                <w:szCs w:val="17"/>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339,602</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39.66</w:t>
            </w:r>
          </w:p>
        </w:tc>
        <w:tc>
          <w:tcPr>
            <w:tcW w:w="10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512,312</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2,784,241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1,399,058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2,584,699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4,558,096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06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Total Lease Summary - Comparable and Non-comparable (2)</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Weighted</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9"/>
                <w:szCs w:val="9"/>
                <w:color w:val="auto"/>
              </w:rPr>
            </w:pPr>
          </w:p>
        </w:tc>
        <w:tc>
          <w:tcPr>
            <w:tcW w:w="9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Comparable %</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7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vMerge w:val="restart"/>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gridSpan w:val="4"/>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0" w:type="dxa"/>
            <w:vAlign w:val="bottom"/>
          </w:tcPr>
          <w:p>
            <w:pPr>
              <w:spacing w:after="0"/>
              <w:rPr>
                <w:sz w:val="9"/>
                <w:szCs w:val="9"/>
                <w:color w:val="auto"/>
              </w:rPr>
            </w:pPr>
          </w:p>
        </w:tc>
        <w:tc>
          <w:tcPr>
            <w:tcW w:w="10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Leases Signed</w:t>
            </w:r>
          </w:p>
        </w:tc>
        <w:tc>
          <w:tcPr>
            <w:tcW w:w="100" w:type="dxa"/>
            <w:vAlign w:val="bottom"/>
          </w:tcPr>
          <w:p>
            <w:pPr>
              <w:spacing w:after="0"/>
              <w:rPr>
                <w:sz w:val="13"/>
                <w:szCs w:val="13"/>
                <w:color w:val="auto"/>
              </w:rPr>
            </w:pPr>
          </w:p>
        </w:tc>
        <w:tc>
          <w:tcPr>
            <w:tcW w:w="90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of Total Leases</w:t>
            </w:r>
          </w:p>
        </w:tc>
        <w:tc>
          <w:tcPr>
            <w:tcW w:w="160" w:type="dxa"/>
            <w:vAlign w:val="bottom"/>
          </w:tcPr>
          <w:p>
            <w:pPr>
              <w:spacing w:after="0"/>
              <w:rPr>
                <w:sz w:val="13"/>
                <w:szCs w:val="13"/>
                <w:color w:val="auto"/>
              </w:rPr>
            </w:pPr>
          </w:p>
        </w:tc>
        <w:tc>
          <w:tcPr>
            <w:tcW w:w="16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Rent (3) PSF</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2026</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589,726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23,705,132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2026</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852,051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24,485,220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15,024,805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4th Quarter 2025</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612,978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18,384,628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2,715,913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81,599,785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6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Total Lease Summary - Comparable, Non-comparable, and Option Exercises (2) (8)</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Weighted</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7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vMerge w:val="restart"/>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gridSpan w:val="4"/>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0" w:type="dxa"/>
            <w:vAlign w:val="bottom"/>
          </w:tcPr>
          <w:p>
            <w:pPr>
              <w:spacing w:after="0"/>
              <w:rPr>
                <w:sz w:val="9"/>
                <w:szCs w:val="9"/>
                <w:color w:val="auto"/>
              </w:rPr>
            </w:pPr>
          </w:p>
        </w:tc>
        <w:tc>
          <w:tcPr>
            <w:tcW w:w="10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Leases Signed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Rent (3) PSF</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2026</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833,674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36.83</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23,705,132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2026</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1,121,498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24,485,220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881,718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15,024,805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4th Quarter 2025</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836,216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36.47</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18,384,628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3,673,106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81,599,785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42" w:lineRule="exact"/>
        <w:rPr>
          <w:sz w:val="20"/>
          <w:szCs w:val="20"/>
          <w:color w:val="auto"/>
        </w:rPr>
      </w:pPr>
    </w:p>
    <w:p>
      <w:pPr>
        <w:ind w:left="620" w:right="80" w:hanging="567"/>
        <w:spacing w:after="0" w:line="251" w:lineRule="auto"/>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reflects activity in retail spaces only for consolidated properties; office and residential spaces are not included. See Glossary of Terms for further discussion of information included above.</w:t>
      </w:r>
    </w:p>
    <w:p>
      <w:pPr>
        <w:ind w:left="620" w:hanging="567"/>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Comparable leases represent those leases signed on spaces for which there was a former tenant. Contractual option exercises are not included unless they are fair market value options.</w:t>
      </w:r>
    </w:p>
    <w:p>
      <w:pPr>
        <w:spacing w:after="0" w:line="41" w:lineRule="exact"/>
        <w:rPr>
          <w:rFonts w:ascii="Times New Roman" w:cs="Times New Roman" w:eastAsia="Times New Roman" w:hAnsi="Times New Roman"/>
          <w:sz w:val="14"/>
          <w:szCs w:val="14"/>
          <w:color w:val="auto"/>
        </w:rPr>
      </w:pPr>
    </w:p>
    <w:p>
      <w:pPr>
        <w:ind w:left="620" w:hanging="567"/>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rent represents annual rent under the new lease.</w:t>
      </w:r>
    </w:p>
    <w:p>
      <w:pPr>
        <w:spacing w:after="0" w:line="41" w:lineRule="exact"/>
        <w:rPr>
          <w:rFonts w:ascii="Times New Roman" w:cs="Times New Roman" w:eastAsia="Times New Roman" w:hAnsi="Times New Roman"/>
          <w:sz w:val="14"/>
          <w:szCs w:val="14"/>
          <w:color w:val="auto"/>
        </w:rPr>
      </w:pPr>
    </w:p>
    <w:p>
      <w:pPr>
        <w:ind w:left="620" w:hanging="567"/>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rent represents contractual rent, including percentage rent considered part of base rent, from the prior tenant in the final 12 months of the term.</w:t>
      </w:r>
    </w:p>
    <w:p>
      <w:pPr>
        <w:spacing w:after="0" w:line="41" w:lineRule="exact"/>
        <w:rPr>
          <w:rFonts w:ascii="Times New Roman" w:cs="Times New Roman" w:eastAsia="Times New Roman" w:hAnsi="Times New Roman"/>
          <w:sz w:val="14"/>
          <w:szCs w:val="14"/>
          <w:color w:val="auto"/>
        </w:rPr>
      </w:pPr>
    </w:p>
    <w:p>
      <w:pPr>
        <w:ind w:left="620" w:hanging="567"/>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is determined on the basis of contractual rent for the lease.</w:t>
      </w:r>
    </w:p>
    <w:p>
      <w:pPr>
        <w:spacing w:after="0" w:line="41" w:lineRule="exact"/>
        <w:rPr>
          <w:rFonts w:ascii="Times New Roman" w:cs="Times New Roman" w:eastAsia="Times New Roman" w:hAnsi="Times New Roman"/>
          <w:sz w:val="14"/>
          <w:szCs w:val="14"/>
          <w:color w:val="auto"/>
        </w:rPr>
      </w:pPr>
    </w:p>
    <w:p>
      <w:pPr>
        <w:ind w:left="620" w:hanging="567"/>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Glossary of Terms.</w:t>
      </w:r>
    </w:p>
    <w:p>
      <w:pPr>
        <w:spacing w:after="0" w:line="41" w:lineRule="exact"/>
        <w:rPr>
          <w:rFonts w:ascii="Times New Roman" w:cs="Times New Roman" w:eastAsia="Times New Roman" w:hAnsi="Times New Roman"/>
          <w:sz w:val="14"/>
          <w:szCs w:val="14"/>
          <w:color w:val="auto"/>
        </w:rPr>
      </w:pPr>
    </w:p>
    <w:p>
      <w:pPr>
        <w:ind w:left="620" w:hanging="567"/>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Renewal leases represent expiring leases rolling over with the same tenant in the same location. All other leases are categorized as new.</w:t>
      </w:r>
    </w:p>
    <w:p>
      <w:pPr>
        <w:spacing w:after="0" w:line="41" w:lineRule="exact"/>
        <w:rPr>
          <w:rFonts w:ascii="Times New Roman" w:cs="Times New Roman" w:eastAsia="Times New Roman" w:hAnsi="Times New Roman"/>
          <w:sz w:val="14"/>
          <w:szCs w:val="14"/>
          <w:color w:val="auto"/>
        </w:rPr>
      </w:pPr>
    </w:p>
    <w:p>
      <w:pPr>
        <w:ind w:left="620" w:hanging="567"/>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exercises reflect a fixed rate contractual option under the lease agreement that was exercised during the period reflected.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704" w:right="3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Lease Expirations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151765</wp:posOffset>
            </wp:positionV>
            <wp:extent cx="276860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8600" cy="154305"/>
                    </a:xfrm>
                    <a:prstGeom prst="rect">
                      <a:avLst/>
                    </a:prstGeom>
                    <a:noFill/>
                  </pic:spPr>
                </pic:pic>
              </a:graphicData>
            </a:graphic>
          </wp:anchor>
        </w:drawing>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Assumes no exercise of lease options</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34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34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1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14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6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1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18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9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1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40" w:type="dxa"/>
            <w:vAlign w:val="bottom"/>
          </w:tcPr>
          <w:p>
            <w:pPr>
              <w:spacing w:after="0"/>
              <w:rPr>
                <w:sz w:val="11"/>
                <w:szCs w:val="11"/>
                <w:color w:val="auto"/>
              </w:rPr>
            </w:pPr>
          </w:p>
        </w:tc>
        <w:tc>
          <w:tcPr>
            <w:tcW w:w="1180" w:type="dxa"/>
            <w:vAlign w:val="bottom"/>
            <w:tcBorders>
              <w:top w:val="single" w:sz="8" w:color="auto"/>
            </w:tcBorders>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8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1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180" w:type="dxa"/>
            <w:vAlign w:val="bottom"/>
            <w:vMerge w:val="continue"/>
          </w:tcPr>
          <w:p>
            <w:pPr>
              <w:spacing w:after="0"/>
              <w:rPr>
                <w:sz w:val="17"/>
                <w:szCs w:val="17"/>
                <w:color w:val="auto"/>
              </w:rPr>
            </w:pPr>
          </w:p>
        </w:tc>
        <w:tc>
          <w:tcPr>
            <w:tcW w:w="9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180" w:type="dxa"/>
            <w:vAlign w:val="bottom"/>
            <w:vMerge w:val="continue"/>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SF</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11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84,000</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288,000</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w:t>
            </w: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372,000</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0" w:type="dxa"/>
            <w:vAlign w:val="bottom"/>
          </w:tcPr>
          <w:p>
            <w:pPr>
              <w:spacing w:after="0"/>
              <w:rPr>
                <w:sz w:val="1"/>
                <w:szCs w:val="1"/>
                <w:color w:val="auto"/>
              </w:rPr>
            </w:pPr>
          </w:p>
        </w:tc>
      </w:tr>
      <w:tr>
        <w:trPr>
          <w:trHeight w:val="21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864,000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w:t>
            </w:r>
          </w:p>
        </w:tc>
        <w:tc>
          <w:tcPr>
            <w:tcW w:w="240" w:type="dxa"/>
            <w:vAlign w:val="bottom"/>
          </w:tcPr>
          <w:p>
            <w:pPr>
              <w:spacing w:after="0"/>
              <w:rPr>
                <w:sz w:val="18"/>
                <w:szCs w:val="18"/>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1,869,000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0" w:type="dxa"/>
            <w:vAlign w:val="bottom"/>
          </w:tcPr>
          <w:p>
            <w:pPr>
              <w:spacing w:after="0"/>
              <w:rPr>
                <w:sz w:val="1"/>
                <w:szCs w:val="1"/>
                <w:color w:val="auto"/>
              </w:rPr>
            </w:pPr>
          </w:p>
        </w:tc>
      </w:tr>
      <w:tr>
        <w:trPr>
          <w:trHeight w:val="218"/>
        </w:trPr>
        <w:tc>
          <w:tcPr>
            <w:tcW w:w="1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1,246,000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$50.68</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3,453,000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0" w:type="dxa"/>
            <w:vAlign w:val="bottom"/>
          </w:tcPr>
          <w:p>
            <w:pPr>
              <w:spacing w:after="0"/>
              <w:rPr>
                <w:sz w:val="1"/>
                <w:szCs w:val="1"/>
                <w:color w:val="auto"/>
              </w:rPr>
            </w:pPr>
          </w:p>
        </w:tc>
      </w:tr>
      <w:tr>
        <w:trPr>
          <w:trHeight w:val="21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1,307,000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w:t>
            </w:r>
          </w:p>
        </w:tc>
        <w:tc>
          <w:tcPr>
            <w:tcW w:w="240" w:type="dxa"/>
            <w:vAlign w:val="bottom"/>
          </w:tcPr>
          <w:p>
            <w:pPr>
              <w:spacing w:after="0"/>
              <w:rPr>
                <w:sz w:val="18"/>
                <w:szCs w:val="18"/>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3,611,000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0" w:type="dxa"/>
            <w:vAlign w:val="bottom"/>
          </w:tcPr>
          <w:p>
            <w:pPr>
              <w:spacing w:after="0"/>
              <w:rPr>
                <w:sz w:val="1"/>
                <w:szCs w:val="1"/>
                <w:color w:val="auto"/>
              </w:rPr>
            </w:pPr>
          </w:p>
        </w:tc>
      </w:tr>
      <w:tr>
        <w:trPr>
          <w:trHeight w:val="218"/>
        </w:trPr>
        <w:tc>
          <w:tcPr>
            <w:tcW w:w="1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1,104,000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2,945,000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0" w:type="dxa"/>
            <w:vAlign w:val="bottom"/>
          </w:tcPr>
          <w:p>
            <w:pPr>
              <w:spacing w:after="0"/>
              <w:rPr>
                <w:sz w:val="1"/>
                <w:szCs w:val="1"/>
                <w:color w:val="auto"/>
              </w:rPr>
            </w:pPr>
          </w:p>
        </w:tc>
      </w:tr>
      <w:tr>
        <w:trPr>
          <w:trHeight w:val="21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1,154,000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240" w:type="dxa"/>
            <w:vAlign w:val="bottom"/>
          </w:tcPr>
          <w:p>
            <w:pPr>
              <w:spacing w:after="0"/>
              <w:rPr>
                <w:sz w:val="18"/>
                <w:szCs w:val="18"/>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2,590,000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0" w:type="dxa"/>
            <w:vAlign w:val="bottom"/>
          </w:tcPr>
          <w:p>
            <w:pPr>
              <w:spacing w:after="0"/>
              <w:rPr>
                <w:sz w:val="1"/>
                <w:szCs w:val="1"/>
                <w:color w:val="auto"/>
              </w:rPr>
            </w:pPr>
          </w:p>
        </w:tc>
      </w:tr>
      <w:tr>
        <w:trPr>
          <w:trHeight w:val="218"/>
        </w:trPr>
        <w:tc>
          <w:tcPr>
            <w:tcW w:w="1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1,041,000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3,413,000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0" w:type="dxa"/>
            <w:vAlign w:val="bottom"/>
          </w:tcPr>
          <w:p>
            <w:pPr>
              <w:spacing w:after="0"/>
              <w:rPr>
                <w:sz w:val="1"/>
                <w:szCs w:val="1"/>
                <w:color w:val="auto"/>
              </w:rPr>
            </w:pPr>
          </w:p>
        </w:tc>
      </w:tr>
      <w:tr>
        <w:trPr>
          <w:trHeight w:val="21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651,000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$48.25</w:t>
            </w:r>
          </w:p>
        </w:tc>
        <w:tc>
          <w:tcPr>
            <w:tcW w:w="240" w:type="dxa"/>
            <w:vAlign w:val="bottom"/>
          </w:tcPr>
          <w:p>
            <w:pPr>
              <w:spacing w:after="0"/>
              <w:rPr>
                <w:sz w:val="18"/>
                <w:szCs w:val="18"/>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1,744,000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0" w:type="dxa"/>
            <w:vAlign w:val="bottom"/>
          </w:tcPr>
          <w:p>
            <w:pPr>
              <w:spacing w:after="0"/>
              <w:rPr>
                <w:sz w:val="1"/>
                <w:szCs w:val="1"/>
                <w:color w:val="auto"/>
              </w:rPr>
            </w:pPr>
          </w:p>
        </w:tc>
      </w:tr>
      <w:tr>
        <w:trPr>
          <w:trHeight w:val="218"/>
        </w:trPr>
        <w:tc>
          <w:tcPr>
            <w:tcW w:w="1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519,000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1,425,000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0" w:type="dxa"/>
            <w:vAlign w:val="bottom"/>
          </w:tcPr>
          <w:p>
            <w:pPr>
              <w:spacing w:after="0"/>
              <w:rPr>
                <w:sz w:val="1"/>
                <w:szCs w:val="1"/>
                <w:color w:val="auto"/>
              </w:rPr>
            </w:pPr>
          </w:p>
        </w:tc>
      </w:tr>
      <w:tr>
        <w:trPr>
          <w:trHeight w:val="21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2035</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497,000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w:t>
            </w:r>
          </w:p>
        </w:tc>
        <w:tc>
          <w:tcPr>
            <w:tcW w:w="240" w:type="dxa"/>
            <w:vAlign w:val="bottom"/>
          </w:tcPr>
          <w:p>
            <w:pPr>
              <w:spacing w:after="0"/>
              <w:rPr>
                <w:sz w:val="18"/>
                <w:szCs w:val="18"/>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1,869,000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0" w:type="dxa"/>
            <w:vAlign w:val="bottom"/>
          </w:tcPr>
          <w:p>
            <w:pPr>
              <w:spacing w:after="0"/>
              <w:rPr>
                <w:sz w:val="1"/>
                <w:szCs w:val="1"/>
                <w:color w:val="auto"/>
              </w:rPr>
            </w:pPr>
          </w:p>
        </w:tc>
      </w:tr>
      <w:tr>
        <w:trPr>
          <w:trHeight w:val="216"/>
        </w:trPr>
        <w:tc>
          <w:tcPr>
            <w:tcW w:w="1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3,009,000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2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729,000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2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3,738,000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0" w:type="dxa"/>
            <w:vAlign w:val="bottom"/>
          </w:tcPr>
          <w:p>
            <w:pPr>
              <w:spacing w:after="0"/>
              <w:rPr>
                <w:sz w:val="1"/>
                <w:szCs w:val="1"/>
                <w:color w:val="auto"/>
              </w:rPr>
            </w:pPr>
          </w:p>
        </w:tc>
      </w:tr>
      <w:tr>
        <w:trPr>
          <w:trHeight w:val="211"/>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 (4)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17,629,000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9,400,000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27,029,000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60" w:type="dxa"/>
            <w:vAlign w:val="bottom"/>
            <w:tcBorders>
              <w:left w:val="single" w:sz="8" w:color="auto"/>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Assumes all lease options are exercised</w:t>
            </w:r>
          </w:p>
        </w:tc>
        <w:tc>
          <w:tcPr>
            <w:tcW w:w="110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140" w:type="dxa"/>
            <w:vAlign w:val="bottom"/>
          </w:tcPr>
          <w:p>
            <w:pPr>
              <w:spacing w:after="0"/>
              <w:rPr>
                <w:sz w:val="22"/>
                <w:szCs w:val="22"/>
                <w:color w:val="auto"/>
              </w:rPr>
            </w:pPr>
          </w:p>
        </w:tc>
        <w:tc>
          <w:tcPr>
            <w:tcW w:w="34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34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18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14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6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100" w:type="dxa"/>
            <w:vAlign w:val="bottom"/>
            <w:tcBorders>
              <w:top w:val="single" w:sz="8" w:color="auto"/>
            </w:tcBorders>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18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9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1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40" w:type="dxa"/>
            <w:vAlign w:val="bottom"/>
          </w:tcPr>
          <w:p>
            <w:pPr>
              <w:spacing w:after="0"/>
              <w:rPr>
                <w:sz w:val="11"/>
                <w:szCs w:val="11"/>
                <w:color w:val="auto"/>
              </w:rPr>
            </w:pPr>
          </w:p>
        </w:tc>
        <w:tc>
          <w:tcPr>
            <w:tcW w:w="1180" w:type="dxa"/>
            <w:vAlign w:val="bottom"/>
            <w:tcBorders>
              <w:top w:val="single" w:sz="8" w:color="auto"/>
            </w:tcBorders>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8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1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180" w:type="dxa"/>
            <w:vAlign w:val="bottom"/>
            <w:vMerge w:val="continue"/>
          </w:tcPr>
          <w:p>
            <w:pPr>
              <w:spacing w:after="0"/>
              <w:rPr>
                <w:sz w:val="17"/>
                <w:szCs w:val="17"/>
                <w:color w:val="auto"/>
              </w:rPr>
            </w:pPr>
          </w:p>
        </w:tc>
        <w:tc>
          <w:tcPr>
            <w:tcW w:w="9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180" w:type="dxa"/>
            <w:vAlign w:val="bottom"/>
            <w:vMerge w:val="continue"/>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SF</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11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84,000</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285,000</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369,000</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0" w:type="dxa"/>
            <w:vAlign w:val="bottom"/>
          </w:tcPr>
          <w:p>
            <w:pPr>
              <w:spacing w:after="0"/>
              <w:rPr>
                <w:sz w:val="1"/>
                <w:szCs w:val="1"/>
                <w:color w:val="auto"/>
              </w:rPr>
            </w:pPr>
          </w:p>
        </w:tc>
      </w:tr>
      <w:tr>
        <w:trPr>
          <w:trHeight w:val="21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658,000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$44.73</w:t>
            </w:r>
          </w:p>
        </w:tc>
        <w:tc>
          <w:tcPr>
            <w:tcW w:w="240" w:type="dxa"/>
            <w:vAlign w:val="bottom"/>
          </w:tcPr>
          <w:p>
            <w:pPr>
              <w:spacing w:after="0"/>
              <w:rPr>
                <w:sz w:val="18"/>
                <w:szCs w:val="18"/>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1,202,000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0" w:type="dxa"/>
            <w:vAlign w:val="bottom"/>
          </w:tcPr>
          <w:p>
            <w:pPr>
              <w:spacing w:after="0"/>
              <w:rPr>
                <w:sz w:val="1"/>
                <w:szCs w:val="1"/>
                <w:color w:val="auto"/>
              </w:rPr>
            </w:pPr>
          </w:p>
        </w:tc>
      </w:tr>
      <w:tr>
        <w:trPr>
          <w:trHeight w:val="218"/>
        </w:trPr>
        <w:tc>
          <w:tcPr>
            <w:tcW w:w="1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718,000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1,253,000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w:t>
            </w:r>
          </w:p>
        </w:tc>
        <w:tc>
          <w:tcPr>
            <w:tcW w:w="0" w:type="dxa"/>
            <w:vAlign w:val="bottom"/>
          </w:tcPr>
          <w:p>
            <w:pPr>
              <w:spacing w:after="0"/>
              <w:rPr>
                <w:sz w:val="1"/>
                <w:szCs w:val="1"/>
                <w:color w:val="auto"/>
              </w:rPr>
            </w:pPr>
          </w:p>
        </w:tc>
      </w:tr>
      <w:tr>
        <w:trPr>
          <w:trHeight w:val="21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$34.73</w:t>
            </w: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735,000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$50.01</w:t>
            </w:r>
          </w:p>
        </w:tc>
        <w:tc>
          <w:tcPr>
            <w:tcW w:w="240" w:type="dxa"/>
            <w:vAlign w:val="bottom"/>
          </w:tcPr>
          <w:p>
            <w:pPr>
              <w:spacing w:after="0"/>
              <w:rPr>
                <w:sz w:val="18"/>
                <w:szCs w:val="18"/>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1,221,000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w:t>
            </w:r>
          </w:p>
        </w:tc>
        <w:tc>
          <w:tcPr>
            <w:tcW w:w="0" w:type="dxa"/>
            <w:vAlign w:val="bottom"/>
          </w:tcPr>
          <w:p>
            <w:pPr>
              <w:spacing w:after="0"/>
              <w:rPr>
                <w:sz w:val="1"/>
                <w:szCs w:val="1"/>
                <w:color w:val="auto"/>
              </w:rPr>
            </w:pPr>
          </w:p>
        </w:tc>
      </w:tr>
      <w:tr>
        <w:trPr>
          <w:trHeight w:val="218"/>
        </w:trPr>
        <w:tc>
          <w:tcPr>
            <w:tcW w:w="1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680,000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991,000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w:t>
            </w:r>
          </w:p>
        </w:tc>
        <w:tc>
          <w:tcPr>
            <w:tcW w:w="0" w:type="dxa"/>
            <w:vAlign w:val="bottom"/>
          </w:tcPr>
          <w:p>
            <w:pPr>
              <w:spacing w:after="0"/>
              <w:rPr>
                <w:sz w:val="1"/>
                <w:szCs w:val="1"/>
                <w:color w:val="auto"/>
              </w:rPr>
            </w:pPr>
          </w:p>
        </w:tc>
      </w:tr>
      <w:tr>
        <w:trPr>
          <w:trHeight w:val="21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$50.32</w:t>
            </w:r>
          </w:p>
        </w:tc>
        <w:tc>
          <w:tcPr>
            <w:tcW w:w="240" w:type="dxa"/>
            <w:vAlign w:val="bottom"/>
          </w:tcPr>
          <w:p>
            <w:pPr>
              <w:spacing w:after="0"/>
              <w:rPr>
                <w:sz w:val="18"/>
                <w:szCs w:val="18"/>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1,088,000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0" w:type="dxa"/>
            <w:vAlign w:val="bottom"/>
          </w:tcPr>
          <w:p>
            <w:pPr>
              <w:spacing w:after="0"/>
              <w:rPr>
                <w:sz w:val="1"/>
                <w:szCs w:val="1"/>
                <w:color w:val="auto"/>
              </w:rPr>
            </w:pPr>
          </w:p>
        </w:tc>
      </w:tr>
      <w:tr>
        <w:trPr>
          <w:trHeight w:val="218"/>
        </w:trPr>
        <w:tc>
          <w:tcPr>
            <w:tcW w:w="1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590,000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936,000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w:t>
            </w:r>
          </w:p>
        </w:tc>
        <w:tc>
          <w:tcPr>
            <w:tcW w:w="0" w:type="dxa"/>
            <w:vAlign w:val="bottom"/>
          </w:tcPr>
          <w:p>
            <w:pPr>
              <w:spacing w:after="0"/>
              <w:rPr>
                <w:sz w:val="1"/>
                <w:szCs w:val="1"/>
                <w:color w:val="auto"/>
              </w:rPr>
            </w:pPr>
          </w:p>
        </w:tc>
      </w:tr>
      <w:tr>
        <w:trPr>
          <w:trHeight w:val="21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512,000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$54.32</w:t>
            </w:r>
          </w:p>
        </w:tc>
        <w:tc>
          <w:tcPr>
            <w:tcW w:w="240" w:type="dxa"/>
            <w:vAlign w:val="bottom"/>
          </w:tcPr>
          <w:p>
            <w:pPr>
              <w:spacing w:after="0"/>
              <w:rPr>
                <w:sz w:val="18"/>
                <w:szCs w:val="18"/>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872,000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$42.17</w:t>
            </w:r>
          </w:p>
        </w:tc>
        <w:tc>
          <w:tcPr>
            <w:tcW w:w="0" w:type="dxa"/>
            <w:vAlign w:val="bottom"/>
          </w:tcPr>
          <w:p>
            <w:pPr>
              <w:spacing w:after="0"/>
              <w:rPr>
                <w:sz w:val="1"/>
                <w:szCs w:val="1"/>
                <w:color w:val="auto"/>
              </w:rPr>
            </w:pPr>
          </w:p>
        </w:tc>
      </w:tr>
      <w:tr>
        <w:trPr>
          <w:trHeight w:val="218"/>
        </w:trPr>
        <w:tc>
          <w:tcPr>
            <w:tcW w:w="1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507,000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1,133,000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0" w:type="dxa"/>
            <w:vAlign w:val="bottom"/>
          </w:tcPr>
          <w:p>
            <w:pPr>
              <w:spacing w:after="0"/>
              <w:rPr>
                <w:sz w:val="1"/>
                <w:szCs w:val="1"/>
                <w:color w:val="auto"/>
              </w:rPr>
            </w:pPr>
          </w:p>
        </w:tc>
      </w:tr>
      <w:tr>
        <w:trPr>
          <w:trHeight w:val="21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2035</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492,000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$53.55</w:t>
            </w:r>
          </w:p>
        </w:tc>
        <w:tc>
          <w:tcPr>
            <w:tcW w:w="240" w:type="dxa"/>
            <w:vAlign w:val="bottom"/>
          </w:tcPr>
          <w:p>
            <w:pPr>
              <w:spacing w:after="0"/>
              <w:rPr>
                <w:sz w:val="18"/>
                <w:szCs w:val="18"/>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1,187,000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0" w:type="dxa"/>
            <w:vAlign w:val="bottom"/>
          </w:tcPr>
          <w:p>
            <w:pPr>
              <w:spacing w:after="0"/>
              <w:rPr>
                <w:sz w:val="1"/>
                <w:szCs w:val="1"/>
                <w:color w:val="auto"/>
              </w:rPr>
            </w:pPr>
          </w:p>
        </w:tc>
      </w:tr>
      <w:tr>
        <w:trPr>
          <w:trHeight w:val="216"/>
        </w:trPr>
        <w:tc>
          <w:tcPr>
            <w:tcW w:w="1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13,154,000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2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3,623,000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$50.32</w:t>
            </w:r>
          </w:p>
        </w:tc>
        <w:tc>
          <w:tcPr>
            <w:tcW w:w="2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16,777,000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0" w:type="dxa"/>
            <w:vAlign w:val="bottom"/>
          </w:tcPr>
          <w:p>
            <w:pPr>
              <w:spacing w:after="0"/>
              <w:rPr>
                <w:sz w:val="1"/>
                <w:szCs w:val="1"/>
                <w:color w:val="auto"/>
              </w:rPr>
            </w:pPr>
          </w:p>
        </w:tc>
      </w:tr>
      <w:tr>
        <w:trPr>
          <w:trHeight w:val="211"/>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 (4)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17,629,000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9,400,000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27,029,000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800" w:hanging="781"/>
        <w:spacing w:after="0"/>
        <w:tabs>
          <w:tab w:leader="none" w:pos="8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Anchor is defined as a commercial tenant leasing 10,000 square feet or more.</w:t>
      </w:r>
    </w:p>
    <w:p>
      <w:pPr>
        <w:spacing w:after="0" w:line="32" w:lineRule="exact"/>
        <w:rPr>
          <w:rFonts w:ascii="Times New Roman" w:cs="Times New Roman" w:eastAsia="Times New Roman" w:hAnsi="Times New Roman"/>
          <w:sz w:val="16"/>
          <w:szCs w:val="16"/>
          <w:color w:val="auto"/>
        </w:rPr>
      </w:pPr>
    </w:p>
    <w:p>
      <w:pPr>
        <w:ind w:left="800" w:right="160" w:hanging="781"/>
        <w:spacing w:after="0" w:line="245" w:lineRule="auto"/>
        <w:tabs>
          <w:tab w:leader="none" w:pos="8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Rent reflects in-place contractual (defined as rents on a cash-basis without taking the impacts of rent abatements into account) rent as of September 30, 2026.</w:t>
      </w:r>
    </w:p>
    <w:p>
      <w:pPr>
        <w:spacing w:after="0" w:line="2" w:lineRule="exact"/>
        <w:rPr>
          <w:rFonts w:ascii="Times New Roman" w:cs="Times New Roman" w:eastAsia="Times New Roman" w:hAnsi="Times New Roman"/>
          <w:sz w:val="16"/>
          <w:szCs w:val="16"/>
          <w:color w:val="auto"/>
        </w:rPr>
      </w:pPr>
    </w:p>
    <w:p>
      <w:pPr>
        <w:ind w:left="800" w:hanging="781"/>
        <w:spacing w:after="0"/>
        <w:tabs>
          <w:tab w:leader="none" w:pos="8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occupied square footage of the commercial portion of our portfolio as of September 30, 2026.</w:t>
      </w:r>
    </w:p>
    <w:p>
      <w:pPr>
        <w:spacing w:after="0" w:line="32" w:lineRule="exact"/>
        <w:rPr>
          <w:rFonts w:ascii="Times New Roman" w:cs="Times New Roman" w:eastAsia="Times New Roman" w:hAnsi="Times New Roman"/>
          <w:sz w:val="16"/>
          <w:szCs w:val="16"/>
          <w:color w:val="auto"/>
        </w:rPr>
      </w:pPr>
    </w:p>
    <w:p>
      <w:pPr>
        <w:ind w:left="800" w:hanging="781"/>
        <w:spacing w:after="0"/>
        <w:tabs>
          <w:tab w:leader="none" w:pos="8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40" w:top="1022" w:right="35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Portfolio Leased Statistics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60" w:type="dxa"/>
            <w:vAlign w:val="bottom"/>
            <w:tcBorders>
              <w:bottom w:val="single" w:sz="8" w:color="auto"/>
            </w:tcBorders>
          </w:tcPr>
          <w:p>
            <w:pPr>
              <w:spacing w:after="0"/>
              <w:rPr>
                <w:sz w:val="18"/>
                <w:szCs w:val="18"/>
                <w:color w:val="auto"/>
              </w:rPr>
            </w:pPr>
          </w:p>
        </w:tc>
      </w:tr>
      <w:tr>
        <w:trPr>
          <w:trHeight w:val="209"/>
        </w:trPr>
        <w:tc>
          <w:tcPr>
            <w:tcW w:w="5460" w:type="dxa"/>
            <w:vAlign w:val="bottom"/>
          </w:tcPr>
          <w:p>
            <w:pPr>
              <w:spacing w:after="0"/>
              <w:rPr>
                <w:sz w:val="18"/>
                <w:szCs w:val="18"/>
                <w:color w:val="auto"/>
              </w:rPr>
            </w:pP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18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410"/>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Properties</w:t>
            </w: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32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Overall Portfolio (1)(2)</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Leasable Area (GLA)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28,802,000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28,821,000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27,936,000</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95.4 %</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Occupied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93.8 %</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 - anchor tenants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96.5 %</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 - small shop tenants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93.3 %</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Active commercial tenant leases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3,629</w:t>
            </w:r>
          </w:p>
        </w:tc>
      </w:tr>
      <w:tr>
        <w:trPr>
          <w:trHeight w:val="219"/>
        </w:trPr>
        <w:tc>
          <w:tcPr>
            <w:tcW w:w="5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1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Comparable Properties (1)(3)</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26,168,000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26,167,000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26,129,000</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95.3 %</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Occupied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93.6 %</w:t>
            </w:r>
          </w:p>
        </w:tc>
      </w:tr>
      <w:tr>
        <w:trPr>
          <w:trHeight w:val="46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Properties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Overall Portfolio (1)(2)(4)</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units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96.0 %</w:t>
            </w:r>
          </w:p>
        </w:tc>
      </w:tr>
      <w:tr>
        <w:trPr>
          <w:trHeight w:val="219"/>
        </w:trPr>
        <w:tc>
          <w:tcPr>
            <w:tcW w:w="5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1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Comparable Properties (1)(3)</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units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w:t>
            </w:r>
          </w:p>
        </w:tc>
      </w:tr>
      <w:tr>
        <w:trPr>
          <w:trHeight w:val="210"/>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96.5 %</w:t>
            </w:r>
          </w:p>
        </w:tc>
      </w:tr>
    </w:tbl>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800" w:hanging="774"/>
        <w:spacing w:after="0"/>
        <w:tabs>
          <w:tab w:leader="none" w:pos="8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800" w:hanging="774"/>
        <w:spacing w:after="0"/>
        <w:tabs>
          <w:tab w:leader="none" w:pos="8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and residential units not yet placed in service.</w:t>
      </w:r>
    </w:p>
    <w:p>
      <w:pPr>
        <w:spacing w:after="0" w:line="32" w:lineRule="exact"/>
        <w:rPr>
          <w:rFonts w:ascii="Times New Roman" w:cs="Times New Roman" w:eastAsia="Times New Roman" w:hAnsi="Times New Roman"/>
          <w:sz w:val="16"/>
          <w:szCs w:val="16"/>
          <w:color w:val="auto"/>
        </w:rPr>
      </w:pPr>
    </w:p>
    <w:p>
      <w:pPr>
        <w:ind w:left="800" w:hanging="774"/>
        <w:spacing w:after="0"/>
        <w:tabs>
          <w:tab w:leader="none" w:pos="8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periods are adjusted for the current comparable property pool.</w:t>
      </w:r>
    </w:p>
    <w:p>
      <w:pPr>
        <w:spacing w:after="0" w:line="32" w:lineRule="exact"/>
        <w:rPr>
          <w:rFonts w:ascii="Times New Roman" w:cs="Times New Roman" w:eastAsia="Times New Roman" w:hAnsi="Times New Roman"/>
          <w:sz w:val="16"/>
          <w:szCs w:val="16"/>
          <w:color w:val="auto"/>
        </w:rPr>
      </w:pPr>
    </w:p>
    <w:p>
      <w:pPr>
        <w:ind w:left="800" w:right="200" w:hanging="774"/>
        <w:spacing w:after="0" w:line="232" w:lineRule="auto"/>
        <w:tabs>
          <w:tab w:leader="none" w:pos="8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our new residential building at Bala Cynwyd on City Avenue called Blayr that opened in 1Q26 and currently is in the process of being leased-up for the first time. If these units were included at September 30, 2026 and June 30, 2026, our total residential units would be 2,683 for both periods, and our percentage leased would be 94.7% and 93.9%, respectively.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92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Top 25 Tenants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Ratings</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960" w:type="dxa"/>
            <w:vAlign w:val="bottom"/>
          </w:tcPr>
          <w:p>
            <w:pPr>
              <w:spacing w:after="0"/>
              <w:rPr>
                <w:sz w:val="13"/>
                <w:szCs w:val="13"/>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Rank</w:t>
            </w: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Tenant Name</w:t>
            </w:r>
          </w:p>
        </w:tc>
        <w:tc>
          <w:tcPr>
            <w:tcW w:w="1460" w:type="dxa"/>
            <w:vAlign w:val="bottom"/>
            <w:vMerge w:val="continue"/>
          </w:tcPr>
          <w:p>
            <w:pPr>
              <w:spacing w:after="0"/>
              <w:rPr>
                <w:sz w:val="12"/>
                <w:szCs w:val="12"/>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Annualized Base Rent</w:t>
            </w:r>
          </w:p>
        </w:tc>
        <w:tc>
          <w:tcPr>
            <w:tcW w:w="1660" w:type="dxa"/>
            <w:vAlign w:val="bottom"/>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Annualized Base Rent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Tenant GLA</w:t>
            </w:r>
          </w:p>
        </w:tc>
        <w:tc>
          <w:tcPr>
            <w:tcW w:w="1320" w:type="dxa"/>
            <w:vAlign w:val="bottom"/>
            <w:vMerge w:val="continue"/>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Locations</w:t>
            </w:r>
          </w:p>
        </w:tc>
        <w:tc>
          <w:tcPr>
            <w:tcW w:w="0" w:type="dxa"/>
            <w:vAlign w:val="bottom"/>
          </w:tcPr>
          <w:p>
            <w:pPr>
              <w:spacing w:after="0"/>
              <w:rPr>
                <w:sz w:val="1"/>
                <w:szCs w:val="1"/>
                <w:color w:val="auto"/>
              </w:rPr>
            </w:pPr>
          </w:p>
        </w:tc>
      </w:tr>
      <w:tr>
        <w:trPr>
          <w:trHeight w:val="196"/>
        </w:trPr>
        <w:tc>
          <w:tcPr>
            <w:tcW w:w="560" w:type="dxa"/>
            <w:vAlign w:val="bottom"/>
            <w:tcBorders>
              <w:bottom w:val="single" w:sz="8" w:color="auto"/>
            </w:tcBorders>
            <w:vMerge w:val="continue"/>
          </w:tcPr>
          <w:p>
            <w:pPr>
              <w:spacing w:after="0"/>
              <w:rPr>
                <w:sz w:val="17"/>
                <w:szCs w:val="17"/>
                <w:color w:val="auto"/>
              </w:rPr>
            </w:pPr>
          </w:p>
        </w:tc>
        <w:tc>
          <w:tcPr>
            <w:tcW w:w="294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(S&amp;P/Moody's) (1)</w:t>
            </w:r>
          </w:p>
        </w:tc>
        <w:tc>
          <w:tcPr>
            <w:tcW w:w="1420" w:type="dxa"/>
            <w:vAlign w:val="bottom"/>
            <w:tcBorders>
              <w:bottom w:val="single" w:sz="8" w:color="auto"/>
            </w:tcBorders>
            <w:gridSpan w:val="2"/>
            <w:vMerge w:val="continue"/>
          </w:tcPr>
          <w:p>
            <w:pPr>
              <w:spacing w:after="0"/>
              <w:rPr>
                <w:sz w:val="17"/>
                <w:szCs w:val="17"/>
                <w:color w:val="auto"/>
              </w:rPr>
            </w:pPr>
          </w:p>
        </w:tc>
        <w:tc>
          <w:tcPr>
            <w:tcW w:w="1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w:t>
            </w:r>
          </w:p>
        </w:tc>
        <w:tc>
          <w:tcPr>
            <w:tcW w:w="9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 GLA (3)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TJX Companies, The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 / A2</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24,213,000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2.40 %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3.82 %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Ahold Delhaize</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BBB+ / Baa1</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17,321,000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1.72 %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2.64 %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NetApp, Inc.</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BBB+ / Baa2</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16,138,000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1.60 %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0.97 %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Cisco Systems, Inc.</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AA- / A1</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14,570,000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1.45 %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0.86 %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Gap, Inc., The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 / Ba2</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13,466,000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1.34 %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1.30 %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CVS Corporation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BBB / Baa3</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11,030,000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1.10 %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0.84 %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65"/>
        </w:trPr>
        <w:tc>
          <w:tcPr>
            <w:tcW w:w="560" w:type="dxa"/>
            <w:vAlign w:val="bottom"/>
            <w:shd w:val="clear" w:color="auto" w:fill="CCEEFF"/>
          </w:tcPr>
          <w:p>
            <w:pPr>
              <w:jc w:val="right"/>
              <w:ind w:right="39"/>
              <w:spacing w:after="0" w:line="165" w:lineRule="exact"/>
              <w:rPr>
                <w:sz w:val="20"/>
                <w:szCs w:val="20"/>
                <w:color w:val="auto"/>
              </w:rPr>
            </w:pPr>
            <w:r>
              <w:rPr>
                <w:rFonts w:ascii="Times New Roman" w:cs="Times New Roman" w:eastAsia="Times New Roman" w:hAnsi="Times New Roman"/>
                <w:sz w:val="16"/>
                <w:szCs w:val="16"/>
                <w:color w:val="auto"/>
              </w:rPr>
              <w:t>7</w:t>
            </w:r>
          </w:p>
        </w:tc>
        <w:tc>
          <w:tcPr>
            <w:tcW w:w="294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KnitWell Group (Ann Taylor, Chico's,</w:t>
            </w:r>
          </w:p>
        </w:tc>
        <w:tc>
          <w:tcPr>
            <w:tcW w:w="146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NR / NR</w:t>
            </w:r>
          </w:p>
        </w:tc>
        <w:tc>
          <w:tcPr>
            <w:tcW w:w="2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9,498,000</w:t>
            </w:r>
          </w:p>
        </w:tc>
        <w:tc>
          <w:tcPr>
            <w:tcW w:w="1660" w:type="dxa"/>
            <w:vAlign w:val="bottom"/>
            <w:shd w:val="clear" w:color="auto" w:fill="CCEEFF"/>
          </w:tcPr>
          <w:p>
            <w:pPr>
              <w:jc w:val="right"/>
              <w:ind w:right="80"/>
              <w:spacing w:after="0" w:line="165" w:lineRule="exact"/>
              <w:rPr>
                <w:sz w:val="20"/>
                <w:szCs w:val="20"/>
                <w:color w:val="auto"/>
              </w:rPr>
            </w:pPr>
            <w:r>
              <w:rPr>
                <w:rFonts w:ascii="Times New Roman" w:cs="Times New Roman" w:eastAsia="Times New Roman" w:hAnsi="Times New Roman"/>
                <w:sz w:val="16"/>
                <w:szCs w:val="16"/>
                <w:color w:val="auto"/>
              </w:rPr>
              <w:t>0.94 %</w:t>
            </w:r>
          </w:p>
        </w:tc>
        <w:tc>
          <w:tcPr>
            <w:tcW w:w="9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221,000</w:t>
            </w:r>
          </w:p>
        </w:tc>
        <w:tc>
          <w:tcPr>
            <w:tcW w:w="1320" w:type="dxa"/>
            <w:vAlign w:val="bottom"/>
            <w:shd w:val="clear" w:color="auto" w:fill="CCEEFF"/>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0.71 %</w:t>
            </w:r>
          </w:p>
        </w:tc>
        <w:tc>
          <w:tcPr>
            <w:tcW w:w="8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62"/>
        </w:trPr>
        <w:tc>
          <w:tcPr>
            <w:tcW w:w="560" w:type="dxa"/>
            <w:vAlign w:val="bottom"/>
            <w:shd w:val="clear" w:color="auto" w:fill="CCEEFF"/>
          </w:tcPr>
          <w:p>
            <w:pPr>
              <w:spacing w:after="0"/>
              <w:rPr>
                <w:sz w:val="14"/>
                <w:szCs w:val="14"/>
                <w:color w:val="auto"/>
              </w:rPr>
            </w:pPr>
          </w:p>
        </w:tc>
        <w:tc>
          <w:tcPr>
            <w:tcW w:w="294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Loft, Talbots, White House Black Market,</w:t>
            </w:r>
          </w:p>
        </w:tc>
        <w:tc>
          <w:tcPr>
            <w:tcW w:w="1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Soma, Lane Bryant)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Fitness International LLC</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 / B2</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9,044,000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0.90 %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1.11 %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Amazon/Whole Foods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AA / A1</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8,891,000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0.88 %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0.91 %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62"/>
        </w:trPr>
        <w:tc>
          <w:tcPr>
            <w:tcW w:w="56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10</w:t>
            </w:r>
          </w:p>
        </w:tc>
        <w:tc>
          <w:tcPr>
            <w:tcW w:w="294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Albertsons Companies Inc. (Acme,</w:t>
            </w: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BB+ / Ba1</w:t>
            </w:r>
          </w:p>
        </w:tc>
        <w:tc>
          <w:tcPr>
            <w:tcW w:w="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8,858,000</w:t>
            </w:r>
          </w:p>
        </w:tc>
        <w:tc>
          <w:tcPr>
            <w:tcW w:w="1660" w:type="dxa"/>
            <w:vAlign w:val="bottom"/>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0.88 %</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546,000</w:t>
            </w:r>
          </w:p>
        </w:tc>
        <w:tc>
          <w:tcPr>
            <w:tcW w:w="1320" w:type="dxa"/>
            <w:vAlign w:val="bottom"/>
          </w:tcPr>
          <w:p>
            <w:pPr>
              <w:jc w:val="right"/>
              <w:ind w:right="100"/>
              <w:spacing w:after="0" w:line="162" w:lineRule="exact"/>
              <w:rPr>
                <w:sz w:val="20"/>
                <w:szCs w:val="20"/>
                <w:color w:val="auto"/>
              </w:rPr>
            </w:pPr>
            <w:r>
              <w:rPr>
                <w:rFonts w:ascii="Times New Roman" w:cs="Times New Roman" w:eastAsia="Times New Roman" w:hAnsi="Times New Roman"/>
                <w:sz w:val="16"/>
                <w:szCs w:val="16"/>
                <w:color w:val="auto"/>
              </w:rPr>
              <w:t>1.75 %</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Balducci's, Safeway)</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Ross Stores, Inc.</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 / A2</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8,662,000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0.86 %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1.25 %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Home Depot, Inc.</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 / A2</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7,960,000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0.79 %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1.53 %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Burlington Stores, Inc.</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 / Ba1</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0.78 %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1.12 %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Kroger Co., The</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BBB / Baa1</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7,586,000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0.75 %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1.90 %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Dick's Sporting Goods, Inc.</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BBB / Baa2</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7,510,000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0.75 %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1.28 %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PUMA North America, Inc.</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NR / NR</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7,449,000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0.74 %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0.50 %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AMC Entertainment Inc.</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 / B3</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0.74 %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0.91 %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Ulta Beauty, Inc.</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NR / NR</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7,207,000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0.72 %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0.65 %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PwC US Group LLP</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NR / NR</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7,023,000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0.70 %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0.45 %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Bob's Discount Furniture, LLC</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NR / NR</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6,958,000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0.69 %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0.89 %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J.Crew Group, LLC</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CCC+ / Caa1</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0.65 %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0.39 %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Choice Hotels International, Inc.</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BBB- / Baa3</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6,448,000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0.64 %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0.38 %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Bank of America, N.A.</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 / A1</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6,439,000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0.64 %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0.34 %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Michaels Stores, Inc.</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 / B2</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6,133,000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0.61 %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1.00 %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JPMorgan Chase Bank</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 / A1</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5,816,000</w:t>
            </w:r>
          </w:p>
        </w:tc>
        <w:tc>
          <w:tcPr>
            <w:tcW w:w="16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0.58 %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87,000</w:t>
            </w: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0.28 %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Totals - Top 25 Tenants</w:t>
            </w:r>
          </w:p>
        </w:tc>
        <w:tc>
          <w:tcPr>
            <w:tcW w:w="1460" w:type="dxa"/>
            <w:vAlign w:val="bottom"/>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240,084,000</w:t>
            </w:r>
          </w:p>
        </w:tc>
        <w:tc>
          <w:tcPr>
            <w:tcW w:w="1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23.84 %</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8,669,000</w:t>
            </w:r>
          </w:p>
        </w:tc>
        <w:tc>
          <w:tcPr>
            <w:tcW w:w="1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27.77 %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6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 (5):</w:t>
            </w:r>
          </w:p>
        </w:tc>
        <w:tc>
          <w:tcPr>
            <w:tcW w:w="146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1,007,015,000</w:t>
            </w:r>
          </w:p>
        </w:tc>
        <w:tc>
          <w:tcPr>
            <w:tcW w:w="1660" w:type="dxa"/>
            <w:vAlign w:val="bottom"/>
          </w:tcPr>
          <w:p>
            <w:pPr>
              <w:jc w:val="right"/>
              <w:ind w:right="1380"/>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31,213,000</w:t>
            </w:r>
          </w:p>
        </w:tc>
        <w:tc>
          <w:tcPr>
            <w:tcW w:w="1320" w:type="dxa"/>
            <w:vAlign w:val="bottom"/>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w w:val="96"/>
              </w:rPr>
              <w:t>(4)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620" w:hanging="614"/>
        <w:spacing w:after="0"/>
        <w:tabs>
          <w:tab w:leader="none" w:pos="6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Ratings are as of September 30, 2026. Subsequent rating changes have not been reflected.</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not yet placed in service.</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80"/>
          </w:cols>
          <w:pgMar w:left="360" w:top="1022" w:right="359"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2026 Guidance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Full Year 2026 Guidance</w:t>
            </w: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7000" w:type="dxa"/>
            <w:vAlign w:val="bottom"/>
            <w:tcBorders>
              <w:bottom w:val="single" w:sz="8" w:color="CCEEFF"/>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 Guidance (1)</w:t>
            </w:r>
          </w:p>
        </w:tc>
        <w:tc>
          <w:tcPr>
            <w:tcW w:w="210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 Prior Guidance</w:t>
            </w:r>
          </w:p>
        </w:tc>
      </w:tr>
      <w:tr>
        <w:trPr>
          <w:trHeight w:val="223"/>
        </w:trPr>
        <w:tc>
          <w:tcPr>
            <w:tcW w:w="70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 per diluted share</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$4.27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12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$4.30</w:t>
            </w:r>
          </w:p>
        </w:tc>
      </w:tr>
      <w:tr>
        <w:trPr>
          <w:trHeight w:val="229"/>
        </w:trPr>
        <w:tc>
          <w:tcPr>
            <w:tcW w:w="7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Nareit FFO per diluted share (2)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$7.58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$7.56</w:t>
            </w:r>
          </w:p>
        </w:tc>
      </w:tr>
      <w:tr>
        <w:trPr>
          <w:trHeight w:val="230"/>
        </w:trPr>
        <w:tc>
          <w:tcPr>
            <w:tcW w:w="70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FFO per diluted share (2)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$7.58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12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$7.56</w:t>
            </w:r>
          </w:p>
        </w:tc>
      </w:tr>
      <w:tr>
        <w:trPr>
          <w:trHeight w:val="229"/>
        </w:trPr>
        <w:tc>
          <w:tcPr>
            <w:tcW w:w="7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Comparable Property POI growth</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2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- 3.625%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- 3.75%</w:t>
            </w:r>
          </w:p>
        </w:tc>
      </w:tr>
      <w:tr>
        <w:trPr>
          <w:trHeight w:val="229"/>
        </w:trPr>
        <w:tc>
          <w:tcPr>
            <w:tcW w:w="70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Comparable Property POI growth</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20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- 4.625%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12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- 4.50%</w:t>
            </w:r>
          </w:p>
        </w:tc>
      </w:tr>
      <w:tr>
        <w:trPr>
          <w:trHeight w:val="230"/>
        </w:trPr>
        <w:tc>
          <w:tcPr>
            <w:tcW w:w="7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Lease termination fees</w:t>
            </w:r>
          </w:p>
        </w:tc>
        <w:tc>
          <w:tcPr>
            <w:tcW w:w="2160" w:type="dxa"/>
            <w:vAlign w:val="bottom"/>
            <w:tcBorders>
              <w:right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color w:val="auto"/>
                <w:w w:val="98"/>
              </w:rPr>
              <w:t>$10 - $11 million</w:t>
            </w:r>
          </w:p>
        </w:tc>
        <w:tc>
          <w:tcPr>
            <w:tcW w:w="21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$10 - $11 million</w:t>
            </w:r>
          </w:p>
        </w:tc>
      </w:tr>
      <w:tr>
        <w:trPr>
          <w:trHeight w:val="229"/>
        </w:trPr>
        <w:tc>
          <w:tcPr>
            <w:tcW w:w="70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Incremental redevelopment/expansion POI (3)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8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$15.5 million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$15.5 million</w:t>
            </w:r>
          </w:p>
        </w:tc>
      </w:tr>
      <w:tr>
        <w:trPr>
          <w:trHeight w:val="229"/>
        </w:trPr>
        <w:tc>
          <w:tcPr>
            <w:tcW w:w="7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$52.5 million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$51 million</w:t>
            </w:r>
          </w:p>
        </w:tc>
      </w:tr>
      <w:tr>
        <w:trPr>
          <w:trHeight w:val="230"/>
        </w:trPr>
        <w:tc>
          <w:tcPr>
            <w:tcW w:w="70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Development/redevelopment capital</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8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$200 million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$225 million</w:t>
            </w:r>
          </w:p>
        </w:tc>
      </w:tr>
      <w:tr>
        <w:trPr>
          <w:trHeight w:val="229"/>
        </w:trPr>
        <w:tc>
          <w:tcPr>
            <w:tcW w:w="7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$12 million</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$12 million</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7" w:lineRule="exact"/>
        <w:rPr>
          <w:sz w:val="20"/>
          <w:szCs w:val="20"/>
          <w:color w:val="auto"/>
        </w:rPr>
      </w:pPr>
    </w:p>
    <w:p>
      <w:pPr>
        <w:ind w:left="480" w:hanging="472"/>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the impact of acquisitions or dispositions other than those which have closed as of October 29, 2026. All amounts are estimates.</w:t>
      </w:r>
    </w:p>
    <w:p>
      <w:pPr>
        <w:spacing w:after="0" w:line="98" w:lineRule="exact"/>
        <w:rPr>
          <w:rFonts w:ascii="Times New Roman" w:cs="Times New Roman" w:eastAsia="Times New Roman" w:hAnsi="Times New Roman"/>
          <w:sz w:val="18"/>
          <w:szCs w:val="18"/>
          <w:color w:val="auto"/>
        </w:rPr>
      </w:pPr>
    </w:p>
    <w:p>
      <w:pPr>
        <w:ind w:left="500" w:right="120" w:hanging="492"/>
        <w:spacing w:after="0" w:line="271" w:lineRule="auto"/>
        <w:tabs>
          <w:tab w:leader="none" w:pos="4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a reconciliation of the range of estimated earnings per diluted share to estimated Nareit FFO and Core FFO per diluted share for the full year 2026:</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Full Year 2026 Guidance Range</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Low</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High</w:t>
            </w: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net income available for common shareholders per diluted share</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4.27</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gain on sale of real estate</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Estimated depreciation and amortization</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4.62</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Nareit FFO and Core FFO per diluted share</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7.58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See Glossary of Terms. Individual items may not add up to total due to rounding.</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82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right="240" w:hanging="492"/>
        <w:spacing w:after="0" w:line="261" w:lineRule="auto"/>
        <w:tabs>
          <w:tab w:leader="none" w:pos="4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additional POI to be recognized in the period indicated versus the prior year or prior year quarter period as applicable. Projects included in incremental redevelopment/expansion POI included Huntington Shopping Center, Santana West, Pike &amp; Rose - 915 Meeting Street, and Bala Cynwyd on City Avenue - Blayr for all periods presented. See page 16 for information on these projects and note 2 of page 16 for the definition of POI. See also page 17 in our Form 8-K filed on February 12, 2026 related to Huntington Shopping Center.</w:t>
      </w:r>
    </w:p>
    <w:p>
      <w:pPr>
        <w:spacing w:after="0" w:line="95"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Annual</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 Quarterly</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169"/>
        </w:trPr>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4"/>
                <w:szCs w:val="14"/>
                <w:color w:val="auto"/>
              </w:rPr>
            </w:pPr>
          </w:p>
        </w:tc>
        <w:tc>
          <w:tcPr>
            <w:tcW w:w="7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14"/>
                <w:szCs w:val="14"/>
                <w:color w:val="auto"/>
              </w:rPr>
            </w:pPr>
          </w:p>
        </w:tc>
        <w:tc>
          <w:tcPr>
            <w:tcW w:w="82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52"/>
              <w:spacing w:after="0" w:line="169" w:lineRule="exact"/>
              <w:rPr>
                <w:sz w:val="20"/>
                <w:szCs w:val="20"/>
                <w:color w:val="auto"/>
              </w:rPr>
            </w:pPr>
            <w:r>
              <w:rPr>
                <w:rFonts w:ascii="Times New Roman" w:cs="Times New Roman" w:eastAsia="Times New Roman" w:hAnsi="Times New Roman"/>
                <w:sz w:val="18"/>
                <w:szCs w:val="18"/>
                <w:b w:val="1"/>
                <w:bCs w:val="1"/>
                <w:color w:val="auto"/>
              </w:rPr>
              <w:t>1Q</w:t>
            </w:r>
          </w:p>
        </w:tc>
        <w:tc>
          <w:tcPr>
            <w:tcW w:w="160" w:type="dxa"/>
            <w:vAlign w:val="bottom"/>
          </w:tcPr>
          <w:p>
            <w:pPr>
              <w:spacing w:after="0"/>
              <w:rPr>
                <w:sz w:val="14"/>
                <w:szCs w:val="14"/>
                <w:color w:val="auto"/>
              </w:rPr>
            </w:pPr>
          </w:p>
        </w:tc>
        <w:tc>
          <w:tcPr>
            <w:tcW w:w="7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2Q</w:t>
            </w:r>
          </w:p>
        </w:tc>
        <w:tc>
          <w:tcPr>
            <w:tcW w:w="200" w:type="dxa"/>
            <w:vAlign w:val="bottom"/>
          </w:tcPr>
          <w:p>
            <w:pPr>
              <w:spacing w:after="0"/>
              <w:rPr>
                <w:sz w:val="14"/>
                <w:szCs w:val="14"/>
                <w:color w:val="auto"/>
              </w:rPr>
            </w:pPr>
          </w:p>
        </w:tc>
        <w:tc>
          <w:tcPr>
            <w:tcW w:w="7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3Q</w:t>
            </w:r>
          </w:p>
        </w:tc>
        <w:tc>
          <w:tcPr>
            <w:tcW w:w="140" w:type="dxa"/>
            <w:vAlign w:val="bottom"/>
          </w:tcPr>
          <w:p>
            <w:pPr>
              <w:spacing w:after="0"/>
              <w:rPr>
                <w:sz w:val="14"/>
                <w:szCs w:val="14"/>
                <w:color w:val="auto"/>
              </w:rPr>
            </w:pPr>
          </w:p>
        </w:tc>
        <w:tc>
          <w:tcPr>
            <w:tcW w:w="82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4Q</w:t>
            </w:r>
          </w:p>
        </w:tc>
      </w:tr>
      <w:tr>
        <w:trPr>
          <w:trHeight w:val="241"/>
        </w:trPr>
        <w:tc>
          <w:tcPr>
            <w:tcW w:w="3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Estimate</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Estimate</w:t>
            </w:r>
          </w:p>
        </w:tc>
      </w:tr>
      <w:tr>
        <w:trPr>
          <w:trHeight w:val="210"/>
        </w:trPr>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in millions)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redevelopment/expansion POI</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redevelopment/expansion POI</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846"/>
        </w:trPr>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9"/>
              </w:rPr>
              <w:t>27</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260"/>
          </w:cols>
          <w:pgMar w:left="320" w:top="927" w:right="31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3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EBITDA for Real Estate (EBITDAre): </w:t>
      </w:r>
      <w:r>
        <w:rPr>
          <w:rFonts w:ascii="Times New Roman" w:cs="Times New Roman" w:eastAsia="Times New Roman" w:hAnsi="Times New Roman"/>
          <w:sz w:val="16"/>
          <w:szCs w:val="16"/>
          <w:color w:val="auto"/>
        </w:rPr>
        <w:t>EBITDAre is a non-GAAP measure that the National Association of Real Estate Investment Trusts ("Nareit") defines as: 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Nareit-defined Funds From Operations (Nareit FFO): </w:t>
      </w:r>
      <w:r>
        <w:rPr>
          <w:rFonts w:ascii="Times New Roman" w:cs="Times New Roman" w:eastAsia="Times New Roman" w:hAnsi="Times New Roman"/>
          <w:sz w:val="16"/>
          <w:szCs w:val="16"/>
          <w:color w:val="auto"/>
        </w:rPr>
        <w:t>Nareit FFO is a supplemental measure of real estate companies' operating performance. Nareit defines FFO as</w:t>
      </w:r>
    </w:p>
    <w:p>
      <w:pPr>
        <w:spacing w:after="0" w:line="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follows: net income, computed 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Nareit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Nareit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Nareit FFO to similarly titled measures for other REITs may not necessarily be meaningful due to possible differences in the application of the Nareit definition used by such REITs.</w:t>
      </w:r>
    </w:p>
    <w:p>
      <w:pPr>
        <w:spacing w:after="0" w:line="14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Core Funds From Operations (Core FFO): </w:t>
      </w:r>
      <w:r>
        <w:rPr>
          <w:rFonts w:ascii="Times New Roman" w:cs="Times New Roman" w:eastAsia="Times New Roman" w:hAnsi="Times New Roman"/>
          <w:sz w:val="16"/>
          <w:szCs w:val="16"/>
          <w:color w:val="auto"/>
        </w:rPr>
        <w:t>Core FFO is a supplemental non-GAAP financial measure of performance that adjusts Nareit FFO to exclude the impact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certain items that management considers are not indicative of the Company’s ongoing operating and financial performance. These adjustments include, when applicable, (1) gains or losses on early extinguishment of debt, (2) new market tax credit transaction income, (3) executive transition costs, (4) collection of prior period rents which were contractually deferred or payments renegotiated related to the COVID-19 pandemic, and (5) other items as determined by management. Management believes Core FFO provides enhanced comparability across periods and additional insight into the Company’s underlying operating results, by excluding items that may reflect short-term fluctuations in net income and Nareit FFO. Core FFO is not intended to be a substitute for net income or Nareit FFO. Comparison of our presentation of Core FFO to similarly titled measures for other REITs may not be meaningful due to possible differences in the way Core FFO is defined or applied by other REITs.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Property Operating Income: </w:t>
      </w:r>
      <w:r>
        <w:rPr>
          <w:rFonts w:ascii="Times New Roman" w:cs="Times New Roman" w:eastAsia="Times New Roman" w:hAnsi="Times New Roman"/>
          <w:sz w:val="16"/>
          <w:szCs w:val="16"/>
          <w:color w:val="auto"/>
        </w:rPr>
        <w:t>Total revenue less rental expenses and real estate taxes.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Overall Portfolio: </w:t>
      </w:r>
      <w:r>
        <w:rPr>
          <w:rFonts w:ascii="Times New Roman" w:cs="Times New Roman" w:eastAsia="Times New Roman" w:hAnsi="Times New Roman"/>
          <w:sz w:val="16"/>
          <w:szCs w:val="16"/>
          <w:color w:val="auto"/>
        </w:rPr>
        <w:t>Includes all consolidated operating properties owned in reporting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Comparable Properties: </w:t>
      </w:r>
      <w:r>
        <w:rPr>
          <w:rFonts w:ascii="Times New Roman" w:cs="Times New Roman" w:eastAsia="Times New Roman" w:hAnsi="Times New Roman"/>
          <w:sz w:val="16"/>
          <w:szCs w:val="16"/>
          <w:color w:val="auto"/>
        </w:rPr>
        <w:t>Represents our consolidated property portfolio other than those properties that distort comparability between periods in two primary categories:</w:t>
      </w:r>
    </w:p>
    <w:p>
      <w:pPr>
        <w:spacing w:after="0" w:line="25" w:lineRule="exact"/>
        <w:rPr>
          <w:sz w:val="20"/>
          <w:szCs w:val="20"/>
          <w:color w:val="auto"/>
        </w:rPr>
      </w:pPr>
    </w:p>
    <w:p>
      <w:pPr>
        <w:ind w:right="160" w:firstLine="8"/>
        <w:spacing w:after="0" w:line="275" w:lineRule="auto"/>
        <w:tabs>
          <w:tab w:leader="none" w:pos="22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112"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Annualized Base Rent (ABR): </w:t>
      </w:r>
      <w:r>
        <w:rPr>
          <w:rFonts w:ascii="Times New Roman" w:cs="Times New Roman" w:eastAsia="Times New Roman" w:hAnsi="Times New Roman"/>
          <w:sz w:val="16"/>
          <w:szCs w:val="16"/>
          <w:color w:val="auto"/>
        </w:rPr>
        <w:t>Represents aggregate, annualized in-place contractual (defined as rents billed on a cash basis without taking the impact of rent abatements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into account) minimum rent for all occupied spaces as of the reporting period.</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Retail Leasing Summary - Lease Rollover Calculation: </w:t>
      </w:r>
      <w:r>
        <w:rPr>
          <w:rFonts w:ascii="Times New Roman" w:cs="Times New Roman" w:eastAsia="Times New Roman" w:hAnsi="Times New Roman"/>
          <w:sz w:val="16"/>
          <w:szCs w:val="16"/>
          <w:color w:val="auto"/>
        </w:rPr>
        <w:t>The rental increases associated with comparable spaces generally include all leases signed for retail space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arm's-length transactions reflecting market leverage between landlords and tenants during the period, excluding leases at properties sold during the quarter or under contract to be sold. The comparison between the rent for expiring leases and new leases is determined by including contractual rent on the expiring lease, including percentage rent considered to be part of base rent, and the comparable annual rent and in some instances, projections of percentage rent, to be paid on the new lease. In atypical circumstances, management may exercise judgment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141"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Tenant Improvements and Incentives: </w:t>
      </w:r>
      <w:r>
        <w:rPr>
          <w:rFonts w:ascii="Times New Roman" w:cs="Times New Roman" w:eastAsia="Times New Roman" w:hAnsi="Times New Roman"/>
          <w:sz w:val="16"/>
          <w:szCs w:val="16"/>
          <w:color w:val="auto"/>
        </w:rPr>
        <w:t>Represents the total dollars committed for the improvement (fit-out) of a space as it relates to a specific lease. Incentives include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paid to tenants as an inducement to sign a lease that do not represent building improvements.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General: </w:t>
      </w:r>
      <w:r>
        <w:rPr>
          <w:rFonts w:ascii="Times New Roman" w:cs="Times New Roman" w:eastAsia="Times New Roman" w:hAnsi="Times New Roman"/>
          <w:sz w:val="16"/>
          <w:szCs w:val="16"/>
          <w:color w:val="auto"/>
        </w:rPr>
        <w:t>Property related statistics are for the consolidated property portfolio except where noted.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3"/>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lvl w:ilvl="1">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431BD7B7"/>
    <w:multiLevelType w:val="hybridMultilevel"/>
    <w:lvl w:ilvl="0">
      <w:lvlJc w:val="left"/>
      <w:lvlText w:val="•"/>
      <w:numFmt w:val="bullet"/>
      <w:start w:val="1"/>
    </w:lvl>
    <w:lvl w:ilvl="1">
      <w:lvlJc w:val="left"/>
      <w:lvlText w:val="◦"/>
      <w:numFmt w:val="bullet"/>
      <w:start w:val="1"/>
    </w:lvl>
  </w:abstractNum>
  <w:abstractNum w:abstractNumId="7">
    <w:nsid w:val="3F2DBA31"/>
    <w:multiLevelType w:val="hybridMultilevel"/>
    <w:lvl w:ilvl="0">
      <w:lvlJc w:val="left"/>
      <w:lvlText w:val="•"/>
      <w:numFmt w:val="bullet"/>
      <w:start w:val="1"/>
    </w:lvl>
    <w:lvl w:ilvl="1">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3"/>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upperLetter"/>
      <w:start w:val="19"/>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3"/>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2026-10-30T06:33:04Z</dcterms:created>
  <dcterms:modified xsi:type="dcterms:W3CDTF">2026-10-30T06:33:04Z</dcterms:modified>
</cp:coreProperties>
</file>