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As filed with the Securities and Exchange Commission on January 3, 2022</w:t>
      </w:r>
    </w:p>
    <w:p>
      <w:pPr>
        <w:spacing w:after="0" w:line="27" w:lineRule="exact"/>
        <w:rPr>
          <w:sz w:val="24"/>
          <w:szCs w:val="24"/>
          <w:color w:val="auto"/>
        </w:rPr>
      </w:pPr>
    </w:p>
    <w:p>
      <w:pPr>
        <w:ind w:left="89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5"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REGISTRATION STATEMENT</w:t>
      </w:r>
    </w:p>
    <w:p>
      <w:pPr>
        <w:jc w:val="center"/>
        <w:ind w:right="-17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96"/>
              </w:rPr>
              <w:t>Maryland</w:t>
            </w:r>
          </w:p>
        </w:tc>
        <w:tc>
          <w:tcPr>
            <w:tcW w:w="3160" w:type="dxa"/>
            <w:vAlign w:val="bottom"/>
          </w:tcPr>
          <w:p>
            <w:pPr>
              <w:jc w:val="center"/>
              <w:ind w:left="1962"/>
              <w:spacing w:after="0"/>
              <w:rPr>
                <w:sz w:val="20"/>
                <w:szCs w:val="20"/>
                <w:color w:val="auto"/>
              </w:rPr>
            </w:pPr>
            <w:r>
              <w:rPr>
                <w:rFonts w:ascii="Arial" w:cs="Arial" w:eastAsia="Arial" w:hAnsi="Arial"/>
                <w:sz w:val="18"/>
                <w:szCs w:val="18"/>
                <w:b w:val="1"/>
                <w:bCs w:val="1"/>
                <w:color w:val="auto"/>
                <w:w w:val="91"/>
              </w:rPr>
              <w:t>87-3916363</w:t>
            </w:r>
          </w:p>
        </w:tc>
      </w:tr>
      <w:tr>
        <w:trPr>
          <w:trHeight w:val="149"/>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909 Rose Ave.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Dawn M. Becker, Executive Vice President, General Counsel and Secretary</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909 Rose Ave.</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Justin J. Bintrim, Esq.</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20036</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Approximate date of commencement of proposed sale of the securities to the public:</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From time to time following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left="120" w:right="34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6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left="120" w:right="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left="120" w:right="26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left="12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80"/>
          </w:cols>
          <w:pgMar w:left="320" w:top="230" w:right="499" w:bottom="0" w:gutter="0" w:footer="0" w:header="0"/>
        </w:sectPr>
      </w:pPr>
    </w:p>
    <w:bookmarkStart w:id="1" w:name="page2"/>
    <w:bookmarkEnd w:id="1"/>
    <w:p>
      <w:pPr>
        <w:ind w:left="4" w:right="24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4"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2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502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20" w:type="dxa"/>
            <w:vAlign w:val="bottom"/>
          </w:tcPr>
          <w:p>
            <w:pPr>
              <w:ind w:left="12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50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82" w:lineRule="exact"/>
        <w:rPr>
          <w:sz w:val="20"/>
          <w:szCs w:val="20"/>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Per Unit(1)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Price(1)</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Fee(2)</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Shares of Beneficial Interest, $0.01 par value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799,623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$134.99</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$107,941,109</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$10,006</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200" w:hanging="424"/>
        <w:spacing w:after="0" w:line="258"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based upon the average of the high and low prices of the common shares as reported on the New York Stock Exchange on December 28, 2021.</w:t>
      </w:r>
    </w:p>
    <w:p>
      <w:pPr>
        <w:ind w:left="424" w:right="160" w:hanging="424"/>
        <w:spacing w:after="0" w:line="252"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May 7, 2021, Federal Realty OP LP (formerly known as Federal Realty Investment Trust, the “Predecessor”) filed a registration statement on Form S-3 (Registration No. 333-255871) (the “Prior Registration Statement”) relating to the registration of 834,091 common shares. On January 3, 2022, the Prior Registration Statement was terminated. The common shares being registered hereunder consist entirely of unsold common shares previously registered under the Prior Registration Statement. Accordingly, pursuant to Rule 457(p) under the Securities Act, the Registrant, which is the successor and parent company of the Predecessor, is offsetting the registration fee of $10,006 due hereunder by the fee previously paid with respect to such unsold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25"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171450</wp:posOffset>
            </wp:positionV>
            <wp:extent cx="1911350"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1135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799,623 Common Shares of Beneficial Interest</w:t>
      </w:r>
    </w:p>
    <w:p>
      <w:pPr>
        <w:spacing w:after="0" w:line="43"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This prospectus relates to the offer and sale from time to time by the selling shareholders named in this prospectus or their pledgees of up to 799,623 of our common shares of beneficial interest, par value $0.01 per share, which we refer to as our common shares, comprised of (i) common shares issuable upon conversion of our 5.417% Series 1 Cumulative Convertible Preferred Shares of Beneficial Interest, par value $0.01 per share and liquidation preference $25.00 per share, which we refer to as our preferred shares, if and to the extent that selling shareholders tender preferred shares for conversion and offer or sell any of the common shares issued in respect thereof and (ii) common shares issuable upon redemption of units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(A) NVI-Avenue, LLC, a Maryland limited liability company, (B) Route 35 Shrewsbury Limited Partnership, a New Jersey limited partnership,</w:t>
      </w:r>
    </w:p>
    <w:p>
      <w:pPr>
        <w:spacing w:after="0" w:line="21" w:lineRule="exact"/>
        <w:rPr>
          <w:sz w:val="20"/>
          <w:szCs w:val="20"/>
          <w:color w:val="auto"/>
        </w:rPr>
      </w:pPr>
    </w:p>
    <w:p>
      <w:pPr>
        <w:ind w:left="120" w:right="80" w:hanging="4"/>
        <w:spacing w:after="0" w:line="295" w:lineRule="auto"/>
        <w:tabs>
          <w:tab w:leader="none" w:pos="405" w:val="left"/>
        </w:tabs>
        <w:numPr>
          <w:ilvl w:val="0"/>
          <w:numId w:val="2"/>
        </w:numPr>
        <w:rPr>
          <w:rFonts w:ascii="Arial" w:cs="Arial" w:eastAsia="Arial" w:hAnsi="Arial"/>
          <w:sz w:val="16"/>
          <w:szCs w:val="16"/>
          <w:color w:val="auto"/>
        </w:rPr>
      </w:pPr>
      <w:r>
        <w:rPr>
          <w:rFonts w:ascii="Arial" w:cs="Arial" w:eastAsia="Arial" w:hAnsi="Arial"/>
          <w:sz w:val="16"/>
          <w:szCs w:val="16"/>
          <w:color w:val="auto"/>
        </w:rPr>
        <w:t>Shrewsbury Commons L.P., a Washington limited partnership, (D) Sea Girt Limited Partnership, a Washington limited partnership, (E) 35 West, LLC, a Washington limited liability company, and (F) Federal Realty Partners L.P., a Delaware limited partnership, if and to the extent that redeeming unitholders tender such units for redemption, receive common shares for such redemption and offer or sell any of the common shares issued in respect thereof. We refer to the entities named in items (A) through (F) above as the downREIT entities and the units therein as downREIT units.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not receive any proceeds from the sale of common shares by the selling shareholders or their pledgees.</w:t>
      </w:r>
    </w:p>
    <w:p>
      <w:pPr>
        <w:spacing w:after="0" w:line="225"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The holders of preferred shares may convert their outstanding preferred shares into a number of common shares determined by dividing (i) the product obtained by multiplying (A) the number of preferred shares being converted by (B) the liquidation price of $25.00 per preferred share; by (ii) the optional conversion price (which conversion price is calculated as provided for in the Company’s declaration of trust as in effect from time to time, which we refer to as the Declaration of Trust) as in effect immediately prior to the close of business on the date of conversion. Conversions are subject to (a) limitations on real estate investment trust share ownership, (b) a minimum conversion amount, (c) conversion frequency limits</w:t>
      </w:r>
    </w:p>
    <w:p>
      <w:pPr>
        <w:spacing w:after="0" w:line="2" w:lineRule="exact"/>
        <w:rPr>
          <w:sz w:val="20"/>
          <w:szCs w:val="20"/>
          <w:color w:val="auto"/>
        </w:rPr>
      </w:pPr>
    </w:p>
    <w:p>
      <w:pPr>
        <w:ind w:left="120" w:right="80"/>
        <w:spacing w:after="0" w:line="281" w:lineRule="auto"/>
        <w:rPr>
          <w:sz w:val="20"/>
          <w:szCs w:val="20"/>
          <w:color w:val="auto"/>
        </w:rPr>
      </w:pPr>
      <w:r>
        <w:rPr>
          <w:rFonts w:ascii="Arial" w:cs="Arial" w:eastAsia="Arial" w:hAnsi="Arial"/>
          <w:sz w:val="16"/>
          <w:szCs w:val="16"/>
          <w:color w:val="auto"/>
        </w:rPr>
        <w:t>and (d) black-out periods after public offerings of the registrant. At any time at which the trailing 200 consecutive trading day average closing price of the common shares as reported on the New York Stock Exchange is greater than the mandatory conversion trigger price (which price is calculated as provided for in the Declaration of Trust), the registrant may convert all or any outstanding preferred shares into a number of fully paid and nonassessable common shares determined by dividing (i) the product obtained by multiplying (A) the number of preferred shares being converted by</w:t>
      </w:r>
    </w:p>
    <w:p>
      <w:pPr>
        <w:spacing w:after="0" w:line="2" w:lineRule="exact"/>
        <w:rPr>
          <w:sz w:val="20"/>
          <w:szCs w:val="20"/>
          <w:color w:val="auto"/>
        </w:rPr>
      </w:pPr>
    </w:p>
    <w:p>
      <w:pPr>
        <w:ind w:left="120" w:right="40" w:hanging="4"/>
        <w:spacing w:after="0" w:line="255" w:lineRule="auto"/>
        <w:tabs>
          <w:tab w:leader="none" w:pos="40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liquidation price of $25.00 per preferred share; by (ii) the optional conversion price (which conversion price is calculated as provided for in the Declaration of Trust) as in effect immediately prior to the close of business on the conversion date set by the registrant in accordance with the Declaration of Trust.</w:t>
      </w:r>
    </w:p>
    <w:p>
      <w:pPr>
        <w:spacing w:after="0" w:line="190"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Each holder of downREIT units has the right to require the applicable downREIT entity to redeem his, her or its downREIT units for cash. At the registrant’s election, the downREIT units tendered for redemption may be redeemed for common shares instead of cash.</w:t>
      </w:r>
    </w:p>
    <w:p>
      <w:pPr>
        <w:spacing w:after="0" w:line="146"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In some cases, we are registering the common shares being offered under this prospectus pursuant to contractual obligations under registration rights agreements in order to permit the selling shareholders or their permissible transferees to offer or sell such shares without restriction, in the open market or otherwise. However, the registration of such common shares does not necessarily mean that any of the preferred shares will be tendered for conversion, that any of the downREIT units will be tendered for redemption, that any common shares will be issued upon redemption of downREIT units, or that the selling shareholders or their permissible transferees will offer or sell any common shares.</w:t>
      </w:r>
    </w:p>
    <w:p>
      <w:pPr>
        <w:spacing w:after="0" w:line="176"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We will pay all expenses incident to the registration of the common shares offered herein (other than brokerage fees and sales commissions, fees and disbursements of the selling shareholders’ counsel, accountants and other advisors and transfer taxes, if any, relating to the sale or disposition of the offered shares).</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common shares of beneficial interest and depositary shares representing interests in our Series C preferred shares of beneficial interest are listed on the New York Stock Exchange under the symbols “FRT” and “FRTPRC,” respectively. On December 30, 2021, the last reported sales price of our common shares, as reported on the New York Stock Exchange, was $137.12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320" w:top="459" w:right="55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120" w:right="160"/>
        <w:spacing w:after="0" w:line="300" w:lineRule="auto"/>
        <w:rPr>
          <w:rFonts w:ascii="Arial" w:cs="Arial" w:eastAsia="Arial" w:hAnsi="Arial"/>
          <w:sz w:val="19"/>
          <w:szCs w:val="19"/>
          <w:b w:val="1"/>
          <w:bCs w:val="1"/>
          <w:color w:val="auto"/>
        </w:rPr>
      </w:pPr>
      <w:r>
        <w:rPr>
          <w:rFonts w:ascii="Arial" w:cs="Arial" w:eastAsia="Arial" w:hAnsi="Arial"/>
          <w:sz w:val="19"/>
          <w:szCs w:val="19"/>
          <w:b w:val="1"/>
          <w:bCs w:val="1"/>
          <w:color w:val="auto"/>
        </w:rPr>
        <w:t>Please read this prospectus and any supplement hereto carefully before you invest. Investing in our common shares involves risks. See “</w:t>
      </w:r>
      <w:hyperlink w:anchor="page6">
        <w:r>
          <w:rPr>
            <w:rFonts w:ascii="Arial" w:cs="Arial" w:eastAsia="Arial" w:hAnsi="Arial"/>
            <w:sz w:val="19"/>
            <w:szCs w:val="19"/>
            <w:b w:val="1"/>
            <w:bCs w:val="1"/>
            <w:u w:val="single" w:color="auto"/>
            <w:color w:val="0000EE"/>
          </w:rPr>
          <w:t>Risk Factors</w:t>
        </w:r>
        <w:r>
          <w:rPr>
            <w:rFonts w:ascii="Arial" w:cs="Arial" w:eastAsia="Arial" w:hAnsi="Arial"/>
            <w:sz w:val="19"/>
            <w:szCs w:val="19"/>
            <w:b w:val="1"/>
            <w:bCs w:val="1"/>
            <w:u w:val="single" w:color="auto"/>
            <w:color w:val="auto"/>
          </w:rPr>
          <w:t xml:space="preserve"> </w:t>
        </w:r>
      </w:hyperlink>
      <w:r>
        <w:rPr>
          <w:rFonts w:ascii="Arial" w:cs="Arial" w:eastAsia="Arial" w:hAnsi="Arial"/>
          <w:sz w:val="19"/>
          <w:szCs w:val="19"/>
          <w:b w:val="1"/>
          <w:bCs w:val="1"/>
          <w:color w:val="auto"/>
        </w:rPr>
        <w:t>” beginning on page 8 of our Annual Report on Form 10-K for the fiscal year ended December 31, 2020, and on page 2 of this prospectus, for risks relating to an investment in our common shares.</w:t>
      </w:r>
    </w:p>
    <w:p>
      <w:pPr>
        <w:sectPr>
          <w:pgSz w:w="11900" w:h="16838" w:orient="portrait"/>
          <w:cols w:equalWidth="0" w:num="1">
            <w:col w:w="11020"/>
          </w:cols>
          <w:pgMar w:left="320" w:top="459" w:right="559" w:bottom="1440" w:gutter="0" w:footer="0" w:header="0"/>
          <w:type w:val="continuous"/>
        </w:sectPr>
      </w:pPr>
    </w:p>
    <w:bookmarkStart w:id="3" w:name="page4"/>
    <w:bookmarkEnd w:id="3"/>
    <w:p>
      <w:pPr>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complete or accurate.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186055</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The date of this prospectus is January 3, 2022</w:t>
      </w:r>
    </w:p>
    <w:p>
      <w:pPr>
        <w:sectPr>
          <w:pgSz w:w="11900" w:h="16838" w:orient="portrait"/>
          <w:cols w:equalWidth="0" w:num="1">
            <w:col w:w="10420"/>
          </w:cols>
          <w:pgMar w:left="440" w:top="121" w:right="10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100" w:type="dxa"/>
            <w:vAlign w:val="bottom"/>
            <w:gridSpan w:val="3"/>
          </w:tcPr>
          <w:p>
            <w:pPr>
              <w:ind w:left="6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580" w:type="dxa"/>
            <w:vAlign w:val="bottom"/>
            <w:gridSpan w:val="7"/>
            <w:vMerge w:val="restart"/>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About this Prospectus</w:t>
              </w:r>
            </w:hyperlink>
          </w:p>
        </w:tc>
        <w:tc>
          <w:tcPr>
            <w:tcW w:w="2300" w:type="dxa"/>
            <w:vAlign w:val="bottom"/>
            <w:gridSpan w:val="4"/>
            <w:vMerge w:val="restart"/>
          </w:tcPr>
          <w:p>
            <w:pPr>
              <w:spacing w:after="0"/>
              <w:rPr>
                <w:sz w:val="24"/>
                <w:szCs w:val="24"/>
                <w:color w:val="auto"/>
              </w:rPr>
            </w:pPr>
          </w:p>
        </w:tc>
        <w:tc>
          <w:tcPr>
            <w:tcW w:w="678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0"/>
        </w:trPr>
        <w:tc>
          <w:tcPr>
            <w:tcW w:w="1580" w:type="dxa"/>
            <w:vAlign w:val="bottom"/>
            <w:tcBorders>
              <w:bottom w:val="single" w:sz="8" w:color="0000EE"/>
            </w:tcBorders>
            <w:gridSpan w:val="7"/>
            <w:vMerge w:val="continue"/>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678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Forward-Looking Information</w:t>
              </w:r>
            </w:hyperlink>
          </w:p>
        </w:tc>
        <w:tc>
          <w:tcPr>
            <w:tcW w:w="1700" w:type="dxa"/>
            <w:vAlign w:val="bottom"/>
            <w:gridSpan w:val="3"/>
          </w:tcPr>
          <w:p>
            <w:pPr>
              <w:spacing w:after="0"/>
              <w:rPr>
                <w:sz w:val="18"/>
                <w:szCs w:val="18"/>
                <w:color w:val="auto"/>
              </w:rPr>
            </w:pPr>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880" w:type="dxa"/>
            <w:vAlign w:val="bottom"/>
            <w:gridSpan w:val="1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71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gridSpan w:val="1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The Company</w:t>
              </w:r>
            </w:hyperlink>
          </w:p>
        </w:tc>
        <w:tc>
          <w:tcPr>
            <w:tcW w:w="71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gridSpan w:val="1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71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Selling Shareholders</w:t>
              </w:r>
            </w:hyperlink>
          </w:p>
        </w:tc>
        <w:tc>
          <w:tcPr>
            <w:tcW w:w="2380" w:type="dxa"/>
            <w:vAlign w:val="bottom"/>
            <w:gridSpan w:val="5"/>
          </w:tcPr>
          <w:p>
            <w:pPr>
              <w:spacing w:after="0"/>
              <w:rPr>
                <w:sz w:val="17"/>
                <w:szCs w:val="17"/>
                <w:color w:val="auto"/>
              </w:rPr>
            </w:pPr>
          </w:p>
        </w:tc>
        <w:tc>
          <w:tcPr>
            <w:tcW w:w="71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Material Federal Income Tax Considerations</w:t>
              </w:r>
            </w:hyperlink>
          </w:p>
        </w:tc>
        <w:tc>
          <w:tcPr>
            <w:tcW w:w="660" w:type="dxa"/>
            <w:vAlign w:val="bottom"/>
          </w:tcPr>
          <w:p>
            <w:pPr>
              <w:spacing w:after="0"/>
              <w:rPr>
                <w:sz w:val="17"/>
                <w:szCs w:val="17"/>
                <w:color w:val="auto"/>
              </w:rPr>
            </w:pPr>
          </w:p>
        </w:tc>
        <w:tc>
          <w:tcPr>
            <w:tcW w:w="71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3880" w:type="dxa"/>
            <w:vAlign w:val="bottom"/>
            <w:gridSpan w:val="1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Plan of Distribution</w:t>
              </w:r>
            </w:hyperlink>
          </w:p>
        </w:tc>
        <w:tc>
          <w:tcPr>
            <w:tcW w:w="71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Experts</w:t>
              </w:r>
            </w:hyperlink>
          </w:p>
        </w:tc>
        <w:tc>
          <w:tcPr>
            <w:tcW w:w="2460" w:type="dxa"/>
            <w:vAlign w:val="bottom"/>
            <w:gridSpan w:val="6"/>
          </w:tcPr>
          <w:p>
            <w:pPr>
              <w:spacing w:after="0"/>
              <w:rPr>
                <w:sz w:val="17"/>
                <w:szCs w:val="17"/>
                <w:color w:val="auto"/>
              </w:rPr>
            </w:pPr>
          </w:p>
        </w:tc>
        <w:tc>
          <w:tcPr>
            <w:tcW w:w="71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gridSpan w:val="1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Legal Matters</w:t>
              </w:r>
            </w:hyperlink>
          </w:p>
        </w:tc>
        <w:tc>
          <w:tcPr>
            <w:tcW w:w="71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gridSpan w:val="1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Where You Can Find More Information</w:t>
              </w:r>
            </w:hyperlink>
          </w:p>
        </w:tc>
        <w:tc>
          <w:tcPr>
            <w:tcW w:w="71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process, selling shareholders or their pledgees may sell the securities described in this prospectus either separately or in units, in one or more offerings. Our prospectus provides you with a general description of these securities.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95"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You should read this prospectus together with any additional information you may need to make your investment decision. You should also read and carefully consider the information in the documents we have referred you to in “Where to Find Additional Information” below. Information incorporated by reference after the date of this prospectus may add, update or change information contained in this prospectus. Any information in such subsequent filings that is inconsistent with this prospectus will supersede the information in this prospectus or any earlier prospectus supplement.</w:t>
      </w:r>
    </w:p>
    <w:p>
      <w:pPr>
        <w:spacing w:after="0" w:line="157"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References to “we,” “us” or “our” refer to Federal Realty Investment Trust and its directly or indirectly owned subsidiaries, unless the context otherwise requires. References to the “Company” refer to Federal Realty Investment Trust. The term “you” refers to a prospective investor.</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This prospectus and the documents incorporated by reference into this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and incorporated by reference into this prospectus describe forward-looking information. The risk factors, including those in our Annual Report on Form 10-K for the year ended December 31, 2020, filed with the SEC on February 11, 2021,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71" w:lineRule="exact"/>
        <w:rPr>
          <w:sz w:val="20"/>
          <w:szCs w:val="20"/>
          <w:color w:val="auto"/>
        </w:rPr>
      </w:pPr>
    </w:p>
    <w:p>
      <w:pPr>
        <w:ind w:left="1080" w:right="4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89"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89" w:lineRule="exact"/>
        <w:rPr>
          <w:rFonts w:ascii="Arial" w:cs="Arial" w:eastAsia="Arial" w:hAnsi="Arial"/>
          <w:sz w:val="18"/>
          <w:szCs w:val="18"/>
          <w:color w:val="auto"/>
        </w:rPr>
      </w:pPr>
    </w:p>
    <w:p>
      <w:pPr>
        <w:ind w:left="1080" w:hanging="424"/>
        <w:spacing w:after="0" w:line="275"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130" w:lineRule="exact"/>
        <w:rPr>
          <w:rFonts w:ascii="Arial" w:cs="Arial" w:eastAsia="Arial" w:hAnsi="Arial"/>
          <w:sz w:val="18"/>
          <w:szCs w:val="18"/>
          <w:color w:val="auto"/>
        </w:rPr>
      </w:pPr>
    </w:p>
    <w:p>
      <w:pPr>
        <w:ind w:left="1080" w:right="140" w:hanging="424"/>
        <w:spacing w:after="0" w:line="34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29" w:lineRule="exact"/>
        <w:rPr>
          <w:rFonts w:ascii="Arial" w:cs="Arial" w:eastAsia="Arial" w:hAnsi="Arial"/>
          <w:sz w:val="16"/>
          <w:szCs w:val="16"/>
          <w:color w:val="auto"/>
        </w:rPr>
      </w:pPr>
    </w:p>
    <w:p>
      <w:pPr>
        <w:ind w:left="1080" w:right="280" w:hanging="424"/>
        <w:spacing w:after="0" w:line="31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related to the Company’s status as a real estate investment trust, commonly referred to as a REIT, for federal income tax purposes, such as the existence of complex tax regulations relating to the Company’s status as a REIT, the effect of future changes in REIT requirements as a result of new legislation, and the adverse consequences of the failure to qualify as a REIT; and</w:t>
      </w:r>
    </w:p>
    <w:p>
      <w:pPr>
        <w:spacing w:after="0" w:line="54" w:lineRule="exact"/>
        <w:rPr>
          <w:rFonts w:ascii="Arial" w:cs="Arial" w:eastAsia="Arial" w:hAnsi="Arial"/>
          <w:sz w:val="16"/>
          <w:szCs w:val="16"/>
          <w:color w:val="auto"/>
        </w:rPr>
      </w:pPr>
    </w:p>
    <w:p>
      <w:pPr>
        <w:ind w:left="1080" w:right="80" w:hanging="424"/>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into this prospectus. We also make no promise to update any of the forward-looking statements, or to publicly release the results if we revise any of them.</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Investing in our securities involves risks. Before making an investment decision, please consider the risks described under the caption “Risk Factors” in our Annual Report on Form 10-K for the fiscal year ended December 31, 2020,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an equity real estate investment trust (“REIT”) specializing in the ownership, management, and redevelopment of retail</w:t>
      </w:r>
    </w:p>
    <w:p>
      <w:pPr>
        <w:spacing w:after="0" w:line="23"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and mixed-use properties. Our properties are located primarily in communities where we believe retail demand exceeds supply, in strategically selected metropolitan markets in the Mid-Atlantic and Northeast regions of the United States, California, and South Florida.</w:t>
      </w:r>
    </w:p>
    <w:p>
      <w:pPr>
        <w:spacing w:after="0" w:line="18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Prior to January 1, 2022, the Company’s business was conducted through a predecessor entity also known as Federal Realty Investment Trust (the “Predecessor”). The Predecessor was founded in 1962 as a REIT under the laws of the District of Columbia and re-formed as a real estate investment trust under the laws of the State of Maryland in 1999. On December 2, 2021, the Predecessor’s Board of Trustees approved the reorganization of the Predecessor’s business into an umbrella partnership real estate investment trust, or “UPREIT.” To effect the UPREIT reorganization, the Predecessor formed a wholly-owned subsidiary real estate investment trust (“Holdco”), and Holdco formed its own wholly-owned subsidiary real estate investment trust (“Merger Sub”). Holdco also formed a wholly-owned subsidiary limited liability company known as Federal Realty GP LLC (the “General Partner”). Effective as of January 1, 2022, Merger Sub merged with and into the Predecessor, with the Predecessor being the surviving entity and becoming a wholly-owned subsidiary of Holdco (the “Merger”). At the effective time of the Merger, each outstanding capital share of the Predecessor, including each preferred share, was converted into one equivalent capital share of Holdco. Also effective as of January 1, 2022, Holdco changed its name to Federal Realty Investment Trust, the entity we refer to herein as the Company. The Company had the same consolidated assets and liabilities immediately following the Merger as the Predecessor immediately before the Merger. In connection with the Merger, the Company assumed all of the Predecessor’s rights and obligations with respect to the downREIT units, and, from and after the effective time of the Merger, the conversion of the outstanding preferred shares into common shares will be governed by the Company’s Declaration of Trust.</w:t>
      </w:r>
    </w:p>
    <w:p>
      <w:pPr>
        <w:spacing w:after="0" w:line="17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Predecessor expects to convert into a Delaware limited partnership known as Federal Realty OP LP effective as of January 4, 2022 (the “Partnership Conversion”). In this registration statement, we refer to the Predecessor after the effectiveness of the Partnership Conversion as the Partnership. The General Partner will be the sole general partner of the Partnership. The Company owns 100% of the limited liability company interests of, is the sole member of and exercises exclusive control over the General Partner. Following the UPREIT reorganization described above, including the Partnership Conversion, the Company expects to conduct its business through the Partnership and does not expect to have substantial assets or liabilities other than through its investment in the Partnership.</w:t>
      </w:r>
    </w:p>
    <w:p>
      <w:pPr>
        <w:spacing w:after="0" w:line="19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As of September 30, 2021, we owned or had a majority interest in community and neighborhood shopping centers and mixed-use properties which are operated as 106 predominantly retail real estate projects comprising approximately 25.4 million square feet. In total, the real estate projects</w:t>
      </w:r>
    </w:p>
    <w:p>
      <w:pPr>
        <w:ind w:left="120"/>
        <w:spacing w:after="0" w:line="260" w:lineRule="auto"/>
        <w:rPr>
          <w:sz w:val="20"/>
          <w:szCs w:val="20"/>
          <w:color w:val="auto"/>
        </w:rPr>
      </w:pPr>
      <w:r>
        <w:rPr>
          <w:rFonts w:ascii="Arial" w:cs="Arial" w:eastAsia="Arial" w:hAnsi="Arial"/>
          <w:sz w:val="18"/>
          <w:szCs w:val="18"/>
          <w:color w:val="auto"/>
        </w:rPr>
        <w:t>were 92.8% leased and 90.2% occupied at September 30, 2021. We have paid quarterly dividends to our shareholders continuously since our founding in 1962 and have increased our dividends per common share for 54 consecutive years.</w:t>
      </w:r>
    </w:p>
    <w:p>
      <w:pPr>
        <w:spacing w:after="0" w:line="18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Company qualifies for taxation as a REIT pursuant to the Internal Revenue Code of 1986, as amended, or the “Code,” and we intend to operate in a manner that will allow us to maintain such qualification.</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 xml:space="preserve">Our principal executive offices are located at 909 Rose Ave., Suite 200, North Bethesda, MD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120" w:right="200"/>
        <w:spacing w:after="0" w:line="259" w:lineRule="auto"/>
        <w:rPr>
          <w:sz w:val="20"/>
          <w:szCs w:val="20"/>
          <w:color w:val="auto"/>
        </w:rPr>
      </w:pPr>
      <w:r>
        <w:rPr>
          <w:rFonts w:ascii="Arial" w:cs="Arial" w:eastAsia="Arial" w:hAnsi="Arial"/>
          <w:sz w:val="18"/>
          <w:szCs w:val="18"/>
          <w:color w:val="auto"/>
        </w:rPr>
        <w:t>We will not receive any proceeds from the sale of the common shares by the selling shareholders or their pledgees. We will pay all costs and expenses incident to the registration of the offered shares, other than brokerage fees and sales commissions, fees and disbursements of the selling shareholders’ counsel, accountants and other advisors, and share transfer and other taxes attributable the sale of the offered shares, which will be paid by the selling shareholders. See “Selling Shareholders.”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selling shareholders hold an aggregate of 399,896 preferred shares and 674,838 downREIT units, which they acquired in exchange for their interests in certain entities owning real properties. We may issue the common shares to the selling shareholders or their pledgees in exchange for (i) the preferred shares if and to the extent that the selling shareholders or their pledgees tender their preferred shares for conversion or (ii) the downREIT units if and to the extent that the selling shareholders or their pledgees tender their downREIT units for redemption and the registrant elects to issue common shares in exchange for such downREIT units. The common shares offered by this prospectus may be offered from time to time by the selling shareholders named below and by any additional selling shareholders who may be named in a supplement to this prospectus. The following table sets forth the name of each selling shareholder and the number of our common shares that may be offered by each selling shareholder. The selling shareholders may pledge common shares, preferred shares or downREIT units to secure financing or for other purposes. As a result, pledgees or other permitted transferees of the selling shareholders may use this registration statement to sell common shares issued to them in connection with such pledges in the event the selling shareholder defaults.</w:t>
      </w:r>
    </w:p>
    <w:p>
      <w:pPr>
        <w:spacing w:after="0" w:line="185"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None of the selling shareholders has had any position, office or other material relationship with us, or any of our predecessors or affiliates, during the past three years. Since the selling shareholders may sell all, some or none of the common shares covered by this prospectus, no estimate can be made of the number of common shares that will be sold by the selling shareholders pursuant to this prospectus or that will be owned by the selling shareholders upon completion of the offering. Assuming the conversion (upon the election of the preferred shareholders) of all outstanding preferred shares and the redemption (upon the election of the holders of downREIT units to tender their downREIT units for redemption and the election of the registrant to issue common shares in exchange for all such tendered downREIT units) of all outstanding downREIT units owned by all of the selling shareholders as of the date hereof, no selling shareholder would hold 1% or more of the total number of our common shares outstanding as of December 31, 2021.</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360" w:type="dxa"/>
            <w:vAlign w:val="bottom"/>
          </w:tcPr>
          <w:p>
            <w:pPr>
              <w:jc w:val="center"/>
              <w:ind w:left="173"/>
              <w:spacing w:after="0"/>
              <w:rPr>
                <w:sz w:val="20"/>
                <w:szCs w:val="20"/>
                <w:color w:val="auto"/>
              </w:rPr>
            </w:pPr>
            <w:r>
              <w:rPr>
                <w:rFonts w:ascii="Arial" w:cs="Arial" w:eastAsia="Arial" w:hAnsi="Arial"/>
                <w:sz w:val="14"/>
                <w:szCs w:val="14"/>
                <w:b w:val="1"/>
                <w:bCs w:val="1"/>
                <w:color w:val="auto"/>
                <w:w w:val="93"/>
              </w:rPr>
              <w:t>Number of Common</w:t>
            </w:r>
          </w:p>
        </w:tc>
        <w:tc>
          <w:tcPr>
            <w:tcW w:w="2200" w:type="dxa"/>
            <w:vAlign w:val="bottom"/>
            <w:vMerge w:val="restart"/>
          </w:tcPr>
          <w:p>
            <w:pPr>
              <w:jc w:val="center"/>
              <w:ind w:right="212"/>
              <w:spacing w:after="0"/>
              <w:rPr>
                <w:sz w:val="20"/>
                <w:szCs w:val="20"/>
                <w:color w:val="auto"/>
              </w:rPr>
            </w:pPr>
            <w:r>
              <w:rPr>
                <w:rFonts w:ascii="Arial" w:cs="Arial" w:eastAsia="Arial" w:hAnsi="Arial"/>
                <w:sz w:val="14"/>
                <w:szCs w:val="14"/>
                <w:b w:val="1"/>
                <w:bCs w:val="1"/>
                <w:color w:val="auto"/>
                <w:w w:val="94"/>
              </w:rPr>
              <w:t>Number of</w:t>
            </w:r>
          </w:p>
        </w:tc>
        <w:tc>
          <w:tcPr>
            <w:tcW w:w="1780" w:type="dxa"/>
            <w:vAlign w:val="bottom"/>
          </w:tcPr>
          <w:p>
            <w:pPr>
              <w:jc w:val="center"/>
              <w:ind w:left="253"/>
              <w:spacing w:after="0"/>
              <w:rPr>
                <w:sz w:val="20"/>
                <w:szCs w:val="20"/>
                <w:color w:val="auto"/>
              </w:rPr>
            </w:pPr>
            <w:r>
              <w:rPr>
                <w:rFonts w:ascii="Arial" w:cs="Arial" w:eastAsia="Arial" w:hAnsi="Arial"/>
                <w:sz w:val="14"/>
                <w:szCs w:val="14"/>
                <w:b w:val="1"/>
                <w:bCs w:val="1"/>
                <w:color w:val="auto"/>
                <w:w w:val="95"/>
              </w:rPr>
              <w:t>Number of Common</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2360" w:type="dxa"/>
            <w:vAlign w:val="bottom"/>
          </w:tcPr>
          <w:p>
            <w:pPr>
              <w:jc w:val="center"/>
              <w:ind w:left="173"/>
              <w:spacing w:after="0" w:line="149" w:lineRule="exact"/>
              <w:rPr>
                <w:sz w:val="20"/>
                <w:szCs w:val="20"/>
                <w:color w:val="auto"/>
              </w:rPr>
            </w:pPr>
            <w:r>
              <w:rPr>
                <w:rFonts w:ascii="Arial" w:cs="Arial" w:eastAsia="Arial" w:hAnsi="Arial"/>
                <w:sz w:val="14"/>
                <w:szCs w:val="14"/>
                <w:b w:val="1"/>
                <w:bCs w:val="1"/>
                <w:color w:val="auto"/>
                <w:w w:val="91"/>
              </w:rPr>
              <w:t>Shares Beneficially</w:t>
            </w:r>
          </w:p>
        </w:tc>
        <w:tc>
          <w:tcPr>
            <w:tcW w:w="2200" w:type="dxa"/>
            <w:vAlign w:val="bottom"/>
            <w:vMerge w:val="continue"/>
          </w:tcPr>
          <w:p>
            <w:pPr>
              <w:spacing w:after="0"/>
              <w:rPr>
                <w:sz w:val="12"/>
                <w:szCs w:val="12"/>
                <w:color w:val="auto"/>
              </w:rPr>
            </w:pPr>
          </w:p>
        </w:tc>
        <w:tc>
          <w:tcPr>
            <w:tcW w:w="1780" w:type="dxa"/>
            <w:vAlign w:val="bottom"/>
          </w:tcPr>
          <w:p>
            <w:pPr>
              <w:jc w:val="center"/>
              <w:ind w:left="253"/>
              <w:spacing w:after="0" w:line="149" w:lineRule="exact"/>
              <w:rPr>
                <w:sz w:val="20"/>
                <w:szCs w:val="20"/>
                <w:color w:val="auto"/>
              </w:rPr>
            </w:pPr>
            <w:r>
              <w:rPr>
                <w:rFonts w:ascii="Arial" w:cs="Arial" w:eastAsia="Arial" w:hAnsi="Arial"/>
                <w:sz w:val="14"/>
                <w:szCs w:val="14"/>
                <w:b w:val="1"/>
                <w:bCs w:val="1"/>
                <w:color w:val="auto"/>
                <w:w w:val="90"/>
              </w:rPr>
              <w:t>Shares Beneficially</w:t>
            </w:r>
          </w:p>
        </w:tc>
        <w:tc>
          <w:tcPr>
            <w:tcW w:w="0" w:type="dxa"/>
            <w:vAlign w:val="bottom"/>
          </w:tcPr>
          <w:p>
            <w:pPr>
              <w:spacing w:after="0"/>
              <w:rPr>
                <w:sz w:val="1"/>
                <w:szCs w:val="1"/>
                <w:color w:val="auto"/>
              </w:rPr>
            </w:pPr>
          </w:p>
        </w:tc>
      </w:tr>
      <w:tr>
        <w:trPr>
          <w:trHeight w:val="149"/>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Name of Selling Shareholder</w:t>
            </w:r>
          </w:p>
        </w:tc>
        <w:tc>
          <w:tcPr>
            <w:tcW w:w="2360" w:type="dxa"/>
            <w:vAlign w:val="bottom"/>
          </w:tcPr>
          <w:p>
            <w:pPr>
              <w:jc w:val="center"/>
              <w:ind w:left="173"/>
              <w:spacing w:after="0" w:line="149" w:lineRule="exact"/>
              <w:rPr>
                <w:sz w:val="20"/>
                <w:szCs w:val="20"/>
                <w:color w:val="auto"/>
              </w:rPr>
            </w:pPr>
            <w:r>
              <w:rPr>
                <w:rFonts w:ascii="Arial" w:cs="Arial" w:eastAsia="Arial" w:hAnsi="Arial"/>
                <w:sz w:val="14"/>
                <w:szCs w:val="14"/>
                <w:b w:val="1"/>
                <w:bCs w:val="1"/>
                <w:color w:val="auto"/>
                <w:w w:val="89"/>
              </w:rPr>
              <w:t>Owned</w:t>
            </w:r>
          </w:p>
        </w:tc>
        <w:tc>
          <w:tcPr>
            <w:tcW w:w="220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780" w:type="dxa"/>
            <w:vAlign w:val="bottom"/>
          </w:tcPr>
          <w:p>
            <w:pPr>
              <w:jc w:val="center"/>
              <w:ind w:left="253"/>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71"/>
        </w:trPr>
        <w:tc>
          <w:tcPr>
            <w:tcW w:w="4680" w:type="dxa"/>
            <w:vAlign w:val="bottom"/>
            <w:vMerge w:val="continue"/>
          </w:tcPr>
          <w:p>
            <w:pPr>
              <w:spacing w:after="0"/>
              <w:rPr>
                <w:sz w:val="14"/>
                <w:szCs w:val="14"/>
                <w:color w:val="auto"/>
              </w:rPr>
            </w:pPr>
          </w:p>
        </w:tc>
        <w:tc>
          <w:tcPr>
            <w:tcW w:w="2360" w:type="dxa"/>
            <w:vAlign w:val="bottom"/>
          </w:tcPr>
          <w:p>
            <w:pPr>
              <w:jc w:val="center"/>
              <w:ind w:left="173"/>
              <w:spacing w:after="0"/>
              <w:rPr>
                <w:sz w:val="20"/>
                <w:szCs w:val="20"/>
                <w:color w:val="auto"/>
              </w:rPr>
            </w:pPr>
            <w:r>
              <w:rPr>
                <w:rFonts w:ascii="Arial" w:cs="Arial" w:eastAsia="Arial" w:hAnsi="Arial"/>
                <w:sz w:val="14"/>
                <w:szCs w:val="14"/>
                <w:b w:val="1"/>
                <w:bCs w:val="1"/>
                <w:color w:val="auto"/>
                <w:w w:val="97"/>
              </w:rPr>
              <w:t>Prior to Offering (1)</w:t>
            </w:r>
          </w:p>
        </w:tc>
        <w:tc>
          <w:tcPr>
            <w:tcW w:w="2200" w:type="dxa"/>
            <w:vAlign w:val="bottom"/>
          </w:tcPr>
          <w:p>
            <w:pPr>
              <w:jc w:val="center"/>
              <w:ind w:right="212"/>
              <w:spacing w:after="0"/>
              <w:rPr>
                <w:sz w:val="20"/>
                <w:szCs w:val="20"/>
                <w:color w:val="auto"/>
              </w:rPr>
            </w:pPr>
            <w:r>
              <w:rPr>
                <w:rFonts w:ascii="Arial" w:cs="Arial" w:eastAsia="Arial" w:hAnsi="Arial"/>
                <w:sz w:val="14"/>
                <w:szCs w:val="14"/>
                <w:b w:val="1"/>
                <w:bCs w:val="1"/>
                <w:color w:val="auto"/>
                <w:w w:val="93"/>
              </w:rPr>
              <w:t>Being Offered (2)</w:t>
            </w:r>
          </w:p>
        </w:tc>
        <w:tc>
          <w:tcPr>
            <w:tcW w:w="1780" w:type="dxa"/>
            <w:vAlign w:val="bottom"/>
          </w:tcPr>
          <w:p>
            <w:pPr>
              <w:jc w:val="center"/>
              <w:ind w:left="253"/>
              <w:spacing w:after="0"/>
              <w:rPr>
                <w:sz w:val="20"/>
                <w:szCs w:val="20"/>
                <w:color w:val="auto"/>
              </w:rPr>
            </w:pPr>
            <w:r>
              <w:rPr>
                <w:rFonts w:ascii="Arial" w:cs="Arial" w:eastAsia="Arial" w:hAnsi="Arial"/>
                <w:sz w:val="14"/>
                <w:szCs w:val="14"/>
                <w:b w:val="1"/>
                <w:bCs w:val="1"/>
                <w:color w:val="auto"/>
                <w:w w:val="96"/>
              </w:rPr>
              <w:t>After the Offering (3)</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 Thomas Campbell</w:t>
            </w:r>
          </w:p>
        </w:tc>
        <w:tc>
          <w:tcPr>
            <w:tcW w:w="23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0</w:t>
            </w:r>
          </w:p>
        </w:tc>
        <w:tc>
          <w:tcPr>
            <w:tcW w:w="22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8,489(4)</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Bruce S. Campbell, III</w:t>
            </w:r>
          </w:p>
        </w:tc>
        <w:tc>
          <w:tcPr>
            <w:tcW w:w="2360" w:type="dxa"/>
            <w:vAlign w:val="bottom"/>
          </w:tcPr>
          <w:p>
            <w:pPr>
              <w:jc w:val="right"/>
              <w:ind w:right="333"/>
              <w:spacing w:after="0"/>
              <w:rPr>
                <w:sz w:val="20"/>
                <w:szCs w:val="20"/>
                <w:color w:val="auto"/>
              </w:rPr>
            </w:pPr>
            <w:r>
              <w:rPr>
                <w:rFonts w:ascii="Arial" w:cs="Arial" w:eastAsia="Arial" w:hAnsi="Arial"/>
                <w:sz w:val="18"/>
                <w:szCs w:val="18"/>
                <w:color w:val="auto"/>
              </w:rPr>
              <w:t>0</w:t>
            </w:r>
          </w:p>
        </w:tc>
        <w:tc>
          <w:tcPr>
            <w:tcW w:w="2200" w:type="dxa"/>
            <w:vAlign w:val="bottom"/>
          </w:tcPr>
          <w:p>
            <w:pPr>
              <w:jc w:val="right"/>
              <w:ind w:right="412"/>
              <w:spacing w:after="0"/>
              <w:rPr>
                <w:sz w:val="20"/>
                <w:szCs w:val="20"/>
                <w:color w:val="auto"/>
              </w:rPr>
            </w:pPr>
            <w:r>
              <w:rPr>
                <w:rFonts w:ascii="Arial" w:cs="Arial" w:eastAsia="Arial" w:hAnsi="Arial"/>
                <w:sz w:val="18"/>
                <w:szCs w:val="18"/>
                <w:color w:val="auto"/>
              </w:rPr>
              <w:t>16,780(5)</w:t>
            </w:r>
          </w:p>
        </w:tc>
        <w:tc>
          <w:tcPr>
            <w:tcW w:w="17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Bruce S. Campbell, IV</w:t>
            </w:r>
          </w:p>
        </w:tc>
        <w:tc>
          <w:tcPr>
            <w:tcW w:w="23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0</w:t>
            </w:r>
          </w:p>
        </w:tc>
        <w:tc>
          <w:tcPr>
            <w:tcW w:w="22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1,025(6)</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Carol C. Haislip</w:t>
            </w:r>
          </w:p>
        </w:tc>
        <w:tc>
          <w:tcPr>
            <w:tcW w:w="2360" w:type="dxa"/>
            <w:vAlign w:val="bottom"/>
          </w:tcPr>
          <w:p>
            <w:pPr>
              <w:jc w:val="right"/>
              <w:ind w:right="333"/>
              <w:spacing w:after="0"/>
              <w:rPr>
                <w:sz w:val="20"/>
                <w:szCs w:val="20"/>
                <w:color w:val="auto"/>
              </w:rPr>
            </w:pPr>
            <w:r>
              <w:rPr>
                <w:rFonts w:ascii="Arial" w:cs="Arial" w:eastAsia="Arial" w:hAnsi="Arial"/>
                <w:sz w:val="18"/>
                <w:szCs w:val="18"/>
                <w:color w:val="auto"/>
              </w:rPr>
              <w:t>0</w:t>
            </w:r>
          </w:p>
        </w:tc>
        <w:tc>
          <w:tcPr>
            <w:tcW w:w="2200" w:type="dxa"/>
            <w:vAlign w:val="bottom"/>
          </w:tcPr>
          <w:p>
            <w:pPr>
              <w:jc w:val="right"/>
              <w:ind w:right="412"/>
              <w:spacing w:after="0"/>
              <w:rPr>
                <w:sz w:val="20"/>
                <w:szCs w:val="20"/>
                <w:color w:val="auto"/>
              </w:rPr>
            </w:pPr>
            <w:r>
              <w:rPr>
                <w:rFonts w:ascii="Arial" w:cs="Arial" w:eastAsia="Arial" w:hAnsi="Arial"/>
                <w:sz w:val="18"/>
                <w:szCs w:val="18"/>
                <w:color w:val="auto"/>
              </w:rPr>
              <w:t>8,490(7)</w:t>
            </w:r>
          </w:p>
        </w:tc>
        <w:tc>
          <w:tcPr>
            <w:tcW w:w="17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Caroline Campbell Hill</w:t>
            </w:r>
          </w:p>
        </w:tc>
        <w:tc>
          <w:tcPr>
            <w:tcW w:w="23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0</w:t>
            </w:r>
          </w:p>
        </w:tc>
        <w:tc>
          <w:tcPr>
            <w:tcW w:w="22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656(8)</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Carolyn C. Beall</w:t>
            </w:r>
          </w:p>
        </w:tc>
        <w:tc>
          <w:tcPr>
            <w:tcW w:w="2360" w:type="dxa"/>
            <w:vAlign w:val="bottom"/>
          </w:tcPr>
          <w:p>
            <w:pPr>
              <w:jc w:val="right"/>
              <w:ind w:right="333"/>
              <w:spacing w:after="0"/>
              <w:rPr>
                <w:sz w:val="20"/>
                <w:szCs w:val="20"/>
                <w:color w:val="auto"/>
              </w:rPr>
            </w:pPr>
            <w:r>
              <w:rPr>
                <w:rFonts w:ascii="Arial" w:cs="Arial" w:eastAsia="Arial" w:hAnsi="Arial"/>
                <w:sz w:val="18"/>
                <w:szCs w:val="18"/>
                <w:color w:val="auto"/>
              </w:rPr>
              <w:t>1,672</w:t>
            </w:r>
          </w:p>
        </w:tc>
        <w:tc>
          <w:tcPr>
            <w:tcW w:w="2200" w:type="dxa"/>
            <w:vAlign w:val="bottom"/>
          </w:tcPr>
          <w:p>
            <w:pPr>
              <w:jc w:val="right"/>
              <w:ind w:right="412"/>
              <w:spacing w:after="0"/>
              <w:rPr>
                <w:sz w:val="20"/>
                <w:szCs w:val="20"/>
                <w:color w:val="auto"/>
              </w:rPr>
            </w:pPr>
            <w:r>
              <w:rPr>
                <w:rFonts w:ascii="Arial" w:cs="Arial" w:eastAsia="Arial" w:hAnsi="Arial"/>
                <w:sz w:val="18"/>
                <w:szCs w:val="18"/>
                <w:color w:val="auto"/>
              </w:rPr>
              <w:t>7,442(9)</w:t>
            </w:r>
          </w:p>
        </w:tc>
        <w:tc>
          <w:tcPr>
            <w:tcW w:w="1780" w:type="dxa"/>
            <w:vAlign w:val="bottom"/>
          </w:tcPr>
          <w:p>
            <w:pPr>
              <w:jc w:val="right"/>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Charlton G. Campbell Hughes</w:t>
            </w:r>
          </w:p>
        </w:tc>
        <w:tc>
          <w:tcPr>
            <w:tcW w:w="23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0</w:t>
            </w:r>
          </w:p>
        </w:tc>
        <w:tc>
          <w:tcPr>
            <w:tcW w:w="22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33,585(10)</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Douglas Franklin Campbell</w:t>
            </w:r>
          </w:p>
        </w:tc>
        <w:tc>
          <w:tcPr>
            <w:tcW w:w="2360" w:type="dxa"/>
            <w:vAlign w:val="bottom"/>
          </w:tcPr>
          <w:p>
            <w:pPr>
              <w:jc w:val="right"/>
              <w:ind w:right="333"/>
              <w:spacing w:after="0"/>
              <w:rPr>
                <w:sz w:val="20"/>
                <w:szCs w:val="20"/>
                <w:color w:val="auto"/>
              </w:rPr>
            </w:pPr>
            <w:r>
              <w:rPr>
                <w:rFonts w:ascii="Arial" w:cs="Arial" w:eastAsia="Arial" w:hAnsi="Arial"/>
                <w:sz w:val="18"/>
                <w:szCs w:val="18"/>
                <w:color w:val="auto"/>
              </w:rPr>
              <w:t>1,101</w:t>
            </w:r>
          </w:p>
        </w:tc>
        <w:tc>
          <w:tcPr>
            <w:tcW w:w="2200" w:type="dxa"/>
            <w:vAlign w:val="bottom"/>
          </w:tcPr>
          <w:p>
            <w:pPr>
              <w:jc w:val="right"/>
              <w:ind w:right="332"/>
              <w:spacing w:after="0"/>
              <w:rPr>
                <w:sz w:val="20"/>
                <w:szCs w:val="20"/>
                <w:color w:val="auto"/>
              </w:rPr>
            </w:pPr>
            <w:r>
              <w:rPr>
                <w:rFonts w:ascii="Arial" w:cs="Arial" w:eastAsia="Arial" w:hAnsi="Arial"/>
                <w:sz w:val="18"/>
                <w:szCs w:val="18"/>
                <w:color w:val="auto"/>
              </w:rPr>
              <w:t>6,020(11)</w:t>
            </w:r>
          </w:p>
        </w:tc>
        <w:tc>
          <w:tcPr>
            <w:tcW w:w="1780" w:type="dxa"/>
            <w:vAlign w:val="bottom"/>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Gregg T. Campbell</w:t>
            </w:r>
          </w:p>
        </w:tc>
        <w:tc>
          <w:tcPr>
            <w:tcW w:w="23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3,008</w:t>
            </w:r>
          </w:p>
        </w:tc>
        <w:tc>
          <w:tcPr>
            <w:tcW w:w="22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36,515(12)</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Judith F. Campbell</w:t>
            </w:r>
          </w:p>
        </w:tc>
        <w:tc>
          <w:tcPr>
            <w:tcW w:w="2360" w:type="dxa"/>
            <w:vAlign w:val="bottom"/>
          </w:tcPr>
          <w:p>
            <w:pPr>
              <w:jc w:val="right"/>
              <w:ind w:right="333"/>
              <w:spacing w:after="0"/>
              <w:rPr>
                <w:sz w:val="20"/>
                <w:szCs w:val="20"/>
                <w:color w:val="auto"/>
              </w:rPr>
            </w:pPr>
            <w:r>
              <w:rPr>
                <w:rFonts w:ascii="Arial" w:cs="Arial" w:eastAsia="Arial" w:hAnsi="Arial"/>
                <w:sz w:val="18"/>
                <w:szCs w:val="18"/>
                <w:color w:val="auto"/>
              </w:rPr>
              <w:t>0</w:t>
            </w:r>
          </w:p>
        </w:tc>
        <w:tc>
          <w:tcPr>
            <w:tcW w:w="2200" w:type="dxa"/>
            <w:vAlign w:val="bottom"/>
          </w:tcPr>
          <w:p>
            <w:pPr>
              <w:jc w:val="right"/>
              <w:ind w:right="332"/>
              <w:spacing w:after="0"/>
              <w:rPr>
                <w:sz w:val="20"/>
                <w:szCs w:val="20"/>
                <w:color w:val="auto"/>
              </w:rPr>
            </w:pPr>
            <w:r>
              <w:rPr>
                <w:rFonts w:ascii="Arial" w:cs="Arial" w:eastAsia="Arial" w:hAnsi="Arial"/>
                <w:sz w:val="18"/>
                <w:szCs w:val="18"/>
                <w:color w:val="auto"/>
              </w:rPr>
              <w:t>232(13)</w:t>
            </w:r>
          </w:p>
        </w:tc>
        <w:tc>
          <w:tcPr>
            <w:tcW w:w="17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Kathleen Campbell Ackerman</w:t>
            </w:r>
          </w:p>
        </w:tc>
        <w:tc>
          <w:tcPr>
            <w:tcW w:w="23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0</w:t>
            </w:r>
          </w:p>
        </w:tc>
        <w:tc>
          <w:tcPr>
            <w:tcW w:w="22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656(14)</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Madeline C. Modica</w:t>
            </w:r>
          </w:p>
        </w:tc>
        <w:tc>
          <w:tcPr>
            <w:tcW w:w="2360" w:type="dxa"/>
            <w:vAlign w:val="bottom"/>
          </w:tcPr>
          <w:p>
            <w:pPr>
              <w:jc w:val="right"/>
              <w:ind w:right="333"/>
              <w:spacing w:after="0"/>
              <w:rPr>
                <w:sz w:val="20"/>
                <w:szCs w:val="20"/>
                <w:color w:val="auto"/>
              </w:rPr>
            </w:pPr>
            <w:r>
              <w:rPr>
                <w:rFonts w:ascii="Arial" w:cs="Arial" w:eastAsia="Arial" w:hAnsi="Arial"/>
                <w:sz w:val="18"/>
                <w:szCs w:val="18"/>
                <w:color w:val="auto"/>
              </w:rPr>
              <w:t>90</w:t>
            </w:r>
          </w:p>
        </w:tc>
        <w:tc>
          <w:tcPr>
            <w:tcW w:w="2200" w:type="dxa"/>
            <w:vAlign w:val="bottom"/>
          </w:tcPr>
          <w:p>
            <w:pPr>
              <w:jc w:val="right"/>
              <w:ind w:right="332"/>
              <w:spacing w:after="0"/>
              <w:rPr>
                <w:sz w:val="20"/>
                <w:szCs w:val="20"/>
                <w:color w:val="auto"/>
              </w:rPr>
            </w:pPr>
            <w:r>
              <w:rPr>
                <w:rFonts w:ascii="Arial" w:cs="Arial" w:eastAsia="Arial" w:hAnsi="Arial"/>
                <w:sz w:val="18"/>
                <w:szCs w:val="18"/>
                <w:color w:val="auto"/>
              </w:rPr>
              <w:t>7,679(15)</w:t>
            </w:r>
          </w:p>
        </w:tc>
        <w:tc>
          <w:tcPr>
            <w:tcW w:w="17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Marcie C. McHale</w:t>
            </w:r>
          </w:p>
        </w:tc>
        <w:tc>
          <w:tcPr>
            <w:tcW w:w="23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0</w:t>
            </w:r>
          </w:p>
        </w:tc>
        <w:tc>
          <w:tcPr>
            <w:tcW w:w="22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6,020(16)</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Robert Bruce Campbell</w:t>
            </w:r>
          </w:p>
        </w:tc>
        <w:tc>
          <w:tcPr>
            <w:tcW w:w="2360" w:type="dxa"/>
            <w:vAlign w:val="bottom"/>
          </w:tcPr>
          <w:p>
            <w:pPr>
              <w:jc w:val="right"/>
              <w:ind w:right="333"/>
              <w:spacing w:after="0"/>
              <w:rPr>
                <w:sz w:val="20"/>
                <w:szCs w:val="20"/>
                <w:color w:val="auto"/>
              </w:rPr>
            </w:pPr>
            <w:r>
              <w:rPr>
                <w:rFonts w:ascii="Arial" w:cs="Arial" w:eastAsia="Arial" w:hAnsi="Arial"/>
                <w:sz w:val="18"/>
                <w:szCs w:val="18"/>
                <w:color w:val="auto"/>
              </w:rPr>
              <w:t>0</w:t>
            </w:r>
          </w:p>
        </w:tc>
        <w:tc>
          <w:tcPr>
            <w:tcW w:w="2200" w:type="dxa"/>
            <w:vAlign w:val="bottom"/>
          </w:tcPr>
          <w:p>
            <w:pPr>
              <w:jc w:val="right"/>
              <w:ind w:right="332"/>
              <w:spacing w:after="0"/>
              <w:rPr>
                <w:sz w:val="20"/>
                <w:szCs w:val="20"/>
                <w:color w:val="auto"/>
              </w:rPr>
            </w:pPr>
            <w:r>
              <w:rPr>
                <w:rFonts w:ascii="Arial" w:cs="Arial" w:eastAsia="Arial" w:hAnsi="Arial"/>
                <w:sz w:val="18"/>
                <w:szCs w:val="18"/>
                <w:color w:val="auto"/>
              </w:rPr>
              <w:t>7,177(17)</w:t>
            </w:r>
          </w:p>
        </w:tc>
        <w:tc>
          <w:tcPr>
            <w:tcW w:w="17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Russell Tyler Campbell</w:t>
            </w:r>
          </w:p>
        </w:tc>
        <w:tc>
          <w:tcPr>
            <w:tcW w:w="23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0</w:t>
            </w:r>
          </w:p>
        </w:tc>
        <w:tc>
          <w:tcPr>
            <w:tcW w:w="22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6,020(18)</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 James Campbell, Jr.</w:t>
            </w:r>
          </w:p>
        </w:tc>
        <w:tc>
          <w:tcPr>
            <w:tcW w:w="2360" w:type="dxa"/>
            <w:vAlign w:val="bottom"/>
          </w:tcPr>
          <w:p>
            <w:pPr>
              <w:jc w:val="right"/>
              <w:ind w:right="333"/>
              <w:spacing w:after="0"/>
              <w:rPr>
                <w:sz w:val="20"/>
                <w:szCs w:val="20"/>
                <w:color w:val="auto"/>
              </w:rPr>
            </w:pPr>
            <w:r>
              <w:rPr>
                <w:rFonts w:ascii="Arial" w:cs="Arial" w:eastAsia="Arial" w:hAnsi="Arial"/>
                <w:sz w:val="18"/>
                <w:szCs w:val="18"/>
                <w:color w:val="auto"/>
              </w:rPr>
              <w:t>0</w:t>
            </w:r>
          </w:p>
        </w:tc>
        <w:tc>
          <w:tcPr>
            <w:tcW w:w="2200" w:type="dxa"/>
            <w:vAlign w:val="bottom"/>
          </w:tcPr>
          <w:p>
            <w:pPr>
              <w:jc w:val="right"/>
              <w:ind w:right="332"/>
              <w:spacing w:after="0"/>
              <w:rPr>
                <w:sz w:val="20"/>
                <w:szCs w:val="20"/>
                <w:color w:val="auto"/>
              </w:rPr>
            </w:pPr>
            <w:r>
              <w:rPr>
                <w:rFonts w:ascii="Arial" w:cs="Arial" w:eastAsia="Arial" w:hAnsi="Arial"/>
                <w:sz w:val="18"/>
                <w:szCs w:val="18"/>
                <w:color w:val="auto"/>
              </w:rPr>
              <w:t>8,489(19)</w:t>
            </w:r>
          </w:p>
        </w:tc>
        <w:tc>
          <w:tcPr>
            <w:tcW w:w="17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Sarah T. Campbell</w:t>
            </w:r>
          </w:p>
        </w:tc>
        <w:tc>
          <w:tcPr>
            <w:tcW w:w="23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0</w:t>
            </w:r>
          </w:p>
        </w:tc>
        <w:tc>
          <w:tcPr>
            <w:tcW w:w="22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1025(20)</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Taber C. Hook</w:t>
            </w:r>
          </w:p>
        </w:tc>
        <w:tc>
          <w:tcPr>
            <w:tcW w:w="2360" w:type="dxa"/>
            <w:vAlign w:val="bottom"/>
          </w:tcPr>
          <w:p>
            <w:pPr>
              <w:jc w:val="right"/>
              <w:ind w:right="333"/>
              <w:spacing w:after="0"/>
              <w:rPr>
                <w:sz w:val="20"/>
                <w:szCs w:val="20"/>
                <w:color w:val="auto"/>
              </w:rPr>
            </w:pPr>
            <w:r>
              <w:rPr>
                <w:rFonts w:ascii="Arial" w:cs="Arial" w:eastAsia="Arial" w:hAnsi="Arial"/>
                <w:sz w:val="18"/>
                <w:szCs w:val="18"/>
                <w:color w:val="auto"/>
              </w:rPr>
              <w:t>0</w:t>
            </w:r>
          </w:p>
        </w:tc>
        <w:tc>
          <w:tcPr>
            <w:tcW w:w="2200" w:type="dxa"/>
            <w:vAlign w:val="bottom"/>
          </w:tcPr>
          <w:p>
            <w:pPr>
              <w:jc w:val="right"/>
              <w:ind w:right="332"/>
              <w:spacing w:after="0"/>
              <w:rPr>
                <w:sz w:val="20"/>
                <w:szCs w:val="20"/>
                <w:color w:val="auto"/>
              </w:rPr>
            </w:pPr>
            <w:r>
              <w:rPr>
                <w:rFonts w:ascii="Arial" w:cs="Arial" w:eastAsia="Arial" w:hAnsi="Arial"/>
                <w:sz w:val="18"/>
                <w:szCs w:val="18"/>
                <w:color w:val="auto"/>
              </w:rPr>
              <w:t>9,007(21)</w:t>
            </w:r>
          </w:p>
        </w:tc>
        <w:tc>
          <w:tcPr>
            <w:tcW w:w="17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Thomas M. Campbell</w:t>
            </w:r>
          </w:p>
        </w:tc>
        <w:tc>
          <w:tcPr>
            <w:tcW w:w="236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0</w:t>
            </w:r>
          </w:p>
        </w:tc>
        <w:tc>
          <w:tcPr>
            <w:tcW w:w="22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20,822(22)</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Trustee of the Richard L. Campbell, Jr. Residuary Trust</w:t>
            </w:r>
          </w:p>
        </w:tc>
        <w:tc>
          <w:tcPr>
            <w:tcW w:w="2360" w:type="dxa"/>
            <w:vAlign w:val="bottom"/>
          </w:tcPr>
          <w:p>
            <w:pPr>
              <w:jc w:val="right"/>
              <w:ind w:right="333"/>
              <w:spacing w:after="0"/>
              <w:rPr>
                <w:sz w:val="20"/>
                <w:szCs w:val="20"/>
                <w:color w:val="auto"/>
              </w:rPr>
            </w:pPr>
            <w:r>
              <w:rPr>
                <w:rFonts w:ascii="Arial" w:cs="Arial" w:eastAsia="Arial" w:hAnsi="Arial"/>
                <w:sz w:val="18"/>
                <w:szCs w:val="18"/>
                <w:color w:val="auto"/>
              </w:rPr>
              <w:t>0</w:t>
            </w:r>
          </w:p>
        </w:tc>
        <w:tc>
          <w:tcPr>
            <w:tcW w:w="2200" w:type="dxa"/>
            <w:vAlign w:val="bottom"/>
          </w:tcPr>
          <w:p>
            <w:pPr>
              <w:jc w:val="right"/>
              <w:ind w:right="332"/>
              <w:spacing w:after="0"/>
              <w:rPr>
                <w:sz w:val="20"/>
                <w:szCs w:val="20"/>
                <w:color w:val="auto"/>
              </w:rPr>
            </w:pPr>
            <w:r>
              <w:rPr>
                <w:rFonts w:ascii="Arial" w:cs="Arial" w:eastAsia="Arial" w:hAnsi="Arial"/>
                <w:sz w:val="18"/>
                <w:szCs w:val="18"/>
                <w:color w:val="auto"/>
              </w:rPr>
              <w:t>2,566(23)</w:t>
            </w:r>
          </w:p>
        </w:tc>
        <w:tc>
          <w:tcPr>
            <w:tcW w:w="17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0"/>
        </w:trPr>
        <w:tc>
          <w:tcPr>
            <w:tcW w:w="4680" w:type="dxa"/>
            <w:vAlign w:val="bottom"/>
          </w:tcPr>
          <w:p>
            <w:pPr>
              <w:spacing w:after="0"/>
              <w:rPr>
                <w:sz w:val="24"/>
                <w:szCs w:val="24"/>
                <w:color w:val="auto"/>
              </w:rPr>
            </w:pPr>
          </w:p>
        </w:tc>
        <w:tc>
          <w:tcPr>
            <w:tcW w:w="2360" w:type="dxa"/>
            <w:vAlign w:val="bottom"/>
          </w:tcPr>
          <w:p>
            <w:pPr>
              <w:jc w:val="right"/>
              <w:ind w:right="1413"/>
              <w:spacing w:after="0"/>
              <w:rPr>
                <w:sz w:val="20"/>
                <w:szCs w:val="20"/>
                <w:color w:val="auto"/>
              </w:rPr>
            </w:pPr>
            <w:r>
              <w:rPr>
                <w:rFonts w:ascii="Arial" w:cs="Arial" w:eastAsia="Arial" w:hAnsi="Arial"/>
                <w:sz w:val="18"/>
                <w:szCs w:val="18"/>
                <w:color w:val="auto"/>
              </w:rPr>
              <w:t>4</w:t>
            </w:r>
          </w:p>
        </w:tc>
        <w:tc>
          <w:tcPr>
            <w:tcW w:w="2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620" w:type="dxa"/>
            <w:vAlign w:val="bottom"/>
            <w:gridSpan w:val="3"/>
          </w:tcPr>
          <w:p>
            <w:pPr>
              <w:jc w:val="right"/>
              <w:ind w:right="5260"/>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6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466"/>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5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Trustees of the Laurence Thomsen Trust u/a 10/16/67</w:t>
            </w:r>
          </w:p>
        </w:tc>
        <w:tc>
          <w:tcPr>
            <w:tcW w:w="16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25,467(24)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Paul D. Dollenberg, Jr.</w:t>
            </w: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tcPr>
          <w:p>
            <w:pPr>
              <w:jc w:val="right"/>
              <w:ind w:right="530"/>
              <w:spacing w:after="0"/>
              <w:rPr>
                <w:sz w:val="20"/>
                <w:szCs w:val="20"/>
                <w:color w:val="auto"/>
              </w:rPr>
            </w:pPr>
            <w:r>
              <w:rPr>
                <w:rFonts w:ascii="Arial" w:cs="Arial" w:eastAsia="Arial" w:hAnsi="Arial"/>
                <w:sz w:val="18"/>
                <w:szCs w:val="18"/>
                <w:color w:val="auto"/>
              </w:rPr>
              <w:t>1,500(25)</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Jamie N. Campbell</w:t>
            </w:r>
          </w:p>
        </w:tc>
        <w:tc>
          <w:tcPr>
            <w:tcW w:w="16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21,339(26)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Virginia T. Campbell</w:t>
            </w: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tcPr>
          <w:p>
            <w:pPr>
              <w:jc w:val="right"/>
              <w:ind w:right="530"/>
              <w:spacing w:after="0"/>
              <w:rPr>
                <w:sz w:val="20"/>
                <w:szCs w:val="20"/>
                <w:color w:val="auto"/>
              </w:rPr>
            </w:pPr>
            <w:r>
              <w:rPr>
                <w:rFonts w:ascii="Arial" w:cs="Arial" w:eastAsia="Arial" w:hAnsi="Arial"/>
                <w:sz w:val="18"/>
                <w:szCs w:val="18"/>
                <w:color w:val="auto"/>
              </w:rPr>
              <w:t>6,136(27)</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Kathleen B. Dollenberg</w:t>
            </w:r>
          </w:p>
        </w:tc>
        <w:tc>
          <w:tcPr>
            <w:tcW w:w="16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1,201(28)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Brett Campbell Alcarese</w:t>
            </w: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tcPr>
          <w:p>
            <w:pPr>
              <w:jc w:val="right"/>
              <w:ind w:right="530"/>
              <w:spacing w:after="0"/>
              <w:rPr>
                <w:sz w:val="20"/>
                <w:szCs w:val="20"/>
                <w:color w:val="auto"/>
              </w:rPr>
            </w:pPr>
            <w:r>
              <w:rPr>
                <w:rFonts w:ascii="Arial" w:cs="Arial" w:eastAsia="Arial" w:hAnsi="Arial"/>
                <w:sz w:val="18"/>
                <w:szCs w:val="18"/>
                <w:color w:val="auto"/>
              </w:rPr>
              <w:t>1,756(29)</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Kristin D. Chottiner</w:t>
            </w:r>
          </w:p>
        </w:tc>
        <w:tc>
          <w:tcPr>
            <w:tcW w:w="16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3,548(30)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Douglas F. Campbell, Custodian for Connor M. Campbell under OR-UGMA</w:t>
            </w: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tcPr>
          <w:p>
            <w:pPr>
              <w:jc w:val="right"/>
              <w:ind w:right="530"/>
              <w:spacing w:after="0"/>
              <w:rPr>
                <w:sz w:val="20"/>
                <w:szCs w:val="20"/>
                <w:color w:val="auto"/>
              </w:rPr>
            </w:pPr>
            <w:r>
              <w:rPr>
                <w:rFonts w:ascii="Arial" w:cs="Arial" w:eastAsia="Arial" w:hAnsi="Arial"/>
                <w:sz w:val="18"/>
                <w:szCs w:val="18"/>
                <w:color w:val="auto"/>
              </w:rPr>
              <w:t>386(31)</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F. Campbell, Custodian for Mitchell W. Campbell under OR-UGMA</w:t>
            </w:r>
          </w:p>
        </w:tc>
        <w:tc>
          <w:tcPr>
            <w:tcW w:w="16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386(32)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Douglas F. Campbell, Custodian for Sarah A. Campbell under OR-UGMA</w:t>
            </w: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tcPr>
          <w:p>
            <w:pPr>
              <w:jc w:val="right"/>
              <w:ind w:right="530"/>
              <w:spacing w:after="0"/>
              <w:rPr>
                <w:sz w:val="20"/>
                <w:szCs w:val="20"/>
                <w:color w:val="auto"/>
              </w:rPr>
            </w:pPr>
            <w:r>
              <w:rPr>
                <w:rFonts w:ascii="Arial" w:cs="Arial" w:eastAsia="Arial" w:hAnsi="Arial"/>
                <w:sz w:val="18"/>
                <w:szCs w:val="18"/>
                <w:color w:val="auto"/>
              </w:rPr>
              <w:t>386(33)</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 Mills Dancy</w:t>
            </w:r>
          </w:p>
        </w:tc>
        <w:tc>
          <w:tcPr>
            <w:tcW w:w="16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348(34)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Rebecca Beall DiSabato</w:t>
            </w: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tcPr>
          <w:p>
            <w:pPr>
              <w:jc w:val="right"/>
              <w:ind w:right="530"/>
              <w:spacing w:after="0"/>
              <w:rPr>
                <w:sz w:val="20"/>
                <w:szCs w:val="20"/>
                <w:color w:val="auto"/>
              </w:rPr>
            </w:pPr>
            <w:r>
              <w:rPr>
                <w:rFonts w:ascii="Arial" w:cs="Arial" w:eastAsia="Arial" w:hAnsi="Arial"/>
                <w:sz w:val="18"/>
                <w:szCs w:val="18"/>
                <w:color w:val="auto"/>
              </w:rPr>
              <w:t>64(35)</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Alban, IV</w:t>
            </w:r>
          </w:p>
        </w:tc>
        <w:tc>
          <w:tcPr>
            <w:tcW w:w="16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348(36)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Jessica C. Hughes</w:t>
            </w: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tcPr>
          <w:p>
            <w:pPr>
              <w:jc w:val="right"/>
              <w:ind w:right="530"/>
              <w:spacing w:after="0"/>
              <w:rPr>
                <w:sz w:val="20"/>
                <w:szCs w:val="20"/>
                <w:color w:val="auto"/>
              </w:rPr>
            </w:pPr>
            <w:r>
              <w:rPr>
                <w:rFonts w:ascii="Arial" w:cs="Arial" w:eastAsia="Arial" w:hAnsi="Arial"/>
                <w:sz w:val="18"/>
                <w:szCs w:val="18"/>
                <w:color w:val="auto"/>
              </w:rPr>
              <w:t>9,647(37)</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Marcie C. McHale, Custodian for Claire J. McHale under WA-UGMA</w:t>
            </w:r>
          </w:p>
        </w:tc>
        <w:tc>
          <w:tcPr>
            <w:tcW w:w="16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386(38)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Marcie C. McHale, Custodian for Madeline C. McHale under WA-UGMA</w:t>
            </w: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tcPr>
          <w:p>
            <w:pPr>
              <w:jc w:val="right"/>
              <w:ind w:right="530"/>
              <w:spacing w:after="0"/>
              <w:rPr>
                <w:sz w:val="20"/>
                <w:szCs w:val="20"/>
                <w:color w:val="auto"/>
              </w:rPr>
            </w:pPr>
            <w:r>
              <w:rPr>
                <w:rFonts w:ascii="Arial" w:cs="Arial" w:eastAsia="Arial" w:hAnsi="Arial"/>
                <w:sz w:val="18"/>
                <w:szCs w:val="18"/>
                <w:color w:val="auto"/>
              </w:rPr>
              <w:t>386(39)</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Marcie C. McHale, Custodian for Samuel H. McHale under WA-UGMA</w:t>
            </w:r>
          </w:p>
        </w:tc>
        <w:tc>
          <w:tcPr>
            <w:tcW w:w="16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386(40)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Meredith McLean Alcarese</w:t>
            </w: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tcPr>
          <w:p>
            <w:pPr>
              <w:jc w:val="right"/>
              <w:ind w:right="530"/>
              <w:spacing w:after="0"/>
              <w:rPr>
                <w:sz w:val="20"/>
                <w:szCs w:val="20"/>
                <w:color w:val="auto"/>
              </w:rPr>
            </w:pPr>
            <w:r>
              <w:rPr>
                <w:rFonts w:ascii="Arial" w:cs="Arial" w:eastAsia="Arial" w:hAnsi="Arial"/>
                <w:sz w:val="18"/>
                <w:szCs w:val="18"/>
                <w:color w:val="auto"/>
              </w:rPr>
              <w:t>1,756(41)</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Mitchell W. Hook</w:t>
            </w:r>
          </w:p>
        </w:tc>
        <w:tc>
          <w:tcPr>
            <w:tcW w:w="16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348(42)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Natal Modica</w:t>
            </w: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tcPr>
          <w:p>
            <w:pPr>
              <w:jc w:val="right"/>
              <w:ind w:right="530"/>
              <w:spacing w:after="0"/>
              <w:rPr>
                <w:sz w:val="20"/>
                <w:szCs w:val="20"/>
                <w:color w:val="auto"/>
              </w:rPr>
            </w:pPr>
            <w:r>
              <w:rPr>
                <w:rFonts w:ascii="Arial" w:cs="Arial" w:eastAsia="Arial" w:hAnsi="Arial"/>
                <w:sz w:val="18"/>
                <w:szCs w:val="18"/>
                <w:color w:val="auto"/>
              </w:rPr>
              <w:t>348(43)</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E. Hook, IV</w:t>
            </w:r>
          </w:p>
        </w:tc>
        <w:tc>
          <w:tcPr>
            <w:tcW w:w="16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174(44)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Russell T. Campbell, Custodian for Jessica J. Campbell under OR-UGMA</w:t>
            </w: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tcPr>
          <w:p>
            <w:pPr>
              <w:jc w:val="right"/>
              <w:ind w:right="530"/>
              <w:spacing w:after="0"/>
              <w:rPr>
                <w:sz w:val="20"/>
                <w:szCs w:val="20"/>
                <w:color w:val="auto"/>
              </w:rPr>
            </w:pPr>
            <w:r>
              <w:rPr>
                <w:rFonts w:ascii="Arial" w:cs="Arial" w:eastAsia="Arial" w:hAnsi="Arial"/>
                <w:sz w:val="18"/>
                <w:szCs w:val="18"/>
                <w:color w:val="auto"/>
              </w:rPr>
              <w:t>290(45)</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T. Campbell, Custodian for Kelsey N. Campbell under OR-UGMA</w:t>
            </w:r>
          </w:p>
        </w:tc>
        <w:tc>
          <w:tcPr>
            <w:tcW w:w="16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290(46)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Russell T. Campbell, Custodian for Lindsey M. Campbell under OR-UGMA</w:t>
            </w: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tcPr>
          <w:p>
            <w:pPr>
              <w:jc w:val="right"/>
              <w:ind w:right="530"/>
              <w:spacing w:after="0"/>
              <w:rPr>
                <w:sz w:val="20"/>
                <w:szCs w:val="20"/>
                <w:color w:val="auto"/>
              </w:rPr>
            </w:pPr>
            <w:r>
              <w:rPr>
                <w:rFonts w:ascii="Arial" w:cs="Arial" w:eastAsia="Arial" w:hAnsi="Arial"/>
                <w:sz w:val="18"/>
                <w:szCs w:val="18"/>
                <w:color w:val="auto"/>
              </w:rPr>
              <w:t>290(47)</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T. Campbell, Custodian for Tyler W. Campbell under OR-UGMA</w:t>
            </w:r>
          </w:p>
        </w:tc>
        <w:tc>
          <w:tcPr>
            <w:tcW w:w="16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290(48)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Trustees u/a dated 4/23/85 (Richard E. Hook, IV, Grantor)</w:t>
            </w: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tcPr>
          <w:p>
            <w:pPr>
              <w:jc w:val="right"/>
              <w:ind w:right="530"/>
              <w:spacing w:after="0"/>
              <w:rPr>
                <w:sz w:val="20"/>
                <w:szCs w:val="20"/>
                <w:color w:val="auto"/>
              </w:rPr>
            </w:pPr>
            <w:r>
              <w:rPr>
                <w:rFonts w:ascii="Arial" w:cs="Arial" w:eastAsia="Arial" w:hAnsi="Arial"/>
                <w:sz w:val="18"/>
                <w:szCs w:val="18"/>
                <w:color w:val="auto"/>
              </w:rPr>
              <w:t>348(49)</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Taber A. Frederick</w:t>
            </w:r>
          </w:p>
        </w:tc>
        <w:tc>
          <w:tcPr>
            <w:tcW w:w="16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348(50)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P. Douglas Dollenberg, Sr.</w:t>
            </w: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tcPr>
          <w:p>
            <w:pPr>
              <w:jc w:val="right"/>
              <w:ind w:right="530"/>
              <w:spacing w:after="0"/>
              <w:rPr>
                <w:sz w:val="20"/>
                <w:szCs w:val="20"/>
                <w:color w:val="auto"/>
              </w:rPr>
            </w:pPr>
            <w:r>
              <w:rPr>
                <w:rFonts w:ascii="Arial" w:cs="Arial" w:eastAsia="Arial" w:hAnsi="Arial"/>
                <w:sz w:val="18"/>
                <w:szCs w:val="18"/>
                <w:color w:val="auto"/>
              </w:rPr>
              <w:t>1,200(51)</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Terranomics</w:t>
            </w:r>
          </w:p>
        </w:tc>
        <w:tc>
          <w:tcPr>
            <w:tcW w:w="16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3,834(52)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Survivor’s Trust Established under the Merritt &amp; Pamela Sher Living Trust</w:t>
            </w: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tcPr>
          <w:p>
            <w:pPr>
              <w:jc w:val="right"/>
              <w:ind w:right="530"/>
              <w:spacing w:after="0"/>
              <w:rPr>
                <w:sz w:val="20"/>
                <w:szCs w:val="20"/>
                <w:color w:val="auto"/>
              </w:rPr>
            </w:pPr>
            <w:r>
              <w:rPr>
                <w:rFonts w:ascii="Arial" w:cs="Arial" w:eastAsia="Arial" w:hAnsi="Arial"/>
                <w:sz w:val="18"/>
                <w:szCs w:val="18"/>
                <w:color w:val="auto"/>
              </w:rPr>
              <w:t>48,323(53)</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Sher</w:t>
            </w:r>
          </w:p>
        </w:tc>
        <w:tc>
          <w:tcPr>
            <w:tcW w:w="16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105,000(54)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Richard B. Kabat</w:t>
            </w: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tcPr>
          <w:p>
            <w:pPr>
              <w:jc w:val="right"/>
              <w:ind w:right="530"/>
              <w:spacing w:after="0"/>
              <w:rPr>
                <w:sz w:val="20"/>
                <w:szCs w:val="20"/>
                <w:color w:val="auto"/>
              </w:rPr>
            </w:pPr>
            <w:r>
              <w:rPr>
                <w:rFonts w:ascii="Arial" w:cs="Arial" w:eastAsia="Arial" w:hAnsi="Arial"/>
                <w:sz w:val="18"/>
                <w:szCs w:val="18"/>
                <w:color w:val="auto"/>
              </w:rPr>
              <w:t>36,148(55)</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VT Trust (J. Victor Fandel, Trustee)</w:t>
            </w:r>
          </w:p>
        </w:tc>
        <w:tc>
          <w:tcPr>
            <w:tcW w:w="16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13,711(56)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120" w:type="dxa"/>
            <w:vAlign w:val="bottom"/>
          </w:tcPr>
          <w:p>
            <w:pPr>
              <w:spacing w:after="0"/>
              <w:rPr>
                <w:sz w:val="20"/>
                <w:szCs w:val="20"/>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James C. Castillo</w:t>
            </w:r>
          </w:p>
        </w:tc>
        <w:tc>
          <w:tcPr>
            <w:tcW w:w="164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20" w:type="dxa"/>
            <w:vAlign w:val="bottom"/>
          </w:tcPr>
          <w:p>
            <w:pPr>
              <w:jc w:val="right"/>
              <w:ind w:right="530"/>
              <w:spacing w:after="0"/>
              <w:rPr>
                <w:sz w:val="20"/>
                <w:szCs w:val="20"/>
                <w:color w:val="auto"/>
              </w:rPr>
            </w:pPr>
            <w:r>
              <w:rPr>
                <w:rFonts w:ascii="Arial" w:cs="Arial" w:eastAsia="Arial" w:hAnsi="Arial"/>
                <w:sz w:val="18"/>
                <w:szCs w:val="18"/>
                <w:color w:val="auto"/>
              </w:rPr>
              <w:t>2,569(57)</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50"/>
        </w:trPr>
        <w:tc>
          <w:tcPr>
            <w:tcW w:w="6620" w:type="dxa"/>
            <w:vAlign w:val="bottom"/>
            <w:gridSpan w:val="3"/>
          </w:tcPr>
          <w:p>
            <w:pPr>
              <w:jc w:val="right"/>
              <w:ind w:right="960"/>
              <w:spacing w:after="0"/>
              <w:rPr>
                <w:sz w:val="20"/>
                <w:szCs w:val="20"/>
                <w:color w:val="auto"/>
              </w:rPr>
            </w:pPr>
            <w:r>
              <w:rPr>
                <w:rFonts w:ascii="Arial" w:cs="Arial" w:eastAsia="Arial" w:hAnsi="Arial"/>
                <w:sz w:val="18"/>
                <w:szCs w:val="18"/>
                <w:color w:val="auto"/>
              </w:rPr>
              <w:t>5</w:t>
            </w:r>
          </w:p>
        </w:tc>
        <w:tc>
          <w:tcPr>
            <w:tcW w:w="16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140"/>
          </w:cols>
          <w:pgMar w:left="320" w:top="446" w:right="4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980" w:type="dxa"/>
            <w:vAlign w:val="bottom"/>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1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466"/>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5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Cori Linn</w:t>
            </w:r>
          </w:p>
        </w:tc>
        <w:tc>
          <w:tcPr>
            <w:tcW w:w="13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2,377(58)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Kenneth A. Bloch</w:t>
            </w:r>
          </w:p>
        </w:tc>
        <w:tc>
          <w:tcPr>
            <w:tcW w:w="130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tcPr>
          <w:p>
            <w:pPr>
              <w:jc w:val="right"/>
              <w:ind w:right="510"/>
              <w:spacing w:after="0"/>
              <w:rPr>
                <w:sz w:val="20"/>
                <w:szCs w:val="20"/>
                <w:color w:val="auto"/>
              </w:rPr>
            </w:pPr>
            <w:r>
              <w:rPr>
                <w:rFonts w:ascii="Arial" w:cs="Arial" w:eastAsia="Arial" w:hAnsi="Arial"/>
                <w:sz w:val="18"/>
                <w:szCs w:val="18"/>
                <w:color w:val="auto"/>
              </w:rPr>
              <w:t>4,360(59)</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D. Blum</w:t>
            </w:r>
          </w:p>
        </w:tc>
        <w:tc>
          <w:tcPr>
            <w:tcW w:w="13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864(60)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Thomas Bomar</w:t>
            </w:r>
          </w:p>
        </w:tc>
        <w:tc>
          <w:tcPr>
            <w:tcW w:w="130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tcPr>
          <w:p>
            <w:pPr>
              <w:jc w:val="right"/>
              <w:ind w:right="510"/>
              <w:spacing w:after="0"/>
              <w:rPr>
                <w:sz w:val="20"/>
                <w:szCs w:val="20"/>
                <w:color w:val="auto"/>
              </w:rPr>
            </w:pPr>
            <w:r>
              <w:rPr>
                <w:rFonts w:ascii="Arial" w:cs="Arial" w:eastAsia="Arial" w:hAnsi="Arial"/>
                <w:sz w:val="18"/>
                <w:szCs w:val="18"/>
                <w:color w:val="auto"/>
              </w:rPr>
              <w:t>864(61)</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 Culbertson Revocable Trust (B.L. Culbertson, Trustee)</w:t>
            </w:r>
          </w:p>
        </w:tc>
        <w:tc>
          <w:tcPr>
            <w:tcW w:w="13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864(62)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The Fazekas Living Trust (Thomas Fazekas, Trustee)</w:t>
            </w:r>
          </w:p>
        </w:tc>
        <w:tc>
          <w:tcPr>
            <w:tcW w:w="130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tcPr>
          <w:p>
            <w:pPr>
              <w:jc w:val="right"/>
              <w:ind w:right="510"/>
              <w:spacing w:after="0"/>
              <w:rPr>
                <w:sz w:val="20"/>
                <w:szCs w:val="20"/>
                <w:color w:val="auto"/>
              </w:rPr>
            </w:pPr>
            <w:r>
              <w:rPr>
                <w:rFonts w:ascii="Arial" w:cs="Arial" w:eastAsia="Arial" w:hAnsi="Arial"/>
                <w:sz w:val="18"/>
                <w:szCs w:val="18"/>
                <w:color w:val="auto"/>
              </w:rPr>
              <w:t>864(63)</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 &amp; S.M. Javaras Trust (A.N. Javaras, Trustee)</w:t>
            </w:r>
          </w:p>
        </w:tc>
        <w:tc>
          <w:tcPr>
            <w:tcW w:w="13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864(64)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Peter &amp; Sarah Morse 2016 Trust</w:t>
            </w:r>
          </w:p>
        </w:tc>
        <w:tc>
          <w:tcPr>
            <w:tcW w:w="130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tcPr>
          <w:p>
            <w:pPr>
              <w:jc w:val="right"/>
              <w:ind w:right="510"/>
              <w:spacing w:after="0"/>
              <w:rPr>
                <w:sz w:val="20"/>
                <w:szCs w:val="20"/>
                <w:color w:val="auto"/>
              </w:rPr>
            </w:pPr>
            <w:r>
              <w:rPr>
                <w:rFonts w:ascii="Arial" w:cs="Arial" w:eastAsia="Arial" w:hAnsi="Arial"/>
                <w:sz w:val="18"/>
                <w:szCs w:val="18"/>
                <w:color w:val="auto"/>
              </w:rPr>
              <w:t>2,292(65)</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David Naggar Living Trust</w:t>
            </w:r>
          </w:p>
        </w:tc>
        <w:tc>
          <w:tcPr>
            <w:tcW w:w="13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864(66)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Bruce C. Spikell Trust, UDT 9/13/10 (Bruce C. Spikell, Trustee)</w:t>
            </w:r>
          </w:p>
        </w:tc>
        <w:tc>
          <w:tcPr>
            <w:tcW w:w="130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tcPr>
          <w:p>
            <w:pPr>
              <w:jc w:val="right"/>
              <w:ind w:right="510"/>
              <w:spacing w:after="0"/>
              <w:rPr>
                <w:sz w:val="20"/>
                <w:szCs w:val="20"/>
                <w:color w:val="auto"/>
              </w:rPr>
            </w:pPr>
            <w:r>
              <w:rPr>
                <w:rFonts w:ascii="Arial" w:cs="Arial" w:eastAsia="Arial" w:hAnsi="Arial"/>
                <w:sz w:val="18"/>
                <w:szCs w:val="18"/>
                <w:color w:val="auto"/>
              </w:rPr>
              <w:t>864(67)</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&amp; P Steuart Trust dated 9/13/11 (William &amp; Pamela Steuart, Co-Trustees)</w:t>
            </w:r>
          </w:p>
        </w:tc>
        <w:tc>
          <w:tcPr>
            <w:tcW w:w="13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1,836(68)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Sandra Williamson</w:t>
            </w:r>
          </w:p>
        </w:tc>
        <w:tc>
          <w:tcPr>
            <w:tcW w:w="130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tcPr>
          <w:p>
            <w:pPr>
              <w:jc w:val="right"/>
              <w:ind w:right="510"/>
              <w:spacing w:after="0"/>
              <w:rPr>
                <w:sz w:val="20"/>
                <w:szCs w:val="20"/>
                <w:color w:val="auto"/>
              </w:rPr>
            </w:pPr>
            <w:r>
              <w:rPr>
                <w:rFonts w:ascii="Arial" w:cs="Arial" w:eastAsia="Arial" w:hAnsi="Arial"/>
                <w:sz w:val="18"/>
                <w:szCs w:val="18"/>
                <w:color w:val="auto"/>
              </w:rPr>
              <w:t>3,749(69)</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Lynne Bremer</w:t>
            </w:r>
          </w:p>
        </w:tc>
        <w:tc>
          <w:tcPr>
            <w:tcW w:w="13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216(70)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Lacey Sher</w:t>
            </w:r>
          </w:p>
        </w:tc>
        <w:tc>
          <w:tcPr>
            <w:tcW w:w="130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tcPr>
          <w:p>
            <w:pPr>
              <w:jc w:val="right"/>
              <w:ind w:right="510"/>
              <w:spacing w:after="0"/>
              <w:rPr>
                <w:sz w:val="20"/>
                <w:szCs w:val="20"/>
                <w:color w:val="auto"/>
              </w:rPr>
            </w:pPr>
            <w:r>
              <w:rPr>
                <w:rFonts w:ascii="Arial" w:cs="Arial" w:eastAsia="Arial" w:hAnsi="Arial"/>
                <w:sz w:val="18"/>
                <w:szCs w:val="18"/>
                <w:color w:val="auto"/>
              </w:rPr>
              <w:t>4,334(71)</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L. Seiler</w:t>
            </w:r>
          </w:p>
        </w:tc>
        <w:tc>
          <w:tcPr>
            <w:tcW w:w="13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718(72)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Colton M. Rodoski</w:t>
            </w:r>
          </w:p>
        </w:tc>
        <w:tc>
          <w:tcPr>
            <w:tcW w:w="130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tcPr>
          <w:p>
            <w:pPr>
              <w:jc w:val="right"/>
              <w:ind w:right="510"/>
              <w:spacing w:after="0"/>
              <w:rPr>
                <w:sz w:val="20"/>
                <w:szCs w:val="20"/>
                <w:color w:val="auto"/>
              </w:rPr>
            </w:pPr>
            <w:r>
              <w:rPr>
                <w:rFonts w:ascii="Arial" w:cs="Arial" w:eastAsia="Arial" w:hAnsi="Arial"/>
                <w:sz w:val="18"/>
                <w:szCs w:val="18"/>
                <w:color w:val="auto"/>
              </w:rPr>
              <w:t>3,048(73)</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Rebecca Wellington</w:t>
            </w:r>
          </w:p>
        </w:tc>
        <w:tc>
          <w:tcPr>
            <w:tcW w:w="13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3,048(74)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Nigel Sher</w:t>
            </w:r>
          </w:p>
        </w:tc>
        <w:tc>
          <w:tcPr>
            <w:tcW w:w="130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tcPr>
          <w:p>
            <w:pPr>
              <w:jc w:val="right"/>
              <w:ind w:right="510"/>
              <w:spacing w:after="0"/>
              <w:rPr>
                <w:sz w:val="20"/>
                <w:szCs w:val="20"/>
                <w:color w:val="auto"/>
              </w:rPr>
            </w:pPr>
            <w:r>
              <w:rPr>
                <w:rFonts w:ascii="Arial" w:cs="Arial" w:eastAsia="Arial" w:hAnsi="Arial"/>
                <w:sz w:val="18"/>
                <w:szCs w:val="18"/>
                <w:color w:val="auto"/>
              </w:rPr>
              <w:t>1,849(75)</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Seiler Family Revocable Trust</w:t>
            </w:r>
          </w:p>
        </w:tc>
        <w:tc>
          <w:tcPr>
            <w:tcW w:w="13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718(76)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Circe Sher</w:t>
            </w:r>
          </w:p>
        </w:tc>
        <w:tc>
          <w:tcPr>
            <w:tcW w:w="130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tcPr>
          <w:p>
            <w:pPr>
              <w:jc w:val="right"/>
              <w:ind w:right="510"/>
              <w:spacing w:after="0"/>
              <w:rPr>
                <w:sz w:val="20"/>
                <w:szCs w:val="20"/>
                <w:color w:val="auto"/>
              </w:rPr>
            </w:pPr>
            <w:r>
              <w:rPr>
                <w:rFonts w:ascii="Arial" w:cs="Arial" w:eastAsia="Arial" w:hAnsi="Arial"/>
                <w:sz w:val="18"/>
                <w:szCs w:val="18"/>
                <w:color w:val="auto"/>
              </w:rPr>
              <w:t>4,334(77)</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V. Palevich and Kathleen J. Palevich Trust</w:t>
            </w:r>
          </w:p>
        </w:tc>
        <w:tc>
          <w:tcPr>
            <w:tcW w:w="13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1,473(78)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Alexander R. Buck</w:t>
            </w:r>
          </w:p>
        </w:tc>
        <w:tc>
          <w:tcPr>
            <w:tcW w:w="130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tcPr>
          <w:p>
            <w:pPr>
              <w:jc w:val="right"/>
              <w:ind w:right="510"/>
              <w:spacing w:after="0"/>
              <w:rPr>
                <w:sz w:val="20"/>
                <w:szCs w:val="20"/>
                <w:color w:val="auto"/>
              </w:rPr>
            </w:pPr>
            <w:r>
              <w:rPr>
                <w:rFonts w:ascii="Arial" w:cs="Arial" w:eastAsia="Arial" w:hAnsi="Arial"/>
                <w:sz w:val="18"/>
                <w:szCs w:val="18"/>
                <w:color w:val="auto"/>
              </w:rPr>
              <w:t>1,600(79)</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Jeremy Buck</w:t>
            </w:r>
          </w:p>
        </w:tc>
        <w:tc>
          <w:tcPr>
            <w:tcW w:w="13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2,500(80)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Lindsay Buck</w:t>
            </w:r>
          </w:p>
        </w:tc>
        <w:tc>
          <w:tcPr>
            <w:tcW w:w="130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tcPr>
          <w:p>
            <w:pPr>
              <w:jc w:val="right"/>
              <w:ind w:right="510"/>
              <w:spacing w:after="0"/>
              <w:rPr>
                <w:sz w:val="20"/>
                <w:szCs w:val="20"/>
                <w:color w:val="auto"/>
              </w:rPr>
            </w:pPr>
            <w:r>
              <w:rPr>
                <w:rFonts w:ascii="Arial" w:cs="Arial" w:eastAsia="Arial" w:hAnsi="Arial"/>
                <w:sz w:val="18"/>
                <w:szCs w:val="18"/>
                <w:color w:val="auto"/>
              </w:rPr>
              <w:t>2,852(81)</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02"/>
        </w:trPr>
        <w:tc>
          <w:tcPr>
            <w:tcW w:w="120" w:type="dxa"/>
            <w:vAlign w:val="bottom"/>
          </w:tcPr>
          <w:p>
            <w:pPr>
              <w:spacing w:after="0"/>
              <w:rPr>
                <w:sz w:val="17"/>
                <w:szCs w:val="17"/>
                <w:color w:val="auto"/>
              </w:rPr>
            </w:pPr>
          </w:p>
        </w:tc>
        <w:tc>
          <w:tcPr>
            <w:tcW w:w="6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Dorothy Beer Lodato as Trustee of The Frank J. Lodato Bypass Trust created under the</w:t>
            </w:r>
          </w:p>
        </w:tc>
        <w:tc>
          <w:tcPr>
            <w:tcW w:w="13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6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terms of The Frank J. Lodato Trust dated March 30, 1976, as amended</w:t>
            </w:r>
          </w:p>
        </w:tc>
        <w:tc>
          <w:tcPr>
            <w:tcW w:w="13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16,769(82)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02"/>
        </w:trPr>
        <w:tc>
          <w:tcPr>
            <w:tcW w:w="120" w:type="dxa"/>
            <w:vAlign w:val="bottom"/>
          </w:tcPr>
          <w:p>
            <w:pPr>
              <w:spacing w:after="0"/>
              <w:rPr>
                <w:sz w:val="17"/>
                <w:szCs w:val="17"/>
                <w:color w:val="auto"/>
              </w:rPr>
            </w:pPr>
          </w:p>
        </w:tc>
        <w:tc>
          <w:tcPr>
            <w:tcW w:w="6860" w:type="dxa"/>
            <w:vAlign w:val="bottom"/>
            <w:gridSpan w:val="2"/>
          </w:tcPr>
          <w:p>
            <w:pPr>
              <w:spacing w:after="0" w:line="201" w:lineRule="exact"/>
              <w:rPr>
                <w:sz w:val="20"/>
                <w:szCs w:val="20"/>
                <w:color w:val="auto"/>
              </w:rPr>
            </w:pPr>
            <w:r>
              <w:rPr>
                <w:rFonts w:ascii="Arial" w:cs="Arial" w:eastAsia="Arial" w:hAnsi="Arial"/>
                <w:sz w:val="18"/>
                <w:szCs w:val="18"/>
                <w:color w:val="auto"/>
              </w:rPr>
              <w:t>Jane Bush Miller, Trustee of the Jane Buch Miiler Trust dated August 7, 1990 as</w:t>
            </w:r>
          </w:p>
        </w:tc>
        <w:tc>
          <w:tcPr>
            <w:tcW w:w="1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6860" w:type="dxa"/>
            <w:vAlign w:val="bottom"/>
            <w:gridSpan w:val="2"/>
          </w:tcPr>
          <w:p>
            <w:pPr>
              <w:ind w:left="180"/>
              <w:spacing w:after="0"/>
              <w:rPr>
                <w:sz w:val="20"/>
                <w:szCs w:val="20"/>
                <w:color w:val="auto"/>
              </w:rPr>
            </w:pPr>
            <w:r>
              <w:rPr>
                <w:rFonts w:ascii="Arial" w:cs="Arial" w:eastAsia="Arial" w:hAnsi="Arial"/>
                <w:sz w:val="18"/>
                <w:szCs w:val="18"/>
                <w:color w:val="auto"/>
              </w:rPr>
              <w:t>amended on December 23, 1996</w:t>
            </w:r>
          </w:p>
        </w:tc>
        <w:tc>
          <w:tcPr>
            <w:tcW w:w="130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tcPr>
          <w:p>
            <w:pPr>
              <w:jc w:val="right"/>
              <w:ind w:right="510"/>
              <w:spacing w:after="0"/>
              <w:rPr>
                <w:sz w:val="20"/>
                <w:szCs w:val="20"/>
                <w:color w:val="auto"/>
              </w:rPr>
            </w:pPr>
            <w:r>
              <w:rPr>
                <w:rFonts w:ascii="Arial" w:cs="Arial" w:eastAsia="Arial" w:hAnsi="Arial"/>
                <w:sz w:val="18"/>
                <w:szCs w:val="18"/>
                <w:color w:val="auto"/>
              </w:rPr>
              <w:t>16,769(83)</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Janet M. Gunn and Karl Isacson, Co-Trustees of the Charles H. Gunn Revocable Trust</w:t>
            </w:r>
          </w:p>
        </w:tc>
        <w:tc>
          <w:tcPr>
            <w:tcW w:w="13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21,769(84)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Elizabeth M. McCarthy, a married women, as her separate property</w:t>
            </w:r>
          </w:p>
        </w:tc>
        <w:tc>
          <w:tcPr>
            <w:tcW w:w="130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tcPr>
          <w:p>
            <w:pPr>
              <w:jc w:val="right"/>
              <w:ind w:right="510"/>
              <w:spacing w:after="0"/>
              <w:rPr>
                <w:sz w:val="20"/>
                <w:szCs w:val="20"/>
                <w:color w:val="auto"/>
              </w:rPr>
            </w:pPr>
            <w:r>
              <w:rPr>
                <w:rFonts w:ascii="Arial" w:cs="Arial" w:eastAsia="Arial" w:hAnsi="Arial"/>
                <w:sz w:val="18"/>
                <w:szCs w:val="18"/>
                <w:color w:val="auto"/>
              </w:rPr>
              <w:t>11,238(85)</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Lindley H. Miller, III, as Trustee udner Declaration of Trust dated May 10, 1996</w:t>
            </w:r>
          </w:p>
        </w:tc>
        <w:tc>
          <w:tcPr>
            <w:tcW w:w="13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11,238(86)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Ernest M. Carter</w:t>
            </w:r>
          </w:p>
        </w:tc>
        <w:tc>
          <w:tcPr>
            <w:tcW w:w="130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tcPr>
          <w:p>
            <w:pPr>
              <w:jc w:val="right"/>
              <w:ind w:right="510"/>
              <w:spacing w:after="0"/>
              <w:rPr>
                <w:sz w:val="20"/>
                <w:szCs w:val="20"/>
                <w:color w:val="auto"/>
              </w:rPr>
            </w:pPr>
            <w:r>
              <w:rPr>
                <w:rFonts w:ascii="Arial" w:cs="Arial" w:eastAsia="Arial" w:hAnsi="Arial"/>
                <w:sz w:val="18"/>
                <w:szCs w:val="18"/>
                <w:color w:val="auto"/>
              </w:rPr>
              <w:t>1,000(87)</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Benjamin Weiner</w:t>
            </w:r>
          </w:p>
        </w:tc>
        <w:tc>
          <w:tcPr>
            <w:tcW w:w="13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30,508(88)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Elaine Price</w:t>
            </w:r>
          </w:p>
        </w:tc>
        <w:tc>
          <w:tcPr>
            <w:tcW w:w="130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tcPr>
          <w:p>
            <w:pPr>
              <w:jc w:val="right"/>
              <w:ind w:right="510"/>
              <w:spacing w:after="0"/>
              <w:rPr>
                <w:sz w:val="20"/>
                <w:szCs w:val="20"/>
                <w:color w:val="auto"/>
              </w:rPr>
            </w:pPr>
            <w:r>
              <w:rPr>
                <w:rFonts w:ascii="Arial" w:cs="Arial" w:eastAsia="Arial" w:hAnsi="Arial"/>
                <w:sz w:val="18"/>
                <w:szCs w:val="18"/>
                <w:color w:val="auto"/>
              </w:rPr>
              <w:t>2,026(89)</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11011 Lee Highway, LLC</w:t>
            </w:r>
          </w:p>
        </w:tc>
        <w:tc>
          <w:tcPr>
            <w:tcW w:w="13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102,692(90)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12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Lee Highway, LLLP</w:t>
            </w:r>
          </w:p>
        </w:tc>
        <w:tc>
          <w:tcPr>
            <w:tcW w:w="1300" w:type="dxa"/>
            <w:vAlign w:val="bottom"/>
          </w:tcPr>
          <w:p>
            <w:pPr>
              <w:jc w:val="right"/>
              <w:ind w:right="530"/>
              <w:spacing w:after="0"/>
              <w:rPr>
                <w:sz w:val="20"/>
                <w:szCs w:val="20"/>
                <w:color w:val="auto"/>
              </w:rPr>
            </w:pPr>
            <w:r>
              <w:rPr>
                <w:rFonts w:ascii="Arial" w:cs="Arial" w:eastAsia="Arial" w:hAnsi="Arial"/>
                <w:sz w:val="18"/>
                <w:szCs w:val="18"/>
                <w:color w:val="auto"/>
              </w:rPr>
              <w:t>0</w:t>
            </w:r>
          </w:p>
        </w:tc>
        <w:tc>
          <w:tcPr>
            <w:tcW w:w="2100" w:type="dxa"/>
            <w:vAlign w:val="bottom"/>
          </w:tcPr>
          <w:p>
            <w:pPr>
              <w:jc w:val="right"/>
              <w:ind w:right="510"/>
              <w:spacing w:after="0"/>
              <w:rPr>
                <w:sz w:val="20"/>
                <w:szCs w:val="20"/>
                <w:color w:val="auto"/>
              </w:rPr>
            </w:pPr>
            <w:r>
              <w:rPr>
                <w:rFonts w:ascii="Arial" w:cs="Arial" w:eastAsia="Arial" w:hAnsi="Arial"/>
                <w:sz w:val="18"/>
                <w:szCs w:val="18"/>
                <w:color w:val="auto"/>
              </w:rPr>
              <w:t>60,630(91)</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14" w:lineRule="exact"/>
        <w:rPr>
          <w:sz w:val="20"/>
          <w:szCs w:val="20"/>
          <w:color w:val="auto"/>
        </w:rPr>
      </w:pPr>
    </w:p>
    <w:p>
      <w:pPr>
        <w:ind w:left="540" w:right="160" w:hanging="424"/>
        <w:spacing w:after="0" w:line="254"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set forth in this column is partially based on information in the records of the transfer agent and registrar for the common shares on or about May 7, 2021 with respect to the common shares held of record by certain of the selling shareholders. The amount of common shares beneficially owned by each selling shareholder is unknown and not reasonably available, and obtaining such information would require unreasonable effort.</w:t>
      </w:r>
    </w:p>
    <w:p>
      <w:pPr>
        <w:spacing w:after="0" w:line="2" w:lineRule="exact"/>
        <w:rPr>
          <w:rFonts w:ascii="Arial" w:cs="Arial" w:eastAsia="Arial" w:hAnsi="Arial"/>
          <w:sz w:val="18"/>
          <w:szCs w:val="18"/>
          <w:color w:val="auto"/>
        </w:rPr>
      </w:pPr>
    </w:p>
    <w:p>
      <w:pPr>
        <w:ind w:left="540" w:right="140" w:hanging="424"/>
        <w:spacing w:after="0" w:line="26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the common shares issuable upon (i) conversion (upon the election of the preferred shareholders) as of the date hereof of all outstanding preferred shares and (ii) redemption (upon the election of the downREIT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46"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60"/>
        <w:spacing w:after="0" w:line="258" w:lineRule="auto"/>
        <w:rPr>
          <w:sz w:val="20"/>
          <w:szCs w:val="20"/>
          <w:color w:val="auto"/>
        </w:rPr>
      </w:pPr>
      <w:r>
        <w:rPr>
          <w:rFonts w:ascii="Arial" w:cs="Arial" w:eastAsia="Arial" w:hAnsi="Arial"/>
          <w:sz w:val="18"/>
          <w:szCs w:val="18"/>
          <w:color w:val="auto"/>
        </w:rPr>
        <w:t>holders and the election of the registrant to acquire all tendered downREIT units in exchange for common shares) as of the date hereof of all outstanding downREIT units, at the conversion price and redemption price in effect as of the date hereof.</w:t>
      </w:r>
    </w:p>
    <w:p>
      <w:pPr>
        <w:spacing w:after="0" w:line="1" w:lineRule="exact"/>
        <w:rPr>
          <w:sz w:val="20"/>
          <w:szCs w:val="20"/>
          <w:color w:val="auto"/>
        </w:rPr>
      </w:pPr>
    </w:p>
    <w:p>
      <w:pPr>
        <w:ind w:left="540" w:hanging="424"/>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Assuming the sale of all of the common shares being offered under this registration statement.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8,489 downREIT units of NVI-Avenue, LLC.</w:t>
      </w:r>
    </w:p>
    <w:p>
      <w:pPr>
        <w:spacing w:after="0" w:line="20" w:lineRule="exact"/>
        <w:rPr>
          <w:rFonts w:ascii="Arial" w:cs="Arial" w:eastAsia="Arial" w:hAnsi="Arial"/>
          <w:sz w:val="17"/>
          <w:szCs w:val="17"/>
          <w:color w:val="auto"/>
        </w:rPr>
      </w:pPr>
    </w:p>
    <w:p>
      <w:pPr>
        <w:ind w:left="540" w:right="460" w:hanging="424"/>
        <w:spacing w:after="0" w:line="265"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9,757 common shares that are issuable to the selling shareholder upon conversion of 40,860 preferred shares, and 7,023 common shares that are issuable to the selling shareholder upon redemption of 7,023 downREIT units of NVI-Avenue, LLC.</w:t>
      </w:r>
    </w:p>
    <w:p>
      <w:pPr>
        <w:ind w:left="540" w:hanging="424"/>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369 common shares that are issuable to the selling shareholder upon conversion of 1,547 preferred shares, and 656 common shares that are issuable to the selling shareholder upon redemption of 656 downREIT units of NVI-Avenue, LLC.</w:t>
      </w: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8,490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656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7,442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conversion of 140,644 preferred shares.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6,020 downREIT units of NVI-Avenue, LLC.</w:t>
      </w:r>
    </w:p>
    <w:p>
      <w:pPr>
        <w:spacing w:after="0" w:line="20" w:lineRule="exact"/>
        <w:rPr>
          <w:rFonts w:ascii="Arial" w:cs="Arial" w:eastAsia="Arial" w:hAnsi="Arial"/>
          <w:sz w:val="17"/>
          <w:szCs w:val="17"/>
          <w:color w:val="auto"/>
        </w:rPr>
      </w:pPr>
    </w:p>
    <w:p>
      <w:pPr>
        <w:ind w:left="540" w:right="280" w:hanging="424"/>
        <w:spacing w:after="0" w:line="265"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26,868 common shares that are issuable to the selling shareholder upon conversion of 112,515 preferred shares, and 9,647 common shares that are issuable to the selling shareholder upon redemption of 9,647 downREIT units of NVI-Avenue, LLC.</w:t>
      </w: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232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656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7,679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6,020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7,177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6,020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8,489 downREIT units of NVI-Avenue, LLC.</w:t>
      </w:r>
    </w:p>
    <w:p>
      <w:pPr>
        <w:spacing w:after="0" w:line="20" w:lineRule="exact"/>
        <w:rPr>
          <w:rFonts w:ascii="Arial" w:cs="Arial" w:eastAsia="Arial" w:hAnsi="Arial"/>
          <w:sz w:val="17"/>
          <w:szCs w:val="17"/>
          <w:color w:val="auto"/>
        </w:rPr>
      </w:pPr>
    </w:p>
    <w:p>
      <w:pPr>
        <w:ind w:left="540" w:hanging="424"/>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369 common shares that are issuable to the selling shareholder upon conversion of 1,547 preferred shares, and 656 common shares that are issuable to the selling shareholder upon redemption of 656 downREIT units of NVI-Avenue, LLC.</w:t>
      </w:r>
    </w:p>
    <w:p>
      <w:pPr>
        <w:ind w:left="540" w:right="40" w:hanging="424"/>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1,675 common shares that are issuable to the selling shareholder upon conversion of 7,018 preferred shares, and 7,332 common shares that are issuable to the selling shareholder upon redemption of 7,332 downREIT units of NVI-Avenue, LLC.</w:t>
      </w:r>
    </w:p>
    <w:p>
      <w:pPr>
        <w:ind w:left="540" w:right="380" w:hanging="424"/>
        <w:spacing w:after="0" w:line="265"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11,175 common shares that are issuable to the selling shareholder upon conversion of 46,800 preferred shares, and 9,647 common shares that are issuable to the selling shareholder upon redemption of 9,647 downREIT units of NVI-Avenue, LLC.</w:t>
      </w: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2,566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25,467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1,500 downREIT units of NVI-Avenue, LLC.</w:t>
      </w:r>
    </w:p>
    <w:p>
      <w:pPr>
        <w:spacing w:after="0" w:line="1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74"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11,692 common shares that are issuable to the selling shareholder upon conversion of 48,965 preferred shares, and 9,647 common shares that are issuable to the selling shareholder upon redemption of 9,647 downREIT units of NVI-Avenue, LLC.</w:t>
      </w:r>
    </w:p>
    <w:p>
      <w:pPr>
        <w:ind w:left="540" w:hanging="424"/>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6,136 downREIT units of NVI-Avenue, LLC.</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1,201 downREIT units of NVI-Avenue, LLC.</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1,756 downREIT units of NVI-Avenue, LLC.</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3,548 downREIT units of NVI-Avenue, LLC.</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386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386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386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348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64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348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9,647 downREIT units of NVI-Avenue, LLC.</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386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386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386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1,756 downREIT units of NVI-Avenue, LLC.</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348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348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174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290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290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290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290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348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348 downREIT units of NVI-Avenue, LLC</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1,200 downREIT units of NVI-Avenue, LLC.</w:t>
      </w:r>
    </w:p>
    <w:p>
      <w:pPr>
        <w:spacing w:after="0" w:line="32" w:lineRule="exact"/>
        <w:rPr>
          <w:rFonts w:ascii="Arial" w:cs="Arial" w:eastAsia="Arial" w:hAnsi="Arial"/>
          <w:sz w:val="16"/>
          <w:szCs w:val="16"/>
          <w:color w:val="auto"/>
        </w:rPr>
      </w:pPr>
    </w:p>
    <w:p>
      <w:pPr>
        <w:ind w:left="540" w:right="220" w:hanging="424"/>
        <w:spacing w:after="0" w:line="26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3,834 downREIT units of Route 35 Shrewsbury Limited Partnership.</w:t>
      </w:r>
    </w:p>
    <w:p>
      <w:pPr>
        <w:spacing w:after="0" w:line="11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40"/>
          </w:cols>
          <w:pgMar w:left="320" w:top="459" w:right="8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200" w:hanging="424"/>
        <w:spacing w:after="0" w:line="291"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(i) 34,086 downREIT units of Route 35 Shrewsbury Limited Partnership, (ii) 8,119 downREIT units of Shrewsbury Commons L.P., (iii) 5,000 downREIT units of Sea Girt Limited Partnership and</w:t>
      </w:r>
    </w:p>
    <w:p>
      <w:pPr>
        <w:ind w:left="860" w:hanging="312"/>
        <w:spacing w:after="0"/>
        <w:tabs>
          <w:tab w:leader="none" w:pos="860" w:val="left"/>
        </w:tabs>
        <w:numPr>
          <w:ilvl w:val="1"/>
          <w:numId w:val="9"/>
        </w:numPr>
        <w:rPr>
          <w:rFonts w:ascii="Arial" w:cs="Arial" w:eastAsia="Arial" w:hAnsi="Arial"/>
          <w:sz w:val="18"/>
          <w:szCs w:val="18"/>
          <w:color w:val="auto"/>
        </w:rPr>
      </w:pPr>
      <w:r>
        <w:rPr>
          <w:rFonts w:ascii="Arial" w:cs="Arial" w:eastAsia="Arial" w:hAnsi="Arial"/>
          <w:sz w:val="18"/>
          <w:szCs w:val="18"/>
          <w:color w:val="auto"/>
        </w:rPr>
        <w:t>1,118 downREIT units of 35 West, LLC.</w:t>
      </w:r>
    </w:p>
    <w:p>
      <w:pPr>
        <w:spacing w:after="0" w:line="9" w:lineRule="exact"/>
        <w:rPr>
          <w:rFonts w:ascii="Arial" w:cs="Arial" w:eastAsia="Arial" w:hAnsi="Arial"/>
          <w:sz w:val="18"/>
          <w:szCs w:val="18"/>
          <w:color w:val="auto"/>
        </w:rPr>
      </w:pPr>
    </w:p>
    <w:p>
      <w:pPr>
        <w:ind w:left="540" w:right="24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65,433 downREIT units of Route 35 Shrewsbury Limited Partnership and (ii) 39,567 downREIT units of Sea Girt Limited Partnership.</w:t>
      </w:r>
    </w:p>
    <w:p>
      <w:pPr>
        <w:ind w:left="540" w:right="44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36,148 downREIT units of Route 35 Shrewsbury Limited Partnership.</w:t>
      </w:r>
    </w:p>
    <w:p>
      <w:pPr>
        <w:ind w:left="540" w:right="46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13,711 downREIT units of Route 35 Shrewsbury Limited Partnership.</w:t>
      </w:r>
    </w:p>
    <w:p>
      <w:pPr>
        <w:ind w:left="540" w:right="54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2,569 downREIT units of Route 35 Shrewsbury Limited Partnership.</w:t>
      </w:r>
    </w:p>
    <w:p>
      <w:pPr>
        <w:ind w:left="540" w:right="54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2,377 downREIT units of Route 35 Shrewsbury Limited Partnership.</w:t>
      </w:r>
    </w:p>
    <w:p>
      <w:pPr>
        <w:ind w:left="540" w:right="46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432 downREIT units of Route 35 Shrewsbury Limited Partnership and (ii) 3,928 downREIT units of Sea Girt Limited Partnership.</w:t>
      </w:r>
    </w:p>
    <w:p>
      <w:pPr>
        <w:ind w:left="540" w:right="6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540" w:right="6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540" w:right="6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540" w:right="6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540" w:right="6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540" w:right="54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1,728 downREIT units of Route 35 Shrewsbury Limited Partnership and (ii) 564 downREIT units of Sea Girt Limited Partnership.</w:t>
      </w:r>
    </w:p>
    <w:p>
      <w:pPr>
        <w:ind w:left="540" w:right="6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540" w:right="6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540" w:right="54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1,836 downREIT units of Route 35 Shrewsbury Limited Partnership.</w:t>
      </w:r>
    </w:p>
    <w:p>
      <w:pPr>
        <w:ind w:left="540" w:right="340" w:hanging="424"/>
        <w:spacing w:after="0" w:line="281"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(i) 432 downREIT units of Route 35 Shrewsbury Limited Partnership, (ii) 359 downREIT units of Shrewsbury Commons L.P., (iii) 1,964 downREIT units of Sea Girt Limited Partnership and</w:t>
      </w:r>
    </w:p>
    <w:p>
      <w:pPr>
        <w:spacing w:after="0" w:line="1" w:lineRule="exact"/>
        <w:rPr>
          <w:rFonts w:ascii="Arial" w:cs="Arial" w:eastAsia="Arial" w:hAnsi="Arial"/>
          <w:sz w:val="16"/>
          <w:szCs w:val="16"/>
          <w:color w:val="auto"/>
        </w:rPr>
      </w:pPr>
    </w:p>
    <w:p>
      <w:pPr>
        <w:ind w:left="860" w:hanging="312"/>
        <w:spacing w:after="0"/>
        <w:tabs>
          <w:tab w:leader="none" w:pos="860" w:val="left"/>
        </w:tabs>
        <w:numPr>
          <w:ilvl w:val="1"/>
          <w:numId w:val="9"/>
        </w:numPr>
        <w:rPr>
          <w:rFonts w:ascii="Arial" w:cs="Arial" w:eastAsia="Arial" w:hAnsi="Arial"/>
          <w:sz w:val="18"/>
          <w:szCs w:val="18"/>
          <w:color w:val="auto"/>
        </w:rPr>
      </w:pPr>
      <w:r>
        <w:rPr>
          <w:rFonts w:ascii="Arial" w:cs="Arial" w:eastAsia="Arial" w:hAnsi="Arial"/>
          <w:sz w:val="18"/>
          <w:szCs w:val="18"/>
          <w:color w:val="auto"/>
        </w:rPr>
        <w:t>994 downREIT units of 35 West, LLC.</w:t>
      </w:r>
    </w:p>
    <w:p>
      <w:pPr>
        <w:spacing w:after="0" w:line="9"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216 downREIT units of Route 35 Shrewsbury Limited Partnership.</w:t>
      </w:r>
    </w:p>
    <w:p>
      <w:pPr>
        <w:ind w:left="540" w:right="6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897 downREIT units of Shrewsbury Commons L.P. and (ii) 3,437 downREIT units of Sea Girt Limited Partnership.</w:t>
      </w:r>
    </w:p>
    <w:p>
      <w:pPr>
        <w:ind w:left="540" w:hanging="424"/>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718 downREIT units of Shrewsbury Commons L.P.</w:t>
      </w:r>
    </w:p>
    <w:p>
      <w:pPr>
        <w:spacing w:after="0" w:line="32" w:lineRule="exact"/>
        <w:rPr>
          <w:rFonts w:ascii="Arial" w:cs="Arial" w:eastAsia="Arial" w:hAnsi="Arial"/>
          <w:sz w:val="16"/>
          <w:szCs w:val="16"/>
          <w:color w:val="auto"/>
        </w:rPr>
      </w:pPr>
    </w:p>
    <w:p>
      <w:pPr>
        <w:ind w:left="54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359 downREIT units of Shrewsbury Commons L.P., (ii)1,199 downREIT units of Sea Girt Limited Partnership and (iii) 1,490 downREIT units of 35 West, LLC.</w:t>
      </w:r>
    </w:p>
    <w:p>
      <w:pPr>
        <w:ind w:left="540" w:hanging="424"/>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(i) 359 downREIT units of Shrewsbury Commons L.P.,</w:t>
      </w:r>
    </w:p>
    <w:p>
      <w:pPr>
        <w:spacing w:after="0" w:line="32" w:lineRule="exact"/>
        <w:rPr>
          <w:rFonts w:ascii="Arial" w:cs="Arial" w:eastAsia="Arial" w:hAnsi="Arial"/>
          <w:sz w:val="16"/>
          <w:szCs w:val="16"/>
          <w:color w:val="auto"/>
        </w:rPr>
      </w:pPr>
    </w:p>
    <w:p>
      <w:pPr>
        <w:ind w:left="820" w:hanging="272"/>
        <w:spacing w:after="0"/>
        <w:tabs>
          <w:tab w:leader="none" w:pos="8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1,199 downREIT units of Sea Girt Limited Partnership and (iii) 1,490 downREIT units of 35 West, LLC.</w:t>
      </w:r>
    </w:p>
    <w:p>
      <w:pPr>
        <w:spacing w:after="0" w:line="9"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359 downREIT units of Shrewsbury Commons L.P. and (ii) 1,490 downREIT units of 35 West, LLC.</w:t>
      </w:r>
    </w:p>
    <w:p>
      <w:pPr>
        <w:ind w:left="540" w:hanging="424"/>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718 downREIT units of Shrewsbury Commons L.P.</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60"/>
          </w:cols>
          <w:pgMar w:left="320" w:top="459" w:right="5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hanging="424"/>
        <w:spacing w:after="0" w:line="25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897 downREIT units of Shrewsbury Commons L.P. and (ii) 3,437 downREIT units of Sea Girt Limited.</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1,473 downREIT units of Sea Girt Limited Partnership.</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1,600 downREIT units of Federal Realty Partners L.P.</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2,500 downREIT units of Federal Realty Partners L.P.</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2,852 downREIT units of Federal Realty Partners L.P.</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16,769 downREIT units of Federal Realty Partners L.P.</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16,769 downREIT units of Federal Realty Partners L.P.</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21,769 downREIT units of Federal Realty Partners L.P.</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11,238 downREIT units of Federal Realty Partners L.P.</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11,238 downREIT units of Federal Realty Partners L.P.</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1,000 downREIT units of Federal Realty Partners L.P.</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30,508 downREIT units of Federal Realty Partners L.P.</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2,026 downREIT units of Federal Realty Partners L.P.</w:t>
      </w:r>
    </w:p>
    <w:p>
      <w:pPr>
        <w:spacing w:after="0" w:line="32" w:lineRule="exact"/>
        <w:rPr>
          <w:rFonts w:ascii="Arial" w:cs="Arial" w:eastAsia="Arial" w:hAnsi="Arial"/>
          <w:sz w:val="16"/>
          <w:szCs w:val="16"/>
          <w:color w:val="auto"/>
        </w:rPr>
      </w:pPr>
    </w:p>
    <w:p>
      <w:pPr>
        <w:ind w:left="540" w:right="240" w:hanging="424"/>
        <w:spacing w:after="0" w:line="250"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102,692 downREIT units of Federal Realty Partners L.P.</w:t>
      </w:r>
    </w:p>
    <w:p>
      <w:pPr>
        <w:ind w:left="540" w:hanging="424"/>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60,630 downREIT units of Federal Realty Partners L.P.</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following section summarizes the material federal income tax issues that you may consider relevant relating to our taxation as a REIT under the Code, and the acquisition, ownership, and disposition of our common shares. In this section, references to the “Company,” “we,” “us,” “our” and “ours” refer only to Federal Realty Investment Trust and not to the Partnership or its subsidiaries unless the context requires otherwise. In addition, this discussion is written in the context of the Partnership Conversion having already occurred and thus assumes that the Partnership Conversion occurs on January 4, 2022, as expected, unless the context requires otherwise. For any period prior to the Partnership Conversion, references to the Partnership should generally be treated as references to the Predecessor as a disregarded entity of the Company that is not the Partnership.</w:t>
      </w:r>
    </w:p>
    <w:p>
      <w:pPr>
        <w:spacing w:after="0" w:line="164"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beneficial owners of shares subject to the special tax accounting rules under Section 451(b) of the Code, persons that are, or that hold their shares through, partnerships or other pass-through entities, United States persons within the meaning of Section 7701(a)(30) of the Code (“United States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w:t>
      </w:r>
    </w:p>
    <w:p>
      <w:pPr>
        <w:spacing w:after="0" w:line="2"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90"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COMMON SHARES, OUR ELECTION TO BE TAXED AS A REIT AND THE EFFECT OF POTENTIAL CHANGES IN APPLICABLE TAX LAWS.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Predecessor elected to be taxed as a REIT under the federal income tax laws when it filed its 1962 federal income tax return and was organized and operated in a manner intended to qualify as a REIT. We have been organized in a manner intended to qualify as a REIT and we intend to operate in a manner to qualify as a REIT. This section discusses the laws governing the federal income tax treatment of a REIT and its shareholders. These laws are highly technical and complex.</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320" w:top="459" w:right="5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the opinion of our tax counsel, Pillsbury Winthrop Shaw Pittman LLP, (i) the Predecessor qualified as a REIT under Sections 856 through 860 of the Code with respect to each of its taxable years ended through December 31, 2021; and (ii) we are organized in conformity with the requirements for qualification as a REIT under the Code and our current and proposed method of operation and ownership will enable us to meet the requirements for qualification and taxation as a REIT for the current taxable year and for future taxable years, provided that we and the Predecessor have operated and we continue to operate in accordance with various assumptions and factual representations made by us concerning our diversity of share ownership, business, properties and operations. The Predecessor may not, however, have met, and we may not continue to meet, such requirements. You should be aware that opinions of counsel are not binding on the Internal Revenue Service (“IRS”) or any court. Our qualification as a REIT depends on the Predecessor having met and our ability to meet, on a continuing basis, certain qualification tests set forth in the federal tax laws. Those qualification tests involve the percentage of income earned from specified sources, the percentage of assets that fall within certain categories, the diversity of the ownership of the Predecessor’s and our shares, and the percentage of earnings distributed. We describe the current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6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214" w:lineRule="exact"/>
        <w:rPr>
          <w:sz w:val="20"/>
          <w:szCs w:val="20"/>
          <w:color w:val="auto"/>
        </w:rPr>
      </w:pPr>
    </w:p>
    <w:p>
      <w:pPr>
        <w:ind w:left="1080" w:right="4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197" w:lineRule="exact"/>
        <w:rPr>
          <w:rFonts w:ascii="Arial" w:cs="Arial" w:eastAsia="Arial" w:hAnsi="Arial"/>
          <w:sz w:val="18"/>
          <w:szCs w:val="18"/>
          <w:color w:val="auto"/>
        </w:rPr>
      </w:pPr>
    </w:p>
    <w:p>
      <w:pPr>
        <w:ind w:left="1080" w:right="20" w:hanging="424"/>
        <w:spacing w:after="0" w:line="286"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192" w:lineRule="exact"/>
        <w:rPr>
          <w:rFonts w:ascii="Arial" w:cs="Arial" w:eastAsia="Arial" w:hAnsi="Arial"/>
          <w:sz w:val="17"/>
          <w:szCs w:val="17"/>
          <w:color w:val="auto"/>
        </w:rPr>
      </w:pPr>
    </w:p>
    <w:p>
      <w:pPr>
        <w:ind w:left="1080" w:right="26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197"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197"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will pay a 100% excise tax on transactions with a “taxable REIT subsidiary” that are not conducted on an arm’s-length basis;</w:t>
      </w:r>
    </w:p>
    <w:p>
      <w:pPr>
        <w:spacing w:after="0" w:line="263" w:lineRule="exact"/>
        <w:rPr>
          <w:rFonts w:ascii="Arial" w:cs="Arial" w:eastAsia="Arial" w:hAnsi="Arial"/>
          <w:sz w:val="17"/>
          <w:szCs w:val="17"/>
          <w:color w:val="auto"/>
        </w:rPr>
      </w:pPr>
    </w:p>
    <w:p>
      <w:pPr>
        <w:ind w:left="1080" w:right="100" w:hanging="424"/>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satisfy the 75% gross income test or the 95% gross income test (as described below under “—Requirements for REIT Qualification —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213" w:lineRule="exact"/>
        <w:rPr>
          <w:rFonts w:ascii="Arial" w:cs="Arial" w:eastAsia="Arial" w:hAnsi="Arial"/>
          <w:sz w:val="18"/>
          <w:szCs w:val="18"/>
          <w:color w:val="auto"/>
        </w:rPr>
      </w:pPr>
    </w:p>
    <w:p>
      <w:pPr>
        <w:ind w:left="1080" w:right="60" w:hanging="424"/>
        <w:spacing w:after="0" w:line="279"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86"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92" w:lineRule="exact"/>
        <w:rPr>
          <w:rFonts w:ascii="Arial" w:cs="Arial" w:eastAsia="Arial" w:hAnsi="Arial"/>
          <w:sz w:val="17"/>
          <w:szCs w:val="17"/>
          <w:color w:val="auto"/>
        </w:rPr>
      </w:pPr>
    </w:p>
    <w:p>
      <w:pPr>
        <w:ind w:left="1080" w:right="40" w:hanging="424"/>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213"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197"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252" w:lineRule="exact"/>
        <w:rPr>
          <w:rFonts w:ascii="Arial" w:cs="Arial" w:eastAsia="Arial" w:hAnsi="Arial"/>
          <w:sz w:val="18"/>
          <w:szCs w:val="18"/>
          <w:color w:val="auto"/>
        </w:rPr>
      </w:pPr>
    </w:p>
    <w:p>
      <w:pPr>
        <w:ind w:left="1080" w:right="60" w:hanging="424"/>
        <w:spacing w:after="0" w:line="273"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252"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252"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197"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197"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197" w:lineRule="exact"/>
        <w:rPr>
          <w:rFonts w:ascii="Arial" w:cs="Arial" w:eastAsia="Arial" w:hAnsi="Arial"/>
          <w:sz w:val="18"/>
          <w:szCs w:val="18"/>
          <w:color w:val="auto"/>
        </w:rPr>
      </w:pPr>
    </w:p>
    <w:p>
      <w:pPr>
        <w:ind w:left="1080" w:right="940" w:hanging="532"/>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profit-sharing trust under Code Section 401(a), and beneficiaries of such a trust will be treated as holding our shares in proportion to their actuarial interests in the trust for purposes of the 5/50 Rule.</w:t>
      </w:r>
    </w:p>
    <w:p>
      <w:pPr>
        <w:spacing w:after="0" w:line="176"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our Annual Report on Form 10-K for the fiscal year ended December 31, 2020 under the caption “Risk Factors – To maintain our status as a REIT, we limit the amount of shares any one shareholder can own.”</w:t>
      </w:r>
    </w:p>
    <w:p>
      <w:pPr>
        <w:spacing w:after="0" w:line="15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currently have no direct corporate subsidiaries but may have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the capital shares of which are owned by the parent REIT, unless we and the subsidiary have jointly elected to have it treated as a “taxable REIT subsidiary.” A REIT is not treated as directly holding the assets of a taxable REIT subsidiary or as directly receiving any income that the taxable REIT subsidiary earns. Rather, the stock issued by each of our taxable REIT subsidiaries is an asset in our hands, and we generally recognize as income the dividends, if any, that we receive from our taxable REIT subsidiaries. A taxable REIT subsidiary is treated separately from us and will be subject to federal corporate income taxation. In contrast, in applying the requirements described herein, any qualified REIT subsidiary of ours will be ignored, and all assets, liabilities, and items of income, deduction, and credit of such subsidiary will be treated as our assets, liabilities, and items of income, deduction, and credit. Accordingly, any qualified REIT subsidiaries we could have in the future would not be subject to federal corporate income taxation, though they might be subject to state and local taxation.</w:t>
      </w:r>
    </w:p>
    <w:p>
      <w:pPr>
        <w:spacing w:after="0" w:line="18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Initially, the Partnership will be treated as a disregarded entity for federal income tax purposes (but not necessarily for other tax purposes such as employment and excise taxation) because we initially own 100% of the interests in the Partnership, either directly or indirectly through other disregarded entities. We may in the future admit other partners to the Partnership in property contribution transactions, at which time the Partnership will become a partnership for federal income tax purposes, with the consequences described below.</w:t>
      </w:r>
    </w:p>
    <w:p>
      <w:pPr>
        <w:spacing w:after="0" w:line="17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An unincorporated domestic entity, such as a partnership or a limited liability company, with two or more beneficial owners is generally treated as a partnership for federal income tax purposes and the owners are treated as partners for such purposes. For purposes of this discussion as it relates to federal income tax status, references to “partnership” also include a limited liability company treated as a partnership for U.S. federal income tax purposes, and references to “partner” include a member in such a limited liability company. A REIT is treated as owning its proportionate share of the assets of any partnership in which it is a partner and as earning its allocable share of the gross income of the partnership for purposes of the applicable REIT qualification tests. Thus, once the Partnership becomes a regarded entity and a partnership for federal income tax purposes, our proportionate share of the assets and items of income of the Partnership and any other partnership in which we have acquired or will acquire an interest, directly or indirectly (a “Subsidiary Partnership”), are treated as our assets and gross income for purposes of applying the various REIT qualification requirements. Generally, except where the context indicates otherwise, references to the Partnership in this discussion will include Subsidiary Partnerships, although until the Partnership becomes regarded the Partnership will follow the disregarded entity rules described in the prior paragraph while the existing Subsidiary Partnerships that are currently regarded entities will be treated as partnerships. Our proportionate share of an entity treated as a partnership is generally determined, for REIT purposes, based on our percentage interest in partnership equity capital, subject to special rules relating to the 10% asset test described below.</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32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have control of the Partnership and, through the Partnership, intend to control any Subsidiary Partnerships, and we intend to operate them in a manner consistent with the requirements for our qualification as a REIT. However, the Partnership may from time to time be a limited partner or non-managing member in some of the Subsidiary Partnerships. If a Subsidiary Partnership in which the Partnership owns an interest but does not have control takes or expects to take actions that could jeopardize our status as a REIT or require us to pay tax, we may be forced to have the Partnership dispose of its interest in such entity. In addition, it is possible that a Subsidiary Partnership could take an action which could cause us to fail a gross income or asset test and that we would not become aware of such action in time for the Partnership to dispose of its interest in the Subsidiary Partnership or take other corrective action on a timely basis. In that case, we could fail to qualify as a REIT unless we were able to qualify for a statutory REIT “savings” provision, which could require us to pay a significant penalty tax to maintain our REIT qualification.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252" w:lineRule="exact"/>
        <w:rPr>
          <w:sz w:val="20"/>
          <w:szCs w:val="20"/>
          <w:color w:val="auto"/>
        </w:rPr>
      </w:pPr>
    </w:p>
    <w:p>
      <w:pPr>
        <w:ind w:left="1080" w:right="20" w:hanging="424"/>
        <w:spacing w:after="0" w:line="290"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192" w:lineRule="exact"/>
        <w:rPr>
          <w:rFonts w:ascii="Arial" w:cs="Arial" w:eastAsia="Arial" w:hAnsi="Arial"/>
          <w:sz w:val="16"/>
          <w:szCs w:val="16"/>
          <w:color w:val="auto"/>
        </w:rPr>
      </w:pPr>
    </w:p>
    <w:p>
      <w:pPr>
        <w:ind w:left="1080" w:right="40" w:hanging="424"/>
        <w:spacing w:after="0" w:line="273"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 In general, interest from any of our taxable REIT subsidiaries is qualifying income for purposes of the 95% gross income test, but is not qualifying income for purposes of the 75% gross income test unless such interest derives from debt secured by real property.</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The Partnership’s primary source of income derives from leasing properties. There are various limitations on whether rent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 receives from real property that it owns and leases to tenants will qualify as “rents from real property” (which is qualifying income for purposes of the 75% and 95% gross income tests) under the REIT tax rules:</w:t>
      </w:r>
    </w:p>
    <w:p>
      <w:pPr>
        <w:spacing w:after="0" w:line="211" w:lineRule="exact"/>
        <w:rPr>
          <w:sz w:val="20"/>
          <w:szCs w:val="20"/>
          <w:color w:val="auto"/>
        </w:rPr>
      </w:pPr>
    </w:p>
    <w:p>
      <w:pPr>
        <w:ind w:left="1080" w:right="40" w:hanging="424"/>
        <w:spacing w:after="0" w:line="255"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The Partnership has not entered into any lease based in whole or part on the net income of any person and on an ongoing basis will use its best efforts to avoid entering into such arrangements unless, in either instance, we have determined or we determine in our discretion that such arrangements will not jeopardize our status as a REIT;</w:t>
      </w:r>
    </w:p>
    <w:p>
      <w:pPr>
        <w:spacing w:after="0" w:line="219"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in certain limited circumstances involving taxable REIT subsidiaries, if we or someone who owns 10% or more of our shares owns 10% or more of a tenant from whom the Partnership receives rent, the tenant is deemed a “related party tenant,” and the rent paid by the related party tenant will not qualify as “rents from real property.” Our ownership and the ownership of a tenant is determined based on direct,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00"/>
        <w:spacing w:after="0" w:line="288" w:lineRule="auto"/>
        <w:rPr>
          <w:sz w:val="20"/>
          <w:szCs w:val="20"/>
          <w:color w:val="auto"/>
        </w:rPr>
      </w:pPr>
      <w:r>
        <w:rPr>
          <w:rFonts w:ascii="Arial" w:cs="Arial" w:eastAsia="Arial" w:hAnsi="Arial"/>
          <w:sz w:val="16"/>
          <w:szCs w:val="16"/>
          <w:color w:val="auto"/>
        </w:rPr>
        <w:t>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the Partnership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the Partnership has not leased property to any related party tenant, except where it may rent to certain taxable REIT subsidiaries as described below, or where we have determined in our discretion that the rent received from such related party tenant is not material and will not jeopardize our status as a REIT. On an ongoing basis, we will use our best efforts to ensure that the Partnership does not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195" w:lineRule="exact"/>
        <w:rPr>
          <w:sz w:val="20"/>
          <w:szCs w:val="20"/>
          <w:color w:val="auto"/>
        </w:rPr>
      </w:pPr>
    </w:p>
    <w:p>
      <w:pPr>
        <w:ind w:left="1080" w:right="20" w:hanging="424"/>
        <w:spacing w:after="0" w:line="293"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the Partnership by the taxable REIT subsidiary must be substantially comparable to the rents paid by such other persons for comparable space. On an ongoing basis we use and will use our best efforts to ensure that all space leased to our taxable REIT subsidiaries by the Partnership meets these conditions, unless we determine in our discretion that the related party rent received from a taxable REIT subsidiary will not jeopardize our status as a REIT;</w:t>
      </w:r>
    </w:p>
    <w:p>
      <w:pPr>
        <w:spacing w:after="0" w:line="191" w:lineRule="exact"/>
        <w:rPr>
          <w:rFonts w:ascii="Arial" w:cs="Arial" w:eastAsia="Arial" w:hAnsi="Arial"/>
          <w:sz w:val="16"/>
          <w:szCs w:val="16"/>
          <w:color w:val="auto"/>
        </w:rPr>
      </w:pPr>
    </w:p>
    <w:p>
      <w:pPr>
        <w:ind w:left="1080" w:right="20" w:hanging="424"/>
        <w:spacing w:after="0" w:line="289"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the Partnership has not leased a significant amount of personal property under its current leases. If any incidental personal property has been leased, we believe that rent under each lease from the personal property has been no more than 15% of total rent from that lease, and on an ongoing basis we will use our best efforts to avoid having the Partnership lease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 and</w:t>
      </w:r>
    </w:p>
    <w:p>
      <w:pPr>
        <w:spacing w:after="0" w:line="193" w:lineRule="exact"/>
        <w:rPr>
          <w:rFonts w:ascii="Arial" w:cs="Arial" w:eastAsia="Arial" w:hAnsi="Arial"/>
          <w:sz w:val="16"/>
          <w:szCs w:val="16"/>
          <w:color w:val="auto"/>
        </w:rPr>
      </w:pPr>
    </w:p>
    <w:p>
      <w:pPr>
        <w:ind w:left="1080" w:hanging="424"/>
        <w:spacing w:after="0" w:line="269"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general, if the Partnership furnishes or renders services to its tenants, other than through a taxable REIT subsidiary or an “independent contractor” who is adequately compensated and from whom the Partnership does not derive revenue, the income received from the tenants may not be deemed “rents from real property.” In general, the Partnership may provide services directly, if the services are “usually or customarily rendered” in connection with the rental of space for occupancy only and are not otherwise considered to be provided for the tenant’s convenience. In addition, the Partnership may render directly a de minimis amount of “non-customary” services to the tenants of a property without disqualifying the income as “rents from real property,” as long as its income from the services does not exceed 1% of the income from the related property. We believe that the Partnership has not provided services to leased properties that have caused rents to be disqualified as rents from real property, and on an ongoing basis in the future, we will use our best efforts to determine in our discretion that any services provided by the Partnership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82"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Based on, and subject to, the foregoing, we believe that rent from the Partnership’s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Partnership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the Partnership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the Partnership agreed to acquire the loan.</w:t>
      </w:r>
    </w:p>
    <w:p>
      <w:pPr>
        <w:spacing w:after="0" w:line="179"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Our share of any dividends received from any corporation (including any taxable REIT subsidiary, but excluding any REIT)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4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“Foreclosure property” is any real property (including interests in real property) and any personal property incident to such real property:</w:t>
      </w:r>
    </w:p>
    <w:p>
      <w:pPr>
        <w:spacing w:after="0" w:line="264" w:lineRule="exact"/>
        <w:rPr>
          <w:sz w:val="20"/>
          <w:szCs w:val="20"/>
          <w:color w:val="auto"/>
        </w:rPr>
      </w:pPr>
    </w:p>
    <w:p>
      <w:pPr>
        <w:ind w:left="1080" w:right="280" w:hanging="424"/>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150" w:lineRule="exact"/>
        <w:rPr>
          <w:rFonts w:ascii="Arial" w:cs="Arial" w:eastAsia="Arial" w:hAnsi="Arial"/>
          <w:sz w:val="16"/>
          <w:szCs w:val="16"/>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211" w:lineRule="exact"/>
        <w:rPr>
          <w:sz w:val="20"/>
          <w:szCs w:val="20"/>
          <w:color w:val="auto"/>
        </w:rPr>
      </w:pPr>
    </w:p>
    <w:p>
      <w:pPr>
        <w:ind w:left="1080" w:right="5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197"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308"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173" w:lineRule="exact"/>
        <w:rPr>
          <w:rFonts w:ascii="Arial" w:cs="Arial" w:eastAsia="Arial" w:hAnsi="Arial"/>
          <w:sz w:val="17"/>
          <w:szCs w:val="17"/>
          <w:color w:val="auto"/>
        </w:rPr>
      </w:pPr>
    </w:p>
    <w:p>
      <w:pPr>
        <w:ind w:left="1080" w:right="6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84"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b w:val="1"/>
          <w:bCs w:val="1"/>
          <w:i w:val="1"/>
          <w:iCs w:val="1"/>
          <w:color w:val="auto"/>
        </w:rPr>
        <w:t xml:space="preserve">Tax on Prohibited Transactions. </w:t>
      </w:r>
      <w:r>
        <w:rPr>
          <w:rFonts w:ascii="Arial" w:cs="Arial" w:eastAsia="Arial" w:hAnsi="Arial"/>
          <w:sz w:val="17"/>
          <w:szCs w:val="17"/>
          <w:color w:val="auto"/>
        </w:rPr>
        <w:t>A REIT will incur a 100% tax on net income (taking into account foreign currency gains and losses) derived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any “prohibited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the Partnership’s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77" w:lineRule="exact"/>
        <w:rPr>
          <w:sz w:val="20"/>
          <w:szCs w:val="20"/>
          <w:color w:val="auto"/>
        </w:rPr>
      </w:pPr>
    </w:p>
    <w:p>
      <w:pPr>
        <w:ind w:left="120" w:right="80" w:firstLine="440"/>
        <w:spacing w:after="0" w:line="268" w:lineRule="auto"/>
        <w:rPr>
          <w:sz w:val="20"/>
          <w:szCs w:val="20"/>
          <w:color w:val="auto"/>
        </w:rPr>
      </w:pPr>
      <w:r>
        <w:rPr>
          <w:rFonts w:ascii="Arial" w:cs="Arial" w:eastAsia="Arial" w:hAnsi="Arial"/>
          <w:sz w:val="17"/>
          <w:szCs w:val="17"/>
          <w:color w:val="auto"/>
        </w:rPr>
        <w:t>The Code provides a safe harbor that, if met by us (including with respect to properties held by the Partnership),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 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 harbor provision and may sell or dispose of property that could be characterized as property held “primarily for sale to customers in the ordinary course of a trade or business.”</w:t>
      </w:r>
    </w:p>
    <w:p>
      <w:pPr>
        <w:spacing w:after="0" w:line="180"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Tax and Deduction Limits on Certain Transactions with Taxable REIT Subsidiaries. </w:t>
      </w:r>
      <w:r>
        <w:rPr>
          <w:rFonts w:ascii="Arial" w:cs="Arial" w:eastAsia="Arial" w:hAnsi="Arial"/>
          <w:sz w:val="17"/>
          <w:szCs w:val="17"/>
          <w:color w:val="auto"/>
        </w:rPr>
        <w:t>A REIT will incur a 100% tax on certain transactions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between a 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the Partnership has had with our taxable REIT subsidiaries will give rise to the 100% tax, but recent changes to the interest deduction rules may affect interest deductions of our taxable REIT subsidiaries under some circumstances.</w:t>
      </w:r>
    </w:p>
    <w:p>
      <w:pPr>
        <w:spacing w:after="0" w:line="176"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b w:val="1"/>
          <w:bCs w:val="1"/>
          <w:i w:val="1"/>
          <w:iCs w:val="1"/>
          <w:color w:val="auto"/>
        </w:rPr>
        <w:t xml:space="preserve">Hedging Transactions. </w:t>
      </w:r>
      <w:r>
        <w:rPr>
          <w:rFonts w:ascii="Arial" w:cs="Arial" w:eastAsia="Arial" w:hAnsi="Arial"/>
          <w:sz w:val="17"/>
          <w:szCs w:val="17"/>
          <w:color w:val="auto"/>
        </w:rPr>
        <w:t>Except to the extent provided by Treasury regulations, any income we derive from a hedging transaction (which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 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b w:val="1"/>
          <w:bCs w:val="1"/>
          <w:i w:val="1"/>
          <w:iCs w:val="1"/>
          <w:color w:val="auto"/>
        </w:rPr>
        <w:t xml:space="preserve">Like-Kind Exchanges. </w:t>
      </w:r>
      <w:r>
        <w:rPr>
          <w:rFonts w:ascii="Arial" w:cs="Arial" w:eastAsia="Arial" w:hAnsi="Arial"/>
          <w:sz w:val="16"/>
          <w:szCs w:val="16"/>
          <w:color w:val="auto"/>
        </w:rPr>
        <w:t>The Partnership may dispose of properties in transactions intended to qualify as like-kind exchanges under the Code.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like-kind 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Legislative changes have eliminated like-kind exchanges for most personal property.</w:t>
      </w:r>
    </w:p>
    <w:p>
      <w:pPr>
        <w:spacing w:after="0" w:line="15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taxable 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275" w:lineRule="exact"/>
        <w:rPr>
          <w:sz w:val="20"/>
          <w:szCs w:val="20"/>
          <w:color w:val="auto"/>
        </w:rPr>
      </w:pPr>
    </w:p>
    <w:p>
      <w:pPr>
        <w:ind w:left="1080" w:right="300" w:hanging="424"/>
        <w:spacing w:after="0" w:line="308"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173" w:lineRule="exact"/>
        <w:rPr>
          <w:rFonts w:ascii="Arial" w:cs="Arial" w:eastAsia="Arial" w:hAnsi="Arial"/>
          <w:sz w:val="17"/>
          <w:szCs w:val="17"/>
          <w:color w:val="auto"/>
        </w:rPr>
      </w:pPr>
    </w:p>
    <w:p>
      <w:pPr>
        <w:ind w:left="1540" w:right="160" w:hanging="331"/>
        <w:spacing w:after="0" w:line="301" w:lineRule="auto"/>
        <w:tabs>
          <w:tab w:leader="none" w:pos="15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the Partnership’s properties qualify as real estate assets.</w:t>
      </w:r>
    </w:p>
    <w:p>
      <w:pPr>
        <w:spacing w:after="0" w:line="184" w:lineRule="exact"/>
        <w:rPr>
          <w:rFonts w:ascii="Arial" w:cs="Arial" w:eastAsia="Arial" w:hAnsi="Arial"/>
          <w:sz w:val="16"/>
          <w:szCs w:val="16"/>
          <w:color w:val="auto"/>
        </w:rPr>
      </w:pPr>
    </w:p>
    <w:p>
      <w:pPr>
        <w:ind w:left="1540" w:right="180" w:hanging="331"/>
        <w:spacing w:after="0" w:line="263"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210" w:lineRule="exact"/>
        <w:rPr>
          <w:rFonts w:ascii="Arial" w:cs="Arial" w:eastAsia="Arial" w:hAnsi="Arial"/>
          <w:sz w:val="18"/>
          <w:szCs w:val="18"/>
          <w:color w:val="auto"/>
        </w:rPr>
      </w:pPr>
    </w:p>
    <w:p>
      <w:pPr>
        <w:ind w:left="1540" w:right="180" w:hanging="331"/>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97" w:lineRule="exact"/>
        <w:rPr>
          <w:rFonts w:ascii="Arial" w:cs="Arial" w:eastAsia="Arial" w:hAnsi="Arial"/>
          <w:sz w:val="18"/>
          <w:szCs w:val="18"/>
          <w:color w:val="auto"/>
        </w:rPr>
      </w:pPr>
    </w:p>
    <w:p>
      <w:pPr>
        <w:ind w:left="1080" w:right="100" w:hanging="424"/>
        <w:spacing w:after="0" w:line="268"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For investments not included in the 75% asset test, (A) the value of our interest in any one issuer’s securities (which does not include our equity ownership in other REITs, the Partnership,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the Partnership, any taxable REIT subsidiary or any qualified REIT subsidiary) (the “10% asset test”), and (C) no more than 25% of the value of our total assets may consist of securities that are not qualifying assets for purposes of the 75% asset test (including securities of any taxable REIT subsidiary that would not otherwise be treated as real estate assets).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value of our securities in one or more taxable REIT subsidiaries (unless they would otherwise be treated as real estate assets) may not exceed 20% of the value of our total assets.</w:t>
      </w:r>
    </w:p>
    <w:p>
      <w:pPr>
        <w:spacing w:after="0" w:line="197"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value of our holdings in debt instruments of publicly offered REITs (unless they would otherwise be treated as real estate assets) may not exceed 25% of the value of our total assets.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As described above, the Partnership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the Partnership agreed to acquire the loan, then a portion of such loan likely will not be a qualifying real estate asset. Under Revenue 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185"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Relief from Consequences of Failing to Meet Asset Tests. </w:t>
      </w:r>
      <w:r>
        <w:rPr>
          <w:rFonts w:ascii="Arial" w:cs="Arial" w:eastAsia="Arial" w:hAnsi="Arial"/>
          <w:sz w:val="17"/>
          <w:szCs w:val="17"/>
          <w:color w:val="auto"/>
        </w:rPr>
        <w:t>If we fail to satisfy one or more of the asset tests for any quarter of a taxable year,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82" w:lineRule="exact"/>
        <w:rPr>
          <w:sz w:val="20"/>
          <w:szCs w:val="20"/>
          <w:color w:val="auto"/>
        </w:rPr>
      </w:pPr>
    </w:p>
    <w:p>
      <w:pPr>
        <w:ind w:left="120" w:right="400" w:firstLine="440"/>
        <w:spacing w:after="0" w:line="287" w:lineRule="auto"/>
        <w:rPr>
          <w:sz w:val="20"/>
          <w:szCs w:val="20"/>
          <w:color w:val="auto"/>
        </w:rPr>
      </w:pPr>
      <w:r>
        <w:rPr>
          <w:rFonts w:ascii="Arial" w:cs="Arial" w:eastAsia="Arial" w:hAnsi="Arial"/>
          <w:sz w:val="16"/>
          <w:szCs w:val="16"/>
          <w:b w:val="1"/>
          <w:bCs w:val="1"/>
          <w:i w:val="1"/>
          <w:iCs w:val="1"/>
          <w:color w:val="auto"/>
        </w:rPr>
        <w:t xml:space="preserve">Distribution Requirements. </w:t>
      </w:r>
      <w:r>
        <w:rPr>
          <w:rFonts w:ascii="Arial" w:cs="Arial" w:eastAsia="Arial" w:hAnsi="Arial"/>
          <w:sz w:val="16"/>
          <w:szCs w:val="16"/>
          <w:color w:val="auto"/>
        </w:rPr>
        <w:t>Each taxable year, we must distribute dividends (other than capital gain dividends and deemed distributions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retained capital gain) to our shareholders in an aggregate amount at least equal to (1) the sum of 90% of (A) our “REIT taxable income” (computed without regard to the dividends paid deduction and our net capital gain) and (B) our net income (after tax), if any, from foreclosure property, minus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 certain items of non-cash income.</w:t>
      </w:r>
    </w:p>
    <w:p>
      <w:pPr>
        <w:spacing w:after="0" w:line="21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Further, with respect to our 2014 and prior taxable years, in order for distributions made by the Predecessor to have been counted as satisfying the annual distribution requirements for REITs and to provide it with a dividends paid deduction, its distributions must not have been “preferential dividends.” A dividend is not a preferential dividend if that distribution is (1) pro rata among all outstanding shares within a particular class and (2) in accordance with the preferences among different classes of shares as set forth in the REIT’s organizational documents. For taxable years beginning after December 31, 2014, the preferential dividend rule does not apply to publicly offered REITs. The Predecessor was and we are a publicly offered REIT. Thus, so long as we continue to qualify as a publicly offered REIT, the preferential dividend rule does not apply to the Predecessor’s taxable years from 2015 and our taxable years. However, subsidiary REITs we may own from time to time may not be publicly offered REITs and the preferential dividend rules would apply to such subsidiary REITs, although the IRS has issued multiple private letter rulings, which may not be relied upon as precedent, that a subsidiary REIT that meets certain conditions may be treated as a publicly offered REIT for these purposes.</w:t>
      </w:r>
    </w:p>
    <w:p>
      <w:pPr>
        <w:spacing w:after="0" w:line="166"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7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9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 procedure applicable to publicly offered REITs that provides that the IRS will treat distributions that, at the election of each shareholder, are paid partly in cash and partly in shares as dividends that satisfy the REIT annual distribution requirement and as distributions that qualify for the dividends paid deduction for federal income tax purposes, provided certain conditions are satisfied, including a requirement that at least 20% of the total dividend is available in cash. In late 2021, the IRS issued additional guidance temporarily reducing, through June 30, 2022, the minimum amount of the distribution that must be available in cash to 10% to respond to economic disruptions and allow REITs to conserve capital and enhance their liquidity. We have no current intention to make such an elective cash/shares distribution or a distribution of debt securities, but in the event of an elective cash/shares distribution we expect to structure it so as to comply with the applicable revenue procedure. If we were to choose to make a cash/shares distribution, shareholders may be required to pay tax in excess of the cash that they receive or may be subject to withholding taxes, including with respect to all or a portion of such dividend that is payable in shares.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shares that for U.S. federal income tax purposes is:</w:t>
      </w:r>
    </w:p>
    <w:p>
      <w:pPr>
        <w:spacing w:after="0" w:line="197"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52"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197"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252"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trust if (A) a U.S. court is able to exercise primary supervision over the administration of such trust and one or more United States persons have the authority to control all substantial decisions of the trust, or (B) it has a valid election in effect to be treated as a United States person.</w:t>
      </w:r>
    </w:p>
    <w:p>
      <w:pPr>
        <w:spacing w:after="0" w:line="18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 However, for taxable years prior to 2026, generally non-corporate shareholders are allowed to deduct 20% of the aggregate amount of ordinary dividends distributed by us,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6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 taxable U.S. shareholder will not incur tax on a distribution to the extent it exceeds our current and accumulated earnings and profits if such distribution does not exceed the adjusted basis of the taxable U.S. shareholder’s common shares. Instead, such distribution in excess of earnings and profits will reduce the adjusted basis of such common shares. To the extent a distribution exceeds both our current and accumulated earnings and profits and the taxable U.S. shareholder’s adjusted basis in its common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to the extent of our earnings and profits,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8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b w:val="1"/>
          <w:bCs w:val="1"/>
          <w:i w:val="1"/>
          <w:iCs w:val="1"/>
          <w:color w:val="auto"/>
        </w:rPr>
        <w:t xml:space="preserve">Taxation of Taxable U.S. Shareholders on the Disposition of Our Shares. </w:t>
      </w:r>
      <w:r>
        <w:rPr>
          <w:rFonts w:ascii="Arial" w:cs="Arial" w:eastAsia="Arial" w:hAnsi="Arial"/>
          <w:sz w:val="17"/>
          <w:szCs w:val="17"/>
          <w:color w:val="auto"/>
        </w:rPr>
        <w:t>In general, a taxable U.S. shareholder must treat any gain or loss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realized upon a taxable disposition of our common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8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Capital Gains and Losses. </w:t>
      </w:r>
      <w:r>
        <w:rPr>
          <w:rFonts w:ascii="Arial" w:cs="Arial" w:eastAsia="Arial" w:hAnsi="Arial"/>
          <w:sz w:val="17"/>
          <w:szCs w:val="17"/>
          <w:color w:val="auto"/>
        </w:rPr>
        <w:t>A taxpayer generally must hold a capital asset for more than one year for gain or loss derived from its sale or exchange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be 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2"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shares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shares generally will be treated as investment income for purposes of the investment income limitation.</w:t>
      </w:r>
    </w:p>
    <w:p>
      <w:pPr>
        <w:spacing w:after="0" w:line="15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Medicare Tax on Unearned Income. </w:t>
      </w:r>
      <w:r>
        <w:rPr>
          <w:rFonts w:ascii="Arial" w:cs="Arial" w:eastAsia="Arial" w:hAnsi="Arial"/>
          <w:sz w:val="18"/>
          <w:szCs w:val="18"/>
          <w:color w:val="auto"/>
        </w:rPr>
        <w:t>Certain taxable U.S. shareholders who are individuals, estates or trusts are subject to a 3.8% Medicare tax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or a portion of their “net investment income,” which may include all or a portion of their dividends on our common shares and net gains from the taxable disposition of their shares. Taxable U.S. shareholders that are individuals, estates or trusts should consult their tax advisors regarding the applicability of the Medicare tax to any of their income or gains in respect of our common shares.</w:t>
      </w:r>
    </w:p>
    <w:p>
      <w:pPr>
        <w:spacing w:after="0" w:line="18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Current Tax Rates. </w:t>
      </w:r>
      <w:r>
        <w:rPr>
          <w:rFonts w:ascii="Arial" w:cs="Arial" w:eastAsia="Arial" w:hAnsi="Arial"/>
          <w:sz w:val="17"/>
          <w:szCs w:val="17"/>
          <w:color w:val="auto"/>
        </w:rPr>
        <w:t>The maximum tax rate on the long-term capital gains of domestic non-corporate taxpayers is 20%. The maximum tax rate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prior to 2026, generally non-corporate shareholders are allowed to deduct 20% of the aggregate amount of ordinary dividends distributed by us for purposes of determining their U.S. federal income tax (but not for purposes of the 3.8% Medicare tax),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 Further, with respect to non-corporate taxpayers, the lower qualified dividend income/capital gains tax rate (at a maximum of 20%) does generally apply to:</w:t>
      </w:r>
    </w:p>
    <w:p>
      <w:pPr>
        <w:spacing w:after="0" w:line="209"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252"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197"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252"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be subject to U.S. backup withholding and related information reporting on payments of dividends on, and the proceeds from the disposition of, our common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Tax-exempt entities, including qualified employee pension and profit-sharing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and supplemental unemployment benefit trusts that are exempt from taxation under paragraphs (7), (9), and (17),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198"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252"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197"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2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4" w:lineRule="auto"/>
        <w:rPr>
          <w:sz w:val="20"/>
          <w:szCs w:val="20"/>
          <w:color w:val="auto"/>
        </w:rPr>
      </w:pPr>
      <w:r>
        <w:rPr>
          <w:rFonts w:ascii="Arial" w:cs="Arial" w:eastAsia="Arial" w:hAnsi="Arial"/>
          <w:sz w:val="16"/>
          <w:szCs w:val="16"/>
          <w:b w:val="1"/>
          <w:bCs w:val="1"/>
          <w:i w:val="1"/>
          <w:iCs w:val="1"/>
          <w:color w:val="auto"/>
        </w:rPr>
        <w:t xml:space="preserve">Ordinary Dividends. </w:t>
      </w:r>
      <w:r>
        <w:rPr>
          <w:rFonts w:ascii="Arial" w:cs="Arial" w:eastAsia="Arial" w:hAnsi="Arial"/>
          <w:sz w:val="16"/>
          <w:szCs w:val="16"/>
          <w:color w:val="auto"/>
        </w:rPr>
        <w:t>A non-U.S. shareholder that receives a distribution that is not attributable to gain from our sale or exchange of “U.S. real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w:t>
      </w:r>
    </w:p>
    <w:p>
      <w:pPr>
        <w:spacing w:after="0" w:line="4"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6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i w:val="1"/>
          <w:iCs w:val="1"/>
          <w:color w:val="auto"/>
        </w:rPr>
        <w:t>Return of Capital</w:t>
      </w:r>
      <w:r>
        <w:rPr>
          <w:rFonts w:ascii="Arial" w:cs="Arial" w:eastAsia="Arial" w:hAnsi="Arial"/>
          <w:sz w:val="17"/>
          <w:szCs w:val="17"/>
          <w:color w:val="auto"/>
        </w:rPr>
        <w:t>. A non-U.S. shareholder will not incur tax on a distribution to the extent it exceeds our current and accumulated earnings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profits if such distribution does not exceed the adjusted basis of its common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92" w:lineRule="exact"/>
        <w:rPr>
          <w:sz w:val="20"/>
          <w:szCs w:val="20"/>
          <w:color w:val="auto"/>
        </w:rPr>
      </w:pPr>
    </w:p>
    <w:p>
      <w:pPr>
        <w:ind w:left="120" w:right="420" w:firstLine="440"/>
        <w:spacing w:after="0" w:line="273" w:lineRule="auto"/>
        <w:rPr>
          <w:sz w:val="20"/>
          <w:szCs w:val="20"/>
          <w:color w:val="auto"/>
        </w:rPr>
      </w:pPr>
      <w:r>
        <w:rPr>
          <w:rFonts w:ascii="Arial" w:cs="Arial" w:eastAsia="Arial" w:hAnsi="Arial"/>
          <w:sz w:val="17"/>
          <w:szCs w:val="17"/>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78"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b w:val="1"/>
          <w:bCs w:val="1"/>
          <w:i w:val="1"/>
          <w:iCs w:val="1"/>
          <w:color w:val="auto"/>
        </w:rPr>
        <w:t xml:space="preserve">Capital Gain Dividends. </w:t>
      </w:r>
      <w:r>
        <w:rPr>
          <w:rFonts w:ascii="Arial" w:cs="Arial" w:eastAsia="Arial" w:hAnsi="Arial"/>
          <w:sz w:val="16"/>
          <w:szCs w:val="16"/>
          <w:color w:val="auto"/>
        </w:rPr>
        <w:t>Provided that a particular class of our shares is “regularly traded” on an established securities market in the United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States, and 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7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84" w:lineRule="exact"/>
        <w:rPr>
          <w:sz w:val="20"/>
          <w:szCs w:val="20"/>
          <w:color w:val="auto"/>
        </w:rPr>
      </w:pPr>
    </w:p>
    <w:p>
      <w:pPr>
        <w:ind w:left="120" w:right="180" w:firstLine="440"/>
        <w:spacing w:after="0" w:line="285" w:lineRule="auto"/>
        <w:rPr>
          <w:sz w:val="20"/>
          <w:szCs w:val="20"/>
          <w:color w:val="auto"/>
        </w:rPr>
      </w:pPr>
      <w:r>
        <w:rPr>
          <w:rFonts w:ascii="Arial" w:cs="Arial" w:eastAsia="Arial" w:hAnsi="Arial"/>
          <w:sz w:val="16"/>
          <w:szCs w:val="16"/>
          <w:b w:val="1"/>
          <w:bCs w:val="1"/>
          <w:i w:val="1"/>
          <w:iCs w:val="1"/>
          <w:color w:val="auto"/>
        </w:rPr>
        <w:t xml:space="preserve">Retention of Net Capital Gains. </w:t>
      </w:r>
      <w:r>
        <w:rPr>
          <w:rFonts w:ascii="Arial" w:cs="Arial" w:eastAsia="Arial" w:hAnsi="Arial"/>
          <w:sz w:val="16"/>
          <w:szCs w:val="16"/>
          <w:color w:val="auto"/>
        </w:rPr>
        <w:t>Although the law is not clear on the matter, it appears that amounts we designate as retained capital gains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of 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the non-U.S. shareholder’s proportionate share of such tax paid by us exceeds its actual U.S. federal income tax liability, provided that</w:t>
      </w:r>
    </w:p>
    <w:p>
      <w:pPr>
        <w:spacing w:after="0" w:line="2" w:lineRule="exact"/>
        <w:rPr>
          <w:sz w:val="20"/>
          <w:szCs w:val="20"/>
          <w:color w:val="auto"/>
        </w:rPr>
      </w:pPr>
    </w:p>
    <w:p>
      <w:pPr>
        <w:ind w:left="120" w:right="480"/>
        <w:spacing w:after="0" w:line="323" w:lineRule="auto"/>
        <w:rPr>
          <w:sz w:val="20"/>
          <w:szCs w:val="20"/>
          <w:color w:val="auto"/>
        </w:rPr>
      </w:pPr>
      <w:r>
        <w:rPr>
          <w:rFonts w:ascii="Arial" w:cs="Arial" w:eastAsia="Arial" w:hAnsi="Arial"/>
          <w:sz w:val="16"/>
          <w:szCs w:val="16"/>
          <w:color w:val="auto"/>
        </w:rPr>
        <w:t>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3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shares as long as we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“domestically controlled REIT.” A “domestically controlled REIT” is a REIT in which at all times during a specified testing period foreign persons held, directly or indirectly, less than 50% in value of our shares (after applying specified presumptions regarding the ownership of our shares). 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68"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6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shares avoids a taxable distribution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92"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must report annually to the IRS and to each non-U.S. shareholder the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Backup withholding (currently at the rate of 24%) and additional information reporting will generally not apply to distributions to</w:t>
      </w:r>
    </w:p>
    <w:p>
      <w:pPr>
        <w:spacing w:after="0" w:line="23" w:lineRule="exact"/>
        <w:rPr>
          <w:sz w:val="20"/>
          <w:szCs w:val="20"/>
          <w:color w:val="auto"/>
        </w:rPr>
      </w:pPr>
    </w:p>
    <w:p>
      <w:pPr>
        <w:ind w:left="120"/>
        <w:spacing w:after="0" w:line="292" w:lineRule="auto"/>
        <w:rPr>
          <w:sz w:val="20"/>
          <w:szCs w:val="20"/>
          <w:color w:val="auto"/>
        </w:rPr>
      </w:pPr>
      <w:r>
        <w:rPr>
          <w:rFonts w:ascii="Arial" w:cs="Arial" w:eastAsia="Arial" w:hAnsi="Arial"/>
          <w:sz w:val="16"/>
          <w:szCs w:val="16"/>
          <w:color w:val="auto"/>
        </w:rPr>
        <w:t>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United States person that is not an exempt recipient. As a general matter, backup withholding and information reporting will not apply to a payment of the proceeds of a sale of common shares effected at a foreign office of a foreign broker. Information reporting (but not backup withholding) will apply, however, to a payment of the proceeds of a sale of common shares by a foreign office of a broker that:</w:t>
      </w:r>
    </w:p>
    <w:p>
      <w:pPr>
        <w:spacing w:after="0" w:line="189"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a United States person;</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derives 50% or more of its gross income for a specified three-year period from the conduct of a trade or business in the United States;</w:t>
      </w:r>
    </w:p>
    <w:p>
      <w:pPr>
        <w:spacing w:after="0" w:line="263" w:lineRule="exact"/>
        <w:rPr>
          <w:rFonts w:ascii="Arial" w:cs="Arial" w:eastAsia="Arial" w:hAnsi="Arial"/>
          <w:sz w:val="17"/>
          <w:szCs w:val="17"/>
          <w:color w:val="auto"/>
        </w:rPr>
      </w:pPr>
    </w:p>
    <w:p>
      <w:pPr>
        <w:ind w:left="1080" w:right="24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197"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United States persons or if it is engaged in the conduct of a trade or business in the United States,</w:t>
      </w:r>
    </w:p>
    <w:p>
      <w:pPr>
        <w:spacing w:after="0" w:line="170"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w:t>
      </w:r>
    </w:p>
    <w:p>
      <w:pPr>
        <w:spacing w:after="0" w:line="1"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a non-U.S. shareholder’s U.S. federal income tax liability or refunded to the extent excess amounts are withheld, provided that the required information is timely supplied to the IRS.</w:t>
      </w:r>
    </w:p>
    <w:p>
      <w:pPr>
        <w:spacing w:after="0" w:line="18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Reporting and Withholding on Foreign Financial Accounts. </w:t>
      </w:r>
      <w:r>
        <w:rPr>
          <w:rFonts w:ascii="Arial" w:cs="Arial" w:eastAsia="Arial" w:hAnsi="Arial"/>
          <w:sz w:val="17"/>
          <w:szCs w:val="17"/>
          <w:color w:val="auto"/>
        </w:rPr>
        <w:t>Under sections 1471 through 1474 of the Code, Treasury regulations and related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guidance (commonly referred to as “FATCA”), a 30% U.S. withholding tax will be imposed in certain circumstances on payments of (i) dividends on the shares and (ii) subject to the proposed Treasury regulations discussed below, gross proceeds from the sale or other disposition of the shares. Proposed Treasury regulations would, when finalized, eliminate FATCA withholding on the gross proceeds from a sale 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other disposition of instruments, such as the shares, that produce withholdable payments. In the preamble to such proposed Treasury regulations, the IRS stated that taxpayers and withholding agents may generally rely on the proposed Treasury regulations until final Treasury regulations are issued.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United States person that directly or indirectly owns more than a specified percentage of such entity). If shares are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dividends on the shares or other payments in respect of the shares, we will withhold tax at the applicable statutory rate, and we will not pay any additional amounts in respect of such withholding. Under certain circumstances, a holder may be eligible for refunds or credits of such withheld taxes. Prospective investors are urged to consult with their own tax advisors regarding the possible implications of FATCA on their investment in the shares.</w:t>
      </w:r>
    </w:p>
    <w:p>
      <w:pPr>
        <w:spacing w:after="0" w:line="200" w:lineRule="exact"/>
        <w:rPr>
          <w:sz w:val="20"/>
          <w:szCs w:val="20"/>
          <w:color w:val="auto"/>
        </w:rPr>
      </w:pP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Aspects of Our Investments in the Partnership and Subsidiary Partnerships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following discussion summarizes certain federal income tax considerations applicable to our direct or indirect investments in the Partnership and the Subsidiary Partnerships. As described above under “Taxation of the Company — Requirements for REIT Qualification,” initially the Partnership (but not the Subsidiary Partnerships) is a disregarded entity for federal income tax purposes. Accordingly, the discussion below initially only applies to the Subsidiary Partnerships and references to the Partnership should not be taken into account. Once the Partnership admits one or more partners that are not disregarded entities of ours, the discussion below will also apply to the Partnership. Also, the discussion below does not cover state or local tax laws or any federal tax laws other than income tax laws.</w:t>
      </w:r>
    </w:p>
    <w:p>
      <w:pPr>
        <w:spacing w:after="0" w:line="178"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b w:val="1"/>
          <w:bCs w:val="1"/>
          <w:i w:val="1"/>
          <w:iCs w:val="1"/>
          <w:color w:val="auto"/>
        </w:rPr>
        <w:t xml:space="preserve">Classification as Partnerships. </w:t>
      </w:r>
      <w:r>
        <w:rPr>
          <w:rFonts w:ascii="Arial" w:cs="Arial" w:eastAsia="Arial" w:hAnsi="Arial"/>
          <w:sz w:val="16"/>
          <w:szCs w:val="16"/>
          <w:color w:val="auto"/>
        </w:rPr>
        <w:t>We are entitled to include in our income our distributive share of the Partnership’s and Subsidiary Partnerships’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and to deduct our distributive share of the Partnership’s and Subsidiary Partnerships’ losses only if the applicable partnership is classified for federal income tax purposes as a partnership rather than as a corporation or association taxable as a corporation. An organization will be classified as a partnership, rather than as a corporation, for federal income tax purposes if it (1) is treated as a partnership under Treasury regulations, effective January 1, 1997, relating to entity classification (the “check-the-box regulations”) and (2) is not a “publicly traded” partnership.</w:t>
      </w:r>
    </w:p>
    <w:p>
      <w:pPr>
        <w:spacing w:after="0" w:line="16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Under the check-the-box regulations, an unincorporated entity with at least two members may elect to be classified either as an association taxable as a corporation or as a partnership. If such an entity fails to make an election, it generally will be treated as a partnership for federal income tax purposes. We believe that the Partnership (once it admits one or more partners that are not disregarded entities of ours) and its Subsidiary Partnerships will be classified as partnerships for federal income tax purposes.</w:t>
      </w:r>
    </w:p>
    <w:p>
      <w:pPr>
        <w:spacing w:after="0" w:line="18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 publicly traded partnership is a partnership whose interests are traded on an established securities market or are readily tradable on a secondary market (or the substantial equivalent thereof). While the Partnership units will not be traded on an established securities market, they could possibly be deemed to be traded on a secondary market or its equivalent due to the redemption rights enabling the limited partners to dispose of their units. A publicly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traded partnership will not, however, be treated as a corporation for any taxable year if 90% or more of the partnership’s gross income for such year consists of certain passive-type income, including (as may be relevant here) real property rents, gains from the sale or other disposition of real property, interest, and dividends (the “90% Passive Income Exception”). The income requirements applicable to us in order for us to qualify as a REIT under the Code and the definition of qualifying income under the Passive Income Exception are very similar. Although differences exist between these two income tests, we do not believe that these differences would cause the Partnership not to satisfy the 90% Passive Income Exception applicable to publicly traded partnerships.</w:t>
      </w:r>
    </w:p>
    <w:p>
      <w:pPr>
        <w:spacing w:after="0" w:line="19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Treasury has issued regulations (the “PTP Regulations”) that provide limited safe harbors from the definition of a publicly traded partnership. Pursuant to one of those safe harbors (the “Private Placement Exclusion”), interests in a partnership will not be treated as readily tradable on a secondary market or the substantial equivalent thereof if (i) all interests in the partnership were issued in a transaction (or transactions) that was not required to be registered under the Securities Act, and (ii) the partnership does not have more than 100 partners at any time during the partnership’s taxable year. In determining the number of partners in a partnership, a person owning an interest in a flow-through entity (i.e., a partnership, grantor trust, or S corporation) that owns an interest in the partnership is treated as a partner in such partnership only if (i) substantially all of the value of the owner’s interest in the flow-through entity is attributable to the flow-through entity’s interest (direct or indirect) in the partnership and (ii) a principal purpose of the use of the flow-through entity is to permit the partnership to satisfy the 100-partner limitation.</w:t>
      </w:r>
    </w:p>
    <w:p>
      <w:pPr>
        <w:spacing w:after="0" w:line="17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Partnership agreement has provisions intended to facilitate and permit us to take actions to avoid loss of the Private Placement Exclusion. We believe that the Partnership, from the point it is treated as a regarded entity, will qualify for the Private Placement Exclusion and thereafter intends to qualify for the Private Placement Exclusion unless it qualifies for another safe harbor or the 90% Passive Income Exception as described below. It is possible, however, that in the future the Partnership might not qualify for the Private Placement Exclusion.</w:t>
      </w:r>
    </w:p>
    <w:p>
      <w:pPr>
        <w:spacing w:after="0" w:line="17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If the Partnership is considered a publicly traded partnership under the PTP Regulations because it is deemed to have more than 100 partners, the Partnership would need to qualify under another safe harbor in the PTP Regulations or for the 90% Passive Income Exception. We believe that the Partnership will qualify for another safe harbor in the PTP Regulations or for the 90% Passive Income Exception. It is possible, however, that in the future the Partnership might not qualify for one of these exceptions.</w:t>
      </w:r>
    </w:p>
    <w:p>
      <w:pPr>
        <w:spacing w:after="0" w:line="18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If, however, for any reason the Partnership were taxable as a corporation, rather than as a partnership, for federal income tax purposes, we would not be able to qualify as a REIT. See “—Requirements for REIT Qualification—Income Tests” and “—Requirements for REIT Qualification—Asset Tests.” In addition, any change in the Partnership’s status for tax purposes might be treated as a taxable event, in which case we might incur tax liability without any related cash distribution. See “—Requirements for REIT Qualification—Distribution Requirements.” Further, items of income and deduction of the Partnership would not pass through to its partners, and its partners would be treated as shareholders for tax purposes. Consequently, the Partnership would be required to pay income tax at corporate tax rates on its net income, and distributions to its partners would constitute dividends that would not be deductible in computing such Partnership’s taxable income.</w:t>
      </w:r>
    </w:p>
    <w:p>
      <w:pPr>
        <w:spacing w:after="0" w:line="177" w:lineRule="exact"/>
        <w:rPr>
          <w:sz w:val="20"/>
          <w:szCs w:val="20"/>
          <w:color w:val="auto"/>
        </w:rPr>
      </w:pPr>
    </w:p>
    <w:p>
      <w:pPr>
        <w:jc w:val="both"/>
        <w:ind w:left="120" w:righ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Partners, Not the Partnership, Subject to Tax. </w:t>
      </w:r>
      <w:r>
        <w:rPr>
          <w:rFonts w:ascii="Arial" w:cs="Arial" w:eastAsia="Arial" w:hAnsi="Arial"/>
          <w:sz w:val="17"/>
          <w:szCs w:val="17"/>
          <w:color w:val="auto"/>
        </w:rPr>
        <w:t>The partners of the Partnership are subject to taxation. Except as discussed below in “—Revised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Partnership Audit Rules,” the Partnership itself is not a taxable entity for federal income tax purposes. Rather, we are required to take into account our allocable share of the Partnership’s income, gains, losses, deductions and credits for any taxable year of the Partnership ending during our taxable year, without regard to whether we have received or will receive any distribution from the Partnership.</w:t>
      </w:r>
    </w:p>
    <w:p>
      <w:pPr>
        <w:spacing w:after="0" w:line="171"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b w:val="1"/>
          <w:bCs w:val="1"/>
          <w:i w:val="1"/>
          <w:iCs w:val="1"/>
          <w:color w:val="auto"/>
        </w:rPr>
        <w:t>Partnership Allocations</w:t>
      </w:r>
      <w:r>
        <w:rPr>
          <w:rFonts w:ascii="Arial" w:cs="Arial" w:eastAsia="Arial" w:hAnsi="Arial"/>
          <w:sz w:val="17"/>
          <w:szCs w:val="17"/>
          <w:color w:val="auto"/>
        </w:rPr>
        <w:t>. Although a partnership agreement generally will determine the allocation of income and losses among partners,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allocations will be disregarded for tax purposes if they do not comply with the provisions of Section 704(b) of the Code and the Treasury regulations promulgated thereunder. If an allocation is not recognized for federal income tax purposes, the item subject to the allocation will be reallocated in accordance with the partners’ interests in the partnership, which will be determined by taking into account all of the facts and circumstances relating to the economic arrangement of the partners with respect to such item. The Partnership’s allocations of taxable income, gain and loss are intended to comply with the requirements of Section 704(b) of the Code and the Treasury regulations promulgated thereunder.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b w:val="1"/>
          <w:bCs w:val="1"/>
          <w:i w:val="1"/>
          <w:iCs w:val="1"/>
          <w:color w:val="auto"/>
        </w:rPr>
        <w:t>Tax Allocations with Respect to Contributed Properties</w:t>
      </w:r>
      <w:r>
        <w:rPr>
          <w:rFonts w:ascii="Arial" w:cs="Arial" w:eastAsia="Arial" w:hAnsi="Arial"/>
          <w:sz w:val="16"/>
          <w:szCs w:val="16"/>
          <w:color w:val="auto"/>
        </w:rPr>
        <w:t>. Pursuant to Section 704(c) of the Code, income, gain, loss and deduction attributable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such unrealized gain or unrealized loss is generally equal to the difference between the fair market value of contributed property at the time of contribution and the adjusted tax basis of such property at the time of contribution (a “Book-Tax Difference”). Such allocations are solely for federal income tax purposes and do not affect the book capital accounts or other economic or legal arrangements among the partners. The Partnership, once regarded, will be deemed to be formed by way of contributions of appreciated property. Consequently, the Partnership’s partnership agreement requires such allocations to be made in a manner permitted under Section 704(c) of the Code.</w:t>
      </w:r>
    </w:p>
    <w:p>
      <w:pPr>
        <w:spacing w:after="0" w:line="16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general, the partners who contribute property to the Partnership will be allocated depreciation deductions for tax purposes which are lower than such deductions would be if determined on a pro rata basis. In addition, in the event of the disposition of any of the contributed assets (including our properties) which have a Book-Tax Difference, all income attributable to such Book-Tax Difference (to the extent not previously taken into account) will generally be allocated to the contributing partners, including us, and other partners will generally be allocated only their share of income attributable to appreciation, if any, occurring after such contribution. This will tend to eliminate the Book-Tax Difference over the life of the Partnership. However, the special allocation rules of Section 704(c) do not always entirely eliminate the Book-Tax Difference on an annual basis or with respect to a specific taxable transaction such as a sale. Thus, the carryover basis of the contributed assets in the hands of the Partnership may cause us to be allocated lower depreciation and other deductions, and possibly an amount of taxable income in the event of a sale of such contributed assets in excess of the economic or book income allocated to us as a result of such sale.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Book-Tax Difference may also arise as a result of the revaluation of property owned by the Partnership in connection with certain types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transactions, including in connection with certain non-pro rata contributions or distributions of assets by the Partnership in exchange for interests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Partnership. In the event of such a revaluation, the partners (including us) who were partners in the Partnership immediately prior to the revaluation will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be required to take any Book-Tax Difference created as a result of such revaluation into account in substantially the same manner as under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704(c) rules discussed above. This would result in us being allocated income, gain, loss and deduction for tax purposes in amounts different than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economic or book income allocated to us by the Partnership.</w:t>
      </w:r>
    </w:p>
    <w:p>
      <w:pPr>
        <w:spacing w:after="0" w:line="21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application of Section 704(c) to the Partnership may cause us to recognize taxable income in excess of cash proceeds, which might adversely affect our ability to comply with the REIT distribution requirements. See “—Requirements for REIT Qualification—Distribution Requirements.” The foregoing principles also apply in determining our earnings and profits for purposes of determining the portion of distributions taxable as dividend income. The application of these rules over time may result in a higher portion of distributions being taxed as dividends than would have occurred had we purchased the contributed or revalued assets at their agreed values.</w:t>
      </w:r>
    </w:p>
    <w:p>
      <w:pPr>
        <w:spacing w:after="0" w:line="18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Treasury has issued regulations requiring partnerships to use a “reasonable method” for allocating items affected by Section 704(c) of the Code and outlining several reasonable allocation methods. The general partner of the Partnership has the discretion to determine which of the methods of accounting for Book-Tax Differences (specifically approved in the Treasury regulations) will be elected with respect to any properties contributed to or revalued by the Partnership. We have not determined which method of accounting for Book-Tax Differences will be elected for properties contributed to or revalued by the Partnership in the future.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in Partnership Interest</w:t>
      </w:r>
      <w:r>
        <w:rPr>
          <w:rFonts w:ascii="Arial" w:cs="Arial" w:eastAsia="Arial" w:hAnsi="Arial"/>
          <w:sz w:val="18"/>
          <w:szCs w:val="18"/>
          <w:color w:val="auto"/>
        </w:rPr>
        <w:t>. Our adjusted tax basis in our partnership interest in the Partnership generally is equal to:</w:t>
      </w:r>
    </w:p>
    <w:p>
      <w:pPr>
        <w:spacing w:after="0" w:line="252"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of cash and the adjusted tax basis of any other property contributed by us to the Partnership;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by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allocable share of the Partnership’s income,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allocable share of debt of the Partnership; and</w:t>
      </w:r>
    </w:p>
    <w:p>
      <w:pPr>
        <w:spacing w:after="0" w:line="373"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but not below zero, by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allocable share of the Partnership’s loss,</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of cash and the basis of any property distributed to us, and</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constructive distributions resulting from a reduction in our share of debt of the Partnership.</w:t>
      </w:r>
    </w:p>
    <w:p>
      <w:pPr>
        <w:spacing w:after="0" w:line="225"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If the allocation of our distributive share of the Partnership’s loss would reduce the adjusted tax basis of our partnership interest in the Partnership below zero, the recognition of such loss will be deferred until such time as the recognition of such loss would not reduce our adjusted tax basis below zero. To the extent that the Partnership’s distributions, or any decrease in our share of the debt of the Partnership (such decrease being considered a constructive cash distribution to the partners), would reduce our adjusted tax basis below zero, such distributions (including such constructive distributions) would constitute taxable income to us. Such distributions and constructive distributions normally will be characterized as capital gain (including Section 1250 “depreciation recapture”), and, if our interest in the Partnership has been held for longer than the long-term capital gain holding period (currently one year), the distributions and constructive distributions will constitute long-term capital gain.</w:t>
      </w:r>
    </w:p>
    <w:p>
      <w:pPr>
        <w:spacing w:after="0" w:line="16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Sale of the Partnership’s Property. </w:t>
      </w:r>
      <w:r>
        <w:rPr>
          <w:rFonts w:ascii="Arial" w:cs="Arial" w:eastAsia="Arial" w:hAnsi="Arial"/>
          <w:sz w:val="18"/>
          <w:szCs w:val="18"/>
          <w:color w:val="auto"/>
        </w:rPr>
        <w:t>Generally, any gain realized by the Partnership on the sale of property held by the Partnership for more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 year will be long-term capital gain, except for any portion of such gain that is treated as depreciation or cost recovery recapture. Any gain recognized by the Partnership on the disposition of contributed properties will be allocated first to the partners of the Partnership under Section 704(c) of the Code to the extent of their “built-in gain” on those properties for federal income tax purposes. The partners’ “built-in gain” on the contributed properties sold will equal the excess of the partners’ proportionate share of the book value of those properties over the partners’ tax basis allocable to those properties at the time of the contribution. Any remaining gain recognized by the Partnership on the disposition of the contributed properties, and any gain recognized by the Partnership on the disposition of the other properties, will be allocated among the partners in accordance with their respective percentage interests in the Partnership.</w:t>
      </w:r>
    </w:p>
    <w:p>
      <w:pPr>
        <w:spacing w:after="0" w:line="192"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Our share of any gain realized by the Partnership on the sale of any property held by the Partnership (other than property held indirectly through a taxable REIT subsidiary) as inventory or other property held primarily for sale to customers in the ordinary course of the Partnership’s trade or business will be treated as income from a prohibited transaction that is subject to a 100% penalty tax. Such prohibited transaction income also may have an adverse effect upon our ability to satisfy the income tests for REIT status. See “—Requirements for REIT Qualification—Income Tests.” We, however, do not presently intend to allow the Partnership to acquire or hold any property (other than through a taxable REIT subsidiary) that represents inventory or other property held primarily for sale to customers in the ordinary course of our or the Partnership’s trade or business.</w:t>
      </w:r>
    </w:p>
    <w:p>
      <w:pPr>
        <w:spacing w:after="0" w:line="16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b w:val="1"/>
          <w:bCs w:val="1"/>
          <w:i w:val="1"/>
          <w:iCs w:val="1"/>
          <w:color w:val="auto"/>
        </w:rPr>
        <w:t>Revised Partnership Audit Rules</w:t>
      </w:r>
      <w:r>
        <w:rPr>
          <w:rFonts w:ascii="Arial" w:cs="Arial" w:eastAsia="Arial" w:hAnsi="Arial"/>
          <w:sz w:val="18"/>
          <w:szCs w:val="18"/>
          <w:color w:val="auto"/>
        </w:rPr>
        <w:t>. Under partnership audit changes generally effective for audits in 2018 and later, a partnership (and not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 must pay any “imputed underpayments,” consisting of delinquent taxes, interest, and penalties deemed to arise out of an audit of the partnership, unless certain alternative methods are available and the partnership elects to utilize them. The IRS has issued regulations providing details on many of these provisions, but it is still not entirely clear how all of these new rules will be implemented. Accordingly, it is possible that in the future, we and/or any partnership in which we are a partner could be subject to, or otherwise bear the economic burden of, federal income tax, interest, and penalties resulting from a federal income tax audit.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State and Local Taxes. </w:t>
      </w:r>
      <w:r>
        <w:rPr>
          <w:rFonts w:ascii="Arial" w:cs="Arial" w:eastAsia="Arial" w:hAnsi="Arial"/>
          <w:sz w:val="18"/>
          <w:szCs w:val="18"/>
          <w:color w:val="auto"/>
        </w:rPr>
        <w:t>We and/or you may be subject to state and local tax in various states and localities, including those states and localities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Changes to Tax Laws and Regulations. </w:t>
      </w:r>
      <w:r>
        <w:rPr>
          <w:rFonts w:ascii="Arial" w:cs="Arial" w:eastAsia="Arial" w:hAnsi="Arial"/>
          <w:sz w:val="18"/>
          <w:szCs w:val="18"/>
          <w:color w:val="auto"/>
        </w:rPr>
        <w:t>The rules dealing with federal income taxation are subject to revision by the U.S. Congress, the IRS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Treasury, and statutory changes, new regulations, revisions to existing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regulations and revised interpretations of established concepts are issued frequently. In particular, technical corrections legislation and implementing regulations may be enacted or promulgated in response to the Tax Cuts and Jobs Act of 2017. In addition, legislation, regulations and other guidance has been enacted to respond to the COVID-19 pandemic, including the 2020 CARES Act, and further legislative enactments and other IRS or Treasury action is possible. We cannot assure you that a change in law, including the possibility of major tax legislation in 2022 or later, possibly with retroactive application, will not alter significantly the tax considerations (including applicable tax rates) that we describe herein.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shares.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not receive any of the proceeds from the sale of the common shares covered by this prospectus.</w:t>
      </w:r>
    </w:p>
    <w:p>
      <w:pPr>
        <w:spacing w:after="0" w:line="225"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The sale or distribution of all or any portion of the common shares covered by this prospectus may be effected from time to time by the selling shareholders, or any of their permissible transferees or pledgees (including, but not limited to, Morgan Stanley Private Bank, National Association). The sales may be made directly, indirectly through brokers or dealers, or in a distribution by one or more underwriters on a firm commitment or best efforts basis, in the over-the-counter market, on any national securities exchange or automated quotation system on which the common shares covered by this prospectus may be listed or traded, in privately negotiated transactions, to or through a market maker, or through any other legally available means. In addition, the sales may be made at market prices prevailing at the time of sale, at prices related to such prevailing market prices or at negotiated prices.</w:t>
      </w:r>
    </w:p>
    <w:p>
      <w:pPr>
        <w:spacing w:after="0" w:line="164"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The selling shareholders or their successors in interest may from time to time pledge or grant a security interest in some or all of the common shares, preferred shares or downREIT units, and, if the selling shareholders default in the performance of their secured obligations, the pledgees or secured parties may offer and sell the applicable common shares from time to time under this prospectus; however, in the event of a pledge or the default on the performance of a secured obligation by a selling shareholder, in order for the common shares to be sold under this registration statement, unless permitted by law, we must file an amendment to this registration statement under applicable provisions of the Securities Act amending the list of selling shareholders to include the pledgee, transferee, secured party or other successors in interest as a selling shareholder under this prospectus.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methods by which the common shares covered by this prospectus may be sold or distributed include any one or more of the following:</w:t>
      </w:r>
    </w:p>
    <w:p>
      <w:pPr>
        <w:spacing w:after="0" w:line="264" w:lineRule="exact"/>
        <w:rPr>
          <w:sz w:val="20"/>
          <w:szCs w:val="20"/>
          <w:color w:val="auto"/>
        </w:rPr>
      </w:pPr>
    </w:p>
    <w:p>
      <w:pPr>
        <w:ind w:left="1080" w:right="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broker or dealer so engaged will attempt to sell the common shares covered by this prospectus as agent but may position and resell a portion of the block as principal to facilitate the transaction;</w:t>
      </w:r>
    </w:p>
    <w:p>
      <w:pPr>
        <w:spacing w:after="0" w:line="197"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purchases by a broker or dealer as principal and resale by such broker or dealer for its account pursuant to this prospectus;</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252"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 rata distributions as part of the liquidation and winding up of the affairs of the selling shareholders or successor in interest that is an entity;</w:t>
      </w:r>
    </w:p>
    <w:p>
      <w:pPr>
        <w:spacing w:after="0" w:line="197"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pledges to a lender as collateral to secure loans, credit or other financing arrangements and any subsequent foreclosure thereunder; or</w:t>
      </w:r>
    </w:p>
    <w:p>
      <w:pPr>
        <w:spacing w:after="0" w:line="275" w:lineRule="exact"/>
        <w:rPr>
          <w:rFonts w:ascii="Arial" w:cs="Arial" w:eastAsia="Arial" w:hAnsi="Arial"/>
          <w:sz w:val="16"/>
          <w:szCs w:val="16"/>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jc w:val="both"/>
        <w:ind w:left="120" w:right="240"/>
        <w:spacing w:after="0" w:line="286" w:lineRule="auto"/>
        <w:rPr>
          <w:sz w:val="20"/>
          <w:szCs w:val="20"/>
          <w:color w:val="auto"/>
        </w:rPr>
      </w:pPr>
      <w:r>
        <w:rPr>
          <w:rFonts w:ascii="Arial" w:cs="Arial" w:eastAsia="Arial" w:hAnsi="Arial"/>
          <w:sz w:val="17"/>
          <w:szCs w:val="17"/>
          <w:color w:val="auto"/>
        </w:rPr>
        <w:t>In effecting sales, brokers or dealers engaged by the selling shareholders may arrange for other brokers or dealers to participate. Any public offering price and any discount, concession or commission allowed or reallowed or paid to dealers may be changed from time to time and, as to any particular underwriter, broker, dealer or agent, may be in excess of those customary in the types of transactions involved.</w:t>
      </w:r>
    </w:p>
    <w:p>
      <w:pPr>
        <w:spacing w:after="0" w:line="16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selling shareholders may from time to time sell all or a portion of the common shares covered by this prospectus short and deliver those securities to cover the short sale or sales, or may deliver the common shares covered by this prospectus upon the exercise, settlement or closing of a call equivalent position or a put equivalent position. The selling shareholders also may enter into hedging transactions with brokers, dealers or other financial institutions, which may in turn engage in short sales of the common shares covered by this prospectus in the course of hedging the positions they assume.</w:t>
      </w:r>
    </w:p>
    <w:p>
      <w:pPr>
        <w:spacing w:after="0" w:line="188"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The selling shareholders and the brokers or dealers participating in the distribution of the common shares covered by this prospectus may be deemed “underwriters” within the meaning of the Securities Act. Any profit on the sale of the common shares covered by this prospectus by the selling shareholders and any discounts, concessions or commissions received by any such brokers or dealers may be regarded as underwriting commissions under the Securities Act.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connection with the sale or distribution of the common shares covered by this prospectus, the rules of the SEC permit any underwriter to engage in certain transactions that stabilize the price of the common shares covered by this prospectus. These transactions may consist of bids or purchases for the purpose of pegging, fixing or maintaining the price of the common shares covered by this prospectus.</w:t>
      </w:r>
    </w:p>
    <w:p>
      <w:pPr>
        <w:spacing w:after="0" w:line="18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Underwriters, brokers, dealers or agents may be entitled, under agreements with us, to indemnification against the contribution toward certain civil liabilities, including liabilities under the Securities Act.</w:t>
      </w:r>
    </w:p>
    <w:p>
      <w:pPr>
        <w:spacing w:after="0" w:line="17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 will pay all expenses in connection with the registration of the common shares covered by this prospectus. The selling shareholders will pay for any brokerage or underwriting commissions and taxes of any kind (including, without limitation, transfer taxes) with respect to any disposition, sale or transfer of the common shares covered by this prospectus.</w:t>
      </w:r>
    </w:p>
    <w:p>
      <w:pPr>
        <w:spacing w:after="0" w:line="184"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common shares covered by this prospectus not sold pursuant to the registration statement on Form S-3 of which this prospectus is a part may be subject to certain restrictions under the Securities Act and could be sold, if at all, only pursuant to Rule 144 or another exemption from the registration requirements of the Securities Act. In general, under Rule 144, a person who is not, and has not been within the preceding three months, an affiliate of ours and also has satisfied a six-month holding period may, under certain circumstances, sell the common shares covered by this prospectus. Therefore, both during and after the effectiveness of the registration statement, the selling shareholders may sell the common shares covered by this prospectus pursuant to Rule 144.</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The audited consolidated financial statements, schedules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validity of the offered common shares and the accuracy of the discussion under “Material Federal Income Tax Considerations” will be passed upon for us by Pillsbury Winthrop Shaw Pittman LLP, Washington, D.C.</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7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61">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2020, filed with the SEC on February 11, 2021;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Our </w:t>
      </w:r>
      <w:hyperlink r:id="rId62">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our 2021 Annual Meeting of Shareholders, filed with the SEC on March 25, 2021;</w:t>
      </w:r>
    </w:p>
    <w:p>
      <w:pPr>
        <w:spacing w:after="0" w:line="252"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fiscal quarters ended </w:t>
      </w:r>
      <w:hyperlink r:id="rId63">
        <w:r>
          <w:rPr>
            <w:rFonts w:ascii="Arial" w:cs="Arial" w:eastAsia="Arial" w:hAnsi="Arial"/>
            <w:sz w:val="18"/>
            <w:szCs w:val="18"/>
            <w:u w:val="single" w:color="auto"/>
            <w:color w:val="0000EE"/>
          </w:rPr>
          <w:t>March 31, 2021</w:t>
        </w:r>
      </w:hyperlink>
      <w:r>
        <w:rPr>
          <w:rFonts w:ascii="Arial" w:cs="Arial" w:eastAsia="Arial" w:hAnsi="Arial"/>
          <w:sz w:val="18"/>
          <w:szCs w:val="18"/>
          <w:color w:val="auto"/>
        </w:rPr>
        <w:t xml:space="preserve">, </w:t>
      </w:r>
      <w:hyperlink r:id="rId64">
        <w:r>
          <w:rPr>
            <w:rFonts w:ascii="Arial" w:cs="Arial" w:eastAsia="Arial" w:hAnsi="Arial"/>
            <w:sz w:val="18"/>
            <w:szCs w:val="18"/>
            <w:u w:val="single" w:color="auto"/>
            <w:color w:val="0000EE"/>
          </w:rPr>
          <w:t>June 30,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65">
        <w:r>
          <w:rPr>
            <w:rFonts w:ascii="Arial" w:cs="Arial" w:eastAsia="Arial" w:hAnsi="Arial"/>
            <w:sz w:val="18"/>
            <w:szCs w:val="18"/>
            <w:u w:val="single" w:color="auto"/>
            <w:color w:val="0000EE"/>
          </w:rPr>
          <w:t>September 30, 2021</w:t>
        </w:r>
      </w:hyperlink>
      <w:r>
        <w:rPr>
          <w:rFonts w:ascii="Arial" w:cs="Arial" w:eastAsia="Arial" w:hAnsi="Arial"/>
          <w:sz w:val="18"/>
          <w:szCs w:val="18"/>
          <w:color w:val="auto"/>
        </w:rPr>
        <w:t>, filed with the SEC on May 5, 2021, August 4, 2021 and November 4, 2021;</w:t>
      </w:r>
    </w:p>
    <w:p>
      <w:pPr>
        <w:spacing w:after="0" w:line="197"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1"/>
        </w:numPr>
        <w:rPr>
          <w:rFonts w:ascii="Arial" w:cs="Arial" w:eastAsia="Arial" w:hAnsi="Arial"/>
          <w:sz w:val="18"/>
          <w:szCs w:val="18"/>
          <w:color w:val="0000EE"/>
        </w:rPr>
      </w:pPr>
      <w:hyperlink r:id="rId66">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February 12,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24,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19,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6,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7,</w:t>
        </w:r>
      </w:hyperlink>
      <w:r>
        <w:rPr>
          <w:rFonts w:ascii="Arial" w:cs="Arial" w:eastAsia="Arial" w:hAnsi="Arial"/>
          <w:sz w:val="18"/>
          <w:szCs w:val="18"/>
          <w:color w:val="auto"/>
        </w:rPr>
        <w:t xml:space="preserve"> </w:t>
      </w:r>
      <w:hyperlink r:id="rId66">
        <w:r>
          <w:rPr>
            <w:rFonts w:ascii="Arial" w:cs="Arial" w:eastAsia="Arial" w:hAnsi="Arial"/>
            <w:sz w:val="18"/>
            <w:szCs w:val="18"/>
            <w:u w:val="single" w:color="auto"/>
            <w:color w:val="0000EE"/>
          </w:rPr>
          <w:t>2021</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7">
        <w:r>
          <w:rPr>
            <w:rFonts w:ascii="Arial" w:cs="Arial" w:eastAsia="Arial" w:hAnsi="Arial"/>
            <w:sz w:val="18"/>
            <w:szCs w:val="18"/>
            <w:u w:val="single" w:color="auto"/>
            <w:color w:val="0000EE"/>
          </w:rPr>
          <w:t>August 5, 2021</w:t>
        </w:r>
      </w:hyperlink>
      <w:hyperlink r:id="rId66">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8">
        <w:r>
          <w:rPr>
            <w:rFonts w:ascii="Arial" w:cs="Arial" w:eastAsia="Arial" w:hAnsi="Arial"/>
            <w:sz w:val="18"/>
            <w:szCs w:val="18"/>
            <w:u w:val="single" w:color="auto"/>
            <w:color w:val="0000EE"/>
          </w:rPr>
          <w:t xml:space="preserve">December 2, 2021 </w:t>
        </w:r>
      </w:hyperlink>
      <w:hyperlink r:id="rId66">
        <w:r>
          <w:rPr>
            <w:rFonts w:ascii="Arial" w:cs="Arial" w:eastAsia="Arial" w:hAnsi="Arial"/>
            <w:sz w:val="18"/>
            <w:szCs w:val="18"/>
            <w:color w:val="000000"/>
          </w:rPr>
          <w:t>and January 3, 2022; and</w:t>
        </w:r>
      </w:hyperlink>
    </w:p>
    <w:p>
      <w:pPr>
        <w:spacing w:after="0" w:line="197" w:lineRule="exact"/>
        <w:rPr>
          <w:rFonts w:ascii="Arial" w:cs="Arial" w:eastAsia="Arial" w:hAnsi="Arial"/>
          <w:sz w:val="18"/>
          <w:szCs w:val="18"/>
          <w:color w:val="0000EE"/>
        </w:rPr>
      </w:pPr>
    </w:p>
    <w:p>
      <w:pPr>
        <w:ind w:left="1080" w:right="2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description of our common shares contained in </w:t>
      </w:r>
      <w:hyperlink r:id="rId69">
        <w:r>
          <w:rPr>
            <w:rFonts w:ascii="Arial" w:cs="Arial" w:eastAsia="Arial" w:hAnsi="Arial"/>
            <w:sz w:val="18"/>
            <w:szCs w:val="18"/>
            <w:u w:val="single" w:color="auto"/>
            <w:color w:val="0000EE"/>
          </w:rPr>
          <w:t>Exhibit 4.8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Predecessor’s Annual Report on Form 10-K filed with the SEC on February 10, 2020.</w:t>
      </w:r>
    </w:p>
    <w:p>
      <w:pPr>
        <w:spacing w:after="0" w:line="170" w:lineRule="exact"/>
        <w:rPr>
          <w:rFonts w:ascii="Arial" w:cs="Arial" w:eastAsia="Arial" w:hAnsi="Arial"/>
          <w:sz w:val="18"/>
          <w:szCs w:val="18"/>
          <w:color w:val="0000EE"/>
        </w:rPr>
      </w:pPr>
    </w:p>
    <w:p>
      <w:pPr>
        <w:ind w:left="120" w:right="80" w:firstLine="440"/>
        <w:spacing w:after="0" w:line="254"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95" w:lineRule="exact"/>
        <w:rPr>
          <w:rFonts w:ascii="Arial" w:cs="Arial" w:eastAsia="Arial" w:hAnsi="Arial"/>
          <w:sz w:val="18"/>
          <w:szCs w:val="18"/>
          <w:color w:val="0000EE"/>
        </w:rPr>
      </w:pPr>
    </w:p>
    <w:p>
      <w:pPr>
        <w:ind w:left="120" w:right="180" w:firstLine="440"/>
        <w:spacing w:after="0" w:line="311"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41" w:lineRule="exact"/>
        <w:rPr>
          <w:rFonts w:ascii="Arial" w:cs="Arial" w:eastAsia="Arial" w:hAnsi="Arial"/>
          <w:sz w:val="18"/>
          <w:szCs w:val="18"/>
          <w:color w:val="0000EE"/>
        </w:rPr>
      </w:pPr>
    </w:p>
    <w:p>
      <w:pPr>
        <w:ind w:left="1100"/>
        <w:spacing w:after="0"/>
        <w:rPr>
          <w:sz w:val="20"/>
          <w:szCs w:val="20"/>
          <w:color w:val="auto"/>
        </w:rPr>
      </w:pPr>
      <w:r>
        <w:rPr>
          <w:rFonts w:ascii="Arial" w:cs="Arial" w:eastAsia="Arial" w:hAnsi="Arial"/>
          <w:sz w:val="18"/>
          <w:szCs w:val="18"/>
          <w:color w:val="auto"/>
        </w:rPr>
        <w:t>Federal Realty Investment Trust</w:t>
      </w:r>
    </w:p>
    <w:p>
      <w:pPr>
        <w:spacing w:after="0" w:line="23" w:lineRule="exact"/>
        <w:rPr>
          <w:rFonts w:ascii="Arial" w:cs="Arial" w:eastAsia="Arial" w:hAnsi="Arial"/>
          <w:sz w:val="18"/>
          <w:szCs w:val="18"/>
          <w:color w:val="0000EE"/>
        </w:rPr>
      </w:pPr>
    </w:p>
    <w:p>
      <w:pPr>
        <w:ind w:left="1100"/>
        <w:spacing w:after="0"/>
        <w:rPr>
          <w:sz w:val="20"/>
          <w:szCs w:val="20"/>
          <w:color w:val="auto"/>
        </w:rPr>
      </w:pPr>
      <w:r>
        <w:rPr>
          <w:rFonts w:ascii="Arial" w:cs="Arial" w:eastAsia="Arial" w:hAnsi="Arial"/>
          <w:sz w:val="18"/>
          <w:szCs w:val="18"/>
          <w:color w:val="auto"/>
        </w:rPr>
        <w:t>909 Rose Ave. Suite 200</w:t>
      </w:r>
    </w:p>
    <w:p>
      <w:pPr>
        <w:spacing w:after="0" w:line="9" w:lineRule="exact"/>
        <w:rPr>
          <w:rFonts w:ascii="Arial" w:cs="Arial" w:eastAsia="Arial" w:hAnsi="Arial"/>
          <w:sz w:val="18"/>
          <w:szCs w:val="18"/>
          <w:color w:val="0000EE"/>
        </w:rPr>
      </w:pPr>
    </w:p>
    <w:p>
      <w:pPr>
        <w:ind w:left="1100"/>
        <w:spacing w:after="0"/>
        <w:rPr>
          <w:sz w:val="20"/>
          <w:szCs w:val="20"/>
          <w:color w:val="auto"/>
        </w:rPr>
      </w:pPr>
      <w:r>
        <w:rPr>
          <w:rFonts w:ascii="Arial" w:cs="Arial" w:eastAsia="Arial" w:hAnsi="Arial"/>
          <w:sz w:val="18"/>
          <w:szCs w:val="18"/>
          <w:color w:val="auto"/>
        </w:rPr>
        <w:t>North Bethesda, Maryland 20852</w:t>
      </w:r>
    </w:p>
    <w:p>
      <w:pPr>
        <w:spacing w:after="0" w:line="9" w:lineRule="exact"/>
        <w:rPr>
          <w:rFonts w:ascii="Arial" w:cs="Arial" w:eastAsia="Arial" w:hAnsi="Arial"/>
          <w:sz w:val="18"/>
          <w:szCs w:val="18"/>
          <w:color w:val="0000EE"/>
        </w:rPr>
      </w:pPr>
    </w:p>
    <w:p>
      <w:pPr>
        <w:ind w:left="1100"/>
        <w:spacing w:after="0"/>
        <w:rPr>
          <w:sz w:val="20"/>
          <w:szCs w:val="20"/>
          <w:color w:val="auto"/>
        </w:rPr>
      </w:pPr>
      <w:r>
        <w:rPr>
          <w:rFonts w:ascii="Arial" w:cs="Arial" w:eastAsia="Arial" w:hAnsi="Arial"/>
          <w:sz w:val="18"/>
          <w:szCs w:val="18"/>
          <w:color w:val="auto"/>
        </w:rPr>
        <w:t>Attention: Investor Relations</w:t>
      </w:r>
    </w:p>
    <w:p>
      <w:pPr>
        <w:spacing w:after="0" w:line="9" w:lineRule="exact"/>
        <w:rPr>
          <w:rFonts w:ascii="Arial" w:cs="Arial" w:eastAsia="Arial" w:hAnsi="Arial"/>
          <w:sz w:val="18"/>
          <w:szCs w:val="18"/>
          <w:color w:val="0000EE"/>
        </w:rPr>
      </w:pPr>
    </w:p>
    <w:p>
      <w:pPr>
        <w:ind w:left="1100"/>
        <w:spacing w:after="0"/>
        <w:rPr>
          <w:sz w:val="20"/>
          <w:szCs w:val="20"/>
          <w:color w:val="auto"/>
        </w:rPr>
      </w:pPr>
      <w:r>
        <w:rPr>
          <w:rFonts w:ascii="Arial" w:cs="Arial" w:eastAsia="Arial" w:hAnsi="Arial"/>
          <w:sz w:val="18"/>
          <w:szCs w:val="18"/>
          <w:color w:val="auto"/>
        </w:rPr>
        <w:t>(301) 998-8100</w:t>
      </w:r>
    </w:p>
    <w:p>
      <w:pPr>
        <w:spacing w:after="0" w:line="211" w:lineRule="exact"/>
        <w:rPr>
          <w:rFonts w:ascii="Arial" w:cs="Arial" w:eastAsia="Arial" w:hAnsi="Arial"/>
          <w:sz w:val="18"/>
          <w:szCs w:val="18"/>
          <w:color w:val="0000EE"/>
        </w:rPr>
      </w:pPr>
    </w:p>
    <w:p>
      <w:pPr>
        <w:ind w:left="120" w:firstLine="440"/>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634365</wp:posOffset>
            </wp:positionV>
            <wp:extent cx="1911350" cy="5575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191135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799,623 Common Shares of Beneficial Interest</w:t>
      </w:r>
    </w:p>
    <w:p>
      <w:pPr>
        <w:spacing w:after="0" w:line="72"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388620</wp:posOffset>
            </wp:positionV>
            <wp:extent cx="1474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January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454660</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514350</wp:posOffset>
            </wp:positionV>
            <wp:extent cx="699516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139"/>
          </w:cols>
          <w:pgMar w:left="320" w:top="45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Set forth below are the amounts of fees and expenses (other than underwriting discounts and commissions) we will pay in connection with the offering of our securities.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Printing and Duplicating Costs</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3"/>
              </w:rPr>
              <w:t>10,000*</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23"/>
        </w:trPr>
        <w:tc>
          <w:tcPr>
            <w:tcW w:w="6800" w:type="dxa"/>
            <w:vAlign w:val="bottom"/>
          </w:tcPr>
          <w:p>
            <w:pPr>
              <w:ind w:left="36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23,500</w:t>
            </w:r>
          </w:p>
        </w:tc>
        <w:tc>
          <w:tcPr>
            <w:tcW w:w="80" w:type="dxa"/>
            <w:vAlign w:val="bottom"/>
          </w:tcPr>
          <w:p>
            <w:pPr>
              <w:jc w:val="right"/>
              <w:spacing w:after="0"/>
              <w:rPr>
                <w:sz w:val="20"/>
                <w:szCs w:val="20"/>
                <w:color w:val="auto"/>
              </w:rPr>
            </w:pPr>
            <w:r>
              <w:rPr>
                <w:rFonts w:ascii="Arial" w:cs="Arial" w:eastAsia="Arial" w:hAnsi="Arial"/>
                <w:sz w:val="18"/>
                <w:szCs w:val="18"/>
                <w:color w:val="auto"/>
                <w:w w:val="84"/>
              </w:rPr>
              <w:t>*</w:t>
            </w:r>
          </w:p>
        </w:tc>
      </w:tr>
      <w:tr>
        <w:trPr>
          <w:trHeight w:val="20"/>
        </w:trPr>
        <w:tc>
          <w:tcPr>
            <w:tcW w:w="6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Estimated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Trustees and Officers</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78"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limited liability company,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registrant’s bylaws obligate it, without requiring a preliminary determination of the ultimate entitlement to indemnification, to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from such trustee or officer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or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92"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68" w:lineRule="exact"/>
        <w:rPr>
          <w:sz w:val="20"/>
          <w:szCs w:val="20"/>
          <w:color w:val="auto"/>
        </w:rPr>
      </w:pPr>
    </w:p>
    <w:p>
      <w:pPr>
        <w:ind w:left="120" w:right="520"/>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exhibits, as noted, are filed herewith, previously have been filed, or will be filed by amendment.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20" w:type="dxa"/>
            <w:vAlign w:val="bottom"/>
            <w:gridSpan w:val="13"/>
            <w:vMerge w:val="restart"/>
          </w:tcPr>
          <w:p>
            <w:pPr>
              <w:ind w:left="2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7820" w:type="dxa"/>
            <w:vAlign w:val="bottom"/>
            <w:tcBorders>
              <w:bottom w:val="single" w:sz="8" w:color="auto"/>
            </w:tcBorders>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2"/>
                <w:szCs w:val="22"/>
                <w:color w:val="auto"/>
              </w:rPr>
            </w:pPr>
          </w:p>
        </w:tc>
        <w:tc>
          <w:tcPr>
            <w:tcW w:w="10140" w:type="dxa"/>
            <w:vAlign w:val="bottom"/>
            <w:gridSpan w:val="16"/>
          </w:tcPr>
          <w:p>
            <w:pP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Amended and Restated Declaration of Trust of Federal Realty Investment Trust effective January 1, 2022 (previously filed as Exhibit 3.1 to</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the Current Report on Form 8-K filed by the Company on January 3, 2022 and incorporated herein by reference)</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4"/>
                <w:szCs w:val="24"/>
                <w:color w:val="auto"/>
              </w:rPr>
            </w:pPr>
          </w:p>
        </w:tc>
        <w:tc>
          <w:tcPr>
            <w:tcW w:w="9560" w:type="dxa"/>
            <w:vAlign w:val="bottom"/>
            <w:tcBorders>
              <w:bottom w:val="single" w:sz="8" w:color="0000EE"/>
            </w:tcBorders>
            <w:gridSpan w:val="13"/>
          </w:tcPr>
          <w:p>
            <w:pPr>
              <w:spacing w:after="0"/>
              <w:rPr>
                <w:rFonts w:ascii="Arial" w:cs="Arial" w:eastAsia="Arial" w:hAnsi="Arial"/>
                <w:sz w:val="18"/>
                <w:szCs w:val="18"/>
                <w:color w:val="0000EE"/>
                <w:w w:val="91"/>
              </w:rPr>
            </w:pPr>
            <w:hyperlink r:id="rId82">
              <w:r>
                <w:rPr>
                  <w:rFonts w:ascii="Arial" w:cs="Arial" w:eastAsia="Arial" w:hAnsi="Arial"/>
                  <w:sz w:val="18"/>
                  <w:szCs w:val="18"/>
                  <w:color w:val="0000EE"/>
                  <w:w w:val="91"/>
                </w:rPr>
                <w:t>Articles of Amendment to Amended and Restated Declaration of Trust of Federal Realty Investment Trust effective January 1, 2022</w:t>
              </w:r>
            </w:hyperlink>
          </w:p>
        </w:tc>
        <w:tc>
          <w:tcPr>
            <w:tcW w:w="5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(previously filed as Exhibit 3.2 to the Current Report on Form 8-K filed by the Company on January 3, 2022 and incorporated herein by</w:t>
              </w:r>
            </w:hyperlink>
          </w:p>
        </w:tc>
        <w:tc>
          <w:tcPr>
            <w:tcW w:w="3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6"/>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reference)</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ind w:right="54"/>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24"/>
                <w:szCs w:val="24"/>
                <w:color w:val="auto"/>
              </w:rPr>
            </w:pPr>
          </w:p>
        </w:tc>
        <w:tc>
          <w:tcPr>
            <w:tcW w:w="9040" w:type="dxa"/>
            <w:vAlign w:val="bottom"/>
            <w:tcBorders>
              <w:bottom w:val="single" w:sz="8" w:color="0000EE"/>
            </w:tcBorders>
            <w:gridSpan w:val="12"/>
          </w:tcPr>
          <w:p>
            <w:pP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Bylaws of Federal Realty Investment Trust effective January 1, 2022 (previously filed as Exhibit 3.3 to the Current Report on</w:t>
              </w:r>
            </w:hyperlink>
          </w:p>
        </w:tc>
        <w:tc>
          <w:tcPr>
            <w:tcW w:w="1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6"/>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Form 8-K filed by the Company on January 3, 2022 and incorporated herein by reference)</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4"/>
                <w:szCs w:val="24"/>
                <w:color w:val="auto"/>
              </w:rPr>
            </w:pPr>
          </w:p>
        </w:tc>
        <w:tc>
          <w:tcPr>
            <w:tcW w:w="10140" w:type="dxa"/>
            <w:vAlign w:val="bottom"/>
            <w:gridSpan w:val="1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Opinion of Pillsbury Winthrop Shaw Pittman LLP regarding the legality of the securities being registered</w:t>
              </w:r>
            </w:hyperlink>
          </w:p>
        </w:tc>
        <w:tc>
          <w:tcPr>
            <w:tcW w:w="0" w:type="dxa"/>
            <w:vAlign w:val="bottom"/>
          </w:tcPr>
          <w:p>
            <w:pPr>
              <w:spacing w:after="0"/>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24"/>
                <w:szCs w:val="24"/>
                <w:color w:val="auto"/>
              </w:rPr>
            </w:pPr>
          </w:p>
        </w:tc>
        <w:tc>
          <w:tcPr>
            <w:tcW w:w="7580" w:type="dxa"/>
            <w:vAlign w:val="bottom"/>
            <w:tcBorders>
              <w:top w:val="single" w:sz="8" w:color="0000EE"/>
            </w:tcBorders>
            <w:gridSpan w:val="10"/>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Opinion of Pillsbury Winthrop Shaw Pittman LLP regarding certain federal income tax matters</w:t>
              </w:r>
            </w:hyperlink>
          </w:p>
        </w:tc>
        <w:tc>
          <w:tcPr>
            <w:tcW w:w="25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23.1*</w:t>
            </w:r>
          </w:p>
        </w:tc>
        <w:tc>
          <w:tcPr>
            <w:tcW w:w="42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Consent of Grant Thornton LLP</w:t>
              </w:r>
            </w:hyperlink>
          </w:p>
        </w:tc>
        <w:tc>
          <w:tcPr>
            <w:tcW w:w="4520" w:type="dxa"/>
            <w:vAlign w:val="bottom"/>
            <w:tcBorders>
              <w:top w:val="single" w:sz="8" w:color="0000EE"/>
            </w:tcBorders>
            <w:gridSpan w:val="6"/>
          </w:tcPr>
          <w:p>
            <w:pPr>
              <w:spacing w:after="0"/>
              <w:rPr>
                <w:sz w:val="24"/>
                <w:szCs w:val="24"/>
                <w:color w:val="auto"/>
              </w:rPr>
            </w:pPr>
          </w:p>
        </w:tc>
        <w:tc>
          <w:tcPr>
            <w:tcW w:w="33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23.2*</w:t>
            </w:r>
          </w:p>
        </w:tc>
        <w:tc>
          <w:tcPr>
            <w:tcW w:w="420" w:type="dxa"/>
            <w:vAlign w:val="bottom"/>
          </w:tcPr>
          <w:p>
            <w:pPr>
              <w:spacing w:after="0"/>
              <w:rPr>
                <w:sz w:val="24"/>
                <w:szCs w:val="24"/>
                <w:color w:val="auto"/>
              </w:rPr>
            </w:pPr>
          </w:p>
        </w:tc>
        <w:tc>
          <w:tcPr>
            <w:tcW w:w="1014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Consent of Pillsbury Winthrop Shaw Pittman LLP (included in Exhibits </w:t>
            </w:r>
            <w:hyperlink w:anchor="page47">
              <w:r>
                <w:rPr>
                  <w:rFonts w:ascii="Arial" w:cs="Arial" w:eastAsia="Arial" w:hAnsi="Arial"/>
                  <w:sz w:val="18"/>
                  <w:szCs w:val="18"/>
                  <w:color w:val="0000EE"/>
                </w:rPr>
                <w:t>5.1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w:anchor="page49">
              <w:r>
                <w:rPr>
                  <w:rFonts w:ascii="Arial" w:cs="Arial" w:eastAsia="Arial" w:hAnsi="Arial"/>
                  <w:sz w:val="18"/>
                  <w:szCs w:val="18"/>
                  <w:color w:val="0000EE"/>
                </w:rPr>
                <w:t>8.1</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24.1*</w:t>
            </w:r>
          </w:p>
        </w:tc>
        <w:tc>
          <w:tcPr>
            <w:tcW w:w="420" w:type="dxa"/>
            <w:vAlign w:val="bottom"/>
          </w:tcPr>
          <w:p>
            <w:pPr>
              <w:spacing w:after="0"/>
              <w:rPr>
                <w:sz w:val="24"/>
                <w:szCs w:val="24"/>
                <w:color w:val="auto"/>
              </w:rPr>
            </w:pPr>
          </w:p>
        </w:tc>
        <w:tc>
          <w:tcPr>
            <w:tcW w:w="13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Power of Attorney</w:t>
              </w:r>
            </w:hyperlink>
          </w:p>
        </w:tc>
        <w:tc>
          <w:tcPr>
            <w:tcW w:w="3880" w:type="dxa"/>
            <w:vAlign w:val="bottom"/>
            <w:gridSpan w:val="2"/>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1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Included with this filing.</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380" w:hanging="264"/>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 of 1933, as amended;</w:t>
      </w:r>
    </w:p>
    <w:p>
      <w:pPr>
        <w:spacing w:after="0" w:line="225" w:lineRule="exact"/>
        <w:rPr>
          <w:sz w:val="20"/>
          <w:szCs w:val="20"/>
          <w:color w:val="auto"/>
        </w:rPr>
      </w:pPr>
    </w:p>
    <w:p>
      <w:pPr>
        <w:ind w:left="120" w:right="200" w:hanging="4"/>
        <w:spacing w:after="0" w:line="254" w:lineRule="auto"/>
        <w:tabs>
          <w:tab w:leader="none" w:pos="38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94" w:lineRule="exact"/>
        <w:rPr>
          <w:rFonts w:ascii="Arial" w:cs="Arial" w:eastAsia="Arial" w:hAnsi="Arial"/>
          <w:sz w:val="18"/>
          <w:szCs w:val="18"/>
          <w:color w:val="auto"/>
        </w:rPr>
      </w:pPr>
    </w:p>
    <w:p>
      <w:pPr>
        <w:ind w:left="120" w:right="380" w:hanging="4"/>
        <w:spacing w:after="0" w:line="277" w:lineRule="auto"/>
        <w:tabs>
          <w:tab w:leader="none" w:pos="4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provided, however, that paragraphs (a)(1)(i), (a)(1)(ii) and (a)(1)(iii) herein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71" w:lineRule="exact"/>
        <w:rPr>
          <w:sz w:val="20"/>
          <w:szCs w:val="20"/>
          <w:color w:val="auto"/>
        </w:rPr>
      </w:pPr>
    </w:p>
    <w:p>
      <w:pPr>
        <w:ind w:left="120" w:hanging="4"/>
        <w:spacing w:after="0" w:line="263" w:lineRule="auto"/>
        <w:tabs>
          <w:tab w:leader="none" w:pos="3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3" w:lineRule="exact"/>
        <w:rPr>
          <w:rFonts w:ascii="Arial" w:cs="Arial" w:eastAsia="Arial" w:hAnsi="Arial"/>
          <w:sz w:val="18"/>
          <w:szCs w:val="18"/>
          <w:color w:val="auto"/>
        </w:rPr>
      </w:pPr>
    </w:p>
    <w:p>
      <w:pPr>
        <w:ind w:left="120" w:hanging="4"/>
        <w:spacing w:after="0" w:line="277" w:lineRule="auto"/>
        <w:tabs>
          <w:tab w:leader="none" w:pos="3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380" w:hanging="264"/>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as amended, to any purchaser:</w:t>
      </w:r>
    </w:p>
    <w:p>
      <w:pPr>
        <w:spacing w:after="0" w:line="225" w:lineRule="exact"/>
        <w:rPr>
          <w:sz w:val="20"/>
          <w:szCs w:val="20"/>
          <w:color w:val="auto"/>
        </w:rPr>
      </w:pPr>
    </w:p>
    <w:p>
      <w:pPr>
        <w:ind w:left="120" w:right="460" w:hanging="4"/>
        <w:spacing w:after="0" w:line="277"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120" w:right="20" w:hanging="4"/>
        <w:spacing w:after="0" w:line="290" w:lineRule="auto"/>
        <w:tabs>
          <w:tab w:leader="none" w:pos="385"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4" w:lineRule="exact"/>
        <w:rPr>
          <w:sz w:val="20"/>
          <w:szCs w:val="20"/>
          <w:color w:val="auto"/>
        </w:rPr>
      </w:pPr>
    </w:p>
    <w:p>
      <w:pPr>
        <w:ind w:left="120" w:right="820" w:hanging="4"/>
        <w:spacing w:after="0" w:line="277" w:lineRule="auto"/>
        <w:tabs>
          <w:tab w:leader="none" w:pos="3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as amended, to any purchaser in the initial distribution of the securities:</w:t>
      </w:r>
    </w:p>
    <w:p>
      <w:pPr>
        <w:spacing w:after="0" w:line="170"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sz w:val="20"/>
          <w:szCs w:val="20"/>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225" w:lineRule="exact"/>
        <w:rPr>
          <w:rFonts w:ascii="Arial" w:cs="Arial" w:eastAsia="Arial" w:hAnsi="Arial"/>
          <w:sz w:val="18"/>
          <w:szCs w:val="18"/>
          <w:color w:val="auto"/>
        </w:rPr>
      </w:pPr>
    </w:p>
    <w:p>
      <w:pPr>
        <w:ind w:left="120" w:right="200" w:hanging="4"/>
        <w:spacing w:after="0" w:line="277" w:lineRule="auto"/>
        <w:tabs>
          <w:tab w:leader="none" w:pos="3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20" w:right="500" w:hanging="4"/>
        <w:spacing w:after="0" w:line="277" w:lineRule="auto"/>
        <w:tabs>
          <w:tab w:leader="none" w:pos="4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420" w:hanging="304"/>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right="60" w:hanging="4"/>
        <w:spacing w:after="0" w:line="257" w:lineRule="auto"/>
        <w:tabs>
          <w:tab w:leader="none" w:pos="3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as amended,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7" w:lineRule="exact"/>
        <w:rPr>
          <w:rFonts w:ascii="Arial" w:cs="Arial" w:eastAsia="Arial" w:hAnsi="Arial"/>
          <w:sz w:val="18"/>
          <w:szCs w:val="18"/>
          <w:color w:val="auto"/>
        </w:rPr>
      </w:pPr>
    </w:p>
    <w:p>
      <w:pPr>
        <w:ind w:left="120" w:hanging="4"/>
        <w:spacing w:after="0" w:line="290" w:lineRule="auto"/>
        <w:tabs>
          <w:tab w:leader="none" w:pos="365"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for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North Bethesda, State of Maryland, on January 3, 2022.</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Executive Vice President-General Counsel and</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the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8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tcPr>
          <w:p>
            <w:pPr>
              <w:jc w:val="right"/>
              <w:ind w:right="2128"/>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r>
      <w:tr>
        <w:trPr>
          <w:trHeight w:val="304"/>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C. Wood</w:t>
            </w:r>
          </w:p>
        </w:tc>
        <w:tc>
          <w:tcPr>
            <w:tcW w:w="5080" w:type="dxa"/>
            <w:vAlign w:val="bottom"/>
            <w:gridSpan w:val="4"/>
          </w:tcPr>
          <w:p>
            <w:pPr>
              <w:ind w:left="120"/>
              <w:spacing w:after="0"/>
              <w:rPr>
                <w:sz w:val="20"/>
                <w:szCs w:val="20"/>
                <w:color w:val="auto"/>
              </w:rPr>
            </w:pPr>
            <w:r>
              <w:rPr>
                <w:rFonts w:ascii="Arial" w:cs="Arial" w:eastAsia="Arial" w:hAnsi="Arial"/>
                <w:sz w:val="18"/>
                <w:szCs w:val="18"/>
                <w:color w:val="auto"/>
              </w:rPr>
              <w:t>Chief Executive Officer of the Company (principal executive</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5080" w:type="dxa"/>
            <w:vAlign w:val="bottom"/>
            <w:gridSpan w:val="4"/>
          </w:tcPr>
          <w:p>
            <w:pPr>
              <w:ind w:left="120"/>
              <w:spacing w:after="0"/>
              <w:rPr>
                <w:sz w:val="20"/>
                <w:szCs w:val="20"/>
                <w:color w:val="auto"/>
              </w:rPr>
            </w:pPr>
            <w:r>
              <w:rPr>
                <w:rFonts w:ascii="Arial" w:cs="Arial" w:eastAsia="Arial" w:hAnsi="Arial"/>
                <w:sz w:val="18"/>
                <w:szCs w:val="18"/>
                <w:color w:val="auto"/>
              </w:rPr>
              <w:t>officer) and Trustee of the Company</w:t>
            </w:r>
          </w:p>
        </w:tc>
        <w:tc>
          <w:tcPr>
            <w:tcW w:w="1760" w:type="dxa"/>
            <w:vAlign w:val="bottom"/>
          </w:tcPr>
          <w:p>
            <w:pPr>
              <w:spacing w:after="0"/>
              <w:rPr>
                <w:sz w:val="19"/>
                <w:szCs w:val="19"/>
                <w:color w:val="auto"/>
              </w:rPr>
            </w:pPr>
          </w:p>
        </w:tc>
      </w:tr>
      <w:tr>
        <w:trPr>
          <w:trHeight w:val="323"/>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Guglielmone</w:t>
            </w:r>
          </w:p>
        </w:tc>
        <w:tc>
          <w:tcPr>
            <w:tcW w:w="5080" w:type="dxa"/>
            <w:vAlign w:val="bottom"/>
            <w:gridSpan w:val="4"/>
          </w:tcPr>
          <w:p>
            <w:pPr>
              <w:ind w:left="120"/>
              <w:spacing w:after="0"/>
              <w:rPr>
                <w:sz w:val="20"/>
                <w:szCs w:val="20"/>
                <w:color w:val="auto"/>
              </w:rPr>
            </w:pPr>
            <w:r>
              <w:rPr>
                <w:rFonts w:ascii="Arial" w:cs="Arial" w:eastAsia="Arial" w:hAnsi="Arial"/>
                <w:sz w:val="18"/>
                <w:szCs w:val="18"/>
                <w:color w:val="auto"/>
                <w:w w:val="94"/>
              </w:rPr>
              <w:t>Executive Vice President-Chief Financial Officer and Treasurer of</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Daniel Guglielmone</w:t>
            </w:r>
          </w:p>
        </w:tc>
        <w:tc>
          <w:tcPr>
            <w:tcW w:w="5080" w:type="dxa"/>
            <w:vAlign w:val="bottom"/>
            <w:gridSpan w:val="4"/>
          </w:tcPr>
          <w:p>
            <w:pPr>
              <w:ind w:left="120"/>
              <w:spacing w:after="0"/>
              <w:rPr>
                <w:sz w:val="20"/>
                <w:szCs w:val="20"/>
                <w:color w:val="auto"/>
              </w:rPr>
            </w:pPr>
            <w:r>
              <w:rPr>
                <w:rFonts w:ascii="Arial" w:cs="Arial" w:eastAsia="Arial" w:hAnsi="Arial"/>
                <w:sz w:val="18"/>
                <w:szCs w:val="18"/>
                <w:color w:val="auto"/>
              </w:rPr>
              <w:t>the Company (principal financial and accounting officer)</w:t>
            </w:r>
          </w:p>
        </w:tc>
        <w:tc>
          <w:tcPr>
            <w:tcW w:w="1760" w:type="dxa"/>
            <w:vAlign w:val="bottom"/>
          </w:tcPr>
          <w:p>
            <w:pPr>
              <w:spacing w:after="0"/>
              <w:rPr>
                <w:sz w:val="19"/>
                <w:szCs w:val="19"/>
                <w:color w:val="auto"/>
              </w:rPr>
            </w:pPr>
          </w:p>
        </w:tc>
      </w:tr>
      <w:tr>
        <w:trPr>
          <w:trHeight w:val="323"/>
        </w:trPr>
        <w:tc>
          <w:tcPr>
            <w:tcW w:w="4180" w:type="dxa"/>
            <w:vAlign w:val="bottom"/>
            <w:tcBorders>
              <w:bottom w:val="single" w:sz="8" w:color="auto"/>
            </w:tcBorders>
            <w:gridSpan w:val="2"/>
          </w:tcPr>
          <w:p>
            <w:pPr>
              <w:ind w:left="2040"/>
              <w:spacing w:after="0"/>
              <w:rPr>
                <w:sz w:val="20"/>
                <w:szCs w:val="20"/>
                <w:color w:val="auto"/>
              </w:rPr>
            </w:pPr>
            <w:r>
              <w:rPr>
                <w:rFonts w:ascii="Arial" w:cs="Arial" w:eastAsia="Arial" w:hAnsi="Arial"/>
                <w:sz w:val="18"/>
                <w:szCs w:val="18"/>
                <w:color w:val="auto"/>
              </w:rPr>
              <w:t>*</w:t>
            </w:r>
          </w:p>
        </w:tc>
        <w:tc>
          <w:tcPr>
            <w:tcW w:w="5080" w:type="dxa"/>
            <w:vAlign w:val="bottom"/>
            <w:gridSpan w:val="4"/>
          </w:tcPr>
          <w:p>
            <w:pPr>
              <w:ind w:left="120"/>
              <w:spacing w:after="0"/>
              <w:rPr>
                <w:sz w:val="20"/>
                <w:szCs w:val="20"/>
                <w:color w:val="auto"/>
              </w:rPr>
            </w:pPr>
            <w:r>
              <w:rPr>
                <w:rFonts w:ascii="Arial" w:cs="Arial" w:eastAsia="Arial" w:hAnsi="Arial"/>
                <w:sz w:val="18"/>
                <w:szCs w:val="18"/>
                <w:color w:val="auto"/>
              </w:rPr>
              <w:t>Trustee and Non-Executive Chairman of the Company</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23"/>
        </w:trPr>
        <w:tc>
          <w:tcPr>
            <w:tcW w:w="4180" w:type="dxa"/>
            <w:vAlign w:val="bottom"/>
            <w:tcBorders>
              <w:bottom w:val="single" w:sz="8" w:color="auto"/>
            </w:tcBorders>
            <w:gridSpan w:val="2"/>
          </w:tcPr>
          <w:p>
            <w:pPr>
              <w:ind w:left="2040"/>
              <w:spacing w:after="0"/>
              <w:rPr>
                <w:sz w:val="20"/>
                <w:szCs w:val="20"/>
                <w:color w:val="auto"/>
              </w:rPr>
            </w:pPr>
            <w:r>
              <w:rPr>
                <w:rFonts w:ascii="Arial" w:cs="Arial" w:eastAsia="Arial" w:hAnsi="Arial"/>
                <w:sz w:val="18"/>
                <w:szCs w:val="18"/>
                <w:color w:val="auto"/>
              </w:rPr>
              <w:t>*</w:t>
            </w:r>
          </w:p>
        </w:tc>
        <w:tc>
          <w:tcPr>
            <w:tcW w:w="5080" w:type="dxa"/>
            <w:vAlign w:val="bottom"/>
            <w:gridSpan w:val="4"/>
          </w:tcPr>
          <w:p>
            <w:pPr>
              <w:ind w:left="120"/>
              <w:spacing w:after="0"/>
              <w:rPr>
                <w:sz w:val="20"/>
                <w:szCs w:val="20"/>
                <w:color w:val="auto"/>
              </w:rPr>
            </w:pPr>
            <w:r>
              <w:rPr>
                <w:rFonts w:ascii="Arial" w:cs="Arial" w:eastAsia="Arial" w:hAnsi="Arial"/>
                <w:sz w:val="18"/>
                <w:szCs w:val="18"/>
                <w:color w:val="auto"/>
              </w:rPr>
              <w:t>Trustee of the Company</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Elizabeth I. Holland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23"/>
        </w:trPr>
        <w:tc>
          <w:tcPr>
            <w:tcW w:w="4180" w:type="dxa"/>
            <w:vAlign w:val="bottom"/>
            <w:tcBorders>
              <w:bottom w:val="single" w:sz="8" w:color="auto"/>
            </w:tcBorders>
            <w:gridSpan w:val="2"/>
          </w:tcPr>
          <w:p>
            <w:pPr>
              <w:ind w:left="2040"/>
              <w:spacing w:after="0"/>
              <w:rPr>
                <w:sz w:val="20"/>
                <w:szCs w:val="20"/>
                <w:color w:val="auto"/>
              </w:rPr>
            </w:pPr>
            <w:r>
              <w:rPr>
                <w:rFonts w:ascii="Arial" w:cs="Arial" w:eastAsia="Arial" w:hAnsi="Arial"/>
                <w:sz w:val="18"/>
                <w:szCs w:val="18"/>
                <w:color w:val="auto"/>
              </w:rPr>
              <w:t>*</w:t>
            </w:r>
          </w:p>
        </w:tc>
        <w:tc>
          <w:tcPr>
            <w:tcW w:w="5080" w:type="dxa"/>
            <w:vAlign w:val="bottom"/>
            <w:gridSpan w:val="4"/>
          </w:tcPr>
          <w:p>
            <w:pPr>
              <w:ind w:left="120"/>
              <w:spacing w:after="0"/>
              <w:rPr>
                <w:sz w:val="20"/>
                <w:szCs w:val="20"/>
                <w:color w:val="auto"/>
              </w:rPr>
            </w:pPr>
            <w:r>
              <w:rPr>
                <w:rFonts w:ascii="Arial" w:cs="Arial" w:eastAsia="Arial" w:hAnsi="Arial"/>
                <w:sz w:val="18"/>
                <w:szCs w:val="18"/>
                <w:color w:val="auto"/>
              </w:rPr>
              <w:t>Trustee of the Company</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Nicole Y. Lamb-Hale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23"/>
        </w:trPr>
        <w:tc>
          <w:tcPr>
            <w:tcW w:w="4180" w:type="dxa"/>
            <w:vAlign w:val="bottom"/>
            <w:tcBorders>
              <w:bottom w:val="single" w:sz="8" w:color="auto"/>
            </w:tcBorders>
            <w:gridSpan w:val="2"/>
          </w:tcPr>
          <w:p>
            <w:pPr>
              <w:ind w:left="2040"/>
              <w:spacing w:after="0"/>
              <w:rPr>
                <w:sz w:val="20"/>
                <w:szCs w:val="20"/>
                <w:color w:val="auto"/>
              </w:rPr>
            </w:pPr>
            <w:r>
              <w:rPr>
                <w:rFonts w:ascii="Arial" w:cs="Arial" w:eastAsia="Arial" w:hAnsi="Arial"/>
                <w:sz w:val="18"/>
                <w:szCs w:val="18"/>
                <w:color w:val="auto"/>
              </w:rPr>
              <w:t>*</w:t>
            </w:r>
          </w:p>
        </w:tc>
        <w:tc>
          <w:tcPr>
            <w:tcW w:w="5080" w:type="dxa"/>
            <w:vAlign w:val="bottom"/>
            <w:gridSpan w:val="4"/>
          </w:tcPr>
          <w:p>
            <w:pPr>
              <w:ind w:left="120"/>
              <w:spacing w:after="0"/>
              <w:rPr>
                <w:sz w:val="20"/>
                <w:szCs w:val="20"/>
                <w:color w:val="auto"/>
              </w:rPr>
            </w:pPr>
            <w:r>
              <w:rPr>
                <w:rFonts w:ascii="Arial" w:cs="Arial" w:eastAsia="Arial" w:hAnsi="Arial"/>
                <w:sz w:val="18"/>
                <w:szCs w:val="18"/>
                <w:color w:val="auto"/>
              </w:rPr>
              <w:t>Trustee of the Company</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Anthony P. Nader III</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23"/>
        </w:trPr>
        <w:tc>
          <w:tcPr>
            <w:tcW w:w="4180" w:type="dxa"/>
            <w:vAlign w:val="bottom"/>
            <w:tcBorders>
              <w:bottom w:val="single" w:sz="8" w:color="auto"/>
            </w:tcBorders>
            <w:gridSpan w:val="2"/>
          </w:tcPr>
          <w:p>
            <w:pPr>
              <w:ind w:left="2040"/>
              <w:spacing w:after="0"/>
              <w:rPr>
                <w:sz w:val="20"/>
                <w:szCs w:val="20"/>
                <w:color w:val="auto"/>
              </w:rPr>
            </w:pPr>
            <w:r>
              <w:rPr>
                <w:rFonts w:ascii="Arial" w:cs="Arial" w:eastAsia="Arial" w:hAnsi="Arial"/>
                <w:sz w:val="18"/>
                <w:szCs w:val="18"/>
                <w:color w:val="auto"/>
              </w:rPr>
              <w:t>*</w:t>
            </w:r>
          </w:p>
        </w:tc>
        <w:tc>
          <w:tcPr>
            <w:tcW w:w="5080" w:type="dxa"/>
            <w:vAlign w:val="bottom"/>
            <w:gridSpan w:val="4"/>
          </w:tcPr>
          <w:p>
            <w:pPr>
              <w:ind w:left="120"/>
              <w:spacing w:after="0"/>
              <w:rPr>
                <w:sz w:val="20"/>
                <w:szCs w:val="20"/>
                <w:color w:val="auto"/>
              </w:rPr>
            </w:pPr>
            <w:r>
              <w:rPr>
                <w:rFonts w:ascii="Arial" w:cs="Arial" w:eastAsia="Arial" w:hAnsi="Arial"/>
                <w:sz w:val="18"/>
                <w:szCs w:val="18"/>
                <w:color w:val="auto"/>
              </w:rPr>
              <w:t>Trustee of the Company</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Mark S. Ordan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23"/>
        </w:trPr>
        <w:tc>
          <w:tcPr>
            <w:tcW w:w="4180" w:type="dxa"/>
            <w:vAlign w:val="bottom"/>
            <w:tcBorders>
              <w:bottom w:val="single" w:sz="8" w:color="auto"/>
            </w:tcBorders>
            <w:gridSpan w:val="2"/>
          </w:tcPr>
          <w:p>
            <w:pPr>
              <w:ind w:left="2040"/>
              <w:spacing w:after="0"/>
              <w:rPr>
                <w:sz w:val="20"/>
                <w:szCs w:val="20"/>
                <w:color w:val="auto"/>
              </w:rPr>
            </w:pPr>
            <w:r>
              <w:rPr>
                <w:rFonts w:ascii="Arial" w:cs="Arial" w:eastAsia="Arial" w:hAnsi="Arial"/>
                <w:sz w:val="18"/>
                <w:szCs w:val="18"/>
                <w:color w:val="auto"/>
              </w:rPr>
              <w:t>*</w:t>
            </w:r>
          </w:p>
        </w:tc>
        <w:tc>
          <w:tcPr>
            <w:tcW w:w="5080" w:type="dxa"/>
            <w:vAlign w:val="bottom"/>
            <w:gridSpan w:val="4"/>
          </w:tcPr>
          <w:p>
            <w:pPr>
              <w:ind w:left="120"/>
              <w:spacing w:after="0"/>
              <w:rPr>
                <w:sz w:val="20"/>
                <w:szCs w:val="20"/>
                <w:color w:val="auto"/>
              </w:rPr>
            </w:pPr>
            <w:r>
              <w:rPr>
                <w:rFonts w:ascii="Arial" w:cs="Arial" w:eastAsia="Arial" w:hAnsi="Arial"/>
                <w:sz w:val="18"/>
                <w:szCs w:val="18"/>
                <w:color w:val="auto"/>
              </w:rPr>
              <w:t>Trustee of the Company</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January 3, 2022</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58"/>
        </w:trPr>
        <w:tc>
          <w:tcPr>
            <w:tcW w:w="4180" w:type="dxa"/>
            <w:vAlign w:val="bottom"/>
            <w:gridSpan w:val="2"/>
          </w:tcPr>
          <w:p>
            <w:pPr>
              <w:spacing w:after="0"/>
              <w:rPr>
                <w:sz w:val="20"/>
                <w:szCs w:val="20"/>
                <w:color w:val="auto"/>
              </w:rPr>
            </w:pPr>
            <w:r>
              <w:rPr>
                <w:rFonts w:ascii="Arial" w:cs="Arial" w:eastAsia="Arial" w:hAnsi="Arial"/>
                <w:sz w:val="18"/>
                <w:szCs w:val="18"/>
                <w:color w:val="auto"/>
              </w:rPr>
              <w:t>*By:  /s/ Dawn M. Becker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9"/>
        </w:trPr>
        <w:tc>
          <w:tcPr>
            <w:tcW w:w="48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Dawn M. Becker</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Attorney-in-fact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65"/>
        </w:trPr>
        <w:tc>
          <w:tcPr>
            <w:tcW w:w="4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960" w:type="dxa"/>
            <w:vAlign w:val="bottom"/>
            <w:gridSpan w:val="3"/>
          </w:tcPr>
          <w:p>
            <w:pPr>
              <w:jc w:val="right"/>
              <w:ind w:right="3468"/>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January 3,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909 Rose Avenue,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Bethesda, Maryland 20852</w:t>
      </w:r>
    </w:p>
    <w:p>
      <w:pPr>
        <w:spacing w:after="0" w:line="238"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tab/>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are acting as counsel for Federal Realty Investment Trust, a Maryland real estate investment trust (the “Company”), in connection with the Registration Statement on Form S-3 relating to the registration under the Securities Act of 1933 (the “Act”) of 799,623 common shares of beneficial interest, par value $0.01 per share (the “Common Shares”), of the Company, all of which are authorized but heretofore unissued shares to be offered and sold by certain shareholders of the Company (the “Selling Shareholder Shares”). (Such Registration Statement, as the same may be amended from time to time, is herein referred to as the “Registration Statement.”) The Selling Shareholder Shares are comprised of Common Shares issuable upon (i) the conversion of the Company’s outstanding 5.147% Series 1 Cumulative Convertible Preferred Shares of Beneficial Interest, par value $0.01 per share (the “Preferred Shares”), or (ii) the redemption of outstanding units (the “DownREIT Units”) of limited partnership interest or limited liability company interest, as the case may be, in each of (A) NVI-Avenue, LLC, (B) Route 35 Shrewsbury Limited Partnership, (C) Shrewsbury Commons L.P., (D) Sea Girt Limited Partnership, (E) 35 West, LLC and (F) Federal Realty Partners, L.P. (such entities in items (A) through (F), collectively the “DownREIT Entities”).</w:t>
      </w:r>
    </w:p>
    <w:p>
      <w:pPr>
        <w:spacing w:after="0" w:line="18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reviewed and are familiar with such documents, corporate proceedings and other matters as we have considered relevant or necessary as a basis for this opinion. On the basis of the foregoing and the assumptions set forth below, and subject to the other qualifications and limitations set forth herein, we are of the opinion that the Selling Shareholder Shares have been duly authorized and, upon (i) conversion of the Preferred Shares into Common Shares in accordance with the Articles Supplementary establishing and fixing the rights and preferences of the Preferred Shares and (ii) redemption of the DownREIT Units for Common Shares in accordance with the agreement of limited partnership or operating agreement, as applicable, of each of the DownREIT Entities, will be validly issued, fully paid and nonassessable.</w:t>
      </w:r>
    </w:p>
    <w:p>
      <w:pPr>
        <w:spacing w:after="0" w:line="17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have assumed that (a) at or prior to the time of the delivery of any of the Selling Shareholder Shares, the Registration Statement will be effective under the Act, (b) at the time of issuance, the Company has a sufficient number of authorized but unissued Common Shares under the Declaration of Trust of the Company, as amended and corrected, and (c) the Company’s Board of Trustees shall not have rescinded or otherwise modified the authorization of the Selling Shareholder Shares.</w:t>
      </w:r>
    </w:p>
    <w:p>
      <w:pPr>
        <w:sectPr>
          <w:pgSz w:w="11900" w:h="16838" w:orient="portrait"/>
          <w:cols w:equalWidth="0" w:num="1">
            <w:col w:w="11020"/>
          </w:cols>
          <w:pgMar w:left="440" w:top="121" w:right="4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opinion is limited to matters governed by the law of the State of Maryland.</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filing of this opinion as Exhibit 5.1 to the Registration Statement and to the use of our name under the caption “Legal Matters” in the Registration Statement and in the Prospectus included therein. In giving this consent, we do not thereby admit that we are within the category of persons whose consent is required under Section 7 of the Act or the rules and regulations of the Securities and Exchange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48" w:name="page49"/>
    <w:bookmarkEnd w:id="48"/>
    <w:p>
      <w:pPr>
        <w:ind w:left="10184"/>
        <w:spacing w:after="0"/>
        <w:rPr>
          <w:sz w:val="20"/>
          <w:szCs w:val="20"/>
          <w:color w:val="auto"/>
        </w:rPr>
      </w:pPr>
      <w:r>
        <w:rPr>
          <w:rFonts w:ascii="Arial" w:cs="Arial" w:eastAsia="Arial" w:hAnsi="Arial"/>
          <w:sz w:val="16"/>
          <w:szCs w:val="16"/>
          <w:b w:val="1"/>
          <w:bCs w:val="1"/>
          <w:color w:val="auto"/>
        </w:rPr>
        <w:t>Exhibit 8.1</w:t>
      </w:r>
    </w:p>
    <w:p>
      <w:pPr>
        <w:sectPr>
          <w:pgSz w:w="11900" w:h="16838" w:orient="portrait"/>
          <w:cols w:equalWidth="0" w:num="1">
            <w:col w:w="11024"/>
          </w:cols>
          <w:pgMar w:left="436" w:top="121" w:right="439" w:bottom="1440" w:gutter="0" w:footer="0" w:header="0"/>
        </w:sectPr>
      </w:pPr>
    </w:p>
    <w:p>
      <w:pPr>
        <w:spacing w:after="0" w:line="279" w:lineRule="exact"/>
        <w:rPr>
          <w:sz w:val="20"/>
          <w:szCs w:val="20"/>
          <w:color w:val="auto"/>
        </w:rPr>
      </w:pPr>
    </w:p>
    <w:p>
      <w:pPr>
        <w:ind w:left="6624"/>
        <w:spacing w:after="0"/>
        <w:rPr>
          <w:sz w:val="20"/>
          <w:szCs w:val="20"/>
          <w:color w:val="auto"/>
        </w:rPr>
      </w:pPr>
      <w:r>
        <w:rPr>
          <w:rFonts w:ascii="Arial" w:cs="Arial" w:eastAsia="Arial" w:hAnsi="Arial"/>
          <w:sz w:val="16"/>
          <w:szCs w:val="16"/>
          <w:color w:val="auto"/>
        </w:rPr>
        <w:t>1200 Seventeenth Street 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1045845" cy="6686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1045845" cy="668655"/>
                    </a:xfrm>
                    <a:prstGeom prst="rect">
                      <a:avLst/>
                    </a:prstGeom>
                    <a:noFill/>
                  </pic:spPr>
                </pic:pic>
              </a:graphicData>
            </a:graphic>
          </wp:anchor>
        </w:drawing>
      </w:r>
    </w:p>
    <w:p>
      <w:pPr>
        <w:spacing w:after="0" w:line="26" w:lineRule="exact"/>
        <w:rPr>
          <w:sz w:val="20"/>
          <w:szCs w:val="20"/>
          <w:color w:val="auto"/>
        </w:rPr>
      </w:pPr>
    </w:p>
    <w:p>
      <w:pPr>
        <w:ind w:left="6624"/>
        <w:spacing w:after="0"/>
        <w:rPr>
          <w:sz w:val="20"/>
          <w:szCs w:val="20"/>
          <w:color w:val="auto"/>
        </w:rPr>
      </w:pPr>
      <w:r>
        <w:rPr>
          <w:rFonts w:ascii="Arial" w:cs="Arial" w:eastAsia="Arial" w:hAnsi="Arial"/>
          <w:sz w:val="16"/>
          <w:szCs w:val="16"/>
          <w:color w:val="auto"/>
        </w:rPr>
        <w:t>Washington, DC 20036-3006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Tel 202.663.8000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Fax 202.663.8007</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www.pillsburylaw.com</w:t>
      </w:r>
    </w:p>
    <w:p>
      <w:pPr>
        <w:spacing w:after="0" w:line="200" w:lineRule="exact"/>
        <w:rPr>
          <w:sz w:val="20"/>
          <w:szCs w:val="20"/>
          <w:color w:val="auto"/>
        </w:rPr>
      </w:pPr>
    </w:p>
    <w:p>
      <w:pPr>
        <w:sectPr>
          <w:pgSz w:w="11900" w:h="16838" w:orient="portrait"/>
          <w:cols w:equalWidth="0" w:num="2">
            <w:col w:w="8744" w:space="400"/>
            <w:col w:w="1880"/>
          </w:cols>
          <w:pgMar w:left="436" w:top="121" w:right="4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January 3, 2022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909 Rose Avenue, Suite 200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North Bethesda, MD 20852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We have acted as federal income tax counsel to (i) Federal Realty Investment Trust, a Maryland real estate investment trust (the “Company”), and</w:t>
      </w:r>
    </w:p>
    <w:p>
      <w:pPr>
        <w:spacing w:after="0" w:line="46" w:lineRule="exact"/>
        <w:rPr>
          <w:sz w:val="20"/>
          <w:szCs w:val="20"/>
          <w:color w:val="auto"/>
        </w:rPr>
      </w:pPr>
    </w:p>
    <w:p>
      <w:pPr>
        <w:ind w:left="4" w:right="200" w:hanging="4"/>
        <w:spacing w:after="0" w:line="253" w:lineRule="auto"/>
        <w:tabs>
          <w:tab w:leader="none" w:pos="269"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Federal Realty Interim Real Estate Investment Trust (the “Predecessor”). Prior to the effectiveness on or about January 1, 2022 of a reorganization (the “Reorganization”) under section 368(a)(1)(F) of the Internal Revenue Code of 1986, as amended (the “Code”), the Company was a Maryland real estate investment trust known as FRT Holdco REIT, and the Predecessor was a Maryland real estate investment trust known as Federal Realty Investment Trust. It is expected that on January 4, 2022, the Predecessor will be converted into a Delaware limited partnership to be known as Federal Realty OP LP (the “Partnership”).</w:t>
      </w:r>
    </w:p>
    <w:p>
      <w:pPr>
        <w:spacing w:after="0" w:line="191" w:lineRule="exact"/>
        <w:rPr>
          <w:sz w:val="20"/>
          <w:szCs w:val="20"/>
          <w:color w:val="auto"/>
        </w:rPr>
      </w:pPr>
    </w:p>
    <w:p>
      <w:pPr>
        <w:jc w:val="both"/>
        <w:ind w:left="4" w:right="80" w:firstLine="440"/>
        <w:spacing w:after="0" w:line="279" w:lineRule="auto"/>
        <w:rPr>
          <w:sz w:val="20"/>
          <w:szCs w:val="20"/>
          <w:color w:val="auto"/>
        </w:rPr>
      </w:pPr>
      <w:r>
        <w:rPr>
          <w:rFonts w:ascii="Arial" w:cs="Arial" w:eastAsia="Arial" w:hAnsi="Arial"/>
          <w:sz w:val="17"/>
          <w:szCs w:val="17"/>
          <w:color w:val="auto"/>
        </w:rPr>
        <w:t>You have requested certain opinions regarding the application of U.S. federal income tax laws to the Company and the Predecessor in connection with the filing of a registration statement on Form S-3 with respect to common shares of the Company that may be issued to holders of certain preferred shares and downREIT unitholders (the “Registration Statement”), which term includes a prospectus (the “Prospectus”) and all documents incorporated and deemed to be incorporated by reference therein, on January 3, 2022 with the Securities and Exchange Commission.</w:t>
      </w:r>
    </w:p>
    <w:p>
      <w:pPr>
        <w:spacing w:after="0" w:line="171"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Registration Statement, (2) the Declarations of Trust of the Company and the Predecessor and the Amended and Restated Bylaws of the Company and the Predecessor, as amended, restated or supplemented,</w:t>
      </w:r>
    </w:p>
    <w:p>
      <w:pPr>
        <w:spacing w:after="0" w:line="2" w:lineRule="exact"/>
        <w:rPr>
          <w:sz w:val="20"/>
          <w:szCs w:val="20"/>
          <w:color w:val="auto"/>
        </w:rPr>
      </w:pPr>
    </w:p>
    <w:p>
      <w:pPr>
        <w:ind w:left="4" w:right="80" w:hanging="4"/>
        <w:spacing w:after="0" w:line="271" w:lineRule="auto"/>
        <w:tabs>
          <w:tab w:leader="none" w:pos="259"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draft Certificate of Limited Partnership of the Partnership and the draft Agreement of Limited Partnership of the Partnership (as executed, the “Partnership Agreement”), (4) certain written representations of the Company contained in a letter to us dated the date hereof, a copy of which is attached as Schedule 1 hereto, (5) copies of the representative leases entered into by the Predecessor as of the date hereof, and (6) such other documents or information as we have deemed necessary to render the opinions set forth in this letter. In our review, we have assumed, with your consent, that all of the representations and statements set forth in such documents as to factual matters (but not</w:t>
      </w:r>
    </w:p>
    <w:p>
      <w:pPr>
        <w:sectPr>
          <w:pgSz w:w="11900" w:h="16838" w:orient="portrait"/>
          <w:cols w:equalWidth="0" w:num="1">
            <w:col w:w="11024"/>
          </w:cols>
          <w:pgMar w:left="436" w:top="121" w:right="4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3,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legal conclusions) are true and correct, and all of the obligations imposed or to be imposed by any such documents on the parties thereto, including obligations imposed under the Declarations of Trust of the Company and the Predecessor, as amended, restated or supplemented, and to be imposed by the Partnership Agreement,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the authenticity of the originals from which any copies were made, and with respect to any documents that we have reviewed in draft form for purposes of rendering the opinions contained herein, that the final executed versions of such documents are in substantially the same form as the unexecuted drafts reviewed by us. In addition, we assume that the Partnership Conversion (as described in the Registration Statement) occurs on January 4, 2022, as expected.</w:t>
      </w:r>
    </w:p>
    <w:p>
      <w:pPr>
        <w:spacing w:after="0" w:line="178" w:lineRule="exact"/>
        <w:rPr>
          <w:sz w:val="20"/>
          <w:szCs w:val="20"/>
          <w:color w:val="auto"/>
        </w:rPr>
      </w:pPr>
    </w:p>
    <w:p>
      <w:pPr>
        <w:ind w:right="180" w:firstLine="440"/>
        <w:spacing w:after="0" w:line="291" w:lineRule="auto"/>
        <w:rPr>
          <w:sz w:val="20"/>
          <w:szCs w:val="20"/>
          <w:color w:val="auto"/>
        </w:rPr>
      </w:pPr>
      <w:r>
        <w:rPr>
          <w:rFonts w:ascii="Arial" w:cs="Arial" w:eastAsia="Arial" w:hAnsi="Arial"/>
          <w:sz w:val="16"/>
          <w:szCs w:val="16"/>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66"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Based upon and subject to the foregoing and to the qualifications below, we are of the opinion that (i) the Predecessor qualified as a real estate investment trust, or REIT, under the Code for each of its taxable years ending after December 31, 1986 and before January 1, 2022; and the Predecessor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(2022) taxable year and for future taxable years, and (iii) the discussions in (x) the Prospectus under the caption “Material Federal Income Tax Considerations,” and (y) the Predecessor’s Annual Report on Form 10-K for the year ended December 31, 2020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020"/>
          </w:cols>
          <w:pgMar w:left="440" w:top="274" w:right="4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3,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REIT,” “Risk Factors–To maintain our status as a REIT, we limit the amount of shares any one shareholder can own,” and “Risk Factors–Legislative, administrative, regulatory or other actions affecting REITs, including positions taken by the IRS, could have a material adverse effect on us and our investors,” which are incorporated by reference into the Registration Statement, to the extent that they discuss matters of law or legal conclusions or purport to describe certain provisions of the federal tax laws, are correct summaries of the matters discussed therein.</w:t>
      </w:r>
    </w:p>
    <w:p>
      <w:pPr>
        <w:spacing w:after="0" w:line="157"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pacing w:after="0" w:line="17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PILLSBURY WINTHROP SHAW PITTMAN LLP</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1020"/>
          </w:cols>
          <w:pgMar w:left="440" w:top="274" w:right="4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issued our reports dated February 11, 2021, with respect to the consolidated financial statements, schedules, and internal control over financial reporting of Federal Realty Investment Trust, included in the Annual Report on Form 10-K for the year ended December 31, 2020, which are incorporated by reference in this Registration Statement. We consent to the incorporation by reference of the aforementioned reports in this Registration Statement and to the use of our name as it appears under the caption “Experts.”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3, 2022</w:t>
      </w:r>
    </w:p>
    <w:p>
      <w:pPr>
        <w:sectPr>
          <w:pgSz w:w="11900" w:h="16838" w:orient="portrait"/>
          <w:cols w:equalWidth="0" w:num="1">
            <w:col w:w="11020"/>
          </w:cols>
          <w:pgMar w:left="440" w:top="121" w:right="4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We, the undersigned trustees and officers of Federal Realty Investment Trust, a Maryland real estate investment trust, do hereby constitute and appoint Donald C. Wood, Daniel Guglielmone and Dawn M. Becker, and each and any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 under the Securities Act of 1933, including specifically, but without limitation, any and all amendments (including post-effective amendments) hereto and thereto; and we hereby ratify and confirm all that said attorneys and agents, or any of them, shall do or cause to be done by virtue thereof.</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1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440" w:type="dxa"/>
            <w:vAlign w:val="bottom"/>
            <w:gridSpan w:val="3"/>
          </w:tcPr>
          <w:p>
            <w:pPr>
              <w:jc w:val="center"/>
              <w:ind w:left="212"/>
              <w:spacing w:after="0"/>
              <w:rPr>
                <w:sz w:val="20"/>
                <w:szCs w:val="20"/>
                <w:color w:val="auto"/>
              </w:rPr>
            </w:pPr>
            <w:r>
              <w:rPr>
                <w:rFonts w:ascii="Arial" w:cs="Arial" w:eastAsia="Arial" w:hAnsi="Arial"/>
                <w:sz w:val="14"/>
                <w:szCs w:val="14"/>
                <w:b w:val="1"/>
                <w:bCs w:val="1"/>
                <w:color w:val="auto"/>
                <w:w w:val="99"/>
              </w:rPr>
              <w:t>DATE</w:t>
            </w:r>
          </w:p>
        </w:tc>
      </w:tr>
      <w:tr>
        <w:trPr>
          <w:trHeight w:val="20"/>
        </w:trPr>
        <w:tc>
          <w:tcPr>
            <w:tcW w:w="1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6"/>
        </w:trPr>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c>
          <w:tcPr>
            <w:tcW w:w="8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w w:val="98"/>
              </w:rPr>
              <w:t>Chief Executive Officer and Trustee (principal executive officer)</w:t>
            </w:r>
          </w:p>
        </w:tc>
        <w:tc>
          <w:tcPr>
            <w:tcW w:w="144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January 3, 2022</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Guglielmone</w:t>
            </w:r>
          </w:p>
        </w:tc>
        <w:tc>
          <w:tcPr>
            <w:tcW w:w="1660" w:type="dxa"/>
            <w:vAlign w:val="bottom"/>
            <w:tcBorders>
              <w:bottom w:val="single" w:sz="8" w:color="auto"/>
            </w:tcBorders>
          </w:tcPr>
          <w:p>
            <w:pPr>
              <w:spacing w:after="0"/>
              <w:rPr>
                <w:sz w:val="24"/>
                <w:szCs w:val="24"/>
                <w:color w:val="auto"/>
              </w:rPr>
            </w:pP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Executive Vice President and Chief Financial Officer and</w:t>
            </w:r>
          </w:p>
        </w:tc>
        <w:tc>
          <w:tcPr>
            <w:tcW w:w="144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January 3, 2022</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Daniel Guglielmone</w:t>
            </w:r>
          </w:p>
        </w:tc>
        <w:tc>
          <w:tcPr>
            <w:tcW w:w="1660" w:type="dxa"/>
            <w:vAlign w:val="bottom"/>
          </w:tcPr>
          <w:p>
            <w:pPr>
              <w:spacing w:after="0"/>
              <w:rPr>
                <w:sz w:val="19"/>
                <w:szCs w:val="19"/>
                <w:color w:val="auto"/>
              </w:rPr>
            </w:pP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Treasurer (principal financial and accounting officer)</w:t>
            </w: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W. Faeder</w:t>
            </w:r>
          </w:p>
        </w:tc>
        <w:tc>
          <w:tcPr>
            <w:tcW w:w="1660" w:type="dxa"/>
            <w:vAlign w:val="bottom"/>
            <w:tcBorders>
              <w:bottom w:val="single" w:sz="8" w:color="auto"/>
            </w:tcBorders>
          </w:tcPr>
          <w:p>
            <w:pPr>
              <w:spacing w:after="0"/>
              <w:rPr>
                <w:sz w:val="24"/>
                <w:szCs w:val="24"/>
                <w:color w:val="auto"/>
              </w:rPr>
            </w:pP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Non-Executive Chairman</w:t>
            </w:r>
          </w:p>
        </w:tc>
        <w:tc>
          <w:tcPr>
            <w:tcW w:w="144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January 3, 2022</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Elizabeth I. Holland</w:t>
            </w:r>
          </w:p>
        </w:tc>
        <w:tc>
          <w:tcPr>
            <w:tcW w:w="1660" w:type="dxa"/>
            <w:vAlign w:val="bottom"/>
            <w:tcBorders>
              <w:bottom w:val="single" w:sz="8" w:color="auto"/>
            </w:tcBorders>
          </w:tcPr>
          <w:p>
            <w:pPr>
              <w:spacing w:after="0"/>
              <w:rPr>
                <w:sz w:val="24"/>
                <w:szCs w:val="24"/>
                <w:color w:val="auto"/>
              </w:rPr>
            </w:pP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44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January 3, 2022</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Elizabeth I. Holland</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Nicole Y. Lamb-Hale</w:t>
            </w:r>
          </w:p>
        </w:tc>
        <w:tc>
          <w:tcPr>
            <w:tcW w:w="1660" w:type="dxa"/>
            <w:vAlign w:val="bottom"/>
            <w:tcBorders>
              <w:bottom w:val="single" w:sz="8" w:color="auto"/>
            </w:tcBorders>
          </w:tcPr>
          <w:p>
            <w:pPr>
              <w:spacing w:after="0"/>
              <w:rPr>
                <w:sz w:val="24"/>
                <w:szCs w:val="24"/>
                <w:color w:val="auto"/>
              </w:rPr>
            </w:pP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44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January 3, 2022</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Nicole Y. Lamb-Hale</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Anthony P. Nader, III</w:t>
            </w:r>
          </w:p>
        </w:tc>
        <w:tc>
          <w:tcPr>
            <w:tcW w:w="1660" w:type="dxa"/>
            <w:vAlign w:val="bottom"/>
            <w:tcBorders>
              <w:bottom w:val="single" w:sz="8" w:color="auto"/>
            </w:tcBorders>
          </w:tcPr>
          <w:p>
            <w:pPr>
              <w:spacing w:after="0"/>
              <w:rPr>
                <w:sz w:val="24"/>
                <w:szCs w:val="24"/>
                <w:color w:val="auto"/>
              </w:rPr>
            </w:pP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44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January 3, 2022</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Anthony P. Nader, III</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S. Ordan</w:t>
            </w:r>
          </w:p>
        </w:tc>
        <w:tc>
          <w:tcPr>
            <w:tcW w:w="1660" w:type="dxa"/>
            <w:vAlign w:val="bottom"/>
            <w:tcBorders>
              <w:bottom w:val="single" w:sz="8" w:color="auto"/>
            </w:tcBorders>
          </w:tcPr>
          <w:p>
            <w:pPr>
              <w:spacing w:after="0"/>
              <w:rPr>
                <w:sz w:val="24"/>
                <w:szCs w:val="24"/>
                <w:color w:val="auto"/>
              </w:rPr>
            </w:pP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44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January 3, 2022</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Mark S. Ordan</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/s/Gail P. Steinel</w:t>
            </w:r>
          </w:p>
        </w:tc>
        <w:tc>
          <w:tcPr>
            <w:tcW w:w="1660" w:type="dxa"/>
            <w:vAlign w:val="bottom"/>
            <w:tcBorders>
              <w:bottom w:val="single" w:sz="8" w:color="auto"/>
            </w:tcBorders>
          </w:tcPr>
          <w:p>
            <w:pPr>
              <w:spacing w:after="0"/>
              <w:rPr>
                <w:sz w:val="24"/>
                <w:szCs w:val="24"/>
                <w:color w:val="auto"/>
              </w:rPr>
            </w:pP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44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January 3, 2022</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1)"/>
      <w:numFmt w:val="upperLetter"/>
      <w:start w:val="3"/>
    </w:lvl>
  </w:abstractNum>
  <w:abstractNum w:abstractNumId="2">
    <w:nsid w:val="333AB105"/>
    <w:multiLevelType w:val="hybridMultilevel"/>
    <w:lvl w:ilvl="0">
      <w:lvlJc w:val="left"/>
      <w:lvlText w:val="(%1)"/>
      <w:numFmt w:val="upperLetter"/>
      <w:start w:val="2"/>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3"/>
    </w:lvl>
  </w:abstractNum>
  <w:abstractNum w:abstractNumId="7">
    <w:nsid w:val="75A2A8D4"/>
    <w:multiLevelType w:val="hybridMultilevel"/>
    <w:lvl w:ilvl="0">
      <w:lvlJc w:val="left"/>
      <w:lvlText w:val="(%1)"/>
      <w:numFmt w:val="decimal"/>
      <w:start w:val="26"/>
    </w:lvl>
  </w:abstractNum>
  <w:abstractNum w:abstractNumId="8">
    <w:nsid w:val="8EDBDAB"/>
    <w:multiLevelType w:val="hybridMultilevel"/>
    <w:lvl w:ilvl="0">
      <w:lvlJc w:val="left"/>
      <w:lvlText w:val="(%1)"/>
      <w:numFmt w:val="decimal"/>
      <w:start w:val="53"/>
    </w:lvl>
    <w:lvl w:ilvl="1">
      <w:lvlJc w:val="left"/>
      <w:lvlText w:val="(%2)"/>
      <w:numFmt w:val="lowerRoman"/>
      <w:start w:val="4"/>
    </w:lvl>
  </w:abstractNum>
  <w:abstractNum w:abstractNumId="9">
    <w:nsid w:val="79838CB2"/>
    <w:multiLevelType w:val="hybridMultilevel"/>
    <w:lvl w:ilvl="0">
      <w:lvlJc w:val="left"/>
      <w:lvlText w:val="%1"/>
      <w:numFmt w:val="decimal"/>
      <w:start w:val="1"/>
    </w:lvl>
    <w:lvl w:ilvl="1">
      <w:lvlJc w:val="left"/>
      <w:lvlText w:val="(%2)"/>
      <w:numFmt w:val="lowerRoman"/>
      <w:start w:val="2"/>
    </w:lvl>
  </w:abstractNum>
  <w:abstractNum w:abstractNumId="10">
    <w:nsid w:val="4353D0CD"/>
    <w:multiLevelType w:val="hybridMultilevel"/>
    <w:lvl w:ilvl="0">
      <w:lvlJc w:val="left"/>
      <w:lvlText w:val="(%1)"/>
      <w:numFmt w:val="decimal"/>
      <w:start w:val="75"/>
    </w:lvl>
    <w:lvl w:ilvl="1">
      <w:lvlJc w:val="left"/>
      <w:lvlText w:val="%2"/>
      <w:numFmt w:val="lowerRoman"/>
      <w:start w:val="1"/>
    </w:lvl>
  </w:abstractNum>
  <w:abstractNum w:abstractNumId="11">
    <w:nsid w:val="B03E0C6"/>
    <w:multiLevelType w:val="hybridMultilevel"/>
    <w:lvl w:ilvl="0">
      <w:lvlJc w:val="left"/>
      <w:lvlText w:val="(%1)"/>
      <w:numFmt w:val="decimal"/>
      <w:start w:val="77"/>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lvl w:ilvl="1">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lowerRoman"/>
      <w:start w:val="2"/>
    </w:lvl>
  </w:abstractNum>
  <w:abstractNum w:abstractNumId="33">
    <w:nsid w:val="77465F01"/>
    <w:multiLevelType w:val="hybridMultilevel"/>
    <w:lvl w:ilvl="0">
      <w:lvlJc w:val="left"/>
      <w:lvlText w:val="(%1)"/>
      <w:numFmt w:val="decimal"/>
      <w:start w:val="2"/>
    </w:lvl>
  </w:abstractNum>
  <w:abstractNum w:abstractNumId="34">
    <w:nsid w:val="7724C67E"/>
    <w:multiLevelType w:val="hybridMultilevel"/>
    <w:lvl w:ilvl="0">
      <w:lvlJc w:val="left"/>
      <w:lvlText w:val="(%1)"/>
      <w:numFmt w:val="lowerRoman"/>
      <w:start w:val="1"/>
    </w:lvl>
  </w:abstractNum>
  <w:abstractNum w:abstractNumId="35">
    <w:nsid w:val="5C482A97"/>
    <w:multiLevelType w:val="hybridMultilevel"/>
    <w:lvl w:ilvl="0">
      <w:lvlJc w:val="left"/>
      <w:lvlText w:val="(%1)"/>
      <w:numFmt w:val="decimal"/>
      <w:start w:val="5"/>
    </w:lvl>
  </w:abstractNum>
  <w:abstractNum w:abstractNumId="36">
    <w:nsid w:val="2463B9EA"/>
    <w:multiLevelType w:val="hybridMultilevel"/>
    <w:lvl w:ilvl="0">
      <w:lvlJc w:val="left"/>
      <w:lvlText w:val="(%1)"/>
      <w:numFmt w:val="lowerRoman"/>
      <w:start w:val="1"/>
    </w:lvl>
  </w:abstractNum>
  <w:abstractNum w:abstractNumId="37">
    <w:nsid w:val="5E884ADC"/>
    <w:multiLevelType w:val="hybridMultilevel"/>
    <w:lvl w:ilvl="0">
      <w:lvlJc w:val="left"/>
      <w:lvlText w:val="(%1)"/>
      <w:numFmt w:val="lowerLetter"/>
      <w:start w:val="2"/>
    </w:lvl>
  </w:abstractNum>
  <w:abstractNum w:abstractNumId="38">
    <w:nsid w:val="51EAD36B"/>
    <w:multiLevelType w:val="hybridMultilevel"/>
    <w:lvl w:ilvl="0">
      <w:lvlJc w:val="left"/>
      <w:lvlText w:val="(%1)"/>
      <w:numFmt w:val="lowerRoman"/>
      <w:start w:val="2"/>
    </w:lvl>
  </w:abstractNum>
  <w:abstractNum w:abstractNumId="39">
    <w:nsid w:val="2D51779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jpe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jpeg"/><Relationship Id="rId91" Type="http://schemas.openxmlformats.org/officeDocument/2006/relationships/image" Target="media/image72.png"/><Relationship Id="rId92" Type="http://schemas.openxmlformats.org/officeDocument/2006/relationships/image" Target="media/image73.png"/><Relationship Id="rId61" Type="http://schemas.openxmlformats.org/officeDocument/2006/relationships/hyperlink" Target="http://www.sec.gov/ix?doc=/Archives/edgar/data/34903/000003490321000020/frt-20201231.htm" TargetMode="External"/><Relationship Id="rId62" Type="http://schemas.openxmlformats.org/officeDocument/2006/relationships/hyperlink" Target="http://www.sec.gov/Archives/edgar/data/34903/000119312521093583/d112637ddef14a.htm" TargetMode="External"/><Relationship Id="rId63" Type="http://schemas.openxmlformats.org/officeDocument/2006/relationships/hyperlink" Target="http://www.sec.gov/ix?doc=/Archives/edgar/data/34903/000003490321000049/frt-20210331.htm" TargetMode="External"/><Relationship Id="rId64" Type="http://schemas.openxmlformats.org/officeDocument/2006/relationships/hyperlink" Target="http://www.sec.gov/ix?doc=/Archives/edgar/data/34903/000003490321000060/frt-20210630.htm" TargetMode="External"/><Relationship Id="rId65" Type="http://schemas.openxmlformats.org/officeDocument/2006/relationships/hyperlink" Target="http://www.sec.gov/ix?doc=/Archives/edgar/data/34903/000003490321000076/frt-20210930.htm" TargetMode="External"/><Relationship Id="rId66" Type="http://schemas.openxmlformats.org/officeDocument/2006/relationships/hyperlink" Target="http://www.sec.gov/ix?doc=/Archives/edgar/data/34903/000119312521154127/d415709d8k.htm" TargetMode="External"/><Relationship Id="rId67" Type="http://schemas.openxmlformats.org/officeDocument/2006/relationships/hyperlink" Target="http://www.sec.gov/ix?doc=/Archives/edgar/data/34903/000003490321000066/frt-20210803.htm" TargetMode="External"/><Relationship Id="rId68" Type="http://schemas.openxmlformats.org/officeDocument/2006/relationships/hyperlink" Target="http://www.sec.gov/ix?doc=/Archives/edgar/data/34903/000003490321000080/frt-20211202.htm" TargetMode="External"/><Relationship Id="rId69" Type="http://schemas.openxmlformats.org/officeDocument/2006/relationships/hyperlink" Target="http://www.sec.gov/Archives/edgar/data/34903/000003490320000008/frt-12312019xex48.htm" TargetMode="External"/><Relationship Id="rId81" Type="http://schemas.openxmlformats.org/officeDocument/2006/relationships/hyperlink" Target="http://www.sec.gov/Archives/edgar/data/34903/000119312522000302/d231372dex31.htm" TargetMode="External"/><Relationship Id="rId82" Type="http://schemas.openxmlformats.org/officeDocument/2006/relationships/hyperlink" Target="http://www.sec.gov/Archives/edgar/data/34903/000119312522000302/d231372dex32.htm" TargetMode="External"/><Relationship Id="rId83" Type="http://schemas.openxmlformats.org/officeDocument/2006/relationships/hyperlink" Target="http://www.sec.gov/Archives/edgar/data/34903/000119312522000302/d231372dex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2022-01-03T07:58:50Z</dcterms:created>
  <dcterms:modified xsi:type="dcterms:W3CDTF">2022-01-03T07:58:50Z</dcterms:modified>
</cp:coreProperties>
</file>