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color w:val="auto"/>
        </w:rPr>
        <w:t>Filed Pursuant to Rule 433</w:t>
      </w:r>
    </w:p>
    <w:p>
      <w:pPr>
        <w:spacing w:after="0" w:line="23" w:lineRule="exact"/>
        <w:rPr>
          <w:sz w:val="24"/>
          <w:szCs w:val="24"/>
          <w:color w:val="auto"/>
        </w:rPr>
      </w:pPr>
    </w:p>
    <w:p>
      <w:pPr>
        <w:jc w:val="right"/>
        <w:spacing w:after="0"/>
        <w:rPr>
          <w:sz w:val="20"/>
          <w:szCs w:val="20"/>
          <w:color w:val="auto"/>
        </w:rPr>
      </w:pPr>
      <w:r>
        <w:rPr>
          <w:rFonts w:ascii="Arial" w:cs="Arial" w:eastAsia="Arial" w:hAnsi="Arial"/>
          <w:sz w:val="18"/>
          <w:szCs w:val="18"/>
          <w:color w:val="auto"/>
        </w:rPr>
        <w:t>Dated September 25, 2017</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Registration Statement No. 333-203999</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Relating to</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Preliminary Prospectus Supplement Dated September 25, 2017 to</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Prospectus dated May 8, 2015</w:t>
      </w:r>
    </w:p>
    <w:p>
      <w:pPr>
        <w:spacing w:after="0" w:line="200" w:lineRule="exact"/>
        <w:rPr>
          <w:sz w:val="24"/>
          <w:szCs w:val="24"/>
          <w:color w:val="auto"/>
        </w:rPr>
      </w:pPr>
    </w:p>
    <w:p>
      <w:pPr>
        <w:spacing w:after="0" w:line="22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Federal Realty Investment Trust</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6,000,000 Depositary Shares each representing 1/1000 of a 5.000% Series C Cumulative Redeemable Preferred Share of Beneficial Interest</w:t>
      </w:r>
    </w:p>
    <w:p>
      <w:pPr>
        <w:spacing w:after="0" w:line="23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Term Sheet dated September 25, 2017</w:t>
      </w:r>
    </w:p>
    <w:p>
      <w:pPr>
        <w:sectPr>
          <w:pgSz w:w="11900" w:h="16838" w:orient="portrait"/>
          <w:cols w:equalWidth="0" w:num="1">
            <w:col w:w="11420"/>
          </w:cols>
          <w:pgMar w:left="240" w:top="233" w:right="239" w:bottom="1440" w:gutter="0" w:footer="0" w:header="0"/>
        </w:sectPr>
      </w:pPr>
    </w:p>
    <w:p>
      <w:pPr>
        <w:spacing w:after="0" w:line="252" w:lineRule="exact"/>
        <w:rPr>
          <w:sz w:val="24"/>
          <w:szCs w:val="24"/>
          <w:color w:val="auto"/>
        </w:rPr>
      </w:pPr>
    </w:p>
    <w:p>
      <w:pPr>
        <w:spacing w:after="0"/>
        <w:rPr>
          <w:sz w:val="20"/>
          <w:szCs w:val="20"/>
          <w:color w:val="auto"/>
        </w:rPr>
      </w:pPr>
      <w:r>
        <w:rPr>
          <w:rFonts w:ascii="Arial" w:cs="Arial" w:eastAsia="Arial" w:hAnsi="Arial"/>
          <w:sz w:val="15"/>
          <w:szCs w:val="15"/>
          <w:color w:val="auto"/>
        </w:rPr>
        <w:t>Issuer:</w:t>
      </w:r>
    </w:p>
    <w:p>
      <w:pPr>
        <w:spacing w:after="0" w:line="20" w:lineRule="exact"/>
        <w:rPr>
          <w:sz w:val="24"/>
          <w:szCs w:val="24"/>
          <w:color w:val="auto"/>
        </w:rPr>
      </w:pPr>
      <w:r>
        <w:rPr>
          <w:sz w:val="24"/>
          <w:szCs w:val="24"/>
          <w:color w:val="auto"/>
        </w:rPr>
        <w:br w:type="column"/>
      </w:r>
    </w:p>
    <w:p>
      <w:pPr>
        <w:spacing w:after="0" w:line="232" w:lineRule="exact"/>
        <w:rPr>
          <w:sz w:val="24"/>
          <w:szCs w:val="24"/>
          <w:color w:val="auto"/>
        </w:rPr>
      </w:pPr>
    </w:p>
    <w:p>
      <w:pPr>
        <w:spacing w:after="0"/>
        <w:rPr>
          <w:sz w:val="20"/>
          <w:szCs w:val="20"/>
          <w:color w:val="auto"/>
        </w:rPr>
      </w:pPr>
      <w:r>
        <w:rPr>
          <w:rFonts w:ascii="Arial" w:cs="Arial" w:eastAsia="Arial" w:hAnsi="Arial"/>
          <w:sz w:val="16"/>
          <w:szCs w:val="16"/>
          <w:color w:val="auto"/>
        </w:rPr>
        <w:t>Federal Realty Investment Trust</w:t>
      </w:r>
    </w:p>
    <w:p>
      <w:pPr>
        <w:spacing w:after="0" w:line="140" w:lineRule="exact"/>
        <w:rPr>
          <w:sz w:val="24"/>
          <w:szCs w:val="24"/>
          <w:color w:val="auto"/>
        </w:rPr>
      </w:pPr>
    </w:p>
    <w:p>
      <w:pPr>
        <w:sectPr>
          <w:pgSz w:w="11900" w:h="16838" w:orient="portrait"/>
          <w:cols w:equalWidth="0" w:num="2">
            <w:col w:w="3280" w:space="720"/>
            <w:col w:w="7420"/>
          </w:cols>
          <w:pgMar w:left="240" w:top="233" w:right="239" w:bottom="1440" w:gutter="0" w:footer="0" w:header="0"/>
          <w:type w:val="continuous"/>
        </w:sectPr>
      </w:pPr>
    </w:p>
    <w:p>
      <w:pPr>
        <w:spacing w:after="0"/>
        <w:rPr>
          <w:sz w:val="20"/>
          <w:szCs w:val="20"/>
          <w:color w:val="auto"/>
        </w:rPr>
      </w:pPr>
      <w:r>
        <w:rPr>
          <w:rFonts w:ascii="Arial" w:cs="Arial" w:eastAsia="Arial" w:hAnsi="Arial"/>
          <w:sz w:val="16"/>
          <w:szCs w:val="16"/>
          <w:color w:val="auto"/>
        </w:rPr>
        <w:t>Security:</w:t>
      </w:r>
    </w:p>
    <w:p>
      <w:pPr>
        <w:spacing w:after="0" w:line="20" w:lineRule="exact"/>
        <w:rPr>
          <w:sz w:val="24"/>
          <w:szCs w:val="24"/>
          <w:color w:val="auto"/>
        </w:rPr>
      </w:pPr>
      <w:r>
        <w:rPr>
          <w:sz w:val="24"/>
          <w:szCs w:val="24"/>
          <w:color w:val="auto"/>
        </w:rPr>
        <w:br w:type="column"/>
      </w:r>
    </w:p>
    <w:p>
      <w:pPr>
        <w:ind w:right="180"/>
        <w:spacing w:after="0" w:line="277" w:lineRule="auto"/>
        <w:rPr>
          <w:sz w:val="20"/>
          <w:szCs w:val="20"/>
          <w:color w:val="auto"/>
        </w:rPr>
      </w:pPr>
      <w:r>
        <w:rPr>
          <w:rFonts w:ascii="Arial" w:cs="Arial" w:eastAsia="Arial" w:hAnsi="Arial"/>
          <w:sz w:val="18"/>
          <w:szCs w:val="18"/>
          <w:color w:val="auto"/>
        </w:rPr>
        <w:t>Depositary shares each representing 1/1000 of a 5.000% Series C Cumulative Redeemable Preferred Share of Beneficial Interest</w:t>
      </w:r>
    </w:p>
    <w:p>
      <w:pPr>
        <w:spacing w:after="0" w:line="62" w:lineRule="exact"/>
        <w:rPr>
          <w:sz w:val="24"/>
          <w:szCs w:val="24"/>
          <w:color w:val="auto"/>
        </w:rPr>
      </w:pPr>
    </w:p>
    <w:p>
      <w:pPr>
        <w:sectPr>
          <w:pgSz w:w="11900" w:h="16838" w:orient="portrait"/>
          <w:cols w:equalWidth="0" w:num="2">
            <w:col w:w="3280" w:space="720"/>
            <w:col w:w="7420"/>
          </w:cols>
          <w:pgMar w:left="240" w:top="233" w:right="239" w:bottom="1440" w:gutter="0" w:footer="0" w:header="0"/>
          <w:type w:val="continuous"/>
        </w:sectPr>
      </w:pPr>
    </w:p>
    <w:p>
      <w:pPr>
        <w:spacing w:after="0"/>
        <w:rPr>
          <w:sz w:val="20"/>
          <w:szCs w:val="20"/>
          <w:color w:val="auto"/>
        </w:rPr>
      </w:pPr>
      <w:r>
        <w:rPr>
          <w:rFonts w:ascii="Arial" w:cs="Arial" w:eastAsia="Arial" w:hAnsi="Arial"/>
          <w:sz w:val="17"/>
          <w:szCs w:val="17"/>
          <w:color w:val="auto"/>
        </w:rPr>
        <w:t>Public Offering Price: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$25.00 per depositary share</w:t>
      </w:r>
    </w:p>
    <w:p>
      <w:pPr>
        <w:spacing w:after="0" w:line="140" w:lineRule="exact"/>
        <w:rPr>
          <w:sz w:val="24"/>
          <w:szCs w:val="24"/>
          <w:color w:val="auto"/>
        </w:rPr>
      </w:pPr>
    </w:p>
    <w:p>
      <w:pPr>
        <w:sectPr>
          <w:pgSz w:w="11900" w:h="16838" w:orient="portrait"/>
          <w:cols w:equalWidth="0" w:num="2">
            <w:col w:w="3280" w:space="720"/>
            <w:col w:w="7420"/>
          </w:cols>
          <w:pgMar w:left="240" w:top="233" w:right="239" w:bottom="1440" w:gutter="0" w:footer="0" w:header="0"/>
          <w:type w:val="continuous"/>
        </w:sectPr>
      </w:pPr>
    </w:p>
    <w:p>
      <w:pPr>
        <w:spacing w:after="0"/>
        <w:rPr>
          <w:sz w:val="20"/>
          <w:szCs w:val="20"/>
          <w:color w:val="auto"/>
        </w:rPr>
      </w:pPr>
      <w:r>
        <w:rPr>
          <w:rFonts w:ascii="Arial" w:cs="Arial" w:eastAsia="Arial" w:hAnsi="Arial"/>
          <w:sz w:val="16"/>
          <w:szCs w:val="16"/>
          <w:color w:val="auto"/>
        </w:rPr>
        <w:t>Expected Ratings*: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color w:val="auto"/>
        </w:rPr>
        <w:t>Baa1/BBB/BBB</w:t>
      </w:r>
    </w:p>
    <w:p>
      <w:pPr>
        <w:spacing w:after="0" w:line="35" w:lineRule="exact"/>
        <w:rPr>
          <w:sz w:val="24"/>
          <w:szCs w:val="24"/>
          <w:color w:val="auto"/>
        </w:rPr>
      </w:pPr>
    </w:p>
    <w:p>
      <w:pPr>
        <w:sectPr>
          <w:pgSz w:w="11900" w:h="16838" w:orient="portrait"/>
          <w:cols w:equalWidth="0" w:num="2">
            <w:col w:w="3280" w:space="720"/>
            <w:col w:w="7420"/>
          </w:cols>
          <w:pgMar w:left="240" w:top="233" w:right="239" w:bottom="1440" w:gutter="0" w:footer="0" w:header="0"/>
          <w:type w:val="continuous"/>
        </w:sectPr>
      </w:pPr>
    </w:p>
    <w:p>
      <w:pPr>
        <w:spacing w:after="0"/>
        <w:rPr>
          <w:sz w:val="20"/>
          <w:szCs w:val="20"/>
          <w:color w:val="auto"/>
        </w:rPr>
      </w:pPr>
      <w:r>
        <w:rPr>
          <w:rFonts w:ascii="Arial" w:cs="Arial" w:eastAsia="Arial" w:hAnsi="Arial"/>
          <w:sz w:val="17"/>
          <w:szCs w:val="17"/>
          <w:color w:val="auto"/>
        </w:rPr>
        <w:t>(Moody’s / S&amp;P/Fitch)</w:t>
      </w:r>
    </w:p>
    <w:p>
      <w:pPr>
        <w:sectPr>
          <w:pgSz w:w="11900" w:h="16838" w:orient="portrait"/>
          <w:cols w:equalWidth="0" w:num="1">
            <w:col w:w="11420"/>
          </w:cols>
          <w:pgMar w:left="240" w:top="233" w:right="239" w:bottom="1440" w:gutter="0" w:footer="0" w:header="0"/>
          <w:type w:val="continuous"/>
        </w:sectPr>
      </w:pPr>
    </w:p>
    <w:p>
      <w:pPr>
        <w:spacing w:after="0" w:line="114" w:lineRule="exact"/>
        <w:rPr>
          <w:sz w:val="24"/>
          <w:szCs w:val="24"/>
          <w:color w:val="auto"/>
        </w:rPr>
      </w:pPr>
    </w:p>
    <w:p>
      <w:pPr>
        <w:spacing w:after="0"/>
        <w:rPr>
          <w:sz w:val="20"/>
          <w:szCs w:val="20"/>
          <w:color w:val="auto"/>
        </w:rPr>
      </w:pPr>
      <w:r>
        <w:rPr>
          <w:rFonts w:ascii="Arial" w:cs="Arial" w:eastAsia="Arial" w:hAnsi="Arial"/>
          <w:sz w:val="16"/>
          <w:szCs w:val="16"/>
          <w:color w:val="auto"/>
        </w:rPr>
        <w:t>Number of Depositary Shares:</w:t>
      </w:r>
    </w:p>
    <w:p>
      <w:pPr>
        <w:spacing w:after="0" w:line="20" w:lineRule="exact"/>
        <w:rPr>
          <w:sz w:val="24"/>
          <w:szCs w:val="24"/>
          <w:color w:val="auto"/>
        </w:rPr>
      </w:pPr>
      <w:r>
        <w:rPr>
          <w:sz w:val="24"/>
          <w:szCs w:val="24"/>
          <w:color w:val="auto"/>
        </w:rPr>
        <w:br w:type="column"/>
      </w:r>
    </w:p>
    <w:p>
      <w:pPr>
        <w:spacing w:after="0" w:line="94" w:lineRule="exact"/>
        <w:rPr>
          <w:sz w:val="24"/>
          <w:szCs w:val="24"/>
          <w:color w:val="auto"/>
        </w:rPr>
      </w:pPr>
    </w:p>
    <w:p>
      <w:pPr>
        <w:spacing w:after="0"/>
        <w:rPr>
          <w:sz w:val="20"/>
          <w:szCs w:val="20"/>
          <w:color w:val="auto"/>
        </w:rPr>
      </w:pPr>
      <w:r>
        <w:rPr>
          <w:rFonts w:ascii="Arial" w:cs="Arial" w:eastAsia="Arial" w:hAnsi="Arial"/>
          <w:sz w:val="16"/>
          <w:szCs w:val="16"/>
          <w:color w:val="auto"/>
        </w:rPr>
        <w:t>6,000,000 depositary shares</w:t>
      </w:r>
    </w:p>
    <w:p>
      <w:pPr>
        <w:spacing w:after="0" w:line="140" w:lineRule="exact"/>
        <w:rPr>
          <w:sz w:val="24"/>
          <w:szCs w:val="24"/>
          <w:color w:val="auto"/>
        </w:rPr>
      </w:pPr>
    </w:p>
    <w:p>
      <w:pPr>
        <w:sectPr>
          <w:pgSz w:w="11900" w:h="16838" w:orient="portrait"/>
          <w:cols w:equalWidth="0" w:num="2">
            <w:col w:w="3280" w:space="720"/>
            <w:col w:w="7420"/>
          </w:cols>
          <w:pgMar w:left="240" w:top="233" w:right="239" w:bottom="1440" w:gutter="0" w:footer="0" w:header="0"/>
          <w:type w:val="continuous"/>
        </w:sectPr>
      </w:pPr>
    </w:p>
    <w:p>
      <w:pPr>
        <w:spacing w:after="0"/>
        <w:rPr>
          <w:sz w:val="20"/>
          <w:szCs w:val="20"/>
          <w:color w:val="auto"/>
        </w:rPr>
      </w:pPr>
      <w:r>
        <w:rPr>
          <w:rFonts w:ascii="Arial" w:cs="Arial" w:eastAsia="Arial" w:hAnsi="Arial"/>
          <w:sz w:val="17"/>
          <w:szCs w:val="17"/>
          <w:color w:val="auto"/>
        </w:rPr>
        <w:t>Over-Allotment Option: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color w:val="auto"/>
        </w:rPr>
        <w:t>400,000 depositary shares</w:t>
      </w:r>
    </w:p>
    <w:p>
      <w:pPr>
        <w:spacing w:after="0" w:line="151" w:lineRule="exact"/>
        <w:rPr>
          <w:sz w:val="24"/>
          <w:szCs w:val="24"/>
          <w:color w:val="auto"/>
        </w:rPr>
      </w:pPr>
    </w:p>
    <w:p>
      <w:pPr>
        <w:sectPr>
          <w:pgSz w:w="11900" w:h="16838" w:orient="portrait"/>
          <w:cols w:equalWidth="0" w:num="2">
            <w:col w:w="3280" w:space="720"/>
            <w:col w:w="7420"/>
          </w:cols>
          <w:pgMar w:left="240" w:top="233" w:right="239" w:bottom="1440" w:gutter="0" w:footer="0" w:header="0"/>
          <w:type w:val="continuous"/>
        </w:sectPr>
      </w:pPr>
    </w:p>
    <w:p>
      <w:pPr>
        <w:spacing w:after="0"/>
        <w:rPr>
          <w:sz w:val="20"/>
          <w:szCs w:val="20"/>
          <w:color w:val="auto"/>
        </w:rPr>
      </w:pPr>
      <w:r>
        <w:rPr>
          <w:rFonts w:ascii="Arial" w:cs="Arial" w:eastAsia="Arial" w:hAnsi="Arial"/>
          <w:sz w:val="16"/>
          <w:szCs w:val="16"/>
          <w:color w:val="auto"/>
        </w:rPr>
        <w:t>Trade Date: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September 25, 2017</w:t>
      </w:r>
    </w:p>
    <w:p>
      <w:pPr>
        <w:spacing w:after="0" w:line="140" w:lineRule="exact"/>
        <w:rPr>
          <w:sz w:val="24"/>
          <w:szCs w:val="24"/>
          <w:color w:val="auto"/>
        </w:rPr>
      </w:pPr>
    </w:p>
    <w:p>
      <w:pPr>
        <w:sectPr>
          <w:pgSz w:w="11900" w:h="16838" w:orient="portrait"/>
          <w:cols w:equalWidth="0" w:num="2">
            <w:col w:w="3280" w:space="720"/>
            <w:col w:w="7420"/>
          </w:cols>
          <w:pgMar w:left="240" w:top="233" w:right="239" w:bottom="1440" w:gutter="0" w:footer="0" w:header="0"/>
          <w:type w:val="continuous"/>
        </w:sectPr>
      </w:pPr>
    </w:p>
    <w:p>
      <w:pPr>
        <w:spacing w:after="0"/>
        <w:rPr>
          <w:sz w:val="20"/>
          <w:szCs w:val="20"/>
          <w:color w:val="auto"/>
        </w:rPr>
      </w:pPr>
      <w:r>
        <w:rPr>
          <w:rFonts w:ascii="Arial" w:cs="Arial" w:eastAsia="Arial" w:hAnsi="Arial"/>
          <w:sz w:val="16"/>
          <w:szCs w:val="16"/>
          <w:color w:val="auto"/>
        </w:rPr>
        <w:t>Settlement Date:</w:t>
      </w:r>
    </w:p>
    <w:p>
      <w:pPr>
        <w:spacing w:after="0" w:line="20" w:lineRule="exact"/>
        <w:rPr>
          <w:sz w:val="24"/>
          <w:szCs w:val="24"/>
          <w:color w:val="auto"/>
        </w:rPr>
      </w:pPr>
      <w:r>
        <w:rPr>
          <w:sz w:val="24"/>
          <w:szCs w:val="24"/>
          <w:color w:val="auto"/>
        </w:rPr>
        <w:br w:type="column"/>
      </w:r>
    </w:p>
    <w:p>
      <w:pPr>
        <w:ind w:right="40"/>
        <w:spacing w:after="0" w:line="290" w:lineRule="auto"/>
        <w:rPr>
          <w:sz w:val="20"/>
          <w:szCs w:val="20"/>
          <w:color w:val="auto"/>
        </w:rPr>
      </w:pPr>
      <w:r>
        <w:rPr>
          <w:rFonts w:ascii="Arial" w:cs="Arial" w:eastAsia="Arial" w:hAnsi="Arial"/>
          <w:sz w:val="16"/>
          <w:szCs w:val="16"/>
          <w:color w:val="auto"/>
        </w:rPr>
        <w:t>It is expected that delivery of the depositary shares will be made against payment on September 29, 2017, which is the fourth business day following the date hereof. Under Rule 15c6-1 under the Exchange Act, trades in the secondary market generally are required to settle in two business days unless the parties to any such trade expressly agree otherwise. Accordingly, purchasers who wish to trade the depositary shares prior to the second business day preceding the delivery date of the depositary shares will be required to specify an alternative settlement cycle at the time of any such trade to prevent failed settlement. Purchasers of the depositary shares who wish to trade the depositary shares prior to the delivery date of the depositary shares should consult their own advisors.</w:t>
      </w:r>
    </w:p>
    <w:p>
      <w:pPr>
        <w:sectPr>
          <w:pgSz w:w="11900" w:h="16838" w:orient="portrait"/>
          <w:cols w:equalWidth="0" w:num="2">
            <w:col w:w="3280" w:space="720"/>
            <w:col w:w="7420"/>
          </w:cols>
          <w:pgMar w:left="240" w:top="233" w:right="2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color w:val="auto"/>
        </w:rPr>
        <w:t>Maturity:</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Redemption: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color w:val="auto"/>
        </w:rPr>
        <w:t>Dividend Rate (Cumulative):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color w:val="auto"/>
        </w:rPr>
        <w:t>Purchase Price by Underwriters:</w:t>
      </w:r>
    </w:p>
    <w:p>
      <w:pPr>
        <w:spacing w:after="0" w:line="333" w:lineRule="exact"/>
        <w:rPr>
          <w:sz w:val="20"/>
          <w:szCs w:val="20"/>
          <w:color w:val="auto"/>
        </w:rPr>
      </w:pPr>
    </w:p>
    <w:p>
      <w:pPr>
        <w:spacing w:after="0"/>
        <w:rPr>
          <w:sz w:val="20"/>
          <w:szCs w:val="20"/>
          <w:color w:val="auto"/>
        </w:rPr>
      </w:pPr>
      <w:r>
        <w:rPr>
          <w:rFonts w:ascii="Arial" w:cs="Arial" w:eastAsia="Arial" w:hAnsi="Arial"/>
          <w:sz w:val="15"/>
          <w:szCs w:val="15"/>
          <w:color w:val="auto"/>
        </w:rPr>
        <w:t>Proceeds to Issuer (before expenses):</w:t>
      </w:r>
    </w:p>
    <w:p>
      <w:pPr>
        <w:spacing w:after="0" w:line="368" w:lineRule="exact"/>
        <w:rPr>
          <w:sz w:val="20"/>
          <w:szCs w:val="20"/>
          <w:color w:val="auto"/>
        </w:rPr>
      </w:pPr>
    </w:p>
    <w:p>
      <w:pPr>
        <w:spacing w:after="0"/>
        <w:rPr>
          <w:sz w:val="20"/>
          <w:szCs w:val="20"/>
          <w:color w:val="auto"/>
        </w:rPr>
      </w:pPr>
      <w:r>
        <w:rPr>
          <w:rFonts w:ascii="Arial" w:cs="Arial" w:eastAsia="Arial" w:hAnsi="Arial"/>
          <w:sz w:val="18"/>
          <w:szCs w:val="18"/>
          <w:color w:val="auto"/>
        </w:rPr>
        <w:t>Listing:</w:t>
      </w:r>
    </w:p>
    <w:p>
      <w:pPr>
        <w:spacing w:after="0" w:line="20" w:lineRule="exact"/>
        <w:rPr>
          <w:sz w:val="20"/>
          <w:szCs w:val="20"/>
          <w:color w:val="auto"/>
        </w:rPr>
      </w:pPr>
      <w:r>
        <w:rPr>
          <w:sz w:val="20"/>
          <w:szCs w:val="20"/>
          <w:color w:val="auto"/>
        </w:rPr>
        <w:br w:type="column"/>
      </w:r>
    </w:p>
    <w:p>
      <w:pPr>
        <w:ind w:right="700"/>
        <w:spacing w:after="0" w:line="277" w:lineRule="auto"/>
        <w:rPr>
          <w:sz w:val="20"/>
          <w:szCs w:val="20"/>
          <w:color w:val="auto"/>
        </w:rPr>
      </w:pPr>
      <w:r>
        <w:rPr>
          <w:rFonts w:ascii="Arial" w:cs="Arial" w:eastAsia="Arial" w:hAnsi="Arial"/>
          <w:sz w:val="18"/>
          <w:szCs w:val="18"/>
          <w:color w:val="auto"/>
        </w:rPr>
        <w:t>Perpetual (unless redeemed by the Issuer pursuant to its optional redemption right on or after September 29,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-2546985</wp:posOffset>
            </wp:positionH>
            <wp:positionV relativeFrom="paragraph">
              <wp:posOffset>-387985</wp:posOffset>
            </wp:positionV>
            <wp:extent cx="72891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42"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Series C preferred shares and the depositary shares representing the Series C preferred shares are not redeemable until September 29, 2022. On or after September 29, 2022, such shares may be redeemed for cash at the Issuer’s option, in whole or in part, at a redemption price of $25,000.00 per Series C preferred share (equal to $25.00 per depositary share), plus any accrued and unpaid dividends to, but excluding, the date of redemption</w:t>
      </w:r>
    </w:p>
    <w:p>
      <w:pPr>
        <w:spacing w:after="0" w:line="80"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Subject to authorization by the Issuer’s board of trustees and declaration by the Issuer, payable quarterly in arrears on January 15, April 15, July 15 and October 15 of each year, commencing on January 15, 2018 at the rate of 5.000% of the $25,000.00 liquidation preference per year, or $1,250.00 per year, per Series C Preferred Share (equal to $1.250 per year per depositary share), and accruing from, and including, September 29, 2017</w:t>
      </w:r>
    </w:p>
    <w:p>
      <w:pPr>
        <w:spacing w:after="0" w:line="8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No full dividends shall be declared or paid or set apart for payment on any class or series of equity securities ranking, as to dividends or payments upon liquidation, dissolution or winding up, on a parity with or junior to the Series C preferred shares unless full cumulative dividends have been or contemporaneously are declared and paid or declared and a sum sufficient for the payment thereof set apart for that payment on the Series C preferred Shares for all past dividend periods and the then current dividend period.</w:t>
      </w:r>
    </w:p>
    <w:p>
      <w:pPr>
        <w:spacing w:after="0" w:line="85"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$24.2125 per depositary share sold to retail accounts and $24.5000 per depositary share sold to institutional accounts</w:t>
      </w:r>
    </w:p>
    <w:p>
      <w:pPr>
        <w:spacing w:after="0" w:line="62"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$145,479,503.93 (not including underwriters’ over-allotment option) after deducting the underwriting discount</w:t>
      </w:r>
    </w:p>
    <w:p>
      <w:pPr>
        <w:spacing w:after="0" w:line="62"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Issuer intends to file an application with the NYSE and, if approved, trading is expected to begin within 30 days after the Settlement Date</w:t>
      </w:r>
    </w:p>
    <w:p>
      <w:pPr>
        <w:sectPr>
          <w:pgSz w:w="11900" w:h="16838" w:orient="portrait"/>
          <w:cols w:equalWidth="0" w:num="2">
            <w:col w:w="3280" w:space="720"/>
            <w:col w:w="7400"/>
          </w:cols>
          <w:pgMar w:left="240" w:top="274" w:right="259" w:bottom="1440" w:gutter="0" w:footer="0" w:header="0"/>
        </w:sectPr>
      </w:pPr>
    </w:p>
    <w:bookmarkStart w:id="2" w:name="page3"/>
    <w:bookmarkEnd w:id="2"/>
    <w:p>
      <w:pPr>
        <w:spacing w:after="0"/>
        <w:rPr>
          <w:sz w:val="20"/>
          <w:szCs w:val="20"/>
          <w:color w:val="auto"/>
        </w:rPr>
      </w:pPr>
      <w:r>
        <w:rPr>
          <w:rFonts w:ascii="Arial" w:cs="Arial" w:eastAsia="Arial" w:hAnsi="Arial"/>
          <w:sz w:val="17"/>
          <w:szCs w:val="17"/>
          <w:color w:val="auto"/>
        </w:rPr>
        <w:t>CUSIP/ISIN: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313747701 / US3137477010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-2546985</wp:posOffset>
            </wp:positionH>
            <wp:positionV relativeFrom="paragraph">
              <wp:posOffset>-201295</wp:posOffset>
            </wp:positionV>
            <wp:extent cx="728916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211" w:lineRule="exact"/>
        <w:rPr>
          <w:sz w:val="20"/>
          <w:szCs w:val="20"/>
          <w:color w:val="auto"/>
        </w:rPr>
      </w:pPr>
    </w:p>
    <w:p>
      <w:pPr>
        <w:sectPr>
          <w:pgSz w:w="11900" w:h="16838" w:orient="portrait"/>
          <w:cols w:equalWidth="0" w:num="2">
            <w:col w:w="3280" w:space="720"/>
            <w:col w:w="7360"/>
          </w:cols>
          <w:pgMar w:left="240" w:top="274" w:right="299" w:bottom="1440" w:gutter="0" w:footer="0" w:header="0"/>
        </w:sectPr>
      </w:pPr>
    </w:p>
    <w:p>
      <w:pPr>
        <w:spacing w:after="0" w:line="37" w:lineRule="exact"/>
        <w:rPr>
          <w:sz w:val="20"/>
          <w:szCs w:val="20"/>
          <w:color w:val="auto"/>
        </w:rPr>
      </w:pPr>
    </w:p>
    <w:p>
      <w:pPr>
        <w:spacing w:after="0"/>
        <w:rPr>
          <w:sz w:val="20"/>
          <w:szCs w:val="20"/>
          <w:color w:val="auto"/>
        </w:rPr>
      </w:pPr>
      <w:r>
        <w:rPr>
          <w:rFonts w:ascii="Arial" w:cs="Arial" w:eastAsia="Arial" w:hAnsi="Arial"/>
          <w:sz w:val="16"/>
          <w:szCs w:val="16"/>
          <w:color w:val="auto"/>
        </w:rPr>
        <w:t>Joint Book-Running Managers:</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auto"/>
        </w:rPr>
        <w:t>Merrill Lynch, Pierce, Fenner &amp; Smith</w:t>
      </w:r>
    </w:p>
    <w:p>
      <w:pPr>
        <w:spacing w:after="0" w:line="46" w:lineRule="exact"/>
        <w:rPr>
          <w:sz w:val="20"/>
          <w:szCs w:val="20"/>
          <w:color w:val="auto"/>
        </w:rPr>
      </w:pPr>
    </w:p>
    <w:p>
      <w:pPr>
        <w:ind w:left="900"/>
        <w:spacing w:after="0"/>
        <w:rPr>
          <w:sz w:val="20"/>
          <w:szCs w:val="20"/>
          <w:color w:val="auto"/>
        </w:rPr>
      </w:pPr>
      <w:r>
        <w:rPr>
          <w:rFonts w:ascii="Arial" w:cs="Arial" w:eastAsia="Arial" w:hAnsi="Arial"/>
          <w:sz w:val="18"/>
          <w:szCs w:val="18"/>
          <w:color w:val="auto"/>
        </w:rPr>
        <w:t>Incorporated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UBS Securities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Wells Fargo Securities, LLC</w:t>
      </w:r>
    </w:p>
    <w:p>
      <w:pPr>
        <w:spacing w:after="0" w:line="200" w:lineRule="exact"/>
        <w:rPr>
          <w:sz w:val="20"/>
          <w:szCs w:val="20"/>
          <w:color w:val="auto"/>
        </w:rPr>
      </w:pPr>
    </w:p>
    <w:p>
      <w:pPr>
        <w:sectPr>
          <w:pgSz w:w="11900" w:h="16838" w:orient="portrait"/>
          <w:cols w:equalWidth="0" w:num="2">
            <w:col w:w="3280" w:space="720"/>
            <w:col w:w="7360"/>
          </w:cols>
          <w:pgMar w:left="240" w:top="274" w:right="299" w:bottom="1440" w:gutter="0" w:footer="0" w:header="0"/>
          <w:type w:val="continuous"/>
        </w:sectPr>
      </w:pP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color w:val="auto"/>
        </w:rPr>
        <w:t>Joint Lead Managers: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Raymond James &amp; Associates, Inc.</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Citigroup Global Markets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Jefferies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J.P. Morgan Securities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329565</wp:posOffset>
            </wp:positionH>
            <wp:positionV relativeFrom="paragraph">
              <wp:posOffset>228600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280" w:space="720"/>
            <w:col w:w="7360"/>
          </w:cols>
          <w:pgMar w:left="240" w:top="274" w:right="299" w:bottom="1440" w:gutter="0" w:footer="0" w:header="0"/>
          <w:type w:val="continuous"/>
        </w:sect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  Note: A securities rating is not a recommendation to buy, sell or hold securities and may be subject to revision or withdrawal at any time.</w:t>
      </w:r>
    </w:p>
    <w:p>
      <w:pPr>
        <w:spacing w:after="0" w:line="221" w:lineRule="exact"/>
        <w:rPr>
          <w:sz w:val="20"/>
          <w:szCs w:val="20"/>
          <w:color w:val="auto"/>
        </w:rPr>
      </w:pPr>
    </w:p>
    <w:p>
      <w:pPr>
        <w:spacing w:after="0" w:line="273" w:lineRule="auto"/>
        <w:rPr>
          <w:sz w:val="20"/>
          <w:szCs w:val="20"/>
          <w:color w:val="auto"/>
        </w:rPr>
      </w:pPr>
      <w:r>
        <w:rPr>
          <w:rFonts w:ascii="Arial" w:cs="Arial" w:eastAsia="Arial" w:hAnsi="Arial"/>
          <w:sz w:val="17"/>
          <w:szCs w:val="17"/>
          <w:b w:val="1"/>
          <w:bCs w:val="1"/>
          <w:color w:val="auto"/>
        </w:rPr>
        <w:t>The issuer has filed a registration statement (including a preliminary prospectus supplement and a prospectus) with the Securities and Exchange Commission (the “SEC”) for the offering to which this communication relates. Before you invest, you should read the preliminary prospectus supplement and the prospectus in that registration statement and other documents the issuer has filed with the SEC for more complete information about the issuer and this offering. You may get these documents for free by visiting EDGAR on the SEC’s web site at www.sec.gov. Alternatively, the issuer, any underwriter or any dealer participating in the offering will arrange to send you the prospectus supplement and prospectus if you request it from (i) Merrill Lynch, Pierce, Fenner &amp; Smith Incorporated toll-free at 1-800-294-1322, (ii) UBS Securities LLC toll-free at 1-888-827-7275 or (iii) Wells Fargo Securities, LLC toll free at 1-800-645-3751.</w:t>
      </w:r>
    </w:p>
    <w:p>
      <w:pPr>
        <w:spacing w:after="0" w:line="172" w:lineRule="exact"/>
        <w:rPr>
          <w:sz w:val="20"/>
          <w:szCs w:val="20"/>
          <w:color w:val="auto"/>
        </w:rPr>
      </w:pPr>
    </w:p>
    <w:p>
      <w:pPr>
        <w:ind w:right="200"/>
        <w:spacing w:after="0" w:line="347" w:lineRule="auto"/>
        <w:rPr>
          <w:sz w:val="20"/>
          <w:szCs w:val="20"/>
          <w:color w:val="auto"/>
        </w:rPr>
      </w:pPr>
      <w:r>
        <w:rPr>
          <w:rFonts w:ascii="Arial" w:cs="Arial" w:eastAsia="Arial" w:hAnsi="Arial"/>
          <w:sz w:val="16"/>
          <w:szCs w:val="16"/>
          <w:b w:val="1"/>
          <w:bCs w:val="1"/>
          <w:color w:val="auto"/>
        </w:rPr>
        <w:t>Any disclaimers or other notices that may appear below are not applicable to this communication and should be disregarded. Such disclaimers or other notices were automatically generated as a result of this communication being sent via Bloomberg or another email system.</w:t>
      </w:r>
    </w:p>
    <w:sectPr>
      <w:pgSz w:w="11900" w:h="16838" w:orient="portrait"/>
      <w:cols w:equalWidth="0" w:num="1">
        <w:col w:w="11360"/>
      </w:cols>
      <w:pgMar w:left="240" w:top="274" w:right="2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2019-12-05T03:05:33Z</dcterms:created>
  <dcterms:modified xsi:type="dcterms:W3CDTF">2019-12-05T03:05:33Z</dcterms:modified>
</cp:coreProperties>
</file>