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87503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75030" cy="514350"/>
                    </a:xfrm>
                    <a:prstGeom prst="rect">
                      <a:avLst/>
                    </a:prstGeom>
                    <a:noFill/>
                  </pic:spPr>
                </pic:pic>
              </a:graphicData>
            </a:graphic>
          </wp:anchor>
        </w:drawing>
        <w:t>Pillsbury Winthrop Shaw Pittman LLP</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2300 N Street, NW | Washington, DC 20037-1122 | tel 202.663.8000 | fax 202.663.8007</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May 28, 2010</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By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Tom Kluck</w:t>
      </w:r>
    </w:p>
    <w:p>
      <w:pPr>
        <w:spacing w:after="0" w:line="15"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Erin E. Martin</w:t>
      </w:r>
    </w:p>
    <w:p>
      <w:pPr>
        <w:spacing w:after="0" w:line="16"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Federal Realty Investment Trust</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Fiscal Year Ended December 31,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17,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001-07533</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On behalf of our client, Federal Realty Investment Trust (the “Company”), please find our responses to your letter dated May 18, 2010, providing comments relating to the Company’s definitive proxy statement filed on March 24, 2010 (the “Proxy Statement”). In order to facilitate the Staff’s review of this letter, we have restated each of your numbered comments below and have included the Company’s response underneath each comment. The acknowledgements requested in your comment letter are provided in the attached letter from the Company.</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Definitive Proxy Statement Filed March 24, 2010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Corporate Governance</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Oversight, page 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Comment 1:</w:t>
      </w:r>
    </w:p>
    <w:p>
      <w:pPr>
        <w:spacing w:after="0" w:line="90" w:lineRule="exact"/>
        <w:rPr>
          <w:sz w:val="24"/>
          <w:szCs w:val="24"/>
          <w:color w:val="auto"/>
        </w:rPr>
      </w:pPr>
    </w:p>
    <w:p>
      <w:pPr>
        <w:jc w:val="both"/>
        <w:spacing w:after="0" w:line="262" w:lineRule="auto"/>
        <w:rPr>
          <w:sz w:val="20"/>
          <w:szCs w:val="20"/>
          <w:color w:val="auto"/>
        </w:rPr>
      </w:pPr>
      <w:r>
        <w:rPr>
          <w:rFonts w:ascii="Arial" w:cs="Arial" w:eastAsia="Arial" w:hAnsi="Arial"/>
          <w:sz w:val="18"/>
          <w:szCs w:val="18"/>
          <w:b w:val="1"/>
          <w:bCs w:val="1"/>
          <w:color w:val="auto"/>
        </w:rPr>
        <w:t>We note that you have described the process that the Board undertook to review your compensation policies and practices. Please tell us the conclusion that the Board reached in determining whether your compensation policies and practices are reasonably likely to have a material adverse effect on the company and the basis for that conclusion.</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90" w:lineRule="exact"/>
        <w:rPr>
          <w:sz w:val="24"/>
          <w:szCs w:val="24"/>
          <w:color w:val="auto"/>
        </w:rPr>
      </w:pPr>
    </w:p>
    <w:p>
      <w:pPr>
        <w:ind w:right="80"/>
        <w:spacing w:after="0" w:line="294" w:lineRule="auto"/>
        <w:rPr>
          <w:sz w:val="20"/>
          <w:szCs w:val="20"/>
          <w:color w:val="auto"/>
        </w:rPr>
      </w:pPr>
      <w:r>
        <w:rPr>
          <w:rFonts w:ascii="Arial" w:cs="Arial" w:eastAsia="Arial" w:hAnsi="Arial"/>
          <w:sz w:val="16"/>
          <w:szCs w:val="16"/>
          <w:color w:val="auto"/>
        </w:rPr>
        <w:t>The Board concluded that the Company’s compensation policies and practices are not reasonably likely to have a material adverse effect on the Company. That conclusion was based on the fact that only 5% of the Company’s employees (nine individuals) have compensation that is determined on the basis of anything other than corporate or regional performance and those individuals cannot complete any leasing, acquisition or development transaction, which is the basis for any commission paid as compensation, without first obtaining approval from the Company’s Board of Trustees and/or one or more members of senior management, all of whose compensation is tied to achieving corporate objectives.</w:t>
      </w:r>
    </w:p>
    <w:p>
      <w:pPr>
        <w:sectPr>
          <w:pgSz w:w="11900" w:h="16838" w:orient="portrait"/>
          <w:cols w:equalWidth="0" w:num="1">
            <w:col w:w="11280"/>
          </w:cols>
          <w:pgMar w:left="240" w:top="104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Composition of the Board, page 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2:</w:t>
      </w:r>
    </w:p>
    <w:p>
      <w:pPr>
        <w:spacing w:after="0" w:line="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We note that you have not provided all the information required by Item 407(h) of Regulation S-K, specifically, with respect to your leadership structure and why you believe it is appropriate in light of your specific characteristics or circumstances. Please provide us with sample disclosure that complies with Item 407(h) and confirm that you will include similar disclosure in future filings.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believes that it addressed the requirements of Item 407(h) of Regulation S-K with respect to its leadership structure and why the Company believes it is appropriate in light of its specific characteristics and circumstances with the following disclosure, which was included on pages 6 and 7 of the Proxy Statement:</w:t>
      </w:r>
    </w:p>
    <w:p>
      <w:pPr>
        <w:spacing w:after="0" w:line="59"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Since 2003, we have operated under a governance structure where the Chairman of the Board and Chief Executive Officer are separate positions held by different individuals. At its meeting in February 2010,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Discussion and Analysis, page 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Bonus, page 20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3:</w:t>
      </w:r>
    </w:p>
    <w:p>
      <w:pPr>
        <w:spacing w:after="0" w:line="9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We refer you to your disclosure on page 21 that in making bonus determinations, the compensation committee took into account Mr. Wood’s recommendations regarding each individual’s contributions. In future filings, please thoroughly describe all factors taken into account by the compensation committee and why that analysis led them to the compensation decision that it did. For example, please disclose the subjective goals each individual had for the year as well as Mr. Wood’s evaluation of the named executive officer’s ability to meet those goals. Provide us with sample disclosure and confirm that you will provide similar disclosure in future filings.</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 future filings, the Company will include disclosure consistent with the following, modified to reflect the actual process and reasoning applied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for the applicable year:</w:t>
      </w:r>
    </w:p>
    <w:p>
      <w:pPr>
        <w:spacing w:after="0" w:line="84" w:lineRule="exact"/>
        <w:rPr>
          <w:sz w:val="20"/>
          <w:szCs w:val="20"/>
          <w:color w:val="auto"/>
        </w:rPr>
      </w:pPr>
    </w:p>
    <w:p>
      <w:pPr>
        <w:ind w:left="460" w:right="100"/>
        <w:spacing w:after="0" w:line="288" w:lineRule="auto"/>
        <w:rPr>
          <w:sz w:val="20"/>
          <w:szCs w:val="20"/>
          <w:color w:val="auto"/>
        </w:rPr>
      </w:pPr>
      <w:r>
        <w:rPr>
          <w:rFonts w:ascii="Arial" w:cs="Arial" w:eastAsia="Arial" w:hAnsi="Arial"/>
          <w:sz w:val="16"/>
          <w:szCs w:val="16"/>
          <w:color w:val="auto"/>
        </w:rPr>
        <w:t>The Committee awarded each of Ms. Becker, Mr. Berkes and Mr. Blocher a full bonus for calendar year 2009 based on (a) a recommendation made by Mr. Wood that each individual be paid a full bonus; and (b) the Committee members’ review of the self-assessment prepared by each of Ms. Becker, Mr. Berkes and Mr. Blocher for their 2009 performance and Mr. Wood’s comments and observations on those self-assessments. Mr. Wood’s recommendation to pay each of Ms. Becker, Mr. Berkes and Mr. Blocher a full bonus was based on his subjective assessment of each individual’s contributions to the Trust’s performance in 2009 in their respective job functions. Those contributions included, without limitation, the following: (a) for Ms. Becker, her work in overseeing our property operations that resulted in an increase in our POI in 2009 as well as her role in restructuring the organization and reducing general and administrative expense; (b) for Mr. Berkes, his work from property selection through closing in obtaining approximately $160 million of property secured financing; and (c) for Mr. Blocher, his role in raising $765 million of capital at then market-leading terms during an extremely difficult capital raising environment.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Relationships and Related Transactions, page 48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 4:</w:t>
      </w:r>
    </w:p>
    <w:p>
      <w:pPr>
        <w:spacing w:after="0" w:line="90"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We note that you provided Mr. Wood with an interest free loan on his split dollar life insurance policy. Please explain to us why this loan was not included as a related party transaction pursuant to Item 404(a)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did not include the interest free loan on Mr. Wood’s split dollar life insurance policy as a related party transaction because it deemed it to be part of his compensation package pursuant to his role as President and Chief Executive Officer of the Trust. Pursuant to Instruction 5.a.i. of Item 404(a) of Regulation S-K, disclosure of an employment relationship or transaction involving an executive officer and any related compensation solely resulting from that employment relationship or transaction need not be provided pursuant to Item 404(a) if the compensation arising from the relationship or transaction is reported pursuant to Item 402 of Regulation S-K. Pursuant to Item 402, the Company disclosed in the Compensation Discussion and Analysis on page 25 of the Proxy Statement that Mr. Wood’s compensation included the interest free loan on the split dollar life insurance policy that has been in place since 1998 and also included the amount of interest accrued on the loan in 2009 in the “All Other Compensation Table” on page 28 of the Proxy Statement. Pursuant to Instruction 5.a.i. of Item 404(a) of Regulation S-K, the Company does not believe that the interest free loan, or any interest accrued thereon, for Mr. Wood’s split dollar insurance policy is required to be disclosed as a related party transaction pursuant to Item 404(a) of Regulation S-K.</w:t>
      </w:r>
    </w:p>
    <w:p>
      <w:pPr>
        <w:sectPr>
          <w:pgSz w:w="11900" w:h="16838" w:orient="portrait"/>
          <w:cols w:equalWidth="0" w:num="1">
            <w:col w:w="11380"/>
          </w:cols>
          <w:pgMar w:left="240" w:top="28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If you have any further questions or require additional information, please do not hesitate to contact me at (202) 663-9022.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212" w:lineRule="exact"/>
        <w:rPr>
          <w:sz w:val="20"/>
          <w:szCs w:val="20"/>
          <w:color w:val="auto"/>
        </w:rPr>
      </w:pPr>
    </w:p>
    <w:p>
      <w:pPr>
        <w:ind w:left="460" w:right="6079"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Andrew P. Blocher, Federal Realty Investment Trust Dawn M. Becker, Federal Realty Investment Trust Kirk Rogers, Grant Thornton LLP</w:t>
      </w:r>
    </w:p>
    <w:p>
      <w:pPr>
        <w:sectPr>
          <w:pgSz w:w="11900" w:h="16838" w:orient="portrait"/>
          <w:cols w:equalWidth="0" w:num="1">
            <w:col w:w="10219"/>
          </w:cols>
          <w:pgMar w:left="240" w:top="280" w:right="1440"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Tom Kluck</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Erin E. Martin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As requested by the Staff of the Securities and Exchange Commission, Federal Realty Investment Trust (the “Company”) is providing the following acknowledgements:</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05" w:lineRule="exact"/>
        <w:rPr>
          <w:sz w:val="20"/>
          <w:szCs w:val="20"/>
          <w:color w:val="auto"/>
        </w:rPr>
      </w:pPr>
    </w:p>
    <w:p>
      <w:pPr>
        <w:ind w:left="460" w:right="69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Eric M. Green, Pillsbury Winthrop Shaw Pittman LLP Kirk Rogers, Grant Thornton LLP</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29"/>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2019-12-09T23:06:58Z</dcterms:created>
  <dcterms:modified xsi:type="dcterms:W3CDTF">2019-12-09T23:06:58Z</dcterms:modified>
</cp:coreProperties>
</file>