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99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313747206</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5 percent of the class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the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7"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ind w:left="3280"/>
        <w:spacing w:after="0" w:line="238" w:lineRule="auto"/>
        <w:rPr>
          <w:sz w:val="20"/>
          <w:szCs w:val="20"/>
          <w:color w:val="auto"/>
        </w:rPr>
      </w:pPr>
      <w:r>
        <w:rPr>
          <w:rFonts w:ascii="Courier New" w:cs="Courier New" w:eastAsia="Courier New" w:hAnsi="Courier New"/>
          <w:sz w:val="18"/>
          <w:szCs w:val="18"/>
          <w:color w:val="auto"/>
        </w:rPr>
        <w:t>Page 1 of 5 Pages</w:t>
      </w:r>
    </w:p>
    <w:p>
      <w:pPr>
        <w:ind w:left="43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1440" w:gutter="0" w:footer="0" w:header="0"/>
        </w:sectPr>
      </w:pPr>
    </w:p>
    <w:bookmarkStart w:id="1" w:name="page2"/>
    <w:bookmarkEnd w:id="1"/>
    <w:p>
      <w:pPr>
        <w:ind w:left="1800"/>
        <w:spacing w:after="0"/>
        <w:tabs>
          <w:tab w:leader="none" w:pos="4000" w:val="left"/>
          <w:tab w:leader="none" w:pos="4720" w:val="left"/>
        </w:tabs>
        <w:rPr>
          <w:sz w:val="20"/>
          <w:szCs w:val="20"/>
          <w:color w:val="auto"/>
        </w:rPr>
      </w:pPr>
      <w:r>
        <w:rPr>
          <w:rFonts w:ascii="Courier New" w:cs="Courier New" w:eastAsia="Courier New" w:hAnsi="Courier New"/>
          <w:sz w:val="18"/>
          <w:szCs w:val="18"/>
          <w:color w:val="auto"/>
        </w:rPr>
        <w:t>CUSIP NO. 313747206</w:t>
        <w:tab/>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Loomis Sayles &amp; Co., L.P.</w:t>
      </w:r>
    </w:p>
    <w:p>
      <w:pPr>
        <w:ind w:left="420"/>
        <w:spacing w:after="0"/>
        <w:rPr>
          <w:sz w:val="20"/>
          <w:szCs w:val="20"/>
          <w:color w:val="auto"/>
        </w:rPr>
      </w:pPr>
      <w:r>
        <w:rPr>
          <w:rFonts w:ascii="Courier New" w:cs="Courier New" w:eastAsia="Courier New" w:hAnsi="Courier New"/>
          <w:sz w:val="18"/>
          <w:szCs w:val="18"/>
          <w:color w:val="auto"/>
        </w:rPr>
        <w:t>#04-3200030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020"/>
        <w:spacing w:after="0"/>
        <w:tabs>
          <w:tab w:leader="none" w:pos="6520" w:val="left"/>
          <w:tab w:leader="none" w:pos="6840" w:val="left"/>
        </w:tabs>
        <w:rPr>
          <w:sz w:val="20"/>
          <w:szCs w:val="20"/>
          <w:color w:val="auto"/>
        </w:rPr>
      </w:pPr>
      <w:r>
        <w:rPr>
          <w:rFonts w:ascii="Courier New" w:cs="Courier New" w:eastAsia="Courier New" w:hAnsi="Courier New"/>
          <w:sz w:val="18"/>
          <w:szCs w:val="18"/>
          <w:color w:val="auto"/>
        </w:rPr>
        <w:t>(a)</w:t>
        <w:tab/>
        <w:t>[</w:t>
      </w:r>
      <w:r>
        <w:rPr>
          <w:sz w:val="20"/>
          <w:szCs w:val="20"/>
          <w:color w:val="auto"/>
        </w:rPr>
        <w:tab/>
      </w:r>
      <w:r>
        <w:rPr>
          <w:rFonts w:ascii="Courier New" w:cs="Courier New" w:eastAsia="Courier New" w:hAnsi="Courier New"/>
          <w:sz w:val="16"/>
          <w:szCs w:val="16"/>
          <w:color w:val="auto"/>
        </w:rPr>
        <w:t>]</w:t>
      </w:r>
    </w:p>
    <w:p>
      <w:pPr>
        <w:ind w:left="6020"/>
        <w:spacing w:after="0"/>
        <w:tabs>
          <w:tab w:leader="none" w:pos="6520" w:val="left"/>
          <w:tab w:leader="none" w:pos="684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4" w:lineRule="exact"/>
        <w:rPr>
          <w:rFonts w:ascii="Courier New" w:cs="Courier New" w:eastAsia="Courier New" w:hAnsi="Courier New"/>
          <w:sz w:val="18"/>
          <w:szCs w:val="18"/>
          <w:color w:val="auto"/>
        </w:rPr>
      </w:pPr>
    </w:p>
    <w:p>
      <w:pPr>
        <w:ind w:left="42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Person: Citizenship or place of organization of Delaware laws. Principal office of Reporting Person is in Boston, MA.</w:t>
      </w:r>
    </w:p>
    <w:p>
      <w:pPr>
        <w:spacing w:after="0" w:line="6"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414"/>
        <w:spacing w:after="0" w:line="238" w:lineRule="auto"/>
        <w:tabs>
          <w:tab w:leader="none" w:pos="27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3,700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7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780" w:type="dxa"/>
            <w:vAlign w:val="bottom"/>
          </w:tcPr>
          <w:p>
            <w:pPr>
              <w:spacing w:after="0"/>
              <w:rPr>
                <w:sz w:val="17"/>
                <w:szCs w:val="17"/>
                <w:color w:val="auto"/>
              </w:rPr>
            </w:pPr>
          </w:p>
        </w:tc>
        <w:tc>
          <w:tcPr>
            <w:tcW w:w="242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7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780" w:type="dxa"/>
            <w:vAlign w:val="bottom"/>
          </w:tcPr>
          <w:p>
            <w:pPr>
              <w:spacing w:after="0"/>
              <w:rPr>
                <w:sz w:val="17"/>
                <w:szCs w:val="17"/>
                <w:color w:val="auto"/>
              </w:rPr>
            </w:pP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4,578,902</w:t>
            </w:r>
          </w:p>
        </w:tc>
      </w:tr>
    </w:tbl>
    <w:p>
      <w:pPr>
        <w:spacing w:after="0" w:line="207" w:lineRule="exact"/>
        <w:rPr>
          <w:sz w:val="20"/>
          <w:szCs w:val="20"/>
          <w:color w:val="auto"/>
        </w:rPr>
      </w:pPr>
    </w:p>
    <w:p>
      <w:pPr>
        <w:ind w:left="3480" w:right="4939" w:hanging="1154"/>
        <w:spacing w:after="0" w:line="235" w:lineRule="auto"/>
        <w:tabs>
          <w:tab w:leader="none" w:pos="2743"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3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4,578,902</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280" w:right="4519" w:hanging="3272"/>
        <w:spacing w:after="0" w:line="235" w:lineRule="auto"/>
        <w:tabs>
          <w:tab w:leader="none" w:pos="54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10.40%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2" w:name="page3"/>
    <w:bookmarkEnd w:id="2"/>
    <w:p>
      <w:pPr>
        <w:ind w:left="40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SCHEDULE G</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Office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1626 East Jefferson Street</w:t>
      </w: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Rockville, MD</w:t>
      </w:r>
      <w:r>
        <w:rPr>
          <w:sz w:val="20"/>
          <w:szCs w:val="20"/>
          <w:color w:val="auto"/>
        </w:rPr>
        <w:tab/>
      </w:r>
      <w:r>
        <w:rPr>
          <w:rFonts w:ascii="Courier New" w:cs="Courier New" w:eastAsia="Courier New" w:hAnsi="Courier New"/>
          <w:sz w:val="16"/>
          <w:szCs w:val="16"/>
          <w:color w:val="auto"/>
        </w:rPr>
        <w:t>20852-4041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Loomis, Sayles &amp; Co., L.P.</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One Financial Center</w:t>
      </w: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02111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80" w:right="1999"/>
        <w:spacing w:after="0" w:line="290" w:lineRule="auto"/>
        <w:rPr>
          <w:sz w:val="20"/>
          <w:szCs w:val="20"/>
          <w:color w:val="auto"/>
        </w:rPr>
      </w:pPr>
      <w:r>
        <w:rPr>
          <w:rFonts w:ascii="Courier New" w:cs="Courier New" w:eastAsia="Courier New" w:hAnsi="Courier New"/>
          <w:sz w:val="16"/>
          <w:szCs w:val="16"/>
          <w:color w:val="auto"/>
        </w:rPr>
        <w:t>Reporting Person: Citizenship or place of organization of Delaware laws. Principal office of Reporting Person is Boston, MA</w:t>
      </w:r>
    </w:p>
    <w:p>
      <w:pPr>
        <w:spacing w:after="0" w:line="16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REIT</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313747206</w:t>
      </w:r>
    </w:p>
    <w:p>
      <w:pPr>
        <w:spacing w:after="0" w:line="206" w:lineRule="exact"/>
        <w:rPr>
          <w:sz w:val="20"/>
          <w:szCs w:val="20"/>
          <w:color w:val="auto"/>
        </w:rPr>
      </w:pPr>
    </w:p>
    <w:p>
      <w:pPr>
        <w:ind w:left="1280" w:right="18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Rules 13d-1(b), or 13d-2(b), check whether the person filing is a:</w:t>
      </w:r>
    </w:p>
    <w:p>
      <w:pPr>
        <w:spacing w:after="0" w:line="203" w:lineRule="exact"/>
        <w:rPr>
          <w:sz w:val="20"/>
          <w:szCs w:val="20"/>
          <w:color w:val="auto"/>
        </w:rPr>
      </w:pPr>
    </w:p>
    <w:p>
      <w:pPr>
        <w:ind w:left="1700" w:hanging="428"/>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1700" w:hanging="428"/>
        <w:spacing w:after="0" w:line="238" w:lineRule="auto"/>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4" w:lineRule="exact"/>
        <w:rPr>
          <w:rFonts w:ascii="Courier New" w:cs="Courier New" w:eastAsia="Courier New" w:hAnsi="Courier New"/>
          <w:sz w:val="18"/>
          <w:szCs w:val="18"/>
          <w:color w:val="auto"/>
        </w:rPr>
      </w:pPr>
    </w:p>
    <w:p>
      <w:pPr>
        <w:ind w:left="2120" w:right="1999" w:hanging="848"/>
        <w:spacing w:after="0" w:line="235" w:lineRule="auto"/>
        <w:tabs>
          <w:tab w:leader="none" w:pos="169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registered under Section 3(a)(19) of the Act</w:t>
      </w:r>
    </w:p>
    <w:p>
      <w:pPr>
        <w:spacing w:after="0" w:line="5" w:lineRule="exact"/>
        <w:rPr>
          <w:rFonts w:ascii="Courier New" w:cs="Courier New" w:eastAsia="Courier New" w:hAnsi="Courier New"/>
          <w:sz w:val="18"/>
          <w:szCs w:val="18"/>
          <w:color w:val="auto"/>
        </w:rPr>
      </w:pPr>
    </w:p>
    <w:p>
      <w:pPr>
        <w:ind w:left="2120" w:right="2619" w:hanging="848"/>
        <w:spacing w:after="0" w:line="235" w:lineRule="auto"/>
        <w:tabs>
          <w:tab w:leader="none" w:pos="169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2120" w:right="2419" w:hanging="848"/>
        <w:spacing w:after="0" w:line="235" w:lineRule="auto"/>
        <w:tabs>
          <w:tab w:leader="none" w:pos="169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2120" w:right="1779" w:hanging="848"/>
        <w:spacing w:after="0" w:line="268" w:lineRule="auto"/>
        <w:tabs>
          <w:tab w:leader="none" w:pos="169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 Retirement Income Security Act of 1974 or Endowment Fund: see Section 240.13d-1(b)(1)(ii)(F)</w:t>
      </w:r>
    </w:p>
    <w:p>
      <w:pPr>
        <w:ind w:left="2120" w:right="1879" w:hanging="848"/>
        <w:spacing w:after="0" w:line="235" w:lineRule="auto"/>
        <w:tabs>
          <w:tab w:leader="none" w:pos="169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Section 240.13d-1(b)(ii)(G) (Note: See Item 7)</w:t>
      </w:r>
    </w:p>
    <w:p>
      <w:pPr>
        <w:spacing w:after="0" w:line="1" w:lineRule="exact"/>
        <w:rPr>
          <w:rFonts w:ascii="Courier New" w:cs="Courier New" w:eastAsia="Courier New" w:hAnsi="Courier New"/>
          <w:sz w:val="18"/>
          <w:szCs w:val="18"/>
          <w:color w:val="auto"/>
        </w:rPr>
      </w:pPr>
    </w:p>
    <w:p>
      <w:pPr>
        <w:ind w:left="1700" w:hanging="428"/>
        <w:spacing w:after="0" w:line="238" w:lineRule="auto"/>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240.13d-1(b)(1)(ii)(H)</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37" w:lineRule="auto"/>
        <w:rPr>
          <w:sz w:val="20"/>
          <w:szCs w:val="20"/>
          <w:color w:val="auto"/>
        </w:rPr>
      </w:pPr>
      <w:r>
        <w:rPr>
          <w:rFonts w:ascii="Courier New" w:cs="Courier New" w:eastAsia="Courier New" w:hAnsi="Courier New"/>
          <w:sz w:val="18"/>
          <w:szCs w:val="18"/>
          <w:color w:val="auto"/>
        </w:rPr>
        <w:t>If the percent of the class owned, as of December 31 of the year covered by the statement, or as of the last day of any month described in Rule 13d-1(b)(2), if applicable, exceeds 5 percent, provide the following information as of that date and identify those shares which there is a right to acquire.</w:t>
      </w:r>
    </w:p>
    <w:p>
      <w:pPr>
        <w:spacing w:after="0" w:line="203" w:lineRule="exact"/>
        <w:rPr>
          <w:sz w:val="20"/>
          <w:szCs w:val="20"/>
          <w:color w:val="auto"/>
        </w:rPr>
      </w:pPr>
    </w:p>
    <w:p>
      <w:pPr>
        <w:ind w:left="1700" w:hanging="533"/>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4,578,902</w:t>
      </w:r>
    </w:p>
    <w:tbl>
      <w:tblPr>
        <w:tblLayout w:type="fixed"/>
        <w:tblInd w:w="1160" w:type="dxa"/>
        <w:tblCellMar>
          <w:top w:w="0" w:type="dxa"/>
          <w:left w:w="0" w:type="dxa"/>
          <w:bottom w:w="0" w:type="dxa"/>
          <w:right w:w="0" w:type="dxa"/>
        </w:tblCellMar>
      </w:tblP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(b)  Percent of Class: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10.40%</w:t>
            </w:r>
          </w:p>
        </w:tc>
      </w:tr>
    </w:tbl>
    <w:p>
      <w:pPr>
        <w:ind w:left="1700" w:hanging="533"/>
        <w:spacing w:after="0" w:line="238" w:lineRule="auto"/>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5060" w:right="3579" w:hanging="3367"/>
        <w:spacing w:after="0" w:line="235" w:lineRule="auto"/>
        <w:tabs>
          <w:tab w:leader="none" w:pos="232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3,700</w:t>
      </w:r>
    </w:p>
    <w:p>
      <w:pPr>
        <w:spacing w:after="0" w:line="5" w:lineRule="exact"/>
        <w:rPr>
          <w:rFonts w:ascii="Courier New" w:cs="Courier New" w:eastAsia="Courier New" w:hAnsi="Courier New"/>
          <w:sz w:val="18"/>
          <w:szCs w:val="18"/>
          <w:color w:val="auto"/>
        </w:rPr>
      </w:pPr>
    </w:p>
    <w:p>
      <w:pPr>
        <w:ind w:left="5280" w:right="3359" w:hanging="3587"/>
        <w:spacing w:after="0" w:line="235" w:lineRule="auto"/>
        <w:tabs>
          <w:tab w:leader="none" w:pos="233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 w:lineRule="exact"/>
        <w:rPr>
          <w:rFonts w:ascii="Courier New" w:cs="Courier New" w:eastAsia="Courier New" w:hAnsi="Courier New"/>
          <w:sz w:val="18"/>
          <w:szCs w:val="18"/>
          <w:color w:val="auto"/>
        </w:rPr>
      </w:pPr>
    </w:p>
    <w:p>
      <w:pPr>
        <w:ind w:left="2320" w:hanging="627"/>
        <w:spacing w:after="0" w:line="238" w:lineRule="auto"/>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4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4,578,902</w:t>
      </w:r>
    </w:p>
    <w:p>
      <w:pPr>
        <w:spacing w:after="0" w:line="4" w:lineRule="exact"/>
        <w:rPr>
          <w:rFonts w:ascii="Courier New" w:cs="Courier New" w:eastAsia="Courier New" w:hAnsi="Courier New"/>
          <w:sz w:val="18"/>
          <w:szCs w:val="18"/>
          <w:color w:val="auto"/>
        </w:rPr>
      </w:pPr>
    </w:p>
    <w:p>
      <w:pPr>
        <w:ind w:left="5280" w:right="2319" w:hanging="3587"/>
        <w:spacing w:after="0" w:line="235" w:lineRule="auto"/>
        <w:tabs>
          <w:tab w:leader="none" w:pos="233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-0-</w:t>
      </w:r>
    </w:p>
    <w:p>
      <w:pPr>
        <w:spacing w:after="0" w:line="6" w:lineRule="exact"/>
        <w:rPr>
          <w:sz w:val="20"/>
          <w:szCs w:val="20"/>
          <w:color w:val="auto"/>
        </w:rPr>
      </w:pPr>
    </w:p>
    <w:p>
      <w:pPr>
        <w:ind w:left="1700" w:right="1779"/>
        <w:spacing w:after="0" w:line="235" w:lineRule="auto"/>
        <w:rPr>
          <w:sz w:val="20"/>
          <w:szCs w:val="20"/>
          <w:color w:val="auto"/>
        </w:rPr>
      </w:pPr>
      <w:r>
        <w:rPr>
          <w:rFonts w:ascii="Courier New" w:cs="Courier New" w:eastAsia="Courier New" w:hAnsi="Courier New"/>
          <w:sz w:val="18"/>
          <w:szCs w:val="18"/>
          <w:color w:val="auto"/>
        </w:rPr>
        <w:t>Loomis, Sayles &amp; Company, L.P. disclaims any beneficial interest in any of the foregoing securities.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an employee benefit plan, pension fund or endowment fund is not required.</w:t>
      </w:r>
    </w:p>
    <w:p>
      <w:pPr>
        <w:spacing w:after="0" w:line="214" w:lineRule="exact"/>
        <w:rPr>
          <w:sz w:val="20"/>
          <w:szCs w:val="20"/>
          <w:color w:val="auto"/>
        </w:rPr>
      </w:pPr>
    </w:p>
    <w:p>
      <w:pPr>
        <w:ind w:left="1160" w:right="1879"/>
        <w:spacing w:after="0" w:line="235" w:lineRule="auto"/>
        <w:rPr>
          <w:sz w:val="20"/>
          <w:szCs w:val="20"/>
          <w:color w:val="auto"/>
        </w:rPr>
      </w:pPr>
      <w:r>
        <w:rPr>
          <w:rFonts w:ascii="Courier New" w:cs="Courier New" w:eastAsia="Courier New" w:hAnsi="Courier New"/>
          <w:sz w:val="18"/>
          <w:szCs w:val="18"/>
          <w:color w:val="auto"/>
        </w:rPr>
        <w:t>Clients of Reporting Person have such a right, none of whom has such interest relating to more than 5% of any class.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160" w:right="1779"/>
        <w:spacing w:after="0" w:line="237" w:lineRule="auto"/>
        <w:rPr>
          <w:sz w:val="20"/>
          <w:szCs w:val="20"/>
          <w:color w:val="auto"/>
        </w:rPr>
      </w:pPr>
      <w:r>
        <w:rPr>
          <w:rFonts w:ascii="Courier New" w:cs="Courier New" w:eastAsia="Courier New" w:hAnsi="Courier New"/>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73" w:lineRule="auto"/>
        <w:rPr>
          <w:sz w:val="20"/>
          <w:szCs w:val="20"/>
          <w:color w:val="auto"/>
        </w:rPr>
      </w:pPr>
      <w:r>
        <w:rPr>
          <w:rFonts w:ascii="Courier New" w:cs="Courier New" w:eastAsia="Courier New" w:hAnsi="Courier New"/>
          <w:sz w:val="16"/>
          <w:szCs w:val="16"/>
          <w:color w:val="auto"/>
        </w:rPr>
        <w:t>If a group has filed this schedule pursuant to Rule 13d-1(b)(ii)(H), so indicate under Item 3(b) and attach an exhibit stating the identity and Item 3 classification of each member of the group. If a group has filed this schedule pursuant to Rule 13d-1(c), attach an exhibit stating the identity of each member of the group.</w:t>
      </w:r>
    </w:p>
    <w:p>
      <w:pPr>
        <w:spacing w:after="0" w:line="17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inquire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7, 2000</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Peter Giannakoulis</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Peter Giannakoulis</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Securities Trading Manager</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
      <w:numFmt w:val="bullet"/>
      <w:start w:val="1"/>
    </w:lvl>
    <w:lvl w:ilvl="1">
      <w:lvlJc w:val="left"/>
      <w:lvlText w:val="%2."/>
      <w:numFmt w:val="decimal"/>
      <w:start w:val="5"/>
    </w:lvl>
  </w:abstractNum>
  <w:abstractNum w:abstractNumId="5">
    <w:nsid w:val="4DB127F8"/>
    <w:multiLevelType w:val="hybridMultilevel"/>
    <w:lvl w:ilvl="0">
      <w:lvlJc w:val="left"/>
      <w:lvlText w:val="-"/>
      <w:numFmt w:val="bullet"/>
      <w:start w:val="1"/>
    </w:lvl>
    <w:lvl w:ilvl="1">
      <w:lvlJc w:val="left"/>
      <w:lvlText w:val="%2."/>
      <w:numFmt w:val="decimal"/>
      <w:start w:val="8"/>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12"/>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2019-12-13T01:00:10Z</dcterms:created>
  <dcterms:modified xsi:type="dcterms:W3CDTF">2019-12-13T01:00:10Z</dcterms:modified>
</cp:coreProperties>
</file>