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Courier New" w:cs="Courier New" w:eastAsia="Courier New" w:hAnsi="Courier New"/>
          <w:sz w:val="15"/>
          <w:szCs w:val="15"/>
          <w:color w:val="auto"/>
        </w:rPr>
        <w:t>UNITED STATES</w:t>
      </w:r>
    </w:p>
    <w:p>
      <w:pPr>
        <w:ind w:left="184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ANNUAL REPORT PURSUANT TO SECTION 13 OR 15 (d) OF</w:t>
      </w:r>
    </w:p>
    <w:p>
      <w:pPr>
        <w:jc w:val="center"/>
        <w:ind w:right="3499"/>
        <w:spacing w:after="0" w:line="237" w:lineRule="auto"/>
        <w:rPr>
          <w:sz w:val="20"/>
          <w:szCs w:val="20"/>
          <w:color w:val="auto"/>
        </w:rPr>
      </w:pPr>
      <w:r>
        <w:rPr>
          <w:rFonts w:ascii="Courier New" w:cs="Courier New" w:eastAsia="Courier New" w:hAnsi="Courier New"/>
          <w:sz w:val="15"/>
          <w:szCs w:val="15"/>
          <w:color w:val="auto"/>
        </w:rPr>
        <w:t>THE SECURITIES EXCHANGE ACT OF 1934</w:t>
      </w:r>
    </w:p>
    <w:p>
      <w:pPr>
        <w:jc w:val="center"/>
        <w:ind w:right="3499"/>
        <w:spacing w:after="0" w:line="238" w:lineRule="auto"/>
        <w:rPr>
          <w:sz w:val="20"/>
          <w:szCs w:val="20"/>
          <w:color w:val="auto"/>
        </w:rPr>
      </w:pPr>
      <w:r>
        <w:rPr>
          <w:rFonts w:ascii="Courier New" w:cs="Courier New" w:eastAsia="Courier New" w:hAnsi="Courier New"/>
          <w:sz w:val="15"/>
          <w:szCs w:val="15"/>
          <w:color w:val="auto"/>
        </w:rPr>
        <w:t>FORM 10-K</w:t>
      </w:r>
    </w:p>
    <w:p>
      <w:pPr>
        <w:jc w:val="center"/>
        <w:ind w:right="3399"/>
        <w:spacing w:after="0" w:line="237" w:lineRule="auto"/>
        <w:rPr>
          <w:sz w:val="20"/>
          <w:szCs w:val="20"/>
          <w:color w:val="auto"/>
        </w:rPr>
      </w:pPr>
      <w:r>
        <w:rPr>
          <w:rFonts w:ascii="Courier New" w:cs="Courier New" w:eastAsia="Courier New" w:hAnsi="Courier New"/>
          <w:sz w:val="15"/>
          <w:szCs w:val="15"/>
          <w:color w:val="auto"/>
        </w:rPr>
        <w:t>For Fiscal Year Ended: December 31, 2001</w:t>
      </w:r>
    </w:p>
    <w:p>
      <w:pPr>
        <w:ind w:left="1680"/>
        <w:spacing w:after="0" w:line="238" w:lineRule="auto"/>
        <w:rPr>
          <w:sz w:val="20"/>
          <w:szCs w:val="20"/>
          <w:color w:val="auto"/>
        </w:rPr>
      </w:pPr>
      <w:r>
        <w:rPr>
          <w:rFonts w:ascii="Courier New" w:cs="Courier New" w:eastAsia="Courier New" w:hAnsi="Courier New"/>
          <w:sz w:val="15"/>
          <w:szCs w:val="15"/>
          <w:color w:val="auto"/>
        </w:rPr>
        <w:t>----------------------------------------</w:t>
      </w:r>
    </w:p>
    <w:p>
      <w:pPr>
        <w:ind w:left="2280"/>
        <w:spacing w:after="0" w:line="237" w:lineRule="auto"/>
        <w:rPr>
          <w:sz w:val="20"/>
          <w:szCs w:val="20"/>
          <w:color w:val="auto"/>
        </w:rPr>
      </w:pPr>
      <w:r>
        <w:rPr>
          <w:rFonts w:ascii="Courier New" w:cs="Courier New" w:eastAsia="Courier New" w:hAnsi="Courier New"/>
          <w:sz w:val="15"/>
          <w:szCs w:val="15"/>
          <w:color w:val="auto"/>
        </w:rPr>
        <w:t>Commission File No.1-07533</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8" w:lineRule="exact"/>
        <w:rPr>
          <w:sz w:val="24"/>
          <w:szCs w:val="24"/>
          <w:color w:val="auto"/>
        </w:rPr>
      </w:pPr>
    </w:p>
    <w:p>
      <w:pPr>
        <w:ind w:left="700" w:right="4379" w:firstLine="962"/>
        <w:spacing w:after="0" w:line="235" w:lineRule="auto"/>
        <w:rPr>
          <w:sz w:val="20"/>
          <w:szCs w:val="20"/>
          <w:color w:val="auto"/>
        </w:rPr>
      </w:pPr>
      <w:r>
        <w:rPr>
          <w:rFonts w:ascii="Courier New" w:cs="Courier New" w:eastAsia="Courier New" w:hAnsi="Courier New"/>
          <w:sz w:val="15"/>
          <w:szCs w:val="15"/>
          <w:color w:val="auto"/>
        </w:rPr>
        <w:t>Maryland 52-0782497 ------------------------------------------------------ (State or other jurisdiction of (I.R.S. Employer incorporation or organization) identification No.)</w:t>
      </w:r>
    </w:p>
    <w:p>
      <w:pPr>
        <w:spacing w:after="0" w:line="169"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1626 East Jefferson Street, Rockville, Maryland 20852</w:t>
      </w:r>
    </w:p>
    <w:p>
      <w:pPr>
        <w:ind w:left="98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tabs>
          <w:tab w:leader="none" w:pos="472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(301) 998-8100</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729" w:right="1440" w:bottom="1440" w:gutter="0" w:footer="0" w:header="0"/>
        </w:sectPr>
      </w:pP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sectPr>
          <w:pgSz w:w="11900" w:h="16838" w:orient="portrait"/>
          <w:cols w:equalWidth="0" w:num="2">
            <w:col w:w="3660" w:space="720"/>
            <w:col w:w="5859"/>
          </w:cols>
          <w:pgMar w:left="220" w:top="72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par value $0.01 per share, with</w:t>
      </w:r>
    </w:p>
    <w:p>
      <w:pPr>
        <w:ind w:left="280"/>
        <w:spacing w:after="0" w:line="237" w:lineRule="auto"/>
        <w:rPr>
          <w:sz w:val="20"/>
          <w:szCs w:val="20"/>
          <w:color w:val="auto"/>
        </w:rPr>
      </w:pPr>
      <w:r>
        <w:rPr>
          <w:rFonts w:ascii="Courier New" w:cs="Courier New" w:eastAsia="Courier New" w:hAnsi="Courier New"/>
          <w:sz w:val="15"/>
          <w:szCs w:val="15"/>
          <w:color w:val="auto"/>
        </w:rPr>
        <w:t>associated Common Share</w:t>
      </w:r>
    </w:p>
    <w:p>
      <w:pPr>
        <w:sectPr>
          <w:pgSz w:w="11900" w:h="16838" w:orient="portrait"/>
          <w:cols w:equalWidth="0" w:num="1">
            <w:col w:w="10239"/>
          </w:cols>
          <w:pgMar w:left="220" w:top="729" w:right="1440" w:bottom="1440" w:gutter="0" w:footer="0" w:header="0"/>
          <w:type w:val="continuous"/>
        </w:sectPr>
      </w:pP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0" w:lineRule="exact"/>
        <w:rPr>
          <w:sz w:val="24"/>
          <w:szCs w:val="24"/>
          <w:color w:val="auto"/>
        </w:rPr>
      </w:pPr>
    </w:p>
    <w:p>
      <w:pPr>
        <w:sectPr>
          <w:pgSz w:w="11900" w:h="16838" w:orient="portrait"/>
          <w:cols w:equalWidth="0" w:num="2">
            <w:col w:w="3660" w:space="720"/>
            <w:col w:w="5859"/>
          </w:cols>
          <w:pgMar w:left="220" w:top="72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7.95% Series A Cumulative Redeemable</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Preferred Shares of Beneficial</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Interest (Liquidation Preference</w:t>
      </w:r>
    </w:p>
    <w:p>
      <w:pPr>
        <w:sectPr>
          <w:pgSz w:w="11900" w:h="16838" w:orient="portrait"/>
          <w:cols w:equalWidth="0" w:num="1">
            <w:col w:w="10239"/>
          </w:cols>
          <w:pgMar w:left="220" w:top="729" w:right="1440" w:bottom="1440" w:gutter="0" w:footer="0" w:header="0"/>
          <w:type w:val="continuous"/>
        </w:sectPr>
      </w:pP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$25.00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0" w:lineRule="exact"/>
        <w:rPr>
          <w:sz w:val="24"/>
          <w:szCs w:val="24"/>
          <w:color w:val="auto"/>
        </w:rPr>
      </w:pPr>
    </w:p>
    <w:p>
      <w:pPr>
        <w:sectPr>
          <w:pgSz w:w="11900" w:h="16838" w:orient="portrait"/>
          <w:cols w:equalWidth="0" w:num="2">
            <w:col w:w="3660" w:space="720"/>
            <w:col w:w="5859"/>
          </w:cols>
          <w:pgMar w:left="220" w:top="72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8.5% Series B Cumulative Redeemable</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Preferred Shares of Beneficial</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Interest (Liquidation Preference</w:t>
      </w:r>
    </w:p>
    <w:p>
      <w:pPr>
        <w:sectPr>
          <w:pgSz w:w="11900" w:h="16838" w:orient="portrait"/>
          <w:cols w:equalWidth="0" w:num="1">
            <w:col w:w="10239"/>
          </w:cols>
          <w:pgMar w:left="220" w:top="729" w:right="1440" w:bottom="1440" w:gutter="0" w:footer="0" w:header="0"/>
          <w:type w:val="continuous"/>
        </w:sectPr>
      </w:pP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$25.00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1" w:lineRule="exact"/>
        <w:rPr>
          <w:sz w:val="24"/>
          <w:szCs w:val="24"/>
          <w:color w:val="auto"/>
        </w:rPr>
      </w:pPr>
    </w:p>
    <w:p>
      <w:pPr>
        <w:sectPr>
          <w:pgSz w:w="11900" w:h="16838" w:orient="portrait"/>
          <w:cols w:equalWidth="0" w:num="2">
            <w:col w:w="3660" w:space="720"/>
            <w:col w:w="5859"/>
          </w:cols>
          <w:pgMar w:left="220" w:top="729"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3" w:lineRule="exact"/>
        <w:rPr>
          <w:sz w:val="24"/>
          <w:szCs w:val="24"/>
          <w:color w:val="auto"/>
        </w:rPr>
      </w:pPr>
    </w:p>
    <w:p>
      <w:pPr>
        <w:spacing w:after="0"/>
        <w:tabs>
          <w:tab w:leader="none" w:pos="4100" w:val="left"/>
          <w:tab w:leader="none" w:pos="4460" w:val="left"/>
          <w:tab w:leader="none" w:pos="5320" w:val="left"/>
        </w:tabs>
        <w:rPr>
          <w:sz w:val="20"/>
          <w:szCs w:val="20"/>
          <w:color w:val="auto"/>
        </w:rPr>
      </w:pPr>
      <w:r>
        <w:rPr>
          <w:rFonts w:ascii="Courier New" w:cs="Courier New" w:eastAsia="Courier New" w:hAnsi="Courier New"/>
          <w:sz w:val="15"/>
          <w:szCs w:val="15"/>
          <w:color w:val="auto"/>
        </w:rPr>
        <w:t>filing requirements for the past 90 days. 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w:t>
      </w:r>
    </w:p>
    <w:p>
      <w:pPr>
        <w:ind w:left="3940"/>
        <w:spacing w:after="0" w:line="237" w:lineRule="auto"/>
        <w:tabs>
          <w:tab w:leader="none" w:pos="4620" w:val="left"/>
        </w:tabs>
        <w:rPr>
          <w:sz w:val="20"/>
          <w:szCs w:val="20"/>
          <w:color w:val="auto"/>
        </w:rPr>
      </w:pPr>
      <w:r>
        <w:rPr>
          <w:rFonts w:ascii="Courier New" w:cs="Courier New" w:eastAsia="Courier New" w:hAnsi="Courier New"/>
          <w:sz w:val="15"/>
          <w:szCs w:val="15"/>
          <w:color w:val="auto"/>
        </w:rPr>
        <w:t>-----</w:t>
        <w:tab/>
        <w:t>--------</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March 7, 2002, the aggregate market value of Common Shares of Beneficial Interest of Federal Realty Investment Trust held by nonaffiliates was $1.053 billion based upon the closing price of such Shares on the New York Stock Exchange.</w:t>
      </w:r>
    </w:p>
    <w:p>
      <w:pPr>
        <w:spacing w:after="0" w:line="175" w:lineRule="exact"/>
        <w:rPr>
          <w:sz w:val="24"/>
          <w:szCs w:val="24"/>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of March 7, 2002, 40,252,891 of the Trust's Common Shares of Beneficial Interest were outstanding.</w:t>
      </w:r>
    </w:p>
    <w:p>
      <w:pPr>
        <w:sectPr>
          <w:pgSz w:w="11900" w:h="16838" w:orient="portrait"/>
          <w:cols w:equalWidth="0" w:num="1">
            <w:col w:w="10239"/>
          </w:cols>
          <w:pgMar w:left="220" w:top="729" w:right="1440" w:bottom="1440" w:gutter="0" w:footer="0" w:header="0"/>
          <w:type w:val="continuous"/>
        </w:sectPr>
      </w:pPr>
    </w:p>
    <w:bookmarkStart w:id="1" w:name="page2"/>
    <w:bookmarkEnd w:id="1"/>
    <w:p>
      <w:pPr>
        <w:ind w:left="1840"/>
        <w:spacing w:after="0"/>
        <w:rPr>
          <w:sz w:val="20"/>
          <w:szCs w:val="20"/>
          <w:color w:val="auto"/>
        </w:rPr>
      </w:pPr>
      <w:r>
        <w:rPr>
          <w:rFonts w:ascii="Courier New" w:cs="Courier New" w:eastAsia="Courier New" w:hAnsi="Courier New"/>
          <w:sz w:val="15"/>
          <w:szCs w:val="15"/>
          <w:color w:val="auto"/>
        </w:rPr>
        <w:t>DOCUMENTS INCORPORATED BY REFERENCE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Portions of the Trust's Proxy Statement in connection with its Annual Meeting to be held on May 1, 2002 (hereinafter called the "2002 Proxy Statement") are incorporated herein by reference.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&amp; 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DISCLOSURE REGARDING FORWARD-LOOKING STATEMENTS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changes in our business strategy;</w:t>
      </w:r>
    </w:p>
    <w:p>
      <w:pPr>
        <w:spacing w:after="0" w:line="5" w:lineRule="exact"/>
        <w:rPr>
          <w:sz w:val="20"/>
          <w:szCs w:val="20"/>
          <w:color w:val="auto"/>
        </w:rPr>
      </w:pPr>
    </w:p>
    <w:p>
      <w:pPr>
        <w:ind w:left="620" w:right="3579" w:hanging="179"/>
        <w:spacing w:after="0" w:line="234" w:lineRule="auto"/>
        <w:tabs>
          <w:tab w:leader="none" w:pos="600" w:val="left"/>
        </w:tabs>
        <w:rPr>
          <w:sz w:val="20"/>
          <w:szCs w:val="20"/>
          <w:color w:val="auto"/>
        </w:rPr>
      </w:pPr>
      <w:r>
        <w:rPr>
          <w:rFonts w:ascii="Courier New" w:cs="Courier New" w:eastAsia="Courier New" w:hAnsi="Courier New"/>
          <w:sz w:val="15"/>
          <w:szCs w:val="15"/>
          <w:color w:val="auto"/>
        </w:rPr>
        <w:t>.</w:t>
        <w:tab/>
        <w:t>general economic and business conditions which will affect the credit worthiness of tenants;</w:t>
      </w:r>
    </w:p>
    <w:p>
      <w:pPr>
        <w:ind w:left="620" w:hanging="173"/>
        <w:spacing w:after="0" w:line="237"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availability and cost;</w:t>
      </w:r>
    </w:p>
    <w:p>
      <w:pPr>
        <w:ind w:left="620" w:hanging="173"/>
        <w:spacing w:after="0" w:line="237"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retailing trends and rental rates;</w:t>
      </w:r>
    </w:p>
    <w:p>
      <w:pPr>
        <w:spacing w:after="0" w:line="5"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real estate development and acquisitions, including the risk that potential acquisitions or development projects may not perform in accordance with expectations;</w:t>
      </w:r>
    </w:p>
    <w:p>
      <w:pPr>
        <w:spacing w:after="0" w:line="5"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the complex rules in order to qualify for taxation as a REIT for federal income tax purposes and to operate effectively within the limitations imposed by these rules;</w:t>
      </w:r>
    </w:p>
    <w:p>
      <w:pPr>
        <w:spacing w:after="0" w:line="5"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approvals, actions and initiatives including the need for compliance with environmental and safety requirements, and changes in laws and regulations or the interpretation thereof; and</w:t>
      </w:r>
    </w:p>
    <w:p>
      <w:pPr>
        <w:spacing w:after="0" w:line="5"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with other real estate companies, real estate projects and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tabs>
          <w:tab w:leader="none" w:pos="13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Federal Realty Investment Trust (the "Trust") is an equity real estate investment trust specializing in the ownership, management, development and redevelopment of high quality retail and mixed-use properties. The Trust consolidates the financial statements of various entities which it controls. At December 31, 2001 the Trust owned or had an interest in 58 community and neighborhood shopping centers comprising over 12 million square feet, primarily located in densely populated and affluent communities throughout the Northeast and Mid-Atlantic</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ind w:right="3239"/>
        <w:spacing w:after="0" w:line="236" w:lineRule="auto"/>
        <w:rPr>
          <w:sz w:val="20"/>
          <w:szCs w:val="20"/>
          <w:color w:val="auto"/>
        </w:rPr>
      </w:pPr>
      <w:r>
        <w:rPr>
          <w:rFonts w:ascii="Courier New" w:cs="Courier New" w:eastAsia="Courier New" w:hAnsi="Courier New"/>
          <w:sz w:val="15"/>
          <w:szCs w:val="15"/>
          <w:color w:val="auto"/>
        </w:rPr>
        <w:t>United States. In addition, the Trust owns 62 retail and urban mixed-use properties comprising over 2 million square feet located in strategic markets across the United States and one apartment complex. Federal Realty has paid quarterly dividends to its shareholders continuously since its founding in 1962, and has increased its dividend rate for 34 consecutive years.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 which is organized as a Maryland real estate investment trust, operates in a manner intended to enable it to qualify as a real estate investment trust (REIT) for federal income tax purposes. A REIT which distributes at least 90% of its real estate investment trust taxable income to its shareholders each year and which meets certain other conditions will not be taxed on that portion of its taxable income which is distributed to its shareholders. Therefore, no provision for Federal income taxes is required. Prior to 2001, the distribution requirement for a REIT was 95% of its taxable income.</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 important part of the Trust's strategy has been to acquire older, well-located properties in densely populated and affluent areas and to enhance their operating performance through a program of renovation, expansion, reconfiguration and retenanting. The traditional focus of the Trust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the Trust expanded its investment strategy to include "street retail" or "mixed-use" properties. The mixed-use properties are typically centered around a retail component but may also include office, residential and hotel components, in established main street shopping areas. In addition, from 1997 through 2001 the Trust has obtained control of various land parcels and has devoted substantial resources for the purpose of developing mixed-use projects in urban areas that center around the retail component. On February 28, 2002 the board of trustees approved the adoption of a business plan which returns the Trust's primary focus to its traditional business of acquiring and redeveloping community and neighborhood shopping centers. The Trust will complete its mixed-use projects in San Jose, California, Arlington, Virginia and Bethesda, Maryland, but will not pursue any further new, large-scale ground-up development projects.</w:t>
      </w:r>
    </w:p>
    <w:p>
      <w:pPr>
        <w:spacing w:after="0" w:line="34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Trust continually evaluates its properties for renovation, retenanting and expansion opportunities. Similarly, the Trust regularly reviews its portfolio and from time to time considers selling stabilized lower-growth properties or exchanging them for other real estate assets. Proceeds from the sale of such properties may be used to acquire other properties, to fund the Trust's current redevelopment and development projects or to fund other capital needs.</w:t>
      </w:r>
    </w:p>
    <w:p>
      <w:pPr>
        <w:spacing w:after="0" w:line="176"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The Trust's portfolio of properties has grown from 86 as of January 1, 1997 to 121 at December 31, 2001. During this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ind w:right="3319"/>
        <w:spacing w:after="0" w:line="235" w:lineRule="auto"/>
        <w:rPr>
          <w:sz w:val="20"/>
          <w:szCs w:val="20"/>
          <w:color w:val="auto"/>
        </w:rPr>
      </w:pPr>
      <w:r>
        <w:rPr>
          <w:rFonts w:ascii="Courier New" w:cs="Courier New" w:eastAsia="Courier New" w:hAnsi="Courier New"/>
          <w:sz w:val="15"/>
          <w:szCs w:val="15"/>
          <w:color w:val="auto"/>
        </w:rPr>
        <w:t>five year period the Trust acquired 43 retail and mixed-use properties for approximately $502 million. During this same period eight properties were sold. Also during this period the Trust spent over $600 million to develop, renovate, expand, improve and retenant its properties.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December 31, 2001 the Trust has $322 million invested in three mixed-used ground-up developments. Two of the projects, with costs totaling $306 million at December 31, 2001, are currently under construction. During 2002 and 2003, the Trust estimates that it will spend $240 million and $21 million, respectively, to complete the current phases of these two projects, which are located in San Jose, California and Arlington, Virginia. In connection with the adoption of the new business plan on February 28, 2002, the Trust has discontinued plans for the third development, located in Portland, Oregon. In the first quarter of 2002, the Trust estimates it will record a charge of $16 million to $18 million to write down this and other developments and record severance and other compensation costs related to a management restructuring as a result of the new business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Consistent with the Trust's renewed focus on neighborhood and community shopping centers, the Trust will seek older, well-located shopping centers and retail buildings to acquire, renovate, retenant and remerchandise, thereby enhancing their revenue potential. In addition, the Trust may seek opportunities to develop ground-up grocery anchored shopping centers in and around the Metropolitan Washington, D.C., Philadelphia and New York markets and will identify and execute expansion and development opportunities in its existing portfolio.</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Although the Trust does not have any policy restricting its ability to make investments in properties or development sites, the Trust will generally look for properties and sites in densely populated or growing affluent areas where barriers to entry or further development are high. The Trust will evaluate each investment on its individual merits, looking for investments where it believes it will be able to increase the cash flow from the property both in near-term and over time. Although the Trust usually purchases a 100% fee interest in its acquisitions, on occasion, it has entered into long-term leases, classified as capital leases under the provisions of SFAS No. 13, "Accounting for Leases", as a means of acquiring control of properties. A capital lease transfers the benefits and risks of ownership of the property to the Trust and the Trust records the lease as an acquisition of the property with a corresponding incurrence of a liability. In addition, the Trust has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Trust common shares and may be convertible into common shares of the Trust.</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Since a significant portion of cash provided by operating activities is distributed to common and preferred shareholders,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5" w:name="page6"/>
    <w:bookmarkEnd w:id="5"/>
    <w:p>
      <w:pPr>
        <w:ind w:right="3239"/>
        <w:spacing w:after="0" w:line="236" w:lineRule="auto"/>
        <w:rPr>
          <w:sz w:val="20"/>
          <w:szCs w:val="20"/>
          <w:color w:val="auto"/>
        </w:rPr>
      </w:pPr>
      <w:r>
        <w:rPr>
          <w:rFonts w:ascii="Courier New" w:cs="Courier New" w:eastAsia="Courier New" w:hAnsi="Courier New"/>
          <w:sz w:val="15"/>
          <w:szCs w:val="15"/>
          <w:color w:val="auto"/>
        </w:rPr>
        <w:t>capital outlays for acquisitions, developments and redevelopments typically require debt or equity funding. During the Trust's 40 years of existence, it has financed its operations and other capital needs in a variety of ways during a variety of economic conditions, including through issuance of senior securities and subordinated debt and by borrowing money on its credit facilities. Since January 1, 1999, the Trust has financed its capital needs primarily with debt. Debt issuances since January 1, 1999 were as follows:</w:t>
      </w:r>
    </w:p>
    <w:p>
      <w:pPr>
        <w:spacing w:after="0" w:line="176" w:lineRule="exact"/>
        <w:rPr>
          <w:sz w:val="20"/>
          <w:szCs w:val="20"/>
          <w:color w:val="auto"/>
        </w:rPr>
      </w:pPr>
    </w:p>
    <w:p>
      <w:pPr>
        <w:jc w:val="both"/>
        <w:ind w:left="620" w:right="3579" w:hanging="179"/>
        <w:spacing w:after="0" w:line="235" w:lineRule="auto"/>
        <w:tabs>
          <w:tab w:leader="none" w:pos="600" w:val="left"/>
        </w:tabs>
        <w:rPr>
          <w:sz w:val="20"/>
          <w:szCs w:val="20"/>
          <w:color w:val="auto"/>
        </w:rPr>
      </w:pPr>
      <w:r>
        <w:rPr>
          <w:rFonts w:ascii="Courier New" w:cs="Courier New" w:eastAsia="Courier New" w:hAnsi="Courier New"/>
          <w:sz w:val="15"/>
          <w:szCs w:val="15"/>
          <w:color w:val="auto"/>
        </w:rPr>
        <w:t>.</w:t>
        <w:tab/>
        <w:t>In November 1999, the Trust issued $175 million of 8.75% Notes to the public. The notes pay interest semi-annually on June 1 and December 1 and are due December 1, 2009.</w:t>
      </w:r>
    </w:p>
    <w:p>
      <w:pPr>
        <w:spacing w:after="0" w:line="5" w:lineRule="exact"/>
        <w:rPr>
          <w:sz w:val="20"/>
          <w:szCs w:val="20"/>
          <w:color w:val="auto"/>
        </w:rPr>
      </w:pPr>
    </w:p>
    <w:p>
      <w:pPr>
        <w:ind w:left="620" w:right="3499" w:hanging="179"/>
        <w:spacing w:after="0" w:line="235" w:lineRule="auto"/>
        <w:tabs>
          <w:tab w:leader="none" w:pos="600" w:val="left"/>
        </w:tabs>
        <w:rPr>
          <w:sz w:val="20"/>
          <w:szCs w:val="20"/>
          <w:color w:val="auto"/>
        </w:rPr>
      </w:pPr>
      <w:r>
        <w:rPr>
          <w:rFonts w:ascii="Courier New" w:cs="Courier New" w:eastAsia="Courier New" w:hAnsi="Courier New"/>
          <w:sz w:val="15"/>
          <w:szCs w:val="15"/>
          <w:color w:val="auto"/>
        </w:rPr>
        <w:t>.</w:t>
        <w:tab/>
        <w:t>In February 2000, the Trust obtained a $24.5 million construction loan for its development project in Bethesda, Maryland. The loan bears interest at LIBOR plus 1.2% - 1.5% depending upon occupancy, matures August 2002 and has two one-year extension options.</w:t>
      </w:r>
    </w:p>
    <w:p>
      <w:pPr>
        <w:spacing w:after="0" w:line="7" w:lineRule="exact"/>
        <w:rPr>
          <w:sz w:val="20"/>
          <w:szCs w:val="20"/>
          <w:color w:val="auto"/>
        </w:rPr>
      </w:pPr>
    </w:p>
    <w:p>
      <w:pPr>
        <w:jc w:val="both"/>
        <w:ind w:left="620" w:right="3319" w:hanging="179"/>
        <w:spacing w:after="0" w:line="235" w:lineRule="auto"/>
        <w:tabs>
          <w:tab w:leader="none" w:pos="600" w:val="left"/>
        </w:tabs>
        <w:rPr>
          <w:sz w:val="20"/>
          <w:szCs w:val="20"/>
          <w:color w:val="auto"/>
        </w:rPr>
      </w:pPr>
      <w:r>
        <w:rPr>
          <w:rFonts w:ascii="Courier New" w:cs="Courier New" w:eastAsia="Courier New" w:hAnsi="Courier New"/>
          <w:sz w:val="15"/>
          <w:szCs w:val="15"/>
          <w:color w:val="auto"/>
        </w:rPr>
        <w:t>.</w:t>
        <w:tab/>
        <w:t>In June 2000, the Trust modified certain covenants and extended its $300 million syndicated credit facility and its $125 million term loan for an additional year to December 19, 2003.</w:t>
      </w:r>
    </w:p>
    <w:p>
      <w:pPr>
        <w:spacing w:after="0" w:line="5" w:lineRule="exact"/>
        <w:rPr>
          <w:sz w:val="20"/>
          <w:szCs w:val="20"/>
          <w:color w:val="auto"/>
        </w:rPr>
      </w:pPr>
    </w:p>
    <w:p>
      <w:pPr>
        <w:ind w:left="620" w:right="3239" w:hanging="173"/>
        <w:spacing w:after="0" w:line="254"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2000, the Trust obtained a $152 million mortgage loan, which is secured by five shopping centers. The mortgage bears interest at 7.95%</w:t>
      </w:r>
    </w:p>
    <w:p>
      <w:pPr>
        <w:ind w:left="620"/>
        <w:spacing w:after="0" w:line="231" w:lineRule="auto"/>
        <w:rPr>
          <w:sz w:val="20"/>
          <w:szCs w:val="20"/>
          <w:color w:val="auto"/>
        </w:rPr>
      </w:pPr>
      <w:r>
        <w:rPr>
          <w:rFonts w:ascii="Courier New" w:cs="Courier New" w:eastAsia="Courier New" w:hAnsi="Courier New"/>
          <w:sz w:val="15"/>
          <w:szCs w:val="15"/>
          <w:color w:val="auto"/>
        </w:rPr>
        <w:t>and matures November 1, 2015.</w:t>
      </w:r>
    </w:p>
    <w:p>
      <w:pPr>
        <w:spacing w:after="0" w:line="5" w:lineRule="exact"/>
        <w:rPr>
          <w:sz w:val="20"/>
          <w:szCs w:val="20"/>
          <w:color w:val="auto"/>
        </w:rPr>
      </w:pPr>
    </w:p>
    <w:p>
      <w:pPr>
        <w:ind w:left="620" w:right="3319" w:hanging="173"/>
        <w:spacing w:after="0" w:line="235"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2001, the Trust obtained a $33 million mortgage loan secured by Brick Plaza. The mortgage bears interest at 7.415% and matures November 1, 2015.</w:t>
      </w:r>
    </w:p>
    <w:p>
      <w:pPr>
        <w:spacing w:after="0" w:line="5" w:lineRule="exact"/>
        <w:rPr>
          <w:sz w:val="20"/>
          <w:szCs w:val="20"/>
          <w:color w:val="auto"/>
        </w:rPr>
      </w:pPr>
    </w:p>
    <w:p>
      <w:pPr>
        <w:ind w:left="620" w:right="3239" w:hanging="173"/>
        <w:spacing w:after="0" w:line="254" w:lineRule="auto"/>
        <w:tabs>
          <w:tab w:leader="none" w:pos="6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2001, The Trust closed on a $295 million construction loan on its Santana Row project in San Jose, California. The loan initially bears interest at LIBOR plus 212.5 basis points, matures April 2004 and provides for two one-year extension options, subject to attaining certain operating targets. The interest rate on the loan will decrease over time if specified operating hurdles are achieved. There is no assurance that these targets and hurdles will be met. The initial funding of the</w:t>
      </w:r>
    </w:p>
    <w:p>
      <w:pPr>
        <w:spacing w:after="0" w:line="2" w:lineRule="exact"/>
        <w:rPr>
          <w:sz w:val="20"/>
          <w:szCs w:val="20"/>
          <w:color w:val="auto"/>
        </w:rPr>
      </w:pPr>
    </w:p>
    <w:p>
      <w:pPr>
        <w:ind w:left="620" w:right="3759"/>
        <w:spacing w:after="0" w:line="234" w:lineRule="auto"/>
        <w:rPr>
          <w:sz w:val="20"/>
          <w:szCs w:val="20"/>
          <w:color w:val="auto"/>
        </w:rPr>
      </w:pPr>
      <w:r>
        <w:rPr>
          <w:rFonts w:ascii="Courier New" w:cs="Courier New" w:eastAsia="Courier New" w:hAnsi="Courier New"/>
          <w:sz w:val="15"/>
          <w:szCs w:val="15"/>
          <w:color w:val="auto"/>
        </w:rPr>
        <w:t>construction loan took place on August 23, 2001 when the equity and pre-leasing requirements were met.</w:t>
      </w:r>
    </w:p>
    <w:p>
      <w:pPr>
        <w:spacing w:after="0" w:line="5" w:lineRule="exact"/>
        <w:rPr>
          <w:sz w:val="20"/>
          <w:szCs w:val="20"/>
          <w:color w:val="auto"/>
        </w:rPr>
      </w:pPr>
    </w:p>
    <w:p>
      <w:pPr>
        <w:ind w:left="620" w:right="3319" w:hanging="173"/>
        <w:spacing w:after="0" w:line="254"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2001, the Trust refinanced the mortgage loan secured by Federal Plaza. The new $36.5 million loan bears interest at 6.75% and matures on June 11, 2011. The prior outstanding mortgage loan of $26.5 million was</w:t>
      </w:r>
    </w:p>
    <w:p>
      <w:pPr>
        <w:ind w:left="620"/>
        <w:spacing w:after="0" w:line="232" w:lineRule="auto"/>
        <w:rPr>
          <w:sz w:val="20"/>
          <w:szCs w:val="20"/>
          <w:color w:val="auto"/>
        </w:rPr>
      </w:pPr>
      <w:r>
        <w:rPr>
          <w:rFonts w:ascii="Courier New" w:cs="Courier New" w:eastAsia="Courier New" w:hAnsi="Courier New"/>
          <w:sz w:val="15"/>
          <w:szCs w:val="15"/>
          <w:color w:val="auto"/>
        </w:rPr>
        <w:t>paid off with these proceeds.</w:t>
      </w:r>
    </w:p>
    <w:p>
      <w:pPr>
        <w:spacing w:after="0" w:line="5" w:lineRule="exact"/>
        <w:rPr>
          <w:sz w:val="20"/>
          <w:szCs w:val="20"/>
          <w:color w:val="auto"/>
        </w:rPr>
      </w:pPr>
    </w:p>
    <w:p>
      <w:pPr>
        <w:ind w:left="620" w:right="3239" w:hanging="179"/>
        <w:spacing w:after="0" w:line="235" w:lineRule="auto"/>
        <w:tabs>
          <w:tab w:leader="none" w:pos="600" w:val="left"/>
        </w:tabs>
        <w:rPr>
          <w:sz w:val="20"/>
          <w:szCs w:val="20"/>
          <w:color w:val="auto"/>
        </w:rPr>
      </w:pPr>
      <w:r>
        <w:rPr>
          <w:rFonts w:ascii="Courier New" w:cs="Courier New" w:eastAsia="Courier New" w:hAnsi="Courier New"/>
          <w:sz w:val="15"/>
          <w:szCs w:val="15"/>
          <w:color w:val="auto"/>
        </w:rPr>
        <w:t>.</w:t>
        <w:tab/>
        <w:t>In August 2001, The Trust refinanced the mortgage loan secured by Tyson's Station. The new $7.0 million loan bears interest at 7.4% and matures on September 1, 2011. The prior outstanding mortgage loan of $3.9 million was paid off with these proceeds.</w:t>
      </w:r>
    </w:p>
    <w:p>
      <w:pPr>
        <w:spacing w:after="0" w:line="7" w:lineRule="exact"/>
        <w:rPr>
          <w:sz w:val="20"/>
          <w:szCs w:val="20"/>
          <w:color w:val="auto"/>
        </w:rPr>
      </w:pPr>
    </w:p>
    <w:p>
      <w:pPr>
        <w:ind w:left="620" w:right="3239" w:hanging="173"/>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2001, in connection with the purchase of Friendship Center the Trust placed a $17.0 million mortgage on the property. The loan bears interest at LIBOR plus 135 basis points, matures September 22, 2003</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 w:name="page7"/>
    <w:bookmarkEnd w:id="6"/>
    <w:p>
      <w:pPr>
        <w:ind w:left="440"/>
        <w:spacing w:after="0"/>
        <w:rPr>
          <w:sz w:val="20"/>
          <w:szCs w:val="20"/>
          <w:color w:val="auto"/>
        </w:rPr>
      </w:pPr>
      <w:r>
        <w:rPr>
          <w:rFonts w:ascii="Courier New" w:cs="Courier New" w:eastAsia="Courier New" w:hAnsi="Courier New"/>
          <w:sz w:val="15"/>
          <w:szCs w:val="15"/>
          <w:color w:val="auto"/>
        </w:rPr>
        <w:t>and has three one-year extension options.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Trust is in compliance with all financial covenants associated with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since January 1, 1999 through December 31, 2001, the Trust has issued 478,717 common shares of beneficial interest under its Dividend Reinvestment Plan, realizing proceeds of $10.0 million.</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November 19, 2001 the Trust issued 5.4 million 8.5% Series B Cumulative Redeemable Preferred Shares at $25 per share in a public offering, netting approximately $130.8 million.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future, the Trust intends to satisfy its capital needs through private and public offerings of its equity and debt securities, by entering into joint ventures and/or by borrowing on its syndicated credit facility. The Trust may also seek to extend, expand or renew its syndicated credit facility, or obtain new credit facilities or lines of credit. In addition, if necessary the Trust may seek to obtain mortgages on its properties. The board of trustees has not adopted a policy limiting the amount or number of mortgages that may be placed on a particular property, although the mortgage financing instruments typically do limit additional indebtedness on properties covered by existing mortgages.</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Trust's 121 properties are located in fifteen states and the District of Columbia. Twenty-seven of the properties are located in the Washington, D.C. metropolitan area; twenty-five are in California; fourteen are in Connecticut; ten are in Pennsylvania, primarily in the Philadelphia area; ten are in New Jersey; nine are in Texas; seven are in New York; six are in Illinois; four are in Massachusetts; two are in central Virginia; two are in Florida; two are in Arizona; and there is one in each of the following states: Michigan, North Carolina and Oregon. No single property accounts for over 10% of the Trust's revenues.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operates its business on an asset management model, where small focused teams are responsible for a portfolio of assets. The Trust has divided its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 to day operating decisions. (See "Segment Results" in Item 7, Management's Discussion and Analysis of Financial Condition and Results of Operations for a further discussion of the segments and their results.)</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Trust has approximately 2,100 tenants, ranging from sole proprietors to major national retailers; no one tenant or corporate group of tenants accounts for more than 2.7% of revenue. The Trust's exposure to recent bankruptcy filings has not been significant, with the Trust's largest tenant to</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319"/>
        <w:spacing w:after="0" w:line="236" w:lineRule="auto"/>
        <w:rPr>
          <w:sz w:val="20"/>
          <w:szCs w:val="20"/>
          <w:color w:val="auto"/>
        </w:rPr>
      </w:pPr>
      <w:r>
        <w:rPr>
          <w:rFonts w:ascii="Courier New" w:cs="Courier New" w:eastAsia="Courier New" w:hAnsi="Courier New"/>
          <w:sz w:val="15"/>
          <w:szCs w:val="15"/>
          <w:color w:val="auto"/>
        </w:rPr>
        <w:t>declare bankruptcy, Kmart Corporation, accounting for only 1.0% of revenue and 3.4% of leaseable square footage. The Trust's leases with these tenants are classified as operating leases and typically are structured to include minimum rents, percentage rents based on tenants' gross sales volumes and reimbursement of certain operating expenses and real estate taxes.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While the Trust's emphasis will continue to be on equity real estate investments, the Trust may, at its discretion, invest in mortgages and other similar interests. The Trust does not intend to be a lender to a significant extent. Similarly, although the Trust does not intend to do so to a significant degree, it may invest in securities of other entities engaged in real estate activities or securities of other issuers. The Trust does not, however, intend to make investments that would cause it to be required to register as an investment company under the Investment Company Act of 1940, nor will it underwrite securities of other issuers. The Trust has in the past and may in the future repurchase or otherwise reacquire its own securities if the Trust determines that it would be beneficial to do so. In December 1999 the board of trustees authorized a share repurchase program for calendar year 2000. A total of 1,325,900 shares were repurchased at a cost of $25.2 million under this plan.</w:t>
      </w:r>
    </w:p>
    <w:p>
      <w:pPr>
        <w:spacing w:after="0" w:line="16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success of the Trust is subject to various risks, including risks associated with changing economic conditions that affect the real estate industry as a whole. Such risks include the following: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Owning, Operating and Developing Retail and Mixed-Use Real</w:t>
      </w:r>
    </w:p>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Estate</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Trust may be unable to renew leases or relet space as leases expire which may result in reduced cash flow and may adversely affect the Trust's ability to make distributions to shareholders. If tenants decide not to renew their leases upon their expiration, the Trust may not be able to relet the space promptly. Even if the tenants do renew or the space can be relet, the terms of renewal or reletting, including the cost of required renovations may be less favorable than current lease terms. From January 1, 2002 through December 31, 2006, leases, excluding leases with options to renew, will expire on a total of 2.7 million rentable square feet or 18% of the rentable square feet at the current properties. If the Trust is unable to promptly renew the leases or relet this space, or if the rental rates upon such renewal or reletting are significantly lower than expected rates, then the cash flow and ability to make distributions to shareholders may suffer.</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Revenue from the Trust's properties depends in part on the success of its tenants' retail operations, making the Trust vulnerable to general economic downturns and other conditions affecting the retail industry. The Trust's leases provide for base rent plus contractual base rent increases. A number of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ind w:right="3239"/>
        <w:spacing w:after="0" w:line="235" w:lineRule="auto"/>
        <w:rPr>
          <w:sz w:val="20"/>
          <w:szCs w:val="20"/>
          <w:color w:val="auto"/>
        </w:rPr>
      </w:pPr>
      <w:r>
        <w:rPr>
          <w:rFonts w:ascii="Courier New" w:cs="Courier New" w:eastAsia="Courier New" w:hAnsi="Courier New"/>
          <w:sz w:val="15"/>
          <w:szCs w:val="15"/>
          <w:color w:val="auto"/>
        </w:rPr>
        <w:t>leases also provide for additional rent above the base amount based upon a specified percentage of the revenues the tenants generate. In 2001, 170 of the Trusts 2,107 tenants paid percentage rent totaling an aggregate of $6.1 million, or 2.2% of the Trust's rental income for the year.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percentage rent leases, the revenue from tenants may increase or decrease as revenues of the tenants fluctuate. Generally, retailers face declining revenues during downturns in the economy. In addition, traditional retailers are facing competition from Internet sales. To the extent that the Internet is successful in attracting customers away from the Trust's tenants, these tenants' revenues could be adversely affected. As a result, the portion of the Trust's revenue which is derived from percentage rent leases could decline upon a general economic downturn and competition from Internet sales. In addition, these same issues could cause tenants to go bankrupt and terminate their leases with the Trust.</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ground-up development of real estate properties, as opposed to renovation and redevelopment of existing properties, is a new line of business for the Trust and presents a substantial risk not faced before. The Trust has devoted substantial resources, including money and manpower, to its development business. At December 31, 2001, the Trust has invested $306 million in development of two projects, Pentagon Row in Arlington, Virginia and Phase 1 of Santana Row in San Jose, California. The Trust estimates that it will spend $261 million to complete these two projects. The Trust is competing with other companies that may have more development experience and that may have more resources than are available to the Trust. The business of developing properties has many risks, as noted in the paragraph below. If the projects are not successful, it may adversely affect the Trust's financial condition and results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faces a variety of risks relating to its development, construction and renovation activities, any of which may negatively impact its results of operations. Although the Trust does not intend to initiate any new large scale mixed-use ground-up development projects, it does expect to complete developments currently underway at Pentagon Row and Santana Row, and to pursue development, expansion and renovation projects on income-producing properties that it already owns. Risks associated with development, construction and renovation activities include the risks that:</w:t>
      </w:r>
    </w:p>
    <w:p>
      <w:pPr>
        <w:spacing w:after="0" w:line="177" w:lineRule="exact"/>
        <w:rPr>
          <w:sz w:val="20"/>
          <w:szCs w:val="20"/>
          <w:color w:val="auto"/>
        </w:rPr>
      </w:pPr>
    </w:p>
    <w:p>
      <w:pPr>
        <w:ind w:left="440" w:right="3399" w:hanging="168"/>
        <w:spacing w:after="0" w:line="235" w:lineRule="auto"/>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opportunity may be abandoned after expending significant resources if the Trust determines that the development opportunity is not feasible or if it is unable to obtain all necessary zoning and other required governmental permits and authorizations;</w:t>
      </w:r>
    </w:p>
    <w:p>
      <w:pPr>
        <w:spacing w:after="0" w:line="175" w:lineRule="exact"/>
        <w:rPr>
          <w:sz w:val="20"/>
          <w:szCs w:val="20"/>
          <w:color w:val="auto"/>
        </w:rPr>
      </w:pPr>
    </w:p>
    <w:p>
      <w:pPr>
        <w:ind w:left="440" w:right="3679" w:hanging="168"/>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construction and renovation costs of a project may exceed original estimates;</w:t>
      </w:r>
    </w:p>
    <w:p>
      <w:pPr>
        <w:spacing w:after="0" w:line="173" w:lineRule="exact"/>
        <w:rPr>
          <w:sz w:val="20"/>
          <w:szCs w:val="20"/>
          <w:color w:val="auto"/>
        </w:rPr>
      </w:pPr>
    </w:p>
    <w:p>
      <w:pPr>
        <w:ind w:left="3340" w:right="4899" w:hanging="3068"/>
        <w:spacing w:after="0" w:line="465" w:lineRule="auto"/>
        <w:tabs>
          <w:tab w:leader="none" w:pos="45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may be unable to attract credit-worthy tenants 9</w:t>
      </w:r>
    </w:p>
    <w:p>
      <w:pPr>
        <w:sectPr>
          <w:pgSz w:w="11900" w:h="16838" w:orient="portrait"/>
          <w:cols w:equalWidth="0" w:num="1">
            <w:col w:w="10239"/>
          </w:cols>
          <w:pgMar w:left="220" w:top="624" w:right="1440" w:bottom="1440" w:gutter="0" w:footer="0" w:header="0"/>
        </w:sectPr>
      </w:pPr>
    </w:p>
    <w:bookmarkStart w:id="9" w:name="page10"/>
    <w:bookmarkEnd w:id="9"/>
    <w:p>
      <w:pPr>
        <w:ind w:left="440"/>
        <w:spacing w:after="0"/>
        <w:rPr>
          <w:sz w:val="20"/>
          <w:szCs w:val="20"/>
          <w:color w:val="auto"/>
        </w:rPr>
      </w:pPr>
      <w:r>
        <w:rPr>
          <w:rFonts w:ascii="Courier New" w:cs="Courier New" w:eastAsia="Courier New" w:hAnsi="Courier New"/>
          <w:sz w:val="15"/>
          <w:szCs w:val="15"/>
          <w:color w:val="auto"/>
        </w:rPr>
        <w:t>that attract visitors to its properties;</w:t>
      </w:r>
    </w:p>
    <w:p>
      <w:pPr>
        <w:spacing w:after="0" w:line="173" w:lineRule="exact"/>
        <w:rPr>
          <w:sz w:val="20"/>
          <w:szCs w:val="20"/>
          <w:color w:val="auto"/>
        </w:rPr>
      </w:pPr>
    </w:p>
    <w:p>
      <w:pPr>
        <w:ind w:left="440" w:right="4019" w:hanging="168"/>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occupancy rates and rents at a newly completed property may not be sufficient to make the property profitable;</w:t>
      </w:r>
    </w:p>
    <w:p>
      <w:pPr>
        <w:spacing w:after="0" w:line="173" w:lineRule="exact"/>
        <w:rPr>
          <w:sz w:val="20"/>
          <w:szCs w:val="20"/>
          <w:color w:val="auto"/>
        </w:rPr>
      </w:pPr>
    </w:p>
    <w:p>
      <w:pPr>
        <w:ind w:left="440" w:right="3399" w:hanging="168"/>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and/or permanent financing may not be available on favorable terms or may not be available at all; and</w:t>
      </w:r>
    </w:p>
    <w:p>
      <w:pPr>
        <w:spacing w:after="0" w:line="173" w:lineRule="exact"/>
        <w:rPr>
          <w:sz w:val="20"/>
          <w:szCs w:val="20"/>
          <w:color w:val="auto"/>
        </w:rPr>
      </w:pPr>
    </w:p>
    <w:p>
      <w:pPr>
        <w:ind w:left="440" w:right="3399" w:hanging="168"/>
        <w:spacing w:after="0" w:line="256"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projects may not be completed on schedule as a result of several factors, many of which are beyond the control of the Trust, such as weather, labor conditions and material shortages, resulting in increased debt service expense and construction costs and decreases in revenue.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Properties developed or acquired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Santana Row development project is the largest, most expensive project the Trust has undertaken and if it is not successful, it could have a material adverse effect on the Trust's financial condition and results of operations. The project in San Jose, California is being developed on 42 acres of land acquired in 1997. Phase 1 of Santana Row consists of a 1,500 foot "main street" framed by nine buildings which are scheduled to contain 538,000 square feet of retail space, 501 residential housing units and a 214-room hotel, as well as the development's own central utility plant. Phase 1 is anticipated to cost $475 million. Phase 1 of Santana Row, upon completion, will comprise approximately 20% of the Trust's total real estate at cost, therefore, for each one percent change in the yield on the Santana Row investment, net operating income would be affected by $4.8 million.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17, 2001 the Trust obtained a $295 million construction loan for Phase 1 of Santana Row. As of December 31, 2001, $62.0 million had been borrowed under the loan and the Trust had invested $229 million in Santana Row. The Trust intends to finance any amounts needed in excess of the construction loan to complete Phase 1 through borrowings from its syndicated credit facility or through other sources of capital.</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recent downturn in the economy has severely impacted the San Jose economy, producing decreased market rents in both the residential and retail sectors and higher vacancies in the residential sector than were projected at commencement of Phase 1. The Trust has not finalized the cost and scope of future phases of Santana Row, and will not do so until the success of Phase 1 and future demand for rental space, both residential and retail, can be determined.</w:t>
      </w:r>
    </w:p>
    <w:p>
      <w:pPr>
        <w:spacing w:after="0" w:line="17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Competition for acquisitions results in increased prices for, and lower returns on, properties. The Trust expects other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ind w:right="3499"/>
        <w:spacing w:after="0" w:line="236" w:lineRule="auto"/>
        <w:rPr>
          <w:sz w:val="20"/>
          <w:szCs w:val="20"/>
          <w:color w:val="auto"/>
        </w:rPr>
      </w:pPr>
      <w:r>
        <w:rPr>
          <w:rFonts w:ascii="Courier New" w:cs="Courier New" w:eastAsia="Courier New" w:hAnsi="Courier New"/>
          <w:sz w:val="15"/>
          <w:szCs w:val="15"/>
          <w:color w:val="auto"/>
        </w:rPr>
        <w:t>major real estate investors will compete with it for attractive investment opportunities. These competitors include other publicly traded REITs, private REITs, investment banking firms, private institutional investment funds, individual investors, opportunity funds and local, regional and national developers. Many of the competitors are larger and have greater financial resources than the Trust.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Acquired properties may fail to perform as expected, adversely affecting the Trust's financial condition. The Trust may acquire retail properties to the extent that the properties can be acquired on advantageous terms and meet the Trust's investment criteria and to the extent the Trust can obtain capital on commercially reasonable terms. Newly acquired properties may fail to perform as expected. The Trust may underestimate the costs necessary to bring an acquired property up to standards established for its intended market position. These failures could adversely affect the Trust's financial condition and results of operations.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Expenses remain relatively constant even if revenue drops. The expenses of owning and operating a property, including debt service, real estate taxes, insurance and maintenance costs, are not necessarily reduced when market factors and competition may require the Trust to reduce rents charged on a property to attract or retain tenants. Furthermore, if operating expenses increase, the local rental market may limit the extent to which rents can be raised without decreasing occupancy rates. If the Trust cannot increase rents or control its costs, its financial condition and results of operations may be adversely affected.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Trust's Level of Indebtedness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Scheduled debt payments could adversely affect the Trust's financial condition and its ability to make distributions to shareholders. Like many owners of real estate, the Trust relies on borrowings and debt issuances to assist it in acquiring, holding and developing properties. As of December 31, 2001, the Trust had $1.0 billion of debt outstanding, including $44 million drawn on its $300 million syndicated credit facility but excluding capital leases. The Trust may also incur additional debt in connection with future property acquisitions or development, construction or redevelopment activities. Consequently, its business will be affected by risks normally associated with debt financing. If the Trust cannot refinance, extend or make principal payments due at maturity with proceeds of other capital transactions, including new equity capital, its cash flow may not be sufficient to repay all maturing debt. If prevailing interest rates or other factors at the time of refinancing, including the possible reluctance of lenders to make commercial loans, result in higher interest rates, increased interest expense would adversely affect the Trust's cash flow and its ability to make distributions to shareholders.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shows the interest rate and maturity for debt outstanding at December 31, 2001. All dollar references are in thousands. This table does not include scheduled monthly amortization payments.</w:t>
      </w:r>
    </w:p>
    <w:p>
      <w:pPr>
        <w:spacing w:after="0" w:line="174" w:lineRule="exact"/>
        <w:rPr>
          <w:sz w:val="20"/>
          <w:szCs w:val="20"/>
          <w:color w:val="auto"/>
        </w:rPr>
      </w:pPr>
    </w:p>
    <w:p>
      <w:pPr>
        <w:ind w:left="3160" w:right="3839" w:hanging="5334"/>
        <w:spacing w:after="0" w:line="234" w:lineRule="auto"/>
        <w:tabs>
          <w:tab w:leader="none" w:pos="3140"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Principal Interest Rate Maturity Date</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3320" w:type="dxa"/>
            <w:vAlign w:val="bottom"/>
          </w:tcPr>
          <w:p>
            <w:pPr>
              <w:spacing w:after="0" w:line="169" w:lineRule="exact"/>
              <w:rPr>
                <w:sz w:val="20"/>
                <w:szCs w:val="20"/>
                <w:color w:val="auto"/>
              </w:rPr>
            </w:pPr>
            <w:r>
              <w:rPr>
                <w:rFonts w:ascii="Courier New" w:cs="Courier New" w:eastAsia="Courier New" w:hAnsi="Courier New"/>
                <w:sz w:val="15"/>
                <w:szCs w:val="15"/>
                <w:color w:val="auto"/>
              </w:rPr>
              <w:t>5 1/4% Convertible subordinated   $</w:t>
            </w:r>
          </w:p>
        </w:tc>
        <w:tc>
          <w:tcPr>
            <w:tcW w:w="106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289</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5.25%</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2002</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debentures</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320" w:type="dxa"/>
            <w:vAlign w:val="bottom"/>
          </w:tcPr>
          <w:p>
            <w:pPr>
              <w:spacing w:after="0" w:line="169" w:lineRule="exact"/>
              <w:rPr>
                <w:sz w:val="20"/>
                <w:szCs w:val="20"/>
                <w:color w:val="auto"/>
              </w:rPr>
            </w:pPr>
            <w:r>
              <w:rPr>
                <w:rFonts w:ascii="Courier New" w:cs="Courier New" w:eastAsia="Courier New" w:hAnsi="Courier New"/>
                <w:sz w:val="15"/>
                <w:szCs w:val="15"/>
                <w:color w:val="auto"/>
              </w:rPr>
              <w:t>8% Senior notes</w:t>
            </w:r>
          </w:p>
        </w:tc>
        <w:tc>
          <w:tcPr>
            <w:tcW w:w="210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25,000</w:t>
            </w:r>
          </w:p>
        </w:tc>
        <w:tc>
          <w:tcPr>
            <w:tcW w:w="12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8.0%</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2002</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100" w:right="3759"/>
        <w:spacing w:after="0"/>
        <w:rPr>
          <w:sz w:val="20"/>
          <w:szCs w:val="20"/>
          <w:color w:val="auto"/>
        </w:rPr>
      </w:pPr>
      <w:r>
        <w:rPr>
          <w:rFonts w:ascii="Courier New" w:cs="Courier New" w:eastAsia="Courier New" w:hAnsi="Courier New"/>
          <w:sz w:val="15"/>
          <w:szCs w:val="15"/>
          <w:color w:val="auto"/>
        </w:rPr>
        <w:t>Note issued in connection 3,400 LIBOR + 1.25% 2002 with land purchase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debentures</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320" w:val="left"/>
          <w:tab w:leader="none" w:pos="4360" w:val="left"/>
          <w:tab w:leader="none" w:pos="6120" w:val="left"/>
        </w:tabs>
        <w:rPr>
          <w:sz w:val="20"/>
          <w:szCs w:val="20"/>
          <w:color w:val="auto"/>
        </w:rPr>
      </w:pPr>
      <w:r>
        <w:rPr>
          <w:rFonts w:ascii="Courier New" w:cs="Courier New" w:eastAsia="Courier New" w:hAnsi="Courier New"/>
          <w:sz w:val="15"/>
          <w:szCs w:val="15"/>
          <w:color w:val="auto"/>
        </w:rPr>
        <w:t>Term note with banks (1)</w:t>
      </w:r>
      <w:r>
        <w:rPr>
          <w:sz w:val="20"/>
          <w:szCs w:val="20"/>
          <w:color w:val="auto"/>
        </w:rPr>
        <w:tab/>
      </w:r>
      <w:r>
        <w:rPr>
          <w:rFonts w:ascii="Courier New" w:cs="Courier New" w:eastAsia="Courier New" w:hAnsi="Courier New"/>
          <w:sz w:val="15"/>
          <w:szCs w:val="15"/>
          <w:color w:val="auto"/>
        </w:rPr>
        <w:t>125,000</w:t>
      </w:r>
      <w:r>
        <w:rPr>
          <w:sz w:val="20"/>
          <w:szCs w:val="20"/>
          <w:color w:val="auto"/>
        </w:rPr>
        <w:tab/>
      </w:r>
      <w:r>
        <w:rPr>
          <w:rFonts w:ascii="Courier New" w:cs="Courier New" w:eastAsia="Courier New" w:hAnsi="Courier New"/>
          <w:sz w:val="15"/>
          <w:szCs w:val="15"/>
          <w:color w:val="auto"/>
        </w:rPr>
        <w:t>LIBOR + .95%</w:t>
      </w:r>
      <w:r>
        <w:rPr>
          <w:sz w:val="20"/>
          <w:szCs w:val="20"/>
          <w:color w:val="auto"/>
        </w:rPr>
        <w:tab/>
      </w:r>
      <w:r>
        <w:rPr>
          <w:rFonts w:ascii="Courier New" w:cs="Courier New" w:eastAsia="Courier New" w:hAnsi="Courier New"/>
          <w:sz w:val="14"/>
          <w:szCs w:val="14"/>
          <w:color w:val="auto"/>
        </w:rPr>
        <w:t>2003</w:t>
      </w:r>
    </w:p>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400" w:val="left"/>
          <w:tab w:leader="none" w:pos="4360" w:val="left"/>
          <w:tab w:leader="none" w:pos="6120" w:val="left"/>
        </w:tabs>
        <w:rPr>
          <w:sz w:val="20"/>
          <w:szCs w:val="20"/>
          <w:color w:val="auto"/>
        </w:rPr>
      </w:pPr>
      <w:r>
        <w:rPr>
          <w:rFonts w:ascii="Courier New" w:cs="Courier New" w:eastAsia="Courier New" w:hAnsi="Courier New"/>
          <w:sz w:val="15"/>
          <w:szCs w:val="15"/>
          <w:color w:val="auto"/>
        </w:rPr>
        <w:t>Revolving credit facilities</w:t>
      </w:r>
      <w:r>
        <w:rPr>
          <w:sz w:val="20"/>
          <w:szCs w:val="20"/>
          <w:color w:val="auto"/>
        </w:rPr>
        <w:tab/>
      </w:r>
      <w:r>
        <w:rPr>
          <w:rFonts w:ascii="Courier New" w:cs="Courier New" w:eastAsia="Courier New" w:hAnsi="Courier New"/>
          <w:sz w:val="15"/>
          <w:szCs w:val="15"/>
          <w:color w:val="auto"/>
        </w:rPr>
        <w:t>44,000</w:t>
      </w:r>
      <w:r>
        <w:rPr>
          <w:sz w:val="20"/>
          <w:szCs w:val="20"/>
          <w:color w:val="auto"/>
        </w:rPr>
        <w:tab/>
      </w:r>
      <w:r>
        <w:rPr>
          <w:rFonts w:ascii="Courier New" w:cs="Courier New" w:eastAsia="Courier New" w:hAnsi="Courier New"/>
          <w:sz w:val="15"/>
          <w:szCs w:val="15"/>
          <w:color w:val="auto"/>
        </w:rPr>
        <w:t>LIBOR + .80%</w:t>
      </w:r>
      <w:r>
        <w:rPr>
          <w:sz w:val="20"/>
          <w:szCs w:val="20"/>
          <w:color w:val="auto"/>
        </w:rPr>
        <w:tab/>
      </w:r>
      <w:r>
        <w:rPr>
          <w:rFonts w:ascii="Courier New" w:cs="Courier New" w:eastAsia="Courier New" w:hAnsi="Courier New"/>
          <w:sz w:val="14"/>
          <w:szCs w:val="14"/>
          <w:color w:val="auto"/>
        </w:rPr>
        <w:t>2003</w:t>
      </w:r>
    </w:p>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400" w:val="left"/>
          <w:tab w:leader="none" w:pos="4280" w:val="left"/>
          <w:tab w:leader="none" w:pos="6120" w:val="left"/>
        </w:tabs>
        <w:rPr>
          <w:sz w:val="20"/>
          <w:szCs w:val="20"/>
          <w:color w:val="auto"/>
        </w:rPr>
      </w:pPr>
      <w:r>
        <w:rPr>
          <w:rFonts w:ascii="Courier New" w:cs="Courier New" w:eastAsia="Courier New" w:hAnsi="Courier New"/>
          <w:sz w:val="15"/>
          <w:szCs w:val="15"/>
          <w:color w:val="auto"/>
        </w:rPr>
        <w:t>Mortgage loan</w:t>
      </w:r>
      <w:r>
        <w:rPr>
          <w:sz w:val="20"/>
          <w:szCs w:val="20"/>
          <w:color w:val="auto"/>
        </w:rPr>
        <w:tab/>
      </w:r>
      <w:r>
        <w:rPr>
          <w:rFonts w:ascii="Courier New" w:cs="Courier New" w:eastAsia="Courier New" w:hAnsi="Courier New"/>
          <w:sz w:val="15"/>
          <w:szCs w:val="15"/>
          <w:color w:val="auto"/>
        </w:rPr>
        <w:t>17,000</w:t>
      </w:r>
      <w:r>
        <w:rPr>
          <w:sz w:val="20"/>
          <w:szCs w:val="20"/>
          <w:color w:val="auto"/>
        </w:rPr>
        <w:tab/>
      </w:r>
      <w:r>
        <w:rPr>
          <w:rFonts w:ascii="Courier New" w:cs="Courier New" w:eastAsia="Courier New" w:hAnsi="Courier New"/>
          <w:sz w:val="15"/>
          <w:szCs w:val="15"/>
          <w:color w:val="auto"/>
        </w:rPr>
        <w:t>LIBOR + 1.35%</w:t>
      </w:r>
      <w:r>
        <w:rPr>
          <w:sz w:val="20"/>
          <w:szCs w:val="20"/>
          <w:color w:val="auto"/>
        </w:rPr>
        <w:tab/>
      </w:r>
      <w:r>
        <w:rPr>
          <w:rFonts w:ascii="Courier New" w:cs="Courier New" w:eastAsia="Courier New" w:hAnsi="Courier New"/>
          <w:sz w:val="14"/>
          <w:szCs w:val="14"/>
          <w:color w:val="auto"/>
        </w:rPr>
        <w:t>2003</w:t>
      </w:r>
    </w:p>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400" w:val="left"/>
          <w:tab w:leader="none" w:pos="4280" w:val="left"/>
          <w:tab w:leader="none" w:pos="6120" w:val="left"/>
        </w:tabs>
        <w:rPr>
          <w:sz w:val="20"/>
          <w:szCs w:val="20"/>
          <w:color w:val="auto"/>
        </w:rPr>
      </w:pPr>
      <w:r>
        <w:rPr>
          <w:rFonts w:ascii="Courier New" w:cs="Courier New" w:eastAsia="Courier New" w:hAnsi="Courier New"/>
          <w:sz w:val="15"/>
          <w:szCs w:val="15"/>
          <w:color w:val="auto"/>
        </w:rPr>
        <w:t>Construction loan</w:t>
      </w:r>
      <w:r>
        <w:rPr>
          <w:sz w:val="20"/>
          <w:szCs w:val="20"/>
          <w:color w:val="auto"/>
        </w:rPr>
        <w:tab/>
      </w:r>
      <w:r>
        <w:rPr>
          <w:rFonts w:ascii="Courier New" w:cs="Courier New" w:eastAsia="Courier New" w:hAnsi="Courier New"/>
          <w:sz w:val="15"/>
          <w:szCs w:val="15"/>
          <w:color w:val="auto"/>
        </w:rPr>
        <w:t>23,164</w:t>
      </w:r>
      <w:r>
        <w:rPr>
          <w:sz w:val="20"/>
          <w:szCs w:val="20"/>
          <w:color w:val="auto"/>
        </w:rPr>
        <w:tab/>
      </w:r>
      <w:r>
        <w:rPr>
          <w:rFonts w:ascii="Courier New" w:cs="Courier New" w:eastAsia="Courier New" w:hAnsi="Courier New"/>
          <w:sz w:val="15"/>
          <w:szCs w:val="15"/>
          <w:color w:val="auto"/>
        </w:rPr>
        <w:t>LIBOR + 1.35%</w:t>
      </w:r>
      <w:r>
        <w:rPr>
          <w:sz w:val="20"/>
          <w:szCs w:val="20"/>
          <w:color w:val="auto"/>
        </w:rPr>
        <w:tab/>
      </w:r>
      <w:r>
        <w:rPr>
          <w:rFonts w:ascii="Courier New" w:cs="Courier New" w:eastAsia="Courier New" w:hAnsi="Courier New"/>
          <w:sz w:val="14"/>
          <w:szCs w:val="14"/>
          <w:color w:val="auto"/>
        </w:rPr>
        <w:t>2004</w:t>
      </w:r>
    </w:p>
    <w:p>
      <w:pPr>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6.74% Medium Term Notes</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39,500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2004</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400" w:val="left"/>
          <w:tab w:leader="none" w:pos="4180" w:val="left"/>
          <w:tab w:leader="none" w:pos="6120" w:val="left"/>
        </w:tabs>
        <w:rPr>
          <w:sz w:val="20"/>
          <w:szCs w:val="20"/>
          <w:color w:val="auto"/>
        </w:rPr>
      </w:pPr>
      <w:r>
        <w:rPr>
          <w:rFonts w:ascii="Courier New" w:cs="Courier New" w:eastAsia="Courier New" w:hAnsi="Courier New"/>
          <w:sz w:val="15"/>
          <w:szCs w:val="15"/>
          <w:color w:val="auto"/>
        </w:rPr>
        <w:t>Construction loan</w:t>
      </w:r>
      <w:r>
        <w:rPr>
          <w:sz w:val="20"/>
          <w:szCs w:val="20"/>
          <w:color w:val="auto"/>
        </w:rPr>
        <w:tab/>
      </w:r>
      <w:r>
        <w:rPr>
          <w:rFonts w:ascii="Courier New" w:cs="Courier New" w:eastAsia="Courier New" w:hAnsi="Courier New"/>
          <w:sz w:val="15"/>
          <w:szCs w:val="15"/>
          <w:color w:val="auto"/>
        </w:rPr>
        <w:t>62,004</w:t>
        <w:tab/>
        <w:t>LIBOR + 2.125%</w:t>
      </w:r>
      <w:r>
        <w:rPr>
          <w:sz w:val="20"/>
          <w:szCs w:val="20"/>
          <w:color w:val="auto"/>
        </w:rPr>
        <w:tab/>
      </w:r>
      <w:r>
        <w:rPr>
          <w:rFonts w:ascii="Courier New" w:cs="Courier New" w:eastAsia="Courier New" w:hAnsi="Courier New"/>
          <w:sz w:val="14"/>
          <w:szCs w:val="14"/>
          <w:color w:val="auto"/>
        </w:rPr>
        <w:t>2004</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140" w:type="dxa"/>
            <w:vAlign w:val="bottom"/>
          </w:tcPr>
          <w:p>
            <w:pPr>
              <w:spacing w:after="0" w:line="169" w:lineRule="exact"/>
              <w:rPr>
                <w:sz w:val="20"/>
                <w:szCs w:val="20"/>
                <w:color w:val="auto"/>
              </w:rPr>
            </w:pPr>
            <w:r>
              <w:rPr>
                <w:rFonts w:ascii="Courier New" w:cs="Courier New" w:eastAsia="Courier New" w:hAnsi="Courier New"/>
                <w:sz w:val="15"/>
                <w:szCs w:val="15"/>
                <w:color w:val="auto"/>
              </w:rPr>
              <w:t>6.62% Notes</w:t>
            </w:r>
          </w:p>
        </w:tc>
        <w:tc>
          <w:tcPr>
            <w:tcW w:w="224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6.62%</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2005</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660" w:type="dxa"/>
            <w:vAlign w:val="bottom"/>
          </w:tcPr>
          <w:p>
            <w:pPr>
              <w:spacing w:after="0" w:line="169" w:lineRule="exact"/>
              <w:rPr>
                <w:sz w:val="20"/>
                <w:szCs w:val="20"/>
                <w:color w:val="auto"/>
              </w:rPr>
            </w:pPr>
            <w:r>
              <w:rPr>
                <w:rFonts w:ascii="Courier New" w:cs="Courier New" w:eastAsia="Courier New" w:hAnsi="Courier New"/>
                <w:sz w:val="15"/>
                <w:szCs w:val="15"/>
                <w:color w:val="auto"/>
              </w:rPr>
              <w:t>6.99% Medium Term Notes</w:t>
            </w:r>
          </w:p>
        </w:tc>
        <w:tc>
          <w:tcPr>
            <w:tcW w:w="172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40,500</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6.99%</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2006</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3140" w:type="dxa"/>
            <w:vAlign w:val="bottom"/>
          </w:tcPr>
          <w:p>
            <w:pPr>
              <w:spacing w:after="0" w:line="169" w:lineRule="exact"/>
              <w:rPr>
                <w:sz w:val="20"/>
                <w:szCs w:val="20"/>
                <w:color w:val="auto"/>
              </w:rPr>
            </w:pPr>
            <w:r>
              <w:rPr>
                <w:rFonts w:ascii="Courier New" w:cs="Courier New" w:eastAsia="Courier New" w:hAnsi="Courier New"/>
                <w:sz w:val="15"/>
                <w:szCs w:val="15"/>
                <w:color w:val="auto"/>
              </w:rPr>
              <w:t>6.82% Medium Term Notes, due 2027,</w:t>
            </w:r>
          </w:p>
        </w:tc>
        <w:tc>
          <w:tcPr>
            <w:tcW w:w="124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40,000</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6.82%</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2007</w:t>
            </w:r>
          </w:p>
        </w:tc>
      </w:tr>
    </w:tbl>
    <w:p>
      <w:pPr>
        <w:ind w:left="100"/>
        <w:spacing w:after="0" w:line="237" w:lineRule="auto"/>
        <w:rPr>
          <w:sz w:val="20"/>
          <w:szCs w:val="20"/>
          <w:color w:val="auto"/>
        </w:rPr>
      </w:pPr>
      <w:r>
        <w:rPr>
          <w:rFonts w:ascii="Courier New" w:cs="Courier New" w:eastAsia="Courier New" w:hAnsi="Courier New"/>
          <w:sz w:val="15"/>
          <w:szCs w:val="15"/>
          <w:color w:val="auto"/>
        </w:rPr>
        <w:t>redeemable by holder 2007</w:t>
      </w:r>
    </w:p>
    <w:p>
      <w:pPr>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7.48% Debentures due 2027,</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50,000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w:t>
            </w:r>
          </w:p>
        </w:tc>
      </w:tr>
    </w:tbl>
    <w:p>
      <w:pPr>
        <w:ind w:left="100"/>
        <w:spacing w:after="0" w:line="237" w:lineRule="auto"/>
        <w:rPr>
          <w:sz w:val="20"/>
          <w:szCs w:val="20"/>
          <w:color w:val="auto"/>
        </w:rPr>
      </w:pPr>
      <w:r>
        <w:rPr>
          <w:rFonts w:ascii="Courier New" w:cs="Courier New" w:eastAsia="Courier New" w:hAnsi="Courier New"/>
          <w:sz w:val="15"/>
          <w:szCs w:val="15"/>
          <w:color w:val="auto"/>
        </w:rPr>
        <w:t>redeemable by holder 2008</w:t>
      </w:r>
    </w:p>
    <w:p>
      <w:pPr>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loans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10,204</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6.51% - 7.5%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8.75% Notes</w:t>
            </w:r>
          </w:p>
        </w:tc>
        <w:tc>
          <w:tcPr>
            <w:tcW w:w="228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175,000</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8.75%</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2009</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280" w:type="dxa"/>
            <w:vAlign w:val="bottom"/>
          </w:tcPr>
          <w:p>
            <w:pPr>
              <w:spacing w:after="0" w:line="169" w:lineRule="exact"/>
              <w:rPr>
                <w:sz w:val="20"/>
                <w:szCs w:val="20"/>
                <w:color w:val="auto"/>
              </w:rPr>
            </w:pPr>
            <w:r>
              <w:rPr>
                <w:rFonts w:ascii="Courier New" w:cs="Courier New" w:eastAsia="Courier New" w:hAnsi="Courier New"/>
                <w:sz w:val="15"/>
                <w:szCs w:val="15"/>
                <w:color w:val="auto"/>
              </w:rPr>
              <w:t>Mortgage loans</w:t>
            </w:r>
          </w:p>
        </w:tc>
        <w:tc>
          <w:tcPr>
            <w:tcW w:w="17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43,271</w:t>
            </w:r>
          </w:p>
        </w:tc>
        <w:tc>
          <w:tcPr>
            <w:tcW w:w="162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6.75% - 7.4%</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2011</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360" w:type="dxa"/>
            <w:vAlign w:val="bottom"/>
          </w:tcPr>
          <w:p>
            <w:pPr>
              <w:spacing w:after="0" w:line="169" w:lineRule="exact"/>
              <w:rPr>
                <w:sz w:val="20"/>
                <w:szCs w:val="20"/>
                <w:color w:val="auto"/>
              </w:rPr>
            </w:pPr>
            <w:r>
              <w:rPr>
                <w:rFonts w:ascii="Courier New" w:cs="Courier New" w:eastAsia="Courier New" w:hAnsi="Courier New"/>
                <w:sz w:val="15"/>
                <w:szCs w:val="15"/>
                <w:color w:val="auto"/>
              </w:rPr>
              <w:t>Amortizing debt</w:t>
            </w:r>
          </w:p>
        </w:tc>
        <w:tc>
          <w:tcPr>
            <w:tcW w:w="180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2,443</w:t>
            </w:r>
          </w:p>
        </w:tc>
        <w:tc>
          <w:tcPr>
            <w:tcW w:w="152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7.5% - 10%</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2013</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9"/>
        </w:trPr>
        <w:tc>
          <w:tcPr>
            <w:tcW w:w="2220" w:type="dxa"/>
            <w:vAlign w:val="bottom"/>
          </w:tcPr>
          <w:p>
            <w:pPr>
              <w:spacing w:after="0" w:line="169" w:lineRule="exact"/>
              <w:rPr>
                <w:sz w:val="20"/>
                <w:szCs w:val="20"/>
                <w:color w:val="auto"/>
              </w:rPr>
            </w:pPr>
            <w:r>
              <w:rPr>
                <w:rFonts w:ascii="Courier New" w:cs="Courier New" w:eastAsia="Courier New" w:hAnsi="Courier New"/>
                <w:sz w:val="15"/>
                <w:szCs w:val="15"/>
                <w:color w:val="auto"/>
              </w:rPr>
              <w:t>Mortgage loans</w:t>
            </w:r>
          </w:p>
        </w:tc>
        <w:tc>
          <w:tcPr>
            <w:tcW w:w="34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185,000   7.415% - 7.95%</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2015</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100"/>
        <w:spacing w:after="0"/>
        <w:tabs>
          <w:tab w:leader="none" w:pos="3480" w:val="left"/>
          <w:tab w:leader="none" w:pos="4720" w:val="left"/>
          <w:tab w:leader="none" w:pos="6120" w:val="left"/>
        </w:tabs>
        <w:rPr>
          <w:sz w:val="20"/>
          <w:szCs w:val="20"/>
          <w:color w:val="auto"/>
        </w:rPr>
      </w:pPr>
      <w:r>
        <w:rPr>
          <w:rFonts w:ascii="Courier New" w:cs="Courier New" w:eastAsia="Courier New" w:hAnsi="Courier New"/>
          <w:sz w:val="15"/>
          <w:szCs w:val="15"/>
          <w:color w:val="auto"/>
        </w:rPr>
        <w:t>Municipal bonds</w:t>
      </w:r>
      <w:r>
        <w:rPr>
          <w:sz w:val="20"/>
          <w:szCs w:val="20"/>
          <w:color w:val="auto"/>
        </w:rPr>
        <w:tab/>
      </w:r>
      <w:r>
        <w:rPr>
          <w:rFonts w:ascii="Courier New" w:cs="Courier New" w:eastAsia="Courier New" w:hAnsi="Courier New"/>
          <w:sz w:val="15"/>
          <w:szCs w:val="15"/>
          <w:color w:val="auto"/>
        </w:rPr>
        <w:t>9,400</w:t>
      </w:r>
      <w:r>
        <w:rPr>
          <w:sz w:val="20"/>
          <w:szCs w:val="20"/>
          <w:color w:val="auto"/>
        </w:rPr>
        <w:tab/>
      </w:r>
      <w:r>
        <w:rPr>
          <w:rFonts w:ascii="Courier New" w:cs="Courier New" w:eastAsia="Courier New" w:hAnsi="Courier New"/>
          <w:sz w:val="15"/>
          <w:szCs w:val="15"/>
          <w:color w:val="auto"/>
        </w:rPr>
        <w:t>Variable</w:t>
      </w:r>
      <w:r>
        <w:rPr>
          <w:sz w:val="20"/>
          <w:szCs w:val="20"/>
          <w:color w:val="auto"/>
        </w:rPr>
        <w:tab/>
      </w:r>
      <w:r>
        <w:rPr>
          <w:rFonts w:ascii="Courier New" w:cs="Courier New" w:eastAsia="Courier New" w:hAnsi="Courier New"/>
          <w:sz w:val="14"/>
          <w:szCs w:val="14"/>
          <w:color w:val="auto"/>
        </w:rPr>
        <w:t>2016</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0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$1,010,175</w:t>
      </w:r>
    </w:p>
    <w:p>
      <w:pPr>
        <w:ind w:left="30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0"/>
        <w:spacing w:after="0" w:line="234"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2001, the Trust entered into interest rate swaps that fixed the LIBOR interest rate at 5.27%.</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Trust's obligation to comply with financial covenants in its syndicated credit facility and term loans could restrict its range of operating activities and ability to incur indebtedness. These covenants require the Trust to:</w:t>
      </w:r>
    </w:p>
    <w:p>
      <w:pPr>
        <w:spacing w:after="0" w:line="161" w:lineRule="exact"/>
        <w:rPr>
          <w:sz w:val="20"/>
          <w:szCs w:val="20"/>
          <w:color w:val="auto"/>
        </w:rPr>
      </w:pPr>
    </w:p>
    <w:p>
      <w:pPr>
        <w:ind w:left="440" w:right="3399" w:hanging="168"/>
        <w:spacing w:after="0" w:line="261"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amount of debt as a percentage of gross asset value to under .6 to 1 (the Trust maintained a ratio of .44 to 1 as of December 31, 2001);</w:t>
      </w:r>
    </w:p>
    <w:p>
      <w:pPr>
        <w:spacing w:after="0" w:line="160" w:lineRule="exact"/>
        <w:rPr>
          <w:sz w:val="20"/>
          <w:szCs w:val="20"/>
          <w:color w:val="auto"/>
        </w:rPr>
      </w:pPr>
    </w:p>
    <w:p>
      <w:pPr>
        <w:ind w:left="440" w:right="3239" w:hanging="168"/>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amount of secured debt as a percentage of gross asset value to under .35 to 1 (the Trust maintained a ratio of .18 to 1 as of December 31, 2001);</w:t>
      </w:r>
    </w:p>
    <w:p>
      <w:pPr>
        <w:spacing w:after="0" w:line="174" w:lineRule="exact"/>
        <w:rPr>
          <w:sz w:val="20"/>
          <w:szCs w:val="20"/>
          <w:color w:val="auto"/>
        </w:rPr>
      </w:pPr>
    </w:p>
    <w:p>
      <w:pPr>
        <w:ind w:left="440" w:right="3239" w:hanging="168"/>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amount of debt so that interest coverage will exceed 1.75 to 1 on a rolling four quarter basis (the Trust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2" w:name="page13"/>
    <w:bookmarkEnd w:id="12"/>
    <w:p>
      <w:pPr>
        <w:ind w:left="440"/>
        <w:spacing w:after="0"/>
        <w:rPr>
          <w:sz w:val="20"/>
          <w:szCs w:val="20"/>
          <w:color w:val="auto"/>
        </w:rPr>
      </w:pPr>
      <w:r>
        <w:rPr>
          <w:rFonts w:ascii="Courier New" w:cs="Courier New" w:eastAsia="Courier New" w:hAnsi="Courier New"/>
          <w:sz w:val="15"/>
          <w:szCs w:val="15"/>
          <w:color w:val="auto"/>
        </w:rPr>
        <w:t>maintained a ratio of 2.17 to 1 as of December 31, 2001);</w:t>
      </w:r>
    </w:p>
    <w:p>
      <w:pPr>
        <w:spacing w:after="0" w:line="173" w:lineRule="exact"/>
        <w:rPr>
          <w:sz w:val="20"/>
          <w:szCs w:val="20"/>
          <w:color w:val="auto"/>
        </w:rPr>
      </w:pPr>
    </w:p>
    <w:p>
      <w:pPr>
        <w:ind w:left="440" w:right="3239" w:hanging="168"/>
        <w:spacing w:after="0" w:line="235"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amount of secured debt so that unencumbered asset value to unsecured debt will equal or exceed 1.67 to 1 (the Trust maintained a ratio of 2.14 to 1 as of December 31, 2001); and</w:t>
      </w:r>
    </w:p>
    <w:p>
      <w:pPr>
        <w:spacing w:after="0" w:line="174" w:lineRule="exact"/>
        <w:rPr>
          <w:sz w:val="20"/>
          <w:szCs w:val="20"/>
          <w:color w:val="auto"/>
        </w:rPr>
      </w:pPr>
    </w:p>
    <w:p>
      <w:pPr>
        <w:ind w:left="440" w:right="3319" w:hanging="168"/>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total cost of development projects under construction to 30% or less of gross asset value (the budgeted total cost of the Trusts projects under construction represented 22% of gross asset value as of December 31, 2001).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is no limitation on debt incurrence in the Trust's organizational documents which could result in it incurring more debt than can be serviced. The organizational documents do not contain any limitation on the amount of indebtedness the Trust may incur. Accordingly, the Trust could become highly leveraged, resulting in an increase in debt service that could increase its risk of default on its indebtedness, which would adversely affect the Trust's cash flow and its ability to make distributions to shareholders.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depends on external sources of capital for future growth. As with other REIT's, but unlike corporations generally, the Trust's ability to reduce its debt and finance its growth must be funded largely by external sources of capital, because the Trust generally will have to distribute to its shareholders 90% of net taxable income in order to qualify as a REIT, including taxable income where the Trust does not receive corresponding cash. For taxable years prior to January 1, 2001, the Trust was required to distribute 95% of its net taxable income to qualify as a REIT. The Trust's access to external capital will depend upon a number of factors, including general market conditions, the market's perception of its growth potential, current and potential future earnings, cash distributions and the market price of the Trust's common shares.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Real Estate Industry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Because real estate investments are illiquid, the Trust may not be able to sell properties when appropriate, which could adversely affect its financial condition. Real estate investments generally cannot be sold quickly. As a result, the Trust may not be able to diversify its portfolio promptly in response to economic or other conditions. The Trust's inability to respond rapidly to changes in the performance of its investments could adversely affect its financial condition and results of operations.</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Trust's performance and share value will be affected by risks associated with the real estate industry. Factors that may adversely affect the economic performance and value of the Trust's properties include: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 changes in the national, regional and local economic climate;</w:t>
      </w:r>
    </w:p>
    <w:p>
      <w:pPr>
        <w:spacing w:after="0" w:line="173" w:lineRule="exact"/>
        <w:rPr>
          <w:sz w:val="20"/>
          <w:szCs w:val="20"/>
          <w:color w:val="auto"/>
        </w:rPr>
      </w:pPr>
    </w:p>
    <w:p>
      <w:pPr>
        <w:ind w:left="440" w:right="3499" w:hanging="168"/>
        <w:spacing w:after="0" w:line="261"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conditions such as an oversupply of, or a reduction in demand for, main street retail, residential, office or shopping center properties;</w:t>
      </w:r>
    </w:p>
    <w:p>
      <w:pPr>
        <w:spacing w:after="0" w:line="160" w:lineRule="exact"/>
        <w:rPr>
          <w:sz w:val="20"/>
          <w:szCs w:val="20"/>
          <w:color w:val="auto"/>
        </w:rPr>
      </w:pPr>
    </w:p>
    <w:p>
      <w:pPr>
        <w:ind w:left="440" w:right="3579" w:hanging="168"/>
        <w:spacing w:after="0" w:line="234"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attractiveness of the Trust's properties to shoppers, residents and tenants; and</w:t>
      </w:r>
    </w:p>
    <w:p>
      <w:pPr>
        <w:spacing w:after="0" w:line="173" w:lineRule="exact"/>
        <w:rPr>
          <w:sz w:val="20"/>
          <w:szCs w:val="20"/>
          <w:color w:val="auto"/>
        </w:rPr>
      </w:pPr>
    </w:p>
    <w:p>
      <w:pPr>
        <w:ind w:left="440" w:right="3319" w:hanging="168"/>
        <w:spacing w:after="0" w:line="261"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from other main street retail and mixed-use properties as well as community shopping centers, regional shopping malls and the Internet.</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the Trust co-invests in properties with third parties, it may not control the management of those properties. The Trust may co-invest in properties with third parties through partnerships, joint ventures or other vehicles. In some of these co-investments, the Trust may acquire non-controlling interests in, or shared management responsibility for, the affairs of the property and, therefore, may not be able to control decisions relating to the property. Even in co-investments where the Trust does control ordinary management of the property, it may not be able to sell or finance the property without the consent of the co-investor. Where the Trust acquires non-controlling interests, the co-investors may be in a position to take action contrary to the Trust's instructions or requests and contrary to its policies or objectives. If the Trust shares management responsibilities, it and the co-investor may reach an impasse on major decisions, such as a sale, because neither the Trust nor the co-investor would have full control over the management of the investment property.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Currently the Trust has co-investors in 8 shopping centers and 9 mixed-use buildings centered on their retail component. The Trust has the managing general partnership interest in all of these co-investments, but it must obtain the consent of the co-investor or meet defined criteria to sell or to finance 10 of these properties.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175" w:lineRule="exact"/>
        <w:rPr>
          <w:sz w:val="20"/>
          <w:szCs w:val="20"/>
          <w:color w:val="auto"/>
        </w:rPr>
      </w:pPr>
    </w:p>
    <w:p>
      <w:pPr>
        <w:ind w:left="440" w:right="3939" w:hanging="168"/>
        <w:spacing w:after="0" w:line="234"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co-investors might fail to fund their share of required capital contributions;</w:t>
      </w:r>
    </w:p>
    <w:p>
      <w:pPr>
        <w:spacing w:after="0" w:line="173" w:lineRule="exact"/>
        <w:rPr>
          <w:sz w:val="20"/>
          <w:szCs w:val="20"/>
          <w:color w:val="auto"/>
        </w:rPr>
      </w:pPr>
    </w:p>
    <w:p>
      <w:pPr>
        <w:ind w:left="440" w:right="3939" w:hanging="168"/>
        <w:spacing w:after="0" w:line="23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co-investors might at any time have economic or other business interests or goals which are inconsistent with the Trust's business interests or goals; and</w:t>
      </w:r>
    </w:p>
    <w:p>
      <w:pPr>
        <w:spacing w:after="0" w:line="174" w:lineRule="exact"/>
        <w:rPr>
          <w:sz w:val="20"/>
          <w:szCs w:val="20"/>
          <w:color w:val="auto"/>
        </w:rPr>
      </w:pPr>
    </w:p>
    <w:p>
      <w:pPr>
        <w:ind w:left="440" w:right="4539" w:hanging="168"/>
        <w:spacing w:after="0" w:line="509"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be liable for the actions of its co-investors. Some potential losses are not covered by insurance. The</w:t>
      </w:r>
    </w:p>
    <w:p>
      <w:pPr>
        <w:ind w:left="3340"/>
        <w:spacing w:after="0" w:line="230"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4" w:name="page15"/>
    <w:bookmarkEnd w:id="14"/>
    <w:p>
      <w:pPr>
        <w:ind w:right="3239"/>
        <w:spacing w:after="0" w:line="236" w:lineRule="auto"/>
        <w:rPr>
          <w:sz w:val="20"/>
          <w:szCs w:val="20"/>
          <w:color w:val="auto"/>
        </w:rPr>
      </w:pPr>
      <w:r>
        <w:rPr>
          <w:rFonts w:ascii="Courier New" w:cs="Courier New" w:eastAsia="Courier New" w:hAnsi="Courier New"/>
          <w:sz w:val="15"/>
          <w:szCs w:val="15"/>
          <w:color w:val="auto"/>
        </w:rPr>
        <w:t>Trust carries comprehensive liability, fire, extended coverage and rental loss insurance on its properties. There are, however, some types of losses, such as lease and other contract claims or losses caused by acts of war, that may not be insured. Should an uninsured loss or a loss in excess of insured limits occur, the Trust could lose all or a portion of the capital it has invested in a property, as well as the anticipated future revenue from the property. In that event, the Trust may nevertheless remain obligated for any mortgage debt or other financial obligations related to the property. In addition, there can be no assurance as to future costs and the scope of coverage that may be available under the Trust's insurance policies.</w:t>
      </w:r>
    </w:p>
    <w:p>
      <w:pPr>
        <w:spacing w:after="0" w:line="179"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Trust carries earthquake insurance on all of its properties in California. These earthquake policies contain coverage limitations. The Trust also carries environmental insurance on most of its properties, which policies also contain coverage limitations. The Trust cannot assure shareholders that material losses in excess of insurance proceeds will not occur in the future.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certain of the Trust's debt and other agreements, the Trust is required to maintain adequate insurance coverage. As a result of the terrorist attacks of September 11, 2001, acts of terrorism may no longer be covered by property insurance and additional coverage for terrorism may be expensive or unavailable. The Trust has terrorism insurance coverage through September 30, 2002 and is evaluating the availability and costs of such coverage thereafter in order to determine whether obtaining any meaningful level of terrorism coverage is economically feasible. In any event, the Trust's financial condition and results of operations may be subject to the risks associated with acts of terrorism and the potential for uninsured losses as a result of any such act.</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the Trust may have to make substantial payments which could adversely affect its cash flow.</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Investments in real property create a potential for environmental liability on the part of the current and previous owners of, or any mortgage lender on, such real property. If hazardous substances are discovered on or emanating from any property, the owner or operator of the property may be held liable for costs and liabilities relating to such hazardous substances. The Trust has environmental insurance on most of its properties. Subject to certain exclusions and deductibles,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the insurance provides coverage for unidentified, pre-existing conditions and</w:t>
      </w:r>
    </w:p>
    <w:p>
      <w:pPr>
        <w:spacing w:after="0" w:line="237" w:lineRule="auto"/>
        <w:rPr>
          <w:sz w:val="20"/>
          <w:szCs w:val="20"/>
          <w:color w:val="auto"/>
        </w:rPr>
      </w:pPr>
      <w:r>
        <w:rPr>
          <w:rFonts w:ascii="Courier New" w:cs="Courier New" w:eastAsia="Courier New" w:hAnsi="Courier New"/>
          <w:sz w:val="15"/>
          <w:szCs w:val="15"/>
          <w:color w:val="auto"/>
        </w:rPr>
        <w:t>for future contamination caused by tenants and third parties. The Trust's</w:t>
      </w:r>
    </w:p>
    <w:p>
      <w:pPr>
        <w:spacing w:after="0" w:line="238" w:lineRule="auto"/>
        <w:rPr>
          <w:sz w:val="20"/>
          <w:szCs w:val="20"/>
          <w:color w:val="auto"/>
        </w:rPr>
      </w:pPr>
      <w:r>
        <w:rPr>
          <w:rFonts w:ascii="Courier New" w:cs="Courier New" w:eastAsia="Courier New" w:hAnsi="Courier New"/>
          <w:sz w:val="15"/>
          <w:szCs w:val="15"/>
          <w:color w:val="auto"/>
        </w:rPr>
        <w:t>current policy is to require an environmental study on each property it seeks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acquire. On recent acquisitions, any substances identified prior to closing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are required, by applicable laws, to be remediated have been or are in</w:t>
      </w:r>
    </w:p>
    <w:p>
      <w:pPr>
        <w:spacing w:after="0" w:line="237" w:lineRule="auto"/>
        <w:rPr>
          <w:sz w:val="20"/>
          <w:szCs w:val="20"/>
          <w:color w:val="auto"/>
        </w:rPr>
      </w:pPr>
      <w:r>
        <w:rPr>
          <w:rFonts w:ascii="Courier New" w:cs="Courier New" w:eastAsia="Courier New" w:hAnsi="Courier New"/>
          <w:sz w:val="15"/>
          <w:szCs w:val="15"/>
          <w:color w:val="auto"/>
        </w:rPr>
        <w:t>the process of investigation and remediation. Costs related to the abatement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asbestos which increase the value of Trust properties are capitalized.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are expensed. In 2001 and 2000 approximately $720,000 and $1,453,000,</w:t>
      </w:r>
    </w:p>
    <w:p>
      <w:pPr>
        <w:spacing w:after="0" w:line="237" w:lineRule="auto"/>
        <w:rPr>
          <w:sz w:val="20"/>
          <w:szCs w:val="20"/>
          <w:color w:val="auto"/>
        </w:rPr>
      </w:pPr>
      <w:r>
        <w:rPr>
          <w:rFonts w:ascii="Courier New" w:cs="Courier New" w:eastAsia="Courier New" w:hAnsi="Courier New"/>
          <w:sz w:val="15"/>
          <w:szCs w:val="15"/>
          <w:color w:val="auto"/>
        </w:rPr>
        <w:t>respectively, was spent on environmental matters, of which $369,000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$464,000, respectively, was capitalized abatement costs. The Trust has budgeted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$1,025,000 in 2002 for environmental matters, a majority of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projected for asbestos abatement.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Owning the Trust's Common Shares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increase in the number of the Trust's common shares that are or become available for future sale could adversely affect the price for the common shares. Sales of a substantial number of the Trust's common shares, or the perception that sales could occur, could adversely affect prevailing market prices for the common shares. In addition, holders of limited partnership interests in some of the subsidiary partnerships have the right to receive common shares for those limited partnership interests and upon registration or an exemption from registration will be able to sell their shares freely after they are received, unless the person is an affiliate. Further, a substantial number of the Trust's common shares have been and will be issued or reserved for issuance from time to time under employee benefit plans, including shares paid to officers and some employees as bonuses pursuant to the incentive compensation plans and common shares reserved for options, and these common shares would be available for sale in the public markets from time to time pursuant to exemptions from registration or upon registration. Moreover, the issuance of additional common shares by the Trust in the future would be available for sale in the public markets. The Trust can make no prediction about the effect that future sales of its common shares would have on the market price of its common shares.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Trust's earnings and cash distributions will affect the market price of our common shares. The Trust believes that the market value of a REIT's equity securities is based upon the market's perception of the REIT's growth potential, its current and potential future cash distributions, whether from operations, sales, acquisitions, development or refinancings, and upon the value of the underlying assets. The Trust's common shares may trade at prices that are higher or lower than the net asset value per share. To the extent the Trust retains operating cash flow for investment purposes, working capital reserves or other purposes rather than distributing such cash flow to shareholders, these retained funds, while increasing the value of its underlying assets, may not correspondingly increase the market price of its common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ind w:right="3319" w:firstLine="437"/>
        <w:spacing w:after="0" w:line="255" w:lineRule="auto"/>
        <w:rPr>
          <w:sz w:val="20"/>
          <w:szCs w:val="20"/>
          <w:color w:val="auto"/>
        </w:rPr>
      </w:pPr>
      <w:r>
        <w:rPr>
          <w:rFonts w:ascii="Courier New" w:cs="Courier New" w:eastAsia="Courier New" w:hAnsi="Courier New"/>
          <w:sz w:val="14"/>
          <w:szCs w:val="14"/>
          <w:color w:val="auto"/>
        </w:rPr>
        <w:t>Market interest rates may affect the price of the Trust's common shares. One of the factors that investors consider important in deciding whether to buy or sell shares of a REIT is the dividend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the Trust's shares to go down.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Provisions in Governing Documents and Maryland Law, Including</w:t>
      </w:r>
    </w:p>
    <w:p>
      <w:pPr>
        <w:spacing w:after="0" w:line="10"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Limiting Changes in Control</w:t>
      </w:r>
    </w:p>
    <w:p>
      <w:pPr>
        <w:ind w:left="180" w:hanging="170"/>
        <w:spacing w:after="0" w:line="237"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Board of Trustees may make changes in operating policies without shareholder approval. The Trust's investment, financing and borrowing policies and policies with respect to all other activities, such as growth, debt, capitalization and operations, will be determined by the board of trustees. The board of trustees may amend or revise these policies at any time and from time to time at its discretion without a vote of the shareholders. A change in these policies could adversely affect the financial condition, results of operations and the market price of the Trust's securities.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Provisions of the Declaration of Trust and Bylaws and Maryland Law, and the Shareholder Rights Plan, could inhibit changes in control. Provisions of the declaration of trust and bylaws and Maryland law contain provisions that may delay or prevent a change in control or other transaction that could provide the Trust's shareholders with a premium over the then-prevailing market price of their shares or which might otherwise be in their best interests. These provisions include:</w:t>
      </w:r>
    </w:p>
    <w:p>
      <w:pPr>
        <w:spacing w:after="0" w:line="176" w:lineRule="exact"/>
        <w:rPr>
          <w:sz w:val="20"/>
          <w:szCs w:val="20"/>
          <w:color w:val="auto"/>
        </w:rPr>
      </w:pPr>
    </w:p>
    <w:p>
      <w:pPr>
        <w:ind w:left="440" w:right="3319" w:hanging="168"/>
        <w:spacing w:after="0" w:line="235"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board's authority to issue preferred shares having a preference as to dividends or distributions upon liquidation over the common shares without shareholder approval.</w:t>
      </w:r>
    </w:p>
    <w:p>
      <w:pPr>
        <w:spacing w:after="0" w:line="174" w:lineRule="exact"/>
        <w:rPr>
          <w:sz w:val="20"/>
          <w:szCs w:val="20"/>
          <w:color w:val="auto"/>
        </w:rPr>
      </w:pPr>
    </w:p>
    <w:p>
      <w:pPr>
        <w:ind w:left="440" w:right="3499" w:hanging="168"/>
        <w:spacing w:after="0" w:line="234"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staggered board consisting of three classes of trustees and fixed size of board of trustees, within a range,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left="168"/>
        <w:spacing w:after="0"/>
        <w:rPr>
          <w:sz w:val="20"/>
          <w:szCs w:val="20"/>
          <w:color w:val="auto"/>
        </w:rPr>
      </w:pPr>
      <w:r>
        <w:rPr>
          <w:rFonts w:ascii="Courier New" w:cs="Courier New" w:eastAsia="Courier New" w:hAnsi="Courier New"/>
          <w:sz w:val="14"/>
          <w:szCs w:val="14"/>
          <w:color w:val="auto"/>
        </w:rPr>
        <w:t>may make it more difficult for a third party to gain control of the board.</w:t>
      </w:r>
    </w:p>
    <w:p>
      <w:pPr>
        <w:spacing w:after="0" w:line="178" w:lineRule="exact"/>
        <w:rPr>
          <w:sz w:val="20"/>
          <w:szCs w:val="20"/>
          <w:color w:val="auto"/>
        </w:rPr>
      </w:pPr>
    </w:p>
    <w:p>
      <w:pPr>
        <w:ind w:left="168" w:right="3319" w:hanging="168"/>
        <w:spacing w:after="0" w:line="235" w:lineRule="auto"/>
        <w:tabs>
          <w:tab w:leader="none" w:pos="1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Trust's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175" w:lineRule="exact"/>
        <w:rPr>
          <w:sz w:val="20"/>
          <w:szCs w:val="20"/>
          <w:color w:val="auto"/>
        </w:rPr>
      </w:pPr>
    </w:p>
    <w:p>
      <w:pPr>
        <w:ind w:left="168" w:right="3579" w:hanging="168"/>
        <w:spacing w:after="0" w:line="258" w:lineRule="auto"/>
        <w:tabs>
          <w:tab w:leader="none" w:pos="16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trustees, without a shareholder vote, can classify or reclassify unissued shares of beneficial interest, including the reclassification of common shares into preferred shares and vice versa.</w:t>
      </w:r>
    </w:p>
    <w:p>
      <w:pPr>
        <w:spacing w:after="0" w:line="161" w:lineRule="exact"/>
        <w:rPr>
          <w:sz w:val="20"/>
          <w:szCs w:val="20"/>
          <w:color w:val="auto"/>
        </w:rPr>
      </w:pPr>
    </w:p>
    <w:p>
      <w:pPr>
        <w:ind w:left="168" w:right="3239" w:hanging="168"/>
        <w:spacing w:after="0" w:line="258" w:lineRule="auto"/>
        <w:tabs>
          <w:tab w:leader="none" w:pos="16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two-thirds shareholder vote is required to approve some amendments to the declaration of trust. These supermajority vote requirements may make it difficult for the Trust's shareholders to amend the declaration of trust.</w:t>
      </w:r>
    </w:p>
    <w:p>
      <w:pPr>
        <w:spacing w:after="0" w:line="161" w:lineRule="exact"/>
        <w:rPr>
          <w:sz w:val="20"/>
          <w:szCs w:val="20"/>
          <w:color w:val="auto"/>
        </w:rPr>
      </w:pPr>
    </w:p>
    <w:p>
      <w:pPr>
        <w:ind w:left="168" w:right="3319" w:hanging="168"/>
        <w:spacing w:after="0" w:line="235" w:lineRule="auto"/>
        <w:tabs>
          <w:tab w:leader="none" w:pos="1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advance notice requirements for proposals to be presented at shareholder meetings in the Trust's bylaws may limit the ability of shareholders to make nominations for trustees or introduce other proposals for consideration at a meeting.</w:t>
      </w:r>
    </w:p>
    <w:p>
      <w:pPr>
        <w:spacing w:after="0" w:line="175" w:lineRule="exact"/>
        <w:rPr>
          <w:sz w:val="20"/>
          <w:szCs w:val="20"/>
          <w:color w:val="auto"/>
        </w:rPr>
      </w:pPr>
    </w:p>
    <w:p>
      <w:pPr>
        <w:ind w:left="168" w:right="3759" w:hanging="168"/>
        <w:spacing w:after="0" w:line="235" w:lineRule="auto"/>
        <w:tabs>
          <w:tab w:leader="none" w:pos="1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Maryland law limitations on changes in control may prevent or delay a change in control or other transaction that may provide the Trust's shareholders with a premium or which might otherwise be in their best interests.</w:t>
      </w:r>
    </w:p>
    <w:p>
      <w:pPr>
        <w:spacing w:after="0" w:line="169"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67"/>
          </w:cols>
          <w:pgMar w:left="492" w:top="624" w:right="1440" w:bottom="1440" w:gutter="0" w:footer="0" w:header="0"/>
        </w:sectPr>
      </w:pPr>
    </w:p>
    <w:bookmarkStart w:id="18" w:name="page19"/>
    <w:bookmarkEnd w:id="18"/>
    <w:p>
      <w:pPr>
        <w:ind w:left="440" w:right="3239" w:hanging="168"/>
        <w:spacing w:after="0" w:line="254"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plan. The Trust adopted a shareholder rights plan which provides, among other things, that when specified events occur, its shareholders will be entitled to purchase from it a number of common shares equal in value to two times the purchase price, initially equal to $65.00 per share, subject to adjustment upon the occurrence of specified events. Therefore, for example, if the Trust's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the Trust's outstanding common shares without the prior consent of the board of trustees or (2) ten days after the commencement of or announcement of an intention to make a tender offer or exchange offer, the consummation of which would result in the acquiring person becoming the beneficial owner of 15% or more of the Trust's outstanding common shares. The share purchase rights would cause substantial dilution to a person or group that attempts to acquire the Trust on terms not approved by the board of trustees.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Trust elects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Trust's bylaws state that the Maryland control share acquisition law shall not apply to any acquisition by any person of its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Risks Relating to Operating as a Real Estate Investment Trust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Trust intends to qualify as a REIT, but the Trust cannot guarantee that it will qualify. The Trust believes that it has qualified for taxation as a REIT for federal income tax purposes commencing with its taxable year ended December 31, 1962. If the Trust qualifies as a REIT, it generally will not be subject to federal income tax on its income that is distributed to its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ind w:right="3239"/>
        <w:spacing w:after="0" w:line="254" w:lineRule="auto"/>
        <w:rPr>
          <w:sz w:val="20"/>
          <w:szCs w:val="20"/>
          <w:color w:val="auto"/>
        </w:rPr>
      </w:pPr>
      <w:r>
        <w:rPr>
          <w:rFonts w:ascii="Courier New" w:cs="Courier New" w:eastAsia="Courier New" w:hAnsi="Courier New"/>
          <w:sz w:val="14"/>
          <w:szCs w:val="14"/>
          <w:color w:val="auto"/>
        </w:rPr>
        <w:t>shareholders. The Trust plans to continue to meet the requirements for taxation as a REIT, but there can be no assurance that it will do so. Many of the REIT requirements are highly technical and complex. The determination that the Trust is a REIT requires an analysis of various factual matters and circumstances that may not be totally within its control. For example, to qualify as a REIT, at least 95% of its gross income must come from sources that are itemized in the REIT tax laws. REIT's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are also required to distribute to shareholders at least 90% of REIT taxable income, excluding capital gains. Furthermore, Congress and the Internal Revenue Service might make changes to the tax laws and regulations, and the courts might issue new rulings that make it more difficult, or impossible, for the Trust to remain qualified as a REIT. The Trust does not believe, however, that any pending or proposed tax law changes would jeopardize its REIT status. If the Trust failed to qualify as a REIT, it would be subject to federal income tax at regular corporate rates. Also, unless the Internal Revenue Service granted it relief under certain statutory provisions, it would remain disqualified as a REIT for the four years following the year it first failed to qualify.</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the Trust failed to qualify as a REIT, it would have to pay significant income taxes and would therefore have less money available for investments or for distributions to shareholders. This would likely have a significant adverse affect on the value of the Trust's common shares.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pays some taxes. Even if the Trust does qualify as a REIT, it is required to pay some federal, state and local taxes on its income and property. In addition, any net taxable income earned directly by the taxable REIT subsidiaries is subject to federal, state and local corporate tax. A taxable REIT subsidiary is a fully taxable corporation and is limited in its ability to deduct interest payments made to the Trust. In addition, the Trust will be subject to a 100% penalty tax on some payments that it receives if the economic arrangements between the Trust, its tenants, and the taxable REIT subsidiary are not arm's length.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Developments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2001 improvements to properties totaled $219.5 million, including $174.0 million on development projects in Bethesda, Maryland; San Jose, California; and Arlington, Virginia. Construction of Woodmont East in Bethesda, Maryland, a 130,000 square foot retail and office complex, was completed with occupancy at 95% as of December 31, 2001. Construction on the $475 million Phase 1 of Santana Row, a multi-phased mixed-use project to be built on 42 acres in San Jose, California continues. Santana Row Phase 1 is expected to begin generating revenues in the third quarter of 2002 and be stabilized twelve to eighteen months later. As of December 31, 2001, the Trust has incurred costs of $229 million including the purchase of</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0" w:name="page21"/>
    <w:bookmarkEnd w:id="20"/>
    <w:p>
      <w:pPr>
        <w:ind w:right="3319"/>
        <w:spacing w:after="0" w:line="235" w:lineRule="auto"/>
        <w:rPr>
          <w:sz w:val="20"/>
          <w:szCs w:val="20"/>
          <w:color w:val="auto"/>
        </w:rPr>
      </w:pPr>
      <w:r>
        <w:rPr>
          <w:rFonts w:ascii="Courier New" w:cs="Courier New" w:eastAsia="Courier New" w:hAnsi="Courier New"/>
          <w:sz w:val="15"/>
          <w:szCs w:val="15"/>
          <w:color w:val="auto"/>
        </w:rPr>
        <w:t>the land. Construction also continues on Pentagon Row, a mixed-use project in Arlington, Virginia. The Trust is developing the retail component which was 95% leased and 66% occupied as of December 31, 2001. Completion of the retail space is anticipated during the first quarter of 2002.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Real estate acquisitions totaling $52.8 million were made in 2001. The acquisitions consisted of two street retail buildings, one in San Francisco, California and one in Washington, D.C., the purchase of the fee interest underlying the capital lease obligation on Brick Plaza, in Brick, New Jersey, the buy-out of the minority partner's interest in nine street retail buildings in southern California and the exchange, with the minority partner, of the Trust's 90% interest in a street retail building in Forest Hills, New York for the minority partner's 10% interest in three other street retail buildings, also located in Forest Hills, New York.</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 invested $900,000 in mortgage notes receivable with a weighted average interest rate of 10.0%, with $4.2 million of notes being repaid. Williamsburg Shopping Center in Williamsburg, Virginia was sold in April 2001 for $16.7 million, resulting in a gain of $7.9 million. 101 E. Oak Street, a street retail property in Chicago, Illinois, was sold in December 2001 for $6.1 million, resulting in a gain of $1.8 million. The exchange of properties in Forest Hills, New York with the minority partner resulted in an accounting loss of approximately $500,000.</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April 2001 the Trust closed on a $295 million construction loan for Santana Row. The initial funding of the construction loan took place in August 2001 when the equity and pre-leasing requirements were met.</w:t>
      </w:r>
    </w:p>
    <w:p>
      <w:pPr>
        <w:spacing w:after="0" w:line="17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In November 2001 the Trust issued 5.4 million 8.5% Series B Cumulative Redeemable Preferred Shares at $25 per share in a public offering, netting approximately $130.8 million in cash which was used to pay down the Trust's syndicated credit facility.</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Trust utilized its syndicated credit facility, the proceeds from the sale of Williamsburg Shopping Center and the construction loan for Santana Row to fund its 2001 acquisitions and capital expenditures.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 2001 the Trust has 243 full-time 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February 28, 2002 the Trust adopted a business plan which returns the Trust's primary focus to its traditional business of acquiring and redeveloping community and neighborhood shopping centers that are anchored by supermarkets, drug stores or high volume, value oriented retailers that provide consumer necessities. Concurrent with the adoption of the business plan, the Trust adopted a management succession plan and restructured its management team.</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ind w:right="3239" w:firstLine="437"/>
        <w:spacing w:after="0" w:line="255" w:lineRule="auto"/>
        <w:rPr>
          <w:sz w:val="20"/>
          <w:szCs w:val="20"/>
          <w:color w:val="auto"/>
        </w:rPr>
      </w:pPr>
      <w:r>
        <w:rPr>
          <w:rFonts w:ascii="Courier New" w:cs="Courier New" w:eastAsia="Courier New" w:hAnsi="Courier New"/>
          <w:sz w:val="14"/>
          <w:szCs w:val="14"/>
          <w:color w:val="auto"/>
        </w:rPr>
        <w:t>The Trust will complete Bethesda Row, Pentagon Row and Santana Row, but does not plan any new, large-scale, mixed-use, ground-up development projects. Rather, the Trust will return its focus to community and neighborhood shopping centers. The Trust will seek to acquire income producing centers, may seek opportunities to develop ground-up grocery anchored shopping centers in and around the Metropolitan Washington, D.C., Philadelphia and New York markets and will identify and execute redevelopment opportunities in its existing portfolio.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Steven J. Guttman, the Trust's Chief Executive Officer and Chairman of the Board, will primarily devote his attention to the completion of Santana Row. Upon Mr. Guttman's planned retirement in March 2003, it is expected that Donald C. Wood will become Chief Executive Officer with Mr. Guttman remaining as Chairman of the Board. Effective March 1, 2002, the Trust combined functions of its previous Chief Investment Officer and Chief Financial Officer, and appointed Larry E. Finger, to the new executive office of Chief Financial Officer in charge of capital markets, investor relations and financial reporting. With the renewed emphasis on acquisitions, Jeffrey S. Berkes was appointed an executive officer, Senior Vice President - Strategic Transactions.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result of the change in the Trust's business plan, the Trust estimates it will record a charge of $16 million to $18 million in the first quarter of 2002. The charge includes severance and other compensation costs related to the management restructuring as well as charges to write-down the Trust's Tanasbourne and other development projects to fair value since the Trust will hold the Tanasbourne project for sale. The Trust is re-evaluating the most effective way to realize value on these assets on a risk-adjusted return basis.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Executive Officers of the Trust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Executive Officers at December 31, 2001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Position with Trust</w:t>
            </w:r>
          </w:p>
        </w:tc>
      </w:tr>
      <w:tr>
        <w:trPr>
          <w:trHeight w:val="168"/>
        </w:trPr>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Steven J. Guttman</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Chairman of the Board and Chief Executive</w:t>
            </w:r>
          </w:p>
        </w:tc>
      </w:tr>
      <w:tr>
        <w:trPr>
          <w:trHeight w:val="168"/>
        </w:trPr>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Donald C. Wood</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Nancy J. Herman</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Senior Vice President, General Counsel and</w:t>
            </w:r>
          </w:p>
        </w:tc>
      </w:tr>
      <w:tr>
        <w:trPr>
          <w:trHeight w:val="168"/>
        </w:trPr>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Secretary</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Ron D. Kaplan</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w w:val="96"/>
              </w:rPr>
              <w:t>Senior Vice President-Capital Markets, Chief</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(terminated employment</w:t>
            </w:r>
          </w:p>
        </w:tc>
        <w:tc>
          <w:tcPr>
            <w:tcW w:w="700" w:type="dxa"/>
            <w:vAlign w:val="bottom"/>
          </w:tcPr>
          <w:p>
            <w:pPr>
              <w:spacing w:after="0"/>
              <w:rPr>
                <w:sz w:val="14"/>
                <w:szCs w:val="14"/>
                <w:color w:val="auto"/>
              </w:rPr>
            </w:pPr>
          </w:p>
        </w:tc>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Officer</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of March 1, 2002)</w:t>
            </w:r>
          </w:p>
        </w:tc>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Cecily A. Ward</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Vice President-Chief Financial Officer and</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(Ceased serving as an</w:t>
            </w:r>
          </w:p>
        </w:tc>
        <w:tc>
          <w:tcPr>
            <w:tcW w:w="700" w:type="dxa"/>
            <w:vAlign w:val="bottom"/>
          </w:tcPr>
          <w:p>
            <w:pPr>
              <w:spacing w:after="0"/>
              <w:rPr>
                <w:sz w:val="14"/>
                <w:szCs w:val="14"/>
                <w:color w:val="auto"/>
              </w:rPr>
            </w:pPr>
          </w:p>
        </w:tc>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Treasurer</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 on</w:t>
            </w:r>
          </w:p>
        </w:tc>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February 28, 2002 and</w:t>
            </w:r>
          </w:p>
        </w:tc>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r>
    </w:tbl>
    <w:p>
      <w:pPr>
        <w:ind w:left="180"/>
        <w:spacing w:after="0" w:line="237" w:lineRule="auto"/>
        <w:rPr>
          <w:sz w:val="20"/>
          <w:szCs w:val="20"/>
          <w:color w:val="auto"/>
        </w:rPr>
      </w:pPr>
      <w:r>
        <w:rPr>
          <w:rFonts w:ascii="Courier New" w:cs="Courier New" w:eastAsia="Courier New" w:hAnsi="Courier New"/>
          <w:sz w:val="15"/>
          <w:szCs w:val="15"/>
          <w:color w:val="auto"/>
        </w:rPr>
        <w:t>will terminate</w:t>
      </w:r>
    </w:p>
    <w:p>
      <w:pPr>
        <w:ind w:left="180"/>
        <w:spacing w:after="0" w:line="238" w:lineRule="auto"/>
        <w:rPr>
          <w:sz w:val="20"/>
          <w:szCs w:val="20"/>
          <w:color w:val="auto"/>
        </w:rPr>
      </w:pPr>
      <w:r>
        <w:rPr>
          <w:rFonts w:ascii="Courier New" w:cs="Courier New" w:eastAsia="Courier New" w:hAnsi="Courier New"/>
          <w:sz w:val="15"/>
          <w:szCs w:val="15"/>
          <w:color w:val="auto"/>
        </w:rPr>
        <w:t>employment late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appointees to serve as Executive Officers on March 1, 2002 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Jeffrey S. Berkes</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w:t>
            </w:r>
          </w:p>
        </w:tc>
        <w:tc>
          <w:tcPr>
            <w:tcW w:w="3800" w:type="dxa"/>
            <w:vAlign w:val="bottom"/>
          </w:tcPr>
          <w:p>
            <w:pPr>
              <w:ind w:left="400"/>
              <w:spacing w:after="0"/>
              <w:rPr>
                <w:sz w:val="20"/>
                <w:szCs w:val="20"/>
                <w:color w:val="auto"/>
              </w:rPr>
            </w:pPr>
            <w:r>
              <w:rPr>
                <w:rFonts w:ascii="Courier New" w:cs="Courier New" w:eastAsia="Courier New" w:hAnsi="Courier New"/>
                <w:sz w:val="15"/>
                <w:szCs w:val="15"/>
                <w:color w:val="auto"/>
              </w:rPr>
              <w:t>Senior Vice President - Strategic</w:t>
            </w:r>
          </w:p>
        </w:tc>
      </w:tr>
      <w:tr>
        <w:trPr>
          <w:trHeight w:val="168"/>
        </w:trPr>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Transactions</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Larry E. Finger</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w:t>
            </w:r>
          </w:p>
        </w:tc>
        <w:tc>
          <w:tcPr>
            <w:tcW w:w="3800" w:type="dxa"/>
            <w:vAlign w:val="bottom"/>
          </w:tcPr>
          <w:p>
            <w:pPr>
              <w:ind w:left="400"/>
              <w:spacing w:after="0"/>
              <w:rPr>
                <w:sz w:val="20"/>
                <w:szCs w:val="20"/>
                <w:color w:val="auto"/>
              </w:rPr>
            </w:pPr>
            <w:r>
              <w:rPr>
                <w:rFonts w:ascii="Courier New" w:cs="Courier New" w:eastAsia="Courier New" w:hAnsi="Courier New"/>
                <w:sz w:val="15"/>
                <w:szCs w:val="15"/>
                <w:color w:val="auto"/>
                <w:w w:val="96"/>
              </w:rPr>
              <w:t>Senior Vice President - Chief Financial</w:t>
            </w:r>
          </w:p>
        </w:tc>
      </w:tr>
      <w:tr>
        <w:trPr>
          <w:trHeight w:val="168"/>
        </w:trPr>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Officer and Treasurer</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Steven J. Guttman, the Trust's President and Chief Executive Officer since April 1980 was on February 14, 2001 appointed Chairman of the Board and Chief Executive Officer. Mr. Guttman has been associated with the Trust since 1972, became Chief Operating Officer in 1975 and a Managing Trustee in 1979.</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Donald C. Wood was appointed President and Chief Operating Officer on February 14, 2001, prior to that time he served as Senior Vice President - Chief Operating Officer. Mr. Wood joined the Trust in May 1998 as Senior Vice President, Chief Financial Officer and Treasurer. Prior to joining the Trust, Mr. Wood was Senior Vice President and Chief Financial Officer for Caesars World, Inc., a wholly-owned subsidiary of ITT Corporation, where he was responsible for all aspects of finance throughout the company including strategic planning, process re-engineering, capital allocation and financial analysis. Prior to joining ITT in 1990, Mr. Wood was employed at Arthur Andersen LLP from 1982 where he served in numerous positions including audit manager.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3" w:name="page24"/>
    <w:bookmarkEnd w:id="23"/>
    <w:p>
      <w:pPr>
        <w:ind w:right="3239"/>
        <w:spacing w:after="0" w:line="236" w:lineRule="auto"/>
        <w:rPr>
          <w:sz w:val="20"/>
          <w:szCs w:val="20"/>
          <w:color w:val="auto"/>
        </w:rPr>
      </w:pPr>
      <w:r>
        <w:rPr>
          <w:rFonts w:ascii="Courier New" w:cs="Courier New" w:eastAsia="Courier New" w:hAnsi="Courier New"/>
          <w:sz w:val="15"/>
          <w:szCs w:val="15"/>
          <w:color w:val="auto"/>
        </w:rPr>
        <w:t>Nancy J. Herman became the Trust's Vice President, General Counsel and Secretary on December 21, 1998 and was appointed Senior Vice President on July 1, 2000. In this position, Ms. Herman has overall responsibility for the Trust's legal affairs and human resources. Ms. Herman joined the Trust in 1990 as a staff attorney. Prior to joining the Trust in 1990, Ms. Herman practiced real estate law at Hogan &amp; Hartson L.L.P.</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Ron D. Kaplan joined the Trust in November 1992 as Senior Vice President-Capital Markets. Mr. Kaplan was formerly a Vice President of Salomon Brothers Inc where he was responsible for capital raising and financial advisory services for public and private real estate companies. While at Salomon Brothers which he joined in 1985, he participated in two of the Trust's debt offerings. Mr. Kaplan terminated employment effective March 1, 2002. Under the terms of his severance agreement with the Trust, he will serve as a consultant until September 30, 2002.</w:t>
      </w:r>
    </w:p>
    <w:p>
      <w:pPr>
        <w:spacing w:after="0" w:line="177"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Cecily A. Ward was appointed Vice President - Chief Financial Officer and Treasurer on February 9, 2000. Ms. Ward had previously served as Vice President</w:t>
      </w:r>
    </w:p>
    <w:p>
      <w:pPr>
        <w:spacing w:after="0" w:line="1" w:lineRule="exact"/>
        <w:rPr>
          <w:sz w:val="20"/>
          <w:szCs w:val="20"/>
          <w:color w:val="auto"/>
        </w:rPr>
      </w:pPr>
    </w:p>
    <w:p>
      <w:pPr>
        <w:ind w:right="3239" w:firstLine="10"/>
        <w:spacing w:after="0" w:line="255" w:lineRule="auto"/>
        <w:tabs>
          <w:tab w:leader="none" w:pos="1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Controller and Treasurer. Ms. Ward joined the Trust in April 1987 as Controller. Prior to joining the Trust, Ms. Ward, a certified public accountant, was employed by Grant Thornton LLP. Ms. Ward ceased serving as an executive officer on February 28, 2002. Under the terms of her severance agreement with the Trust, she will serve as vice-president until August 30, 2002 during which time she will transition her duties to other Trust personnel.</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Jeffrey S. Berkes was appointed Senior Vice President - Strategic Transactions, effective February 28, 2002. Mr. Berkes oversees acquisition and dispositions for the Trust. He joined the Trust in February 2000 as Vice President - Strategic Transactions. From September 1998 until joining the Trust in February 2000, Mr. Berkes was Vice President of Acquisitions and Finance for Velsor Properties LLC, a northern Virginia-based private real estate investment firm. From April 1997 to August 1998, he was Director of Acquisitions for Federal Realty. Prior to his first tenure at Federal Realty in 1997, he was Vice President of Acquisitions for Heitman Financial.</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Larry E. Finger joined the Trust on March 1, 2002 as Senior Vice President - Chief Financial Officer and Treasurer when the functions of Chief Investment Officer and Chief Financial Officer, previously held by Mr. Kaplan and Ms. Ward, respectively, were combined. Mr. Finger will be in charge of capital markets, investor relations and financial reporting. Prior to joining the Trust, Mr. Finger was with Washington Real Estate Investment Trust from 1993 through October 15, 2001, where he most recently served as Senior Vice President and Chief Financial Officer responsible for capital markets, financial reporting, public relations and investor relations.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w:t>
      </w:r>
    </w:p>
    <w:p>
      <w:pPr>
        <w:spacing w:after="0" w:line="5" w:lineRule="exact"/>
        <w:rPr>
          <w:sz w:val="20"/>
          <w:szCs w:val="20"/>
          <w:color w:val="auto"/>
        </w:rPr>
      </w:pPr>
    </w:p>
    <w:p>
      <w:pPr>
        <w:ind w:left="440" w:right="3940" w:hanging="261"/>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each retail property in which the Trust owns an equity interest or has a leasehold interest as of December 31, 2001. Except as otherwise noted, retail properties are 100% owned in fee by the Trust.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3"/>
          </w:tcPr>
          <w:p>
            <w:pPr>
              <w:jc w:val="center"/>
              <w:ind w:right="87"/>
              <w:spacing w:after="0"/>
              <w:rPr>
                <w:sz w:val="20"/>
                <w:szCs w:val="20"/>
                <w:color w:val="auto"/>
              </w:rPr>
            </w:pPr>
            <w:r>
              <w:rPr>
                <w:rFonts w:ascii="Courier New" w:cs="Courier New" w:eastAsia="Courier New" w:hAnsi="Courier New"/>
                <w:sz w:val="15"/>
                <w:szCs w:val="15"/>
                <w:color w:val="auto"/>
                <w:w w:val="97"/>
              </w:rPr>
              <w:t>Occupancy (1)</w:t>
            </w:r>
          </w:p>
        </w:tc>
        <w:tc>
          <w:tcPr>
            <w:tcW w:w="172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Year</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Square</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1060" w:type="dxa"/>
            <w:vAlign w:val="bottom"/>
          </w:tcPr>
          <w:p>
            <w:pPr>
              <w:spacing w:after="0"/>
              <w:rPr>
                <w:sz w:val="14"/>
                <w:szCs w:val="14"/>
                <w:color w:val="auto"/>
              </w:rPr>
            </w:pPr>
          </w:p>
        </w:tc>
        <w:tc>
          <w:tcPr>
            <w:tcW w:w="138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Overall /</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Completed</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Acquired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Feet (2)</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Tenants</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Acres (3)</w:t>
            </w:r>
          </w:p>
        </w:tc>
        <w:tc>
          <w:tcPr>
            <w:tcW w:w="138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Economic</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Shopping Centers</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Allwood</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Stop &amp; Shop</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Clifton, NJ 07013 (4)</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Mandee's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Andorra</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1953</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39</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93%</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Acme Markets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Philadelphia, PA 19128 (5)</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Andorra Theater</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Kohl's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Bala Cynwyd</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Acme Markets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 Cynwyd, PA 19004</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Lord &amp; Taylor</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Blue Star</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55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98%</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Kohl's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Watchung, NJ 07060 (4)</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Michael's</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Shop Rite</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Brick Plaza</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99%</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A&amp;P Supermarket</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Brick Township, NJ 08723</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Barnes &amp; Noble</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Sony Theatres</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Sports Authority</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Bristol</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93%</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Bradlees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Bristol, CT 06010</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Super Stop &amp; Shop</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TJ Maxx</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1957</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77%</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A&amp;P Supermarket</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North Brunswick, NJ 08902 (4)</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Ames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Clifton</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91%</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Acme Markets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Clifton, NJ 07013 (4)</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Drug Fair</w:t>
            </w:r>
          </w:p>
        </w:tc>
      </w:tr>
      <w:tr>
        <w:trPr>
          <w:trHeight w:val="168"/>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Dollar Express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Crossroads</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Comp USA</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Highland Park, IL 60035</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Golfsmith</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Dedham</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93%</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Ames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Dedham, MA 02026</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Pier One Imports</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Ellisburg Circle</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1959</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97%</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w w:val="96"/>
              </w:rPr>
              <w:t>Bed, Bath &amp; Beyond</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Cherry Hill, NJ 08034</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Shop Rite</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Feasterville</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1958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84%</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Genuardi Markets</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Feasterville, PA 19047</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Office Max</w:t>
            </w:r>
          </w:p>
        </w:tc>
      </w:tr>
      <w:tr>
        <w:trPr>
          <w:trHeight w:val="505"/>
        </w:trPr>
        <w:tc>
          <w:tcPr>
            <w:tcW w:w="2760" w:type="dxa"/>
            <w:vAlign w:val="bottom"/>
          </w:tcPr>
          <w:p>
            <w:pPr>
              <w:spacing w:after="0"/>
              <w:rPr>
                <w:sz w:val="24"/>
                <w:szCs w:val="24"/>
                <w:color w:val="auto"/>
              </w:rPr>
            </w:pPr>
          </w:p>
        </w:tc>
        <w:tc>
          <w:tcPr>
            <w:tcW w:w="1060" w:type="dxa"/>
            <w:vAlign w:val="bottom"/>
          </w:tcPr>
          <w:p>
            <w:pPr>
              <w:ind w:left="580"/>
              <w:spacing w:after="0"/>
              <w:rPr>
                <w:sz w:val="20"/>
                <w:szCs w:val="20"/>
                <w:color w:val="auto"/>
              </w:rPr>
            </w:pPr>
            <w:r>
              <w:rPr>
                <w:rFonts w:ascii="Courier New" w:cs="Courier New" w:eastAsia="Courier New" w:hAnsi="Courier New"/>
                <w:sz w:val="15"/>
                <w:szCs w:val="15"/>
                <w:color w:val="auto"/>
              </w:rPr>
              <w:t>25</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Occupancy (1)</w:t>
            </w:r>
          </w:p>
        </w:tc>
        <w:tc>
          <w:tcPr>
            <w:tcW w:w="194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14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Square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 of</w:t>
            </w:r>
          </w:p>
        </w:tc>
        <w:tc>
          <w:tcPr>
            <w:tcW w:w="1000" w:type="dxa"/>
            <w:vAlign w:val="bottom"/>
          </w:tcPr>
          <w:p>
            <w:pPr>
              <w:spacing w:after="0"/>
              <w:rPr>
                <w:sz w:val="14"/>
                <w:szCs w:val="14"/>
                <w:color w:val="auto"/>
              </w:rPr>
            </w:pPr>
          </w:p>
        </w:tc>
        <w:tc>
          <w:tcPr>
            <w:tcW w:w="148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Overall /</w:t>
            </w:r>
          </w:p>
        </w:tc>
        <w:tc>
          <w:tcPr>
            <w:tcW w:w="1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2580" w:type="dxa"/>
            <w:vAlign w:val="bottom"/>
          </w:tcPr>
          <w:p>
            <w:pPr>
              <w:spacing w:after="0"/>
              <w:rPr>
                <w:sz w:val="14"/>
                <w:szCs w:val="14"/>
                <w:color w:val="auto"/>
              </w:rPr>
            </w:pP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Completed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Acquired</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Feet (2)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Tenants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Acres (3)</w:t>
            </w:r>
          </w:p>
        </w:tc>
        <w:tc>
          <w:tcPr>
            <w:tcW w:w="148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Economic</w:t>
            </w:r>
          </w:p>
        </w:tc>
        <w:tc>
          <w:tcPr>
            <w:tcW w:w="1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2580" w:type="dxa"/>
            <w:vAlign w:val="bottom"/>
          </w:tcPr>
          <w:p>
            <w:pPr>
              <w:spacing w:after="0"/>
              <w:rPr>
                <w:sz w:val="14"/>
                <w:szCs w:val="14"/>
                <w:color w:val="auto"/>
              </w:rPr>
            </w:pP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Finley Square</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1974</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82%</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Bed, Bath &amp; Beyond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Downers Grove, IL 60515</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Merchandise</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Sports Authority</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Flourtown</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1957</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Genuardi Markets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Flourtown, PA 19031</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Fresh Meadows</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1949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410,000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98%</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Cineplex Odeon</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Queens, NY 11365</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City</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 Mart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Garden Market</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1958</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85%</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Dominick's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Western Springs, IL 60558</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Gratiot Plaza</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1964</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1973</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w w:val="96"/>
              </w:rPr>
              <w:t>Bed, Bath and Beyond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Roseville, MI 48066</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Best Buy</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Farmer Jack</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Greenlawn Plaza</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1975</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81%</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Waldbaum's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Greenlawn, NY 11740</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Hamilton</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1961</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Shop Rite</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Hamilton, NJ 08690 (4)</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Steven's Furniture</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 Moore</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Hauppauge</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1963</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Shop Rite</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Hauppauge, NY 11788</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 Max</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Dress Barn</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Huntington</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1962</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1988</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Barnes &amp; Noble</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Huntington, NY 11746 (4)</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Bed, Bath and Beyond</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Buy Buy Baby</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Michael's</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Lancaster</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1958</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94%</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A.C. Moore</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Lancaster, PA 17601 (4)</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Giant Food</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Langhorne Square</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1966</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1985</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96%</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Drug Emporium</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Levittown, PA 19056</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Marshalls</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Redner's Market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Lawrence Park</w:t>
            </w:r>
          </w:p>
        </w:tc>
        <w:tc>
          <w:tcPr>
            <w:tcW w:w="1140" w:type="dxa"/>
            <w:vAlign w:val="bottom"/>
          </w:tcPr>
          <w:p>
            <w:pPr>
              <w:ind w:left="500"/>
              <w:spacing w:after="0"/>
              <w:rPr>
                <w:sz w:val="20"/>
                <w:szCs w:val="20"/>
                <w:color w:val="auto"/>
              </w:rPr>
            </w:pPr>
            <w:r>
              <w:rPr>
                <w:rFonts w:ascii="Courier New" w:cs="Courier New" w:eastAsia="Courier New" w:hAnsi="Courier New"/>
                <w:sz w:val="15"/>
                <w:szCs w:val="15"/>
                <w:color w:val="auto"/>
              </w:rPr>
              <w:t>1972</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326,000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98%</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Acme Markets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Broomall, PA 19008</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TJ Maxx</w:t>
            </w:r>
          </w:p>
        </w:tc>
      </w:tr>
      <w:tr>
        <w:trPr>
          <w:trHeight w:val="168"/>
        </w:trPr>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Today's Man</w:t>
            </w:r>
          </w:p>
        </w:tc>
      </w:tr>
      <w:tr>
        <w:trPr>
          <w:trHeight w:val="505"/>
        </w:trPr>
        <w:tc>
          <w:tcPr>
            <w:tcW w:w="2580" w:type="dxa"/>
            <w:vAlign w:val="bottom"/>
          </w:tcPr>
          <w:p>
            <w:pPr>
              <w:spacing w:after="0"/>
              <w:rPr>
                <w:sz w:val="24"/>
                <w:szCs w:val="24"/>
                <w:color w:val="auto"/>
              </w:rPr>
            </w:pPr>
          </w:p>
        </w:tc>
        <w:tc>
          <w:tcPr>
            <w:tcW w:w="1140" w:type="dxa"/>
            <w:vAlign w:val="bottom"/>
          </w:tcPr>
          <w:p>
            <w:pPr>
              <w:ind w:left="760"/>
              <w:spacing w:after="0"/>
              <w:rPr>
                <w:sz w:val="20"/>
                <w:szCs w:val="20"/>
                <w:color w:val="auto"/>
              </w:rPr>
            </w:pPr>
            <w:r>
              <w:rPr>
                <w:rFonts w:ascii="Courier New" w:cs="Courier New" w:eastAsia="Courier New" w:hAnsi="Courier New"/>
                <w:sz w:val="15"/>
                <w:szCs w:val="15"/>
                <w:color w:val="auto"/>
              </w:rPr>
              <w:t>26</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040"/>
          </w:cols>
          <w:pgMar w:left="220" w:top="953" w:right="6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Occupancy (1)</w:t>
            </w:r>
          </w:p>
        </w:tc>
        <w:tc>
          <w:tcPr>
            <w:tcW w:w="216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Year</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Year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Square</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 of</w:t>
            </w:r>
          </w:p>
        </w:tc>
        <w:tc>
          <w:tcPr>
            <w:tcW w:w="1040" w:type="dxa"/>
            <w:vAlign w:val="bottom"/>
          </w:tcPr>
          <w:p>
            <w:pPr>
              <w:spacing w:after="0"/>
              <w:rPr>
                <w:sz w:val="14"/>
                <w:szCs w:val="14"/>
                <w:color w:val="auto"/>
              </w:rPr>
            </w:pPr>
          </w:p>
        </w:tc>
        <w:tc>
          <w:tcPr>
            <w:tcW w:w="148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Overall /</w:t>
            </w:r>
          </w:p>
        </w:tc>
        <w:tc>
          <w:tcPr>
            <w:tcW w:w="216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2720" w:type="dxa"/>
            <w:vAlign w:val="bottom"/>
          </w:tcPr>
          <w:p>
            <w:pPr>
              <w:spacing w:after="0"/>
              <w:rPr>
                <w:sz w:val="14"/>
                <w:szCs w:val="14"/>
                <w:color w:val="auto"/>
              </w:rPr>
            </w:pPr>
          </w:p>
        </w:tc>
        <w:tc>
          <w:tcPr>
            <w:tcW w:w="1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Completed</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Feet (2)</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Tenants</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Acres (3)</w:t>
            </w:r>
          </w:p>
        </w:tc>
        <w:tc>
          <w:tcPr>
            <w:tcW w:w="148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Economic</w:t>
            </w:r>
          </w:p>
        </w:tc>
        <w:tc>
          <w:tcPr>
            <w:tcW w:w="21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2720" w:type="dxa"/>
            <w:vAlign w:val="bottom"/>
          </w:tcPr>
          <w:p>
            <w:pPr>
              <w:spacing w:after="0"/>
              <w:rPr>
                <w:sz w:val="14"/>
                <w:szCs w:val="14"/>
                <w:color w:val="auto"/>
              </w:rPr>
            </w:pP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1959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1983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35</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97%</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w w:val="96"/>
              </w:rPr>
              <w:t>Burlington Coat Factory</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Philadelphia, PA 19114</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Marshalls</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Tower Records</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North Lake Commons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1989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19</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88%</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Dominick's</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Lake Zurich, IL 60047</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Queen Anne Plaza</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1967</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99%</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TJ Maxx</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Norwell, MA 02061</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Victory Markets</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Rutgers</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1973</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1988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19</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89%</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Edwards Super Food</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Franklin, N.J. 08873 (4)</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K Mart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Saugus Plaza</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1976</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K Mart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Saugus, MA 01906</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Super Stop &amp; Shop</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Troy</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1966</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1980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21</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Comp USA</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Parsippany-Troy, NJ 07054</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Pathmark</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Willow Grove</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1953</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1984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25</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97%</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Barnes and Noble</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Willow Grove, PA 19090</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Marshalls</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Wynnewood</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1948</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28</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99%</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Bed, Bath and Beyond</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Wynnewood, PA 19096</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Borders Books</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Genuardi's</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Main Street Retail Properties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Thirteen buildings in CT</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1900 - 1991</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1994 -1996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78</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90%</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Eddie Bauer</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Pottery Barn</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Sak Fifth Avenue</w:t>
            </w: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Two buildings in IL</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1920 - 1927</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Foodstuffs</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Gap</w:t>
            </w: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One building in MA</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1930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74%</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AT&amp;T Wireless</w:t>
            </w: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Three buildings in NY</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1937 - 1987</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9</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Midway Theatre</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Duane Reade</w:t>
            </w:r>
          </w:p>
        </w:tc>
      </w:tr>
      <w:tr>
        <w:trPr>
          <w:trHeight w:val="168"/>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Gap</w:t>
            </w: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One building in NJ</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1940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60" w:type="dxa"/>
            <w:vAlign w:val="bottom"/>
          </w:tcPr>
          <w:p>
            <w:pPr>
              <w:ind w:left="140"/>
              <w:spacing w:after="0"/>
              <w:rPr>
                <w:sz w:val="20"/>
                <w:szCs w:val="20"/>
                <w:color w:val="auto"/>
              </w:rPr>
            </w:pPr>
            <w:r>
              <w:rPr>
                <w:rFonts w:ascii="Courier New" w:cs="Courier New" w:eastAsia="Courier New" w:hAnsi="Courier New"/>
                <w:sz w:val="15"/>
                <w:szCs w:val="15"/>
                <w:color w:val="auto"/>
              </w:rPr>
              <w:t>Legg Mason</w:t>
            </w:r>
          </w:p>
        </w:tc>
      </w:tr>
      <w:tr>
        <w:trPr>
          <w:trHeight w:val="505"/>
        </w:trPr>
        <w:tc>
          <w:tcPr>
            <w:tcW w:w="2720" w:type="dxa"/>
            <w:vAlign w:val="bottom"/>
          </w:tcPr>
          <w:p>
            <w:pPr>
              <w:spacing w:after="0"/>
              <w:rPr>
                <w:sz w:val="24"/>
                <w:szCs w:val="24"/>
                <w:color w:val="auto"/>
              </w:rPr>
            </w:pPr>
          </w:p>
        </w:tc>
        <w:tc>
          <w:tcPr>
            <w:tcW w:w="1060" w:type="dxa"/>
            <w:vAlign w:val="bottom"/>
          </w:tcPr>
          <w:p>
            <w:pPr>
              <w:ind w:left="620"/>
              <w:spacing w:after="0"/>
              <w:rPr>
                <w:sz w:val="20"/>
                <w:szCs w:val="20"/>
                <w:color w:val="auto"/>
              </w:rPr>
            </w:pPr>
            <w:r>
              <w:rPr>
                <w:rFonts w:ascii="Courier New" w:cs="Courier New" w:eastAsia="Courier New" w:hAnsi="Courier New"/>
                <w:sz w:val="15"/>
                <w:szCs w:val="15"/>
                <w:color w:val="auto"/>
              </w:rPr>
              <w:t>27</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300"/>
          </w:cols>
          <w:pgMar w:left="220" w:top="953" w:right="37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3"/>
          </w:tcPr>
          <w:p>
            <w:pPr>
              <w:jc w:val="center"/>
              <w:ind w:right="147"/>
              <w:spacing w:after="0"/>
              <w:rPr>
                <w:sz w:val="20"/>
                <w:szCs w:val="20"/>
                <w:color w:val="auto"/>
              </w:rPr>
            </w:pPr>
            <w:r>
              <w:rPr>
                <w:rFonts w:ascii="Courier New" w:cs="Courier New" w:eastAsia="Courier New" w:hAnsi="Courier New"/>
                <w:sz w:val="15"/>
                <w:szCs w:val="15"/>
                <w:color w:val="auto"/>
                <w:w w:val="97"/>
              </w:rPr>
              <w:t>Occupancy (1)</w:t>
            </w:r>
          </w:p>
        </w:tc>
        <w:tc>
          <w:tcPr>
            <w:tcW w:w="21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24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Year</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Square</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1060" w:type="dxa"/>
            <w:vAlign w:val="bottom"/>
          </w:tcPr>
          <w:p>
            <w:pPr>
              <w:spacing w:after="0"/>
              <w:rPr>
                <w:sz w:val="14"/>
                <w:szCs w:val="14"/>
                <w:color w:val="auto"/>
              </w:rPr>
            </w:pPr>
          </w:p>
        </w:tc>
        <w:tc>
          <w:tcPr>
            <w:tcW w:w="1440" w:type="dxa"/>
            <w:vAlign w:val="bottom"/>
            <w:gridSpan w:val="3"/>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Overall /</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MID ATLANTIC</w:t>
            </w:r>
          </w:p>
        </w:tc>
        <w:tc>
          <w:tcPr>
            <w:tcW w:w="1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Completed</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Acquired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Feet (2)</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Tenants</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Acres (3)</w:t>
            </w:r>
          </w:p>
        </w:tc>
        <w:tc>
          <w:tcPr>
            <w:tcW w:w="14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Economic</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Shopping Centers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Barracks Road</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1958</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85</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39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99%</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Bed, Bath &amp; Beyond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Charlottesville, VA 22905</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Harris Teeter</w:t>
            </w:r>
          </w:p>
        </w:tc>
      </w:tr>
      <w:tr>
        <w:trPr>
          <w:trHeight w:val="168"/>
        </w:trPr>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Kroger</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Congressional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95%</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Buy Buy Baby</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Rockville, MD 20852 (6)</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Fresh Fields</w:t>
            </w:r>
          </w:p>
        </w:tc>
      </w:tr>
      <w:tr>
        <w:trPr>
          <w:trHeight w:val="168"/>
        </w:trPr>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Tower Records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Courthouse Center</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1970</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72%</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Rockville Interiors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Rockville, MD 20852 (7)</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Eastgate</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1963</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97%</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Food Lion</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Chapel Hill, NC 27514</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Southern Season</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Falls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1962</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Giant Food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Falls Church, VA 22046</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Falls Plaza - East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1960</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CVS Pharmacy</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Falls Church, VA 22046</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Staples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Federal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1970</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39</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98%</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Comp USA</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Rockville, MD 20852</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Ross Dress For Less</w:t>
            </w:r>
          </w:p>
        </w:tc>
      </w:tr>
      <w:tr>
        <w:trPr>
          <w:trHeight w:val="168"/>
        </w:trPr>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TJ Maxx</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Gaithersburg Square</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1966</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98%</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Bed, Bath &amp; Beyond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Gaithersburg, MD 20878</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Borders Books and Music</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Governor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1963</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92%</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Office Depot</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Glen Burnie, MD 21961 (5)</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Syms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Idylwood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1991</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95%</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Fresh Fields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Falls Church, VA 22030</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Laurel Centre</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1956</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56</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93%</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Giant Food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Laurel, MD 20707</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Marshalls</w:t>
            </w:r>
          </w:p>
        </w:tc>
      </w:tr>
      <w:tr>
        <w:trPr>
          <w:trHeight w:val="168"/>
        </w:trPr>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Leesburg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1967</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Giant Food</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Leesburg, VA 20176 (7)</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K Mart</w:t>
            </w:r>
          </w:p>
        </w:tc>
      </w:tr>
      <w:tr>
        <w:trPr>
          <w:trHeight w:val="168"/>
        </w:trPr>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Peebles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Loehmann's Plaza</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1971</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242,000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97%</w:t>
            </w:r>
          </w:p>
        </w:tc>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Linens N Things</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Fairfax, VA 22042 (7)</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Loehmann's Dress Shop</w:t>
            </w:r>
          </w:p>
        </w:tc>
      </w:tr>
      <w:tr>
        <w:trPr>
          <w:trHeight w:val="505"/>
        </w:trPr>
        <w:tc>
          <w:tcPr>
            <w:tcW w:w="2580" w:type="dxa"/>
            <w:vAlign w:val="bottom"/>
          </w:tcPr>
          <w:p>
            <w:pPr>
              <w:spacing w:after="0"/>
              <w:rPr>
                <w:sz w:val="24"/>
                <w:szCs w:val="24"/>
                <w:color w:val="auto"/>
              </w:rPr>
            </w:pPr>
          </w:p>
        </w:tc>
        <w:tc>
          <w:tcPr>
            <w:tcW w:w="1240" w:type="dxa"/>
            <w:vAlign w:val="bottom"/>
          </w:tcPr>
          <w:p>
            <w:pPr>
              <w:ind w:left="760"/>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300"/>
          </w:cols>
          <w:pgMar w:left="220" w:top="953" w:right="37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Occupancy (1)</w:t>
            </w:r>
          </w:p>
        </w:tc>
        <w:tc>
          <w:tcPr>
            <w:tcW w:w="210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Year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Square</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000" w:type="dxa"/>
            <w:vAlign w:val="bottom"/>
          </w:tcPr>
          <w:p>
            <w:pPr>
              <w:spacing w:after="0"/>
              <w:rPr>
                <w:sz w:val="14"/>
                <w:szCs w:val="14"/>
                <w:color w:val="auto"/>
              </w:rPr>
            </w:pP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Overall /</w:t>
            </w: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Completed</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Feet (2)</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Tenants</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Acres (3)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Economic</w:t>
            </w:r>
          </w:p>
        </w:tc>
        <w:tc>
          <w:tcPr>
            <w:tcW w:w="21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Magruder's Center</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1955</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100% / 100%</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Magruder's</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Rockville, MD 20852 (7)</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Tuesday Morning</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Mid-Pike Plaza</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1963</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1982</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312,000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99% / 99%</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Bally Total Fitness</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Rockville, MD 20852 (4)</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Frugal Fannies</w:t>
            </w: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Toys R Us</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Old Keene Mill</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1976</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100% / 100%</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Fresh Fields</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Springfield, VA 22152</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Pan Am</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1979</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93% / 92%</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Michael's</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Fairfax, VA 22031</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Micro Center</w:t>
            </w: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Safeway</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Perring Plaza</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1963</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1985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412,000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100% / 100%</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w w:val="95"/>
              </w:rPr>
              <w:t>Burlington Coat Factory</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Baltimore, MD 21134 (5)</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Home Depot</w:t>
            </w: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Metro Foods</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Pike 7 Plaza</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99% / 99%</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Staples</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Vienna, VA 22180</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TJ Maxx</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Quince Orchard</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1975</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95% / 95%</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Circuit City</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Gaithersburg, MD 20877 (9)</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Dyncorp</w:t>
            </w: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Staples</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Tower Shopping Center</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86% / 83%</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Virginia Fine Wine</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Springfield, VA 22150</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Talbot's Outlet</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Tysons Station</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1978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100% / 100%</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Trader Joe's</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Falls Church, VA 22043</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Wildwood</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1969</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100% / 96%</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CVS Pharmacy</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Bethesda, MD 20814</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Sutton Place Gourmet</w:t>
            </w:r>
          </w:p>
        </w:tc>
      </w:tr>
      <w:tr>
        <w:trPr>
          <w:trHeight w:val="336"/>
        </w:trPr>
        <w:tc>
          <w:tcPr>
            <w:tcW w:w="2980" w:type="dxa"/>
            <w:vAlign w:val="bottom"/>
          </w:tcPr>
          <w:p>
            <w:pPr>
              <w:ind w:left="180"/>
              <w:spacing w:after="0"/>
              <w:rPr>
                <w:sz w:val="20"/>
                <w:szCs w:val="20"/>
                <w:color w:val="auto"/>
              </w:rPr>
            </w:pPr>
            <w:r>
              <w:rPr>
                <w:rFonts w:ascii="Courier New" w:cs="Courier New" w:eastAsia="Courier New" w:hAnsi="Courier New"/>
                <w:sz w:val="15"/>
                <w:szCs w:val="15"/>
                <w:color w:val="auto"/>
              </w:rPr>
              <w:t>The Shops at Willow Lawn</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1957</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1983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505,000</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82</w:t>
            </w:r>
          </w:p>
        </w:tc>
        <w:tc>
          <w:tcPr>
            <w:tcW w:w="1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 / 79%</w:t>
            </w: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Dillards</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Richmond, VA 23230</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Hannaford Brothers</w:t>
            </w:r>
          </w:p>
        </w:tc>
      </w:tr>
    </w:tbl>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Development</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Land in Bethesda, MD 20814</w:t>
            </w:r>
          </w:p>
        </w:tc>
        <w:tc>
          <w:tcPr>
            <w:tcW w:w="32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1997 - 2000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505"/>
        </w:trPr>
        <w:tc>
          <w:tcPr>
            <w:tcW w:w="2660" w:type="dxa"/>
            <w:vAlign w:val="bottom"/>
          </w:tcPr>
          <w:p>
            <w:pPr>
              <w:spacing w:after="0"/>
              <w:rPr>
                <w:sz w:val="24"/>
                <w:szCs w:val="24"/>
                <w:color w:val="auto"/>
              </w:rPr>
            </w:pPr>
          </w:p>
        </w:tc>
        <w:tc>
          <w:tcPr>
            <w:tcW w:w="3200" w:type="dxa"/>
            <w:vAlign w:val="bottom"/>
          </w:tcPr>
          <w:p>
            <w:pPr>
              <w:jc w:val="right"/>
              <w:ind w:right="254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spacing w:after="0"/>
              <w:rPr>
                <w:sz w:val="24"/>
                <w:szCs w:val="24"/>
                <w:color w:val="auto"/>
              </w:rPr>
            </w:pPr>
          </w:p>
        </w:tc>
      </w:tr>
    </w:tbl>
    <w:p>
      <w:pPr>
        <w:sectPr>
          <w:pgSz w:w="11900" w:h="16838" w:orient="portrait"/>
          <w:cols w:equalWidth="0" w:num="1">
            <w:col w:w="11460"/>
          </w:cols>
          <w:pgMar w:left="220" w:top="953" w:right="21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Occupancy (1)</w:t>
            </w:r>
          </w:p>
        </w:tc>
        <w:tc>
          <w:tcPr>
            <w:tcW w:w="21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1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Year</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Year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Square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 of</w:t>
            </w:r>
          </w:p>
        </w:tc>
        <w:tc>
          <w:tcPr>
            <w:tcW w:w="880" w:type="dxa"/>
            <w:vAlign w:val="bottom"/>
          </w:tcPr>
          <w:p>
            <w:pPr>
              <w:spacing w:after="0"/>
              <w:rPr>
                <w:sz w:val="14"/>
                <w:szCs w:val="14"/>
                <w:color w:val="auto"/>
              </w:rPr>
            </w:pP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Overall /</w:t>
            </w:r>
          </w:p>
        </w:tc>
        <w:tc>
          <w:tcPr>
            <w:tcW w:w="2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30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Completed</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Acquired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Feet (2)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Tenants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Acres (3)</w:t>
            </w: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Economic</w:t>
            </w:r>
          </w:p>
        </w:tc>
        <w:tc>
          <w:tcPr>
            <w:tcW w:w="2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Tenants</w:t>
            </w:r>
          </w:p>
        </w:tc>
      </w:tr>
      <w:tr>
        <w:trPr>
          <w:trHeight w:val="168"/>
        </w:trPr>
        <w:tc>
          <w:tcPr>
            <w:tcW w:w="3080" w:type="dxa"/>
            <w:vAlign w:val="bottom"/>
          </w:tcPr>
          <w:p>
            <w:pPr>
              <w:spacing w:after="0"/>
              <w:rPr>
                <w:sz w:val="14"/>
                <w:szCs w:val="14"/>
                <w:color w:val="auto"/>
              </w:rPr>
            </w:pP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 -------------</w:t>
            </w:r>
          </w:p>
        </w:tc>
        <w:tc>
          <w:tcPr>
            <w:tcW w:w="2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Main Street Retail Properties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Bethesda Row</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1945-1991,</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8"/>
              </w:rPr>
              <w:t>1993-1998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100% / 98%</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Barnes and Noble</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Bethesda, MD 20814 (8)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Giant Food</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Friendship Center</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2001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100% / 100%</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Maggiano's</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 20015</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Eddie Bauer</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Pentagon Row</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n/a</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98% / 94%</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Harris Teeter</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Arlington, VA 22202 (9) (11)</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Bed, Bath &amp; Beyond</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Sam's Park &amp; Shop</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1930</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100% / 100%</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Petco</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 20036</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Pizzeria Uno</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Shirlington</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1940</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98% / 98%</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Carlyle Grand Cafe</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Arlington, VA 22206</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Cineplex Odeon</w:t>
            </w:r>
          </w:p>
        </w:tc>
      </w:tr>
      <w:tr>
        <w:trPr>
          <w:trHeight w:val="33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Two buildings in FL</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1920</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85% / 85%</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Express</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WEST COAST</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Shopping Centers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Escondido Promenade</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1987</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97% / 97%</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Toys R Us</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Escondido, CA 92029 (20)</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TJ Maxx</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King's Court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1960</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99% / 99%</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Lunardi's Supermarket</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 Gatos, CA 95032 (7) (9)</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Longs Drug</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Main Street Retail Properties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3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Old Town Center</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94% / 93%</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5"/>
              </w:rPr>
              <w:t>Borders Books and Music</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 Gatos, CA 95030</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Gap Kids</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Banana Republic</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150 Post Street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1965</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86% / 86%</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Brooks Brothers</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 Francisco, CA 94108</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Williams - Sonoma</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Uptown Shopping Center</w:t>
            </w:r>
          </w:p>
        </w:tc>
        <w:tc>
          <w:tcPr>
            <w:tcW w:w="1180" w:type="dxa"/>
            <w:vAlign w:val="bottom"/>
          </w:tcPr>
          <w:p>
            <w:pPr>
              <w:ind w:left="420"/>
              <w:spacing w:after="0"/>
              <w:rPr>
                <w:sz w:val="20"/>
                <w:szCs w:val="20"/>
                <w:color w:val="auto"/>
              </w:rPr>
            </w:pPr>
            <w:r>
              <w:rPr>
                <w:rFonts w:ascii="Courier New" w:cs="Courier New" w:eastAsia="Courier New" w:hAnsi="Courier New"/>
                <w:sz w:val="15"/>
                <w:szCs w:val="15"/>
                <w:color w:val="auto"/>
              </w:rPr>
              <w:t>Various</w:t>
            </w:r>
          </w:p>
        </w:tc>
        <w:tc>
          <w:tcPr>
            <w:tcW w:w="10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99% / 98%</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w w:val="95"/>
              </w:rPr>
              <w:t>Elephant's Delicatessen</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Portland, OR 97210</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Zupan's Markets</w:t>
            </w:r>
          </w:p>
        </w:tc>
      </w:tr>
      <w:tr>
        <w:trPr>
          <w:trHeight w:val="33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Nine buildings in Santa Monica,</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 (13)</w:t>
            </w:r>
          </w:p>
        </w:tc>
        <w:tc>
          <w:tcPr>
            <w:tcW w:w="22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1888 - 1995 1996 - 2000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95% / 93%</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Abercrombie &amp; Fitch</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 Crew</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Banana Republic</w:t>
            </w:r>
          </w:p>
        </w:tc>
      </w:tr>
      <w:tr>
        <w:trPr>
          <w:trHeight w:val="33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Three buildings in Hollywood,</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 (18)</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1921 - 1991</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1999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79% / 79%</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Cinema</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Hollywood Entertainment</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Museum</w:t>
            </w:r>
          </w:p>
        </w:tc>
      </w:tr>
      <w:tr>
        <w:trPr>
          <w:trHeight w:val="33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Four buildings in San Diego,</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 (12)</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1888 - 1995</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1996 - 1997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94% / 94%</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Urban Outfitters</w:t>
            </w:r>
          </w:p>
        </w:tc>
      </w:tr>
      <w:tr>
        <w:trPr>
          <w:trHeight w:val="33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Four buildings in CA (16) (19)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1922</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6"/>
              </w:rPr>
              <w:t>1996 - 1998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5"/>
                <w:szCs w:val="15"/>
                <w:color w:val="auto"/>
              </w:rPr>
              <w:t>99% / 99%</w:t>
            </w:r>
          </w:p>
        </w:tc>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Pottery Barn</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Banana Republic</w:t>
            </w:r>
          </w:p>
        </w:tc>
      </w:tr>
      <w:tr>
        <w:trPr>
          <w:trHeight w:val="505"/>
        </w:trPr>
        <w:tc>
          <w:tcPr>
            <w:tcW w:w="3080" w:type="dxa"/>
            <w:vAlign w:val="bottom"/>
          </w:tcPr>
          <w:p>
            <w:pPr>
              <w:spacing w:after="0"/>
              <w:rPr>
                <w:sz w:val="24"/>
                <w:szCs w:val="2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540"/>
          </w:cols>
          <w:pgMar w:left="220" w:top="953" w:right="1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Two buildings in AZ (17)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- 1998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505"/>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Development</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Santana Row</w:t>
            </w:r>
          </w:p>
        </w:tc>
        <w:tc>
          <w:tcPr>
            <w:tcW w:w="7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San Jose, CA 95128 (10) (14)</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Nine buildings in San Antonio,</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TX (15)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1890</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- 1935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341" w:lineRule="exact"/>
        <w:rPr>
          <w:sz w:val="20"/>
          <w:szCs w:val="20"/>
          <w:color w:val="auto"/>
        </w:rPr>
      </w:pPr>
    </w:p>
    <w:p>
      <w:pPr>
        <w:ind w:left="1060" w:right="80" w:hanging="875"/>
        <w:spacing w:after="0" w:line="236"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occupancy is expressed as a percentage of rentable square feet and includes square feet covered by leases for stores not yet opened. Economic occupancy is expressed as a percentage of rentable square feet , but only includes leases currently generating rental income.</w:t>
      </w:r>
    </w:p>
    <w:p>
      <w:pPr>
        <w:spacing w:after="0" w:line="5" w:lineRule="exact"/>
        <w:rPr>
          <w:rFonts w:ascii="Courier New" w:cs="Courier New" w:eastAsia="Courier New" w:hAnsi="Courier New"/>
          <w:sz w:val="15"/>
          <w:szCs w:val="15"/>
          <w:color w:val="auto"/>
        </w:rPr>
      </w:pPr>
    </w:p>
    <w:p>
      <w:pPr>
        <w:ind w:left="1060" w:right="80" w:hanging="875"/>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physical square feet of the property, which may exceed the rentable square feet used to express occupancy.</w:t>
      </w:r>
    </w:p>
    <w:p>
      <w:pPr>
        <w:spacing w:after="0" w:line="5" w:lineRule="exact"/>
        <w:rPr>
          <w:rFonts w:ascii="Courier New" w:cs="Courier New" w:eastAsia="Courier New" w:hAnsi="Courier New"/>
          <w:sz w:val="15"/>
          <w:szCs w:val="15"/>
          <w:color w:val="auto"/>
        </w:rPr>
      </w:pPr>
    </w:p>
    <w:p>
      <w:pPr>
        <w:ind w:left="1060" w:right="780" w:hanging="875"/>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Acreage on each individual main street retail building is not significant.</w:t>
      </w:r>
    </w:p>
    <w:p>
      <w:pPr>
        <w:ind w:left="880" w:hanging="695"/>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a leasehold interest in this property.</w:t>
      </w:r>
    </w:p>
    <w:p>
      <w:pPr>
        <w:spacing w:after="0" w:line="5" w:lineRule="exact"/>
        <w:rPr>
          <w:rFonts w:ascii="Courier New" w:cs="Courier New" w:eastAsia="Courier New" w:hAnsi="Courier New"/>
          <w:sz w:val="15"/>
          <w:szCs w:val="15"/>
          <w:color w:val="auto"/>
        </w:rPr>
      </w:pPr>
    </w:p>
    <w:p>
      <w:pPr>
        <w:ind w:left="1060" w:right="780" w:hanging="875"/>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a 99.99% general partnership interest in these properties.</w:t>
      </w:r>
    </w:p>
    <w:p>
      <w:pPr>
        <w:ind w:left="880" w:hanging="695"/>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a 55.7% equity interest in this center.</w:t>
      </w:r>
    </w:p>
    <w:p>
      <w:pPr>
        <w:ind w:left="880" w:hanging="695"/>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this property in a "downreit" partnership.</w:t>
      </w:r>
    </w:p>
    <w:p>
      <w:pPr>
        <w:spacing w:after="0" w:line="5" w:lineRule="exact"/>
        <w:rPr>
          <w:rFonts w:ascii="Courier New" w:cs="Courier New" w:eastAsia="Courier New" w:hAnsi="Courier New"/>
          <w:sz w:val="15"/>
          <w:szCs w:val="15"/>
          <w:color w:val="auto"/>
        </w:rPr>
      </w:pPr>
    </w:p>
    <w:p>
      <w:pPr>
        <w:ind w:left="1060" w:right="260" w:hanging="875"/>
        <w:spacing w:after="0" w:line="235"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property contains twelve buildings; seven are subject to a leasehold interest, one is subject to a ground lease and four are owned 100% by the Trust.</w:t>
      </w:r>
    </w:p>
    <w:p>
      <w:pPr>
        <w:ind w:left="880" w:hanging="695"/>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this property subject to a ground lease.</w:t>
      </w:r>
    </w:p>
    <w:p>
      <w:pPr>
        <w:spacing w:after="0" w:line="5" w:lineRule="exact"/>
        <w:rPr>
          <w:rFonts w:ascii="Courier New" w:cs="Courier New" w:eastAsia="Courier New" w:hAnsi="Courier New"/>
          <w:sz w:val="15"/>
          <w:szCs w:val="15"/>
          <w:color w:val="auto"/>
        </w:rPr>
      </w:pPr>
    </w:p>
    <w:p>
      <w:pPr>
        <w:ind w:left="1060" w:right="260" w:hanging="963"/>
        <w:spacing w:after="0" w:line="235"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2001 the Trust owns the controlling interest in this center. A minority owner with an interest in the profits of the center was bought out on February 1, 2002.</w:t>
      </w:r>
    </w:p>
    <w:p>
      <w:pPr>
        <w:spacing w:after="0" w:line="5" w:lineRule="exact"/>
        <w:rPr>
          <w:rFonts w:ascii="Courier New" w:cs="Courier New" w:eastAsia="Courier New" w:hAnsi="Courier New"/>
          <w:sz w:val="15"/>
          <w:szCs w:val="15"/>
          <w:color w:val="auto"/>
        </w:rPr>
      </w:pPr>
    </w:p>
    <w:p>
      <w:pPr>
        <w:ind w:left="1060" w:right="16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Occupancy is based on three completed buildings, the fourth building is under development.</w:t>
      </w:r>
    </w:p>
    <w:p>
      <w:pPr>
        <w:spacing w:after="0" w:line="5" w:lineRule="exact"/>
        <w:rPr>
          <w:rFonts w:ascii="Courier New" w:cs="Courier New" w:eastAsia="Courier New" w:hAnsi="Courier New"/>
          <w:sz w:val="15"/>
          <w:szCs w:val="15"/>
          <w:color w:val="auto"/>
        </w:rPr>
      </w:pPr>
    </w:p>
    <w:p>
      <w:pPr>
        <w:ind w:left="1060" w:right="16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2001 the Trust owns 100% of three buildings and a 90% general partnership interest in one building.</w:t>
      </w:r>
    </w:p>
    <w:p>
      <w:pPr>
        <w:spacing w:after="0" w:line="5" w:lineRule="exact"/>
        <w:rPr>
          <w:rFonts w:ascii="Courier New" w:cs="Courier New" w:eastAsia="Courier New" w:hAnsi="Courier New"/>
          <w:sz w:val="15"/>
          <w:szCs w:val="15"/>
          <w:color w:val="auto"/>
        </w:rPr>
      </w:pPr>
    </w:p>
    <w:p>
      <w:pPr>
        <w:ind w:left="1060" w:right="16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2001 the Trust owns 100% of seven buildings and a 90% general partnership interest in two buildings.</w:t>
      </w:r>
    </w:p>
    <w:p>
      <w:pPr>
        <w:ind w:left="880" w:hanging="783"/>
        <w:spacing w:after="0" w:line="23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development.</w:t>
      </w:r>
    </w:p>
    <w:p>
      <w:pPr>
        <w:spacing w:after="0" w:line="5" w:lineRule="exact"/>
        <w:rPr>
          <w:rFonts w:ascii="Courier New" w:cs="Courier New" w:eastAsia="Courier New" w:hAnsi="Courier New"/>
          <w:sz w:val="15"/>
          <w:szCs w:val="15"/>
          <w:color w:val="auto"/>
        </w:rPr>
      </w:pPr>
    </w:p>
    <w:p>
      <w:pPr>
        <w:ind w:left="1060" w:right="78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is redeveloping these properties, many of which are currently vacant.</w:t>
      </w:r>
    </w:p>
    <w:p>
      <w:pPr>
        <w:spacing w:after="0" w:line="5" w:lineRule="exact"/>
        <w:rPr>
          <w:rFonts w:ascii="Courier New" w:cs="Courier New" w:eastAsia="Courier New" w:hAnsi="Courier New"/>
          <w:sz w:val="15"/>
          <w:szCs w:val="15"/>
          <w:color w:val="auto"/>
        </w:rPr>
      </w:pPr>
    </w:p>
    <w:p>
      <w:pPr>
        <w:ind w:left="1060" w:hanging="963"/>
        <w:spacing w:after="0" w:line="235"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2001 the Trust owns 100% of one building, a 90% general partnership interest in two buildings and a 75% LLC interest in one building.</w:t>
      </w:r>
    </w:p>
    <w:p>
      <w:pPr>
        <w:spacing w:after="0" w:line="5" w:lineRule="exact"/>
        <w:rPr>
          <w:rFonts w:ascii="Courier New" w:cs="Courier New" w:eastAsia="Courier New" w:hAnsi="Courier New"/>
          <w:sz w:val="15"/>
          <w:szCs w:val="15"/>
          <w:color w:val="auto"/>
        </w:rPr>
      </w:pPr>
    </w:p>
    <w:p>
      <w:pPr>
        <w:ind w:left="1060" w:right="26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100% of one building and an 85% partnership interest in the second building.</w:t>
      </w:r>
    </w:p>
    <w:p>
      <w:pPr>
        <w:spacing w:after="0" w:line="5" w:lineRule="exact"/>
        <w:rPr>
          <w:rFonts w:ascii="Courier New" w:cs="Courier New" w:eastAsia="Courier New" w:hAnsi="Courier New"/>
          <w:sz w:val="15"/>
          <w:szCs w:val="15"/>
          <w:color w:val="auto"/>
        </w:rPr>
      </w:pPr>
    </w:p>
    <w:p>
      <w:pPr>
        <w:ind w:left="880" w:hanging="783"/>
        <w:spacing w:after="0"/>
        <w:tabs>
          <w:tab w:leader="none" w:pos="8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90% general partnership interest in these buildings.</w:t>
      </w:r>
    </w:p>
    <w:p>
      <w:pPr>
        <w:spacing w:after="0" w:line="9" w:lineRule="exact"/>
        <w:rPr>
          <w:rFonts w:ascii="Courier New" w:cs="Courier New" w:eastAsia="Courier New" w:hAnsi="Courier New"/>
          <w:sz w:val="14"/>
          <w:szCs w:val="14"/>
          <w:color w:val="auto"/>
        </w:rPr>
      </w:pPr>
    </w:p>
    <w:p>
      <w:pPr>
        <w:ind w:left="1060" w:right="44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Occupancy is based on two occupied buildings in Pasadena, CA. Two additional buildings are currently under redevelopment.</w:t>
      </w:r>
    </w:p>
    <w:p>
      <w:pPr>
        <w:spacing w:after="0" w:line="5" w:lineRule="exact"/>
        <w:rPr>
          <w:rFonts w:ascii="Courier New" w:cs="Courier New" w:eastAsia="Courier New" w:hAnsi="Courier New"/>
          <w:sz w:val="15"/>
          <w:szCs w:val="15"/>
          <w:color w:val="auto"/>
        </w:rPr>
      </w:pPr>
    </w:p>
    <w:p>
      <w:pPr>
        <w:ind w:left="1060" w:right="340" w:hanging="963"/>
        <w:spacing w:after="0" w:line="234" w:lineRule="auto"/>
        <w:tabs>
          <w:tab w:leader="none" w:pos="8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2001 the Trust owns the controlling interest in this center.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 / 100%</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w w:val="95"/>
              </w:rPr>
              <w:t>Gordon Biersch</w:t>
            </w:r>
          </w:p>
        </w:tc>
      </w:tr>
      <w:tr>
        <w:trPr>
          <w:trHeight w:val="168"/>
        </w:trPr>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Brewing Co.</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n/a / n/a</w:t>
      </w:r>
    </w:p>
    <w:p>
      <w:pPr>
        <w:spacing w:after="0" w:line="200" w:lineRule="exact"/>
        <w:rPr>
          <w:sz w:val="20"/>
          <w:szCs w:val="20"/>
          <w:color w:val="auto"/>
        </w:rPr>
      </w:pPr>
    </w:p>
    <w:p>
      <w:pPr>
        <w:spacing w:after="0" w:line="303" w:lineRule="exact"/>
        <w:rPr>
          <w:sz w:val="20"/>
          <w:szCs w:val="20"/>
          <w:color w:val="auto"/>
        </w:rPr>
      </w:pPr>
    </w:p>
    <w:p>
      <w:pPr>
        <w:ind w:left="80"/>
        <w:spacing w:after="0"/>
        <w:tabs>
          <w:tab w:leader="none" w:pos="760" w:val="left"/>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n/a / n/a</w:t>
      </w:r>
      <w:r>
        <w:rPr>
          <w:sz w:val="20"/>
          <w:szCs w:val="20"/>
          <w:color w:val="auto"/>
        </w:rPr>
        <w:tab/>
      </w:r>
      <w:r>
        <w:rPr>
          <w:rFonts w:ascii="Courier New" w:cs="Courier New" w:eastAsia="Courier New" w:hAnsi="Courier New"/>
          <w:sz w:val="14"/>
          <w:szCs w:val="14"/>
          <w:color w:val="auto"/>
        </w:rPr>
        <w:t>The Palm</w:t>
      </w:r>
    </w:p>
    <w:p>
      <w:pPr>
        <w:sectPr>
          <w:pgSz w:w="11900" w:h="16838" w:orient="portrait"/>
          <w:cols w:equalWidth="0" w:num="2">
            <w:col w:w="7000" w:space="360"/>
            <w:col w:w="3320"/>
          </w:cols>
          <w:pgMar w:left="220" w:top="953" w:right="99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Apartments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the Trust's apartment development as of December 31, 2001 which is 100% owned by the Trust in fee. This development is not subject to rent control.</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1-BR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2-BR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3-BR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Occupancy</w:t>
      </w:r>
    </w:p>
    <w:p>
      <w:pPr>
        <w:spacing w:after="0" w:line="171" w:lineRule="exact"/>
        <w:rPr>
          <w:sz w:val="20"/>
          <w:szCs w:val="20"/>
          <w:color w:val="auto"/>
        </w:rPr>
      </w:pPr>
    </w:p>
    <w:p>
      <w:pPr>
        <w:sectPr>
          <w:pgSz w:w="11900" w:h="16838" w:orient="portrait"/>
          <w:cols w:equalWidth="0" w:num="8">
            <w:col w:w="1820" w:space="720"/>
            <w:col w:w="800" w:space="440"/>
            <w:col w:w="700" w:space="520"/>
            <w:col w:w="440" w:space="420"/>
            <w:col w:w="360" w:space="440"/>
            <w:col w:w="340" w:space="440"/>
            <w:col w:w="360" w:space="440"/>
            <w:col w:w="1999"/>
          </w:cols>
          <w:pgMar w:left="220" w:top="6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1960</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5"/>
          <w:szCs w:val="15"/>
          <w:color w:val="auto"/>
        </w:rPr>
        <w:t>1971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58</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Courier New" w:cs="Courier New" w:eastAsia="Courier New" w:hAnsi="Courier New"/>
          <w:sz w:val="15"/>
          <w:szCs w:val="15"/>
          <w:color w:val="auto"/>
        </w:rPr>
        <w:t>163</w:t>
      </w:r>
      <w:r>
        <w:rPr>
          <w:sz w:val="20"/>
          <w:szCs w:val="20"/>
          <w:color w:val="auto"/>
        </w:rPr>
        <w:tab/>
      </w:r>
      <w:r>
        <w:rPr>
          <w:rFonts w:ascii="Courier New" w:cs="Courier New" w:eastAsia="Courier New" w:hAnsi="Courier New"/>
          <w:sz w:val="15"/>
          <w:szCs w:val="15"/>
          <w:color w:val="auto"/>
        </w:rPr>
        <w:t>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99%</w:t>
      </w:r>
    </w:p>
    <w:p>
      <w:pPr>
        <w:spacing w:after="0" w:line="5" w:lineRule="exact"/>
        <w:rPr>
          <w:sz w:val="20"/>
          <w:szCs w:val="20"/>
          <w:color w:val="auto"/>
        </w:rPr>
      </w:pPr>
    </w:p>
    <w:p>
      <w:pPr>
        <w:sectPr>
          <w:pgSz w:w="11900" w:h="16838" w:orient="portrait"/>
          <w:cols w:equalWidth="0" w:num="8">
            <w:col w:w="2000" w:space="720"/>
            <w:col w:w="500" w:space="720"/>
            <w:col w:w="520" w:space="720"/>
            <w:col w:w="160" w:space="700"/>
            <w:col w:w="180" w:space="620"/>
            <w:col w:w="960" w:space="600"/>
            <w:col w:w="420" w:space="720"/>
            <w:col w:w="699"/>
          </w:cols>
          <w:pgMar w:left="220" w:top="617" w:right="1440" w:bottom="1440" w:gutter="0" w:footer="0" w:header="0"/>
          <w:type w:val="continuous"/>
        </w:sectPr>
      </w:pPr>
    </w:p>
    <w:p>
      <w:pPr>
        <w:ind w:left="280"/>
        <w:spacing w:after="0" w:line="237" w:lineRule="auto"/>
        <w:rPr>
          <w:sz w:val="20"/>
          <w:szCs w:val="20"/>
          <w:color w:val="auto"/>
        </w:rPr>
      </w:pPr>
      <w:r>
        <w:rPr>
          <w:rFonts w:ascii="Courier New" w:cs="Courier New" w:eastAsia="Courier New" w:hAnsi="Courier New"/>
          <w:sz w:val="15"/>
          <w:szCs w:val="15"/>
          <w:color w:val="auto"/>
        </w:rPr>
        <w:t>Silver Spring, MD</w:t>
      </w:r>
    </w:p>
    <w:p>
      <w:pPr>
        <w:ind w:left="280"/>
        <w:spacing w:after="0" w:line="238" w:lineRule="auto"/>
        <w:rPr>
          <w:sz w:val="20"/>
          <w:szCs w:val="20"/>
          <w:color w:val="auto"/>
        </w:rPr>
      </w:pPr>
      <w:r>
        <w:rPr>
          <w:rFonts w:ascii="Courier New" w:cs="Courier New" w:eastAsia="Courier New" w:hAnsi="Courier New"/>
          <w:sz w:val="15"/>
          <w:szCs w:val="15"/>
          <w:color w:val="auto"/>
        </w:rPr>
        <w:t>9 three-story buildings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type w:val="continuous"/>
        </w:sectPr>
      </w:pPr>
    </w:p>
    <w:bookmarkStart w:id="32" w:name="page33"/>
    <w:bookmarkEnd w:id="32"/>
    <w:p>
      <w:pPr>
        <w:spacing w:after="0" w:line="6"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Item 3.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Legal Proceedings.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00" w:space="360"/>
            <w:col w:w="9179"/>
          </w:cols>
          <w:pgMar w:left="220" w:top="617" w:right="1440" w:bottom="1440" w:gutter="0" w:footer="0" w:header="0"/>
        </w:sect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Item 4. -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of Matters to a Vote of Security Holders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00" w:space="360"/>
            <w:col w:w="917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Item 5. -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for Registrant's Common Equity and Related Stockholder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700" w:space="360"/>
            <w:col w:w="9179"/>
          </w:cols>
          <w:pgMar w:left="220" w:top="617" w:right="1440" w:bottom="1440" w:gutter="0" w:footer="0" w:header="0"/>
          <w:type w:val="continuous"/>
        </w:sect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Trust's common shares of beneficial interest are listed on the New York Stock Exchange ("NYSE") under the symbol "FRT".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table shows the high and low sales prices of the common shares as reported on the NYSE over the past two years, as well as the amounts of quarterly dividends declared over that period. The Trust generally pays dividends in the quarter after they are declared.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Dividends</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Quarter ended</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High</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Declared</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$23.67</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$21.04</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30, 2001</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23.71</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20.32</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21.56</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18.98</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31,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20.20</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19.0625</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w:t>
            </w:r>
          </w:p>
        </w:tc>
      </w:tr>
      <w:tr>
        <w:trPr>
          <w:trHeight w:val="336"/>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2000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$18.75</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30, 2000</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21.9375</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19.125</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30, 2000</w:t>
            </w: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22.3125</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18.9375</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31,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20.50</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17.75</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w:t>
            </w:r>
          </w:p>
        </w:tc>
      </w:tr>
    </w:tbl>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number of holders of record for Federal Realty's common shares of beneficial interest at March 7, 2002 was 5,932.</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For the year ended December 31, 2000, $.11 of dividends paid on common shares represented a return of capital and $.04 of dividends paid on common shares represented capital gain. There was no return of capital or capital gains for the year ended December 31, 2001.</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 intends to pay regular quarterly distributions to its common stockholders. Future distributions will depend upon cash generated by operating activities, the Trust's financial condition, capital requirements, annual distribution requirements under the REIT provisions of the Internal Revenue Code and such other factors as the Board of Trustees deems relevant.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type w:val="continuous"/>
        </w:sectPr>
      </w:pPr>
    </w:p>
    <w:bookmarkStart w:id="33" w:name="page34"/>
    <w:bookmarkEnd w:id="33"/>
    <w:p>
      <w:pPr>
        <w:spacing w:after="0"/>
        <w:tabs>
          <w:tab w:leader="none" w:pos="10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350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5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Year ended December 31,</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2001</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$279,935</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$260,684</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$245,833</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$222,186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$188,529</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on</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real</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estate</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59,571</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56,842</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55,493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44,960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40,129</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Gain (loss) on</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real</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estate</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9,185</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3,681</w:t>
            </w: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(7,050)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6,375</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68,756</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60,523</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48,443</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44,960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46,504</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available for</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59,722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52,573</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40,493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37,010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44,627</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cash provided</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by operating</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 (1)</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108,545</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106,146</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102,183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90,427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72,170</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 (1)</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232,138</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121,741</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99,313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187,646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279,343</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cash provided</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by (used in)</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 (1)</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129,799</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15,214</w:t>
            </w:r>
          </w:p>
        </w:tc>
        <w:tc>
          <w:tcPr>
            <w:tcW w:w="17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(8,362)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97,406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213,175</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declared on</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75,863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72,512</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71,630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69,512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66,636</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common</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Basic</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39,164</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38,796</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39,574</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39,174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38,475</w:t>
            </w:r>
          </w:p>
        </w:tc>
      </w:tr>
      <w:tr>
        <w:trPr>
          <w:trHeight w:val="168"/>
        </w:trPr>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Diluted</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40,266</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39,910</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40,638</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40,080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38,988</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Basic</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$1.36</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23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Diluted</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1.02</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declared per</w:t>
            </w:r>
          </w:p>
        </w:tc>
        <w:tc>
          <w:tcPr>
            <w:tcW w:w="2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w:t>
            </w: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1.78</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Funds from</w:t>
            </w:r>
          </w:p>
        </w:tc>
        <w:tc>
          <w:tcPr>
            <w:tcW w:w="1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Operations</w:t>
            </w:r>
          </w:p>
        </w:tc>
        <w:tc>
          <w:tcPr>
            <w:tcW w:w="12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w:t>
            </w: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$110,432</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$102,173</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$96,795</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$86,536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$79,733</w:t>
            </w:r>
          </w:p>
        </w:tc>
      </w:tr>
      <w:tr>
        <w:trPr>
          <w:trHeight w:val="168"/>
        </w:trPr>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34</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34" w:name="page35"/>
    <w:bookmarkEnd w:id="34"/>
    <w:p>
      <w:pPr>
        <w:spacing w:after="0" w:line="1" w:lineRule="exact"/>
        <w:rPr>
          <w:sz w:val="20"/>
          <w:szCs w:val="20"/>
          <w:color w:val="auto"/>
        </w:rPr>
      </w:pPr>
    </w:p>
    <w:tbl>
      <w:tblPr>
        <w:tblLayout w:type="fixed"/>
        <w:tblInd w:w="350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3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As of December 31,</w:t>
            </w: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2001</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Balance Sheet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Real Estate at</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$2,104,304</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$1,854,913</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$1,721,459</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$1,642,136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$1,453,639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1,837,978</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1,621,079</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1,534,048</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1,484,317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1,316,573</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Mortgage and</w:t>
            </w: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and</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450,336</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340,152</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172,573</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173,480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221,573</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174,843</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209,005</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162,768</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263,159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119,028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410,000</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410,000</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510,000</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335,000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debentures</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75,289</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75,289</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75,289</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75,289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75,289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235,000</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100,000</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592,388</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467,654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501,827</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529,947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553,810</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2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2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21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40,071</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39,469</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40,201</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40,080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39,148</w:t>
            </w:r>
          </w:p>
        </w:tc>
      </w:tr>
    </w:tbl>
    <w:p>
      <w:pPr>
        <w:spacing w:after="0" w:line="341" w:lineRule="exact"/>
        <w:rPr>
          <w:sz w:val="20"/>
          <w:szCs w:val="20"/>
          <w:color w:val="auto"/>
        </w:rPr>
      </w:pPr>
    </w:p>
    <w:p>
      <w:pPr>
        <w:ind w:right="4640" w:firstLine="10"/>
        <w:spacing w:after="0" w:line="234" w:lineRule="auto"/>
        <w:tabs>
          <w:tab w:leader="none" w:pos="43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in accordance with Financial Accounting Standards Board Statement No. 95, Statement of Cash Flows.</w:t>
      </w:r>
    </w:p>
    <w:p>
      <w:pPr>
        <w:spacing w:after="0" w:line="173" w:lineRule="exact"/>
        <w:rPr>
          <w:rFonts w:ascii="Courier New" w:cs="Courier New" w:eastAsia="Courier New" w:hAnsi="Courier New"/>
          <w:sz w:val="15"/>
          <w:szCs w:val="15"/>
          <w:color w:val="auto"/>
        </w:rPr>
      </w:pPr>
    </w:p>
    <w:p>
      <w:pPr>
        <w:ind w:right="4020" w:firstLine="10"/>
        <w:spacing w:after="0" w:line="255" w:lineRule="auto"/>
        <w:tabs>
          <w:tab w:leader="none" w:pos="43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January 1, 2000, funds from operations is defined by the National Association of Real Estate Investment Trusts (NAREIT) as income available for common shareholders before depreciation and amortization of real estate assets and before extraordinary items less gains (losses) on sale of real estate. Prior to January 1, 2000 funds from operation also excluded significant nonrecurring events. Funds from operations differs from net cash provided by operating activities primarily because funds from operations does not include changes in operating assets and liabilities. Funds from operations is a supplemental measure of performance used in the real estate industry that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860"/>
          </w:cols>
          <w:pgMar w:left="220" w:top="953" w:right="819" w:bottom="1440" w:gutter="0" w:footer="0" w:header="0"/>
        </w:sectPr>
      </w:pPr>
    </w:p>
    <w:bookmarkStart w:id="35" w:name="page36"/>
    <w:bookmarkEnd w:id="35"/>
    <w:p>
      <w:pPr>
        <w:ind w:right="3940"/>
        <w:spacing w:after="0" w:line="234" w:lineRule="auto"/>
        <w:rPr>
          <w:sz w:val="20"/>
          <w:szCs w:val="20"/>
          <w:color w:val="auto"/>
        </w:rPr>
      </w:pPr>
      <w:r>
        <w:rPr>
          <w:rFonts w:ascii="Courier New" w:cs="Courier New" w:eastAsia="Courier New" w:hAnsi="Courier New"/>
          <w:sz w:val="15"/>
          <w:szCs w:val="15"/>
          <w:color w:val="auto"/>
        </w:rPr>
        <w:t>The calculation of funds from operations for the periods presented is reflected in the following table:</w:t>
      </w:r>
    </w:p>
    <w:p>
      <w:pPr>
        <w:spacing w:after="0" w:line="200" w:lineRule="exact"/>
        <w:rPr>
          <w:sz w:val="20"/>
          <w:szCs w:val="20"/>
          <w:color w:val="auto"/>
        </w:rPr>
      </w:pPr>
    </w:p>
    <w:p>
      <w:pPr>
        <w:spacing w:after="0" w:line="303" w:lineRule="exact"/>
        <w:rPr>
          <w:sz w:val="20"/>
          <w:szCs w:val="20"/>
          <w:color w:val="auto"/>
        </w:rPr>
      </w:pPr>
    </w:p>
    <w:tbl>
      <w:tblPr>
        <w:tblLayout w:type="fixed"/>
        <w:tblInd w:w="360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3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2001</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5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available for</w:t>
            </w: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$59,722</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$52,573</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$40,493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$37,010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$44,627</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54,350</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48,456</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45,388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41,792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37,281</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initial direct</w:t>
            </w: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leases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4,161</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3,514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2,491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2,249</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(Gain) loss on</w:t>
            </w: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real</w:t>
            </w: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estate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(9,185)</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(3,681)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7,050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(6,375)</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attributable to</w:t>
            </w: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partnership units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1,384</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831</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Non-recurring</w:t>
            </w: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4,665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1,951</w:t>
            </w:r>
          </w:p>
        </w:tc>
      </w:tr>
      <w:tr>
        <w:trPr>
          <w:trHeight w:val="168"/>
        </w:trPr>
        <w:tc>
          <w:tcPr>
            <w:tcW w:w="238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Funds from</w:t>
            </w:r>
          </w:p>
        </w:tc>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$110,432</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$102,173</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$96,795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$86,536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$79,733</w:t>
            </w:r>
          </w:p>
        </w:tc>
      </w:tr>
      <w:tr>
        <w:trPr>
          <w:trHeight w:val="168"/>
        </w:trPr>
        <w:tc>
          <w:tcPr>
            <w:tcW w:w="238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80" w:type="dxa"/>
            <w:vAlign w:val="bottom"/>
          </w:tcPr>
          <w:p>
            <w:pPr>
              <w:spacing w:after="0"/>
              <w:rPr>
                <w:sz w:val="24"/>
                <w:szCs w:val="24"/>
                <w:color w:val="auto"/>
              </w:rPr>
            </w:pPr>
          </w:p>
        </w:tc>
        <w:tc>
          <w:tcPr>
            <w:tcW w:w="21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36</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860"/>
          </w:cols>
          <w:pgMar w:left="220" w:top="624" w:right="81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 and</w:t>
      </w:r>
    </w:p>
    <w:p>
      <w:pPr>
        <w:ind w:left="180" w:hanging="170"/>
        <w:spacing w:after="0" w:line="237" w:lineRule="auto"/>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w:t>
      </w:r>
    </w:p>
    <w:p>
      <w:pPr>
        <w:ind w:left="180" w:hanging="170"/>
        <w:spacing w:after="0" w:line="237" w:lineRule="auto"/>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discussion should be read together with the Consolidated Financial Statements and Notes thereto of Federal Realty Investment Trust (the "Trust").</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 is engaged in the ownership, management, development and redevelopment of high quality retail and mixed-use properties. The Trust, which has traditionally acquired and redeveloped community and neighborhood shopping centers, expanded its investments to the development of urban mixed-used properties, beginning in 1997. Management continually evaluates the future prospects of its real estate portfolio, not only to identify expansion and renovation opportunities, but also to identify properties that no longer fit the Trust's investment criteria and therefore, should be monetized or exchanged into other real estate assets. At December 31, 2001 the Trust owned 120 retail properties and one apartment complex.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Actual results could differ from these estimates. The most significant accounting policies which involve the use of estimates and assumptions as to future uncertainties and, therefore, may result in actuals differing from estimates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 and Accounts Receivable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Leases with tenants are classified as operating leases. Minimum rents are recognized on a straight-line basis over the terms of the related leases net of valuation adjustments based on management's assessment of credit, collection and other business risk. The Trust makes estimates of the collectibility of its accounts receivable, related to base rents including straight line rentals, expense reimbursements and other revenue or income. In some cases the ultimate collectibility of these claims exceeds beyond a year. These estimates have a direct impact on the Trust's net income, because a higher bad debt reserve results in less net income.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Land, buildings and real estate under development are recorded at cost. Depreciation is computed using the straight-line method with useful lives ranging from three to 50 years on buildings and improvements. Maintenance and repair costs are charged to operations as incurred. Tenant work and other major improvements are capitalized and depreciated over the life of the</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7" w:name="page38"/>
    <w:bookmarkEnd w:id="37"/>
    <w:p>
      <w:pPr>
        <w:ind w:right="3499"/>
        <w:spacing w:after="0" w:line="236" w:lineRule="auto"/>
        <w:rPr>
          <w:sz w:val="20"/>
          <w:szCs w:val="20"/>
          <w:color w:val="auto"/>
        </w:rPr>
      </w:pPr>
      <w:r>
        <w:rPr>
          <w:rFonts w:ascii="Courier New" w:cs="Courier New" w:eastAsia="Courier New" w:hAnsi="Courier New"/>
          <w:sz w:val="15"/>
          <w:szCs w:val="15"/>
          <w:color w:val="auto"/>
        </w:rPr>
        <w:t>lease or their estimated useful life, respectively. Certain external and internal costs directly related to the development, redevelopment and leasing of real estate including applicable salaries and their related direct costs are capitalized. The capitalized costs associated with developments, redevelopments and leasing are depreciated or amortized over the life of the improvement and lease, respectively. Unamortized leasing costs and undepreciated tenant work are charged to operations if the applicable tenant vacates before the expiration of its lease.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when applicable as lessee, classifies its leases of land and buildings as operating or capital leases in accordance with the provisions of Statement of Financial Accounting Standard ("SFAS") No. 13, "Accounting for Leases". The Trust is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 is required to make subjective assessments as to the useful lives of its real estate for purposes of determining the amount of depreciation to reflect on an annual basis. These assessments have a direct impact on net income. Should the Trust lengthen the expected useful life of an asset, it would be depreciated over more years, resulting in less annual depreciation expense and higher annual net income. Likewise, the Trust must make subjective assumptions as to which costs should be capitalized. These assumptions have a direct impact on net income, because the capitalization of costs results in higher net income.</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costs on developments and major redevelopments are capitalized as part of the development and redevelopment. Capitalization of interest commences when development activities and expenditures begin and end upon completion, i.e. when the asset is ready for its intended used. Generally rental property is considered substantially complete and ready for its intended use upon completion of tenant improvements, but no later than one year from completion of major construction activity. The Trust makes judgments as to the time period over which to capitalize costs and these assumptions have a direct impact on net income. If the time period is extended, more interest is capitalized, thereby increasing net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evaluates the carrying value of its long-lived assets in accordance with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fair market value.</w:t>
      </w:r>
    </w:p>
    <w:p>
      <w:pPr>
        <w:spacing w:after="0" w:line="178"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The Trust is required to make estimates of undiscounted cash flows in determining whether there is an impairment. Actual results could be significantly different from the estimates. These estimates have a direct impact on net income, because taking an impairment results in a negative adjustment to net income.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Trust is involved in various lawsuits and environmental matters arising in the ordinary course of business. Management makes assumptions and estimates concerning the amount and likelihood of loss relating to these matters. These estimates and assumptions have a direct impact on net income, because the likelihood of loss and a higher amount of loss result in less net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Trust meets its liquidity requirements through net cash provided by operating activities, along with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At times, proceeds from the sale of selected assets may also provide an additional source of capital. From 1998 until November 2001, the Trust relied primarily on debt to fund these capital needs, and accordingly, debt as a percentage of total capitalization steadily increased over that period. In November 2001 the Trust issued $135 million of preferred stock. In the future, the Trust will look to common, preferred and joint-venture equity in addition to debt to fund longer term growth needs.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cash provided by operating activities was $108.5 million in 2001,</w:t>
      </w:r>
    </w:p>
    <w:p>
      <w:pPr>
        <w:spacing w:after="0" w:line="237" w:lineRule="auto"/>
        <w:rPr>
          <w:sz w:val="20"/>
          <w:szCs w:val="20"/>
          <w:color w:val="auto"/>
        </w:rPr>
      </w:pPr>
      <w:r>
        <w:rPr>
          <w:rFonts w:ascii="Courier New" w:cs="Courier New" w:eastAsia="Courier New" w:hAnsi="Courier New"/>
          <w:sz w:val="15"/>
          <w:szCs w:val="15"/>
          <w:color w:val="auto"/>
        </w:rPr>
        <w:t>$106.1 million in 2000, and $102.2 million in 1999, of which $80.6 million,</w:t>
      </w:r>
    </w:p>
    <w:p>
      <w:pPr>
        <w:spacing w:after="0" w:line="238" w:lineRule="auto"/>
        <w:rPr>
          <w:sz w:val="20"/>
          <w:szCs w:val="20"/>
          <w:color w:val="auto"/>
        </w:rPr>
      </w:pPr>
      <w:r>
        <w:rPr>
          <w:rFonts w:ascii="Courier New" w:cs="Courier New" w:eastAsia="Courier New" w:hAnsi="Courier New"/>
          <w:sz w:val="15"/>
          <w:szCs w:val="15"/>
          <w:color w:val="auto"/>
        </w:rPr>
        <w:t>$77.5 million, and $76.6 million, respectively, was distributed to</w:t>
      </w:r>
    </w:p>
    <w:p>
      <w:pPr>
        <w:spacing w:after="0" w:line="237" w:lineRule="auto"/>
        <w:rPr>
          <w:sz w:val="20"/>
          <w:szCs w:val="20"/>
          <w:color w:val="auto"/>
        </w:rPr>
      </w:pPr>
      <w:r>
        <w:rPr>
          <w:rFonts w:ascii="Courier New" w:cs="Courier New" w:eastAsia="Courier New" w:hAnsi="Courier New"/>
          <w:sz w:val="15"/>
          <w:szCs w:val="15"/>
          <w:color w:val="auto"/>
        </w:rPr>
        <w:t>shareholders. Contributions from newly acquired properties and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retenanted and redeveloped properties, as more fully described below, were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primary sources of these increases.</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Net cash used in investing activities was $232.1 million in 2001, $121.7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2000, and $99.3 million in 1999. The Trust acquired real estate</w:t>
      </w:r>
    </w:p>
    <w:p>
      <w:pPr>
        <w:spacing w:after="0" w:line="237" w:lineRule="auto"/>
        <w:rPr>
          <w:sz w:val="20"/>
          <w:szCs w:val="20"/>
          <w:color w:val="auto"/>
        </w:rPr>
      </w:pPr>
      <w:r>
        <w:rPr>
          <w:rFonts w:ascii="Courier New" w:cs="Courier New" w:eastAsia="Courier New" w:hAnsi="Courier New"/>
          <w:sz w:val="15"/>
          <w:szCs w:val="15"/>
          <w:color w:val="auto"/>
        </w:rPr>
        <w:t>assets totaling $52.8 million in 2001, $26.8 million in 2000, and $26.4</w:t>
      </w:r>
    </w:p>
    <w:p>
      <w:pPr>
        <w:spacing w:after="0" w:line="238" w:lineRule="auto"/>
        <w:rPr>
          <w:sz w:val="20"/>
          <w:szCs w:val="20"/>
          <w:color w:val="auto"/>
        </w:rPr>
      </w:pPr>
      <w:r>
        <w:rPr>
          <w:rFonts w:ascii="Courier New" w:cs="Courier New" w:eastAsia="Courier New" w:hAnsi="Courier New"/>
          <w:sz w:val="15"/>
          <w:szCs w:val="15"/>
          <w:color w:val="auto"/>
        </w:rPr>
        <w:t>million in 1999 requiring cash outlays of $61.4 million, $52.8 million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new assets and $8.6 million to purchase the capital lease obligation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Brick Plaza and to fund the buy-out of the minority partners' interests;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$23.6 million; and $25.3 million, respectively. During these same three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 expended an additional $199.1 million, $145.8 million, and $90.8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capital improvements to its properties, of which $158.0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$81.0 million in 2000 and $32.6 million in 1999 related to new</w:t>
      </w:r>
    </w:p>
    <w:p>
      <w:pPr>
        <w:spacing w:after="0" w:line="237" w:lineRule="auto"/>
        <w:rPr>
          <w:sz w:val="20"/>
          <w:szCs w:val="20"/>
          <w:color w:val="auto"/>
        </w:rPr>
      </w:pPr>
      <w:r>
        <w:rPr>
          <w:rFonts w:ascii="Courier New" w:cs="Courier New" w:eastAsia="Courier New" w:hAnsi="Courier New"/>
          <w:sz w:val="15"/>
          <w:szCs w:val="15"/>
          <w:color w:val="auto"/>
        </w:rPr>
        <w:t>development. The Trust received mortgage note repayments, net of funds</w:t>
      </w:r>
    </w:p>
    <w:p>
      <w:pPr>
        <w:spacing w:after="0" w:line="238" w:lineRule="auto"/>
        <w:rPr>
          <w:sz w:val="20"/>
          <w:szCs w:val="20"/>
          <w:color w:val="auto"/>
        </w:rPr>
      </w:pPr>
      <w:r>
        <w:rPr>
          <w:rFonts w:ascii="Courier New" w:cs="Courier New" w:eastAsia="Courier New" w:hAnsi="Courier New"/>
          <w:sz w:val="15"/>
          <w:szCs w:val="15"/>
          <w:color w:val="auto"/>
        </w:rPr>
        <w:t>invested, of $3.3 million in 2001 and $494,000 in 2000. The Trust invested,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of loan repayments, $2.3 million in 1999 in mortgage notes receivable.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stated interest rate on these loans was 10.0% for the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through 2001. Certain of these mortgages also participate in the gross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and appreciation and are convertible into ownership interests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 by which they are secured. Cash of $25.1 million in 2001, $47.2</w:t>
      </w:r>
    </w:p>
    <w:p>
      <w:pPr>
        <w:spacing w:after="0" w:line="237" w:lineRule="auto"/>
        <w:rPr>
          <w:sz w:val="20"/>
          <w:szCs w:val="20"/>
          <w:color w:val="auto"/>
        </w:rPr>
      </w:pPr>
      <w:r>
        <w:rPr>
          <w:rFonts w:ascii="Courier New" w:cs="Courier New" w:eastAsia="Courier New" w:hAnsi="Courier New"/>
          <w:sz w:val="15"/>
          <w:szCs w:val="15"/>
          <w:color w:val="auto"/>
        </w:rPr>
        <w:t>million in 2000 and $19.2 million in 1999 was received from the sale of</w:t>
      </w:r>
    </w:p>
    <w:p>
      <w:pPr>
        <w:spacing w:after="0" w:line="238" w:lineRule="auto"/>
        <w:rPr>
          <w:sz w:val="20"/>
          <w:szCs w:val="20"/>
          <w:color w:val="auto"/>
        </w:rPr>
      </w:pPr>
      <w:r>
        <w:rPr>
          <w:rFonts w:ascii="Courier New" w:cs="Courier New" w:eastAsia="Courier New" w:hAnsi="Courier New"/>
          <w:sz w:val="15"/>
          <w:szCs w:val="15"/>
          <w:color w:val="auto"/>
        </w:rPr>
        <w:t>properties.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39" w:name="page40"/>
    <w:bookmarkEnd w:id="39"/>
    <w:p>
      <w:pPr>
        <w:ind w:left="440"/>
        <w:spacing w:after="0"/>
        <w:rPr>
          <w:sz w:val="20"/>
          <w:szCs w:val="20"/>
          <w:color w:val="auto"/>
        </w:rPr>
      </w:pPr>
      <w:r>
        <w:rPr>
          <w:rFonts w:ascii="Courier New" w:cs="Courier New" w:eastAsia="Courier New" w:hAnsi="Courier New"/>
          <w:sz w:val="15"/>
          <w:szCs w:val="15"/>
          <w:color w:val="auto"/>
        </w:rPr>
        <w:t>During 2001 the Trust expended cash of $61.4 million to acquire real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and an additional $199.1 million to improve, redevelop and develop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real estate. Of the $199.1 million spent in 2001 on the Trust's</w:t>
      </w:r>
    </w:p>
    <w:p>
      <w:pPr>
        <w:spacing w:after="0" w:line="237" w:lineRule="auto"/>
        <w:rPr>
          <w:sz w:val="20"/>
          <w:szCs w:val="20"/>
          <w:color w:val="auto"/>
        </w:rPr>
      </w:pPr>
      <w:r>
        <w:rPr>
          <w:rFonts w:ascii="Courier New" w:cs="Courier New" w:eastAsia="Courier New" w:hAnsi="Courier New"/>
          <w:sz w:val="15"/>
          <w:szCs w:val="15"/>
          <w:color w:val="auto"/>
        </w:rPr>
        <w:t>existing real estate portfolio, approximately $158.0 million was invested in</w:t>
      </w:r>
    </w:p>
    <w:p>
      <w:pPr>
        <w:spacing w:after="0" w:line="238" w:lineRule="auto"/>
        <w:rPr>
          <w:sz w:val="20"/>
          <w:szCs w:val="20"/>
          <w:color w:val="auto"/>
        </w:rPr>
      </w:pPr>
      <w:r>
        <w:rPr>
          <w:rFonts w:ascii="Courier New" w:cs="Courier New" w:eastAsia="Courier New" w:hAnsi="Courier New"/>
          <w:sz w:val="15"/>
          <w:szCs w:val="15"/>
          <w:color w:val="auto"/>
        </w:rPr>
        <w:t>the Trust's development projects, primarily the projects in Bethesda,</w:t>
      </w:r>
    </w:p>
    <w:p>
      <w:pPr>
        <w:spacing w:after="0" w:line="237" w:lineRule="auto"/>
        <w:rPr>
          <w:sz w:val="20"/>
          <w:szCs w:val="20"/>
          <w:color w:val="auto"/>
        </w:rPr>
      </w:pPr>
      <w:r>
        <w:rPr>
          <w:rFonts w:ascii="Courier New" w:cs="Courier New" w:eastAsia="Courier New" w:hAnsi="Courier New"/>
          <w:sz w:val="15"/>
          <w:szCs w:val="15"/>
          <w:color w:val="auto"/>
        </w:rPr>
        <w:t>Maryland; San Jose, California; and in Arlington, Virginia. The remaining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million of capital expenditures relates to improvements to common areas,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work and various redevelopments, including the office expansion and</w:t>
      </w:r>
    </w:p>
    <w:p>
      <w:pPr>
        <w:spacing w:after="0" w:line="237" w:lineRule="auto"/>
        <w:rPr>
          <w:sz w:val="20"/>
          <w:szCs w:val="20"/>
          <w:color w:val="auto"/>
        </w:rPr>
      </w:pPr>
      <w:r>
        <w:rPr>
          <w:rFonts w:ascii="Courier New" w:cs="Courier New" w:eastAsia="Courier New" w:hAnsi="Courier New"/>
          <w:sz w:val="15"/>
          <w:szCs w:val="15"/>
          <w:color w:val="auto"/>
        </w:rPr>
        <w:t>retenanting of Willow Lawn Shopping Center, the renovation of Brunswick</w:t>
      </w:r>
    </w:p>
    <w:p>
      <w:pPr>
        <w:spacing w:after="0" w:line="238" w:lineRule="auto"/>
        <w:rPr>
          <w:sz w:val="20"/>
          <w:szCs w:val="20"/>
          <w:color w:val="auto"/>
        </w:rPr>
      </w:pPr>
      <w:r>
        <w:rPr>
          <w:rFonts w:ascii="Courier New" w:cs="Courier New" w:eastAsia="Courier New" w:hAnsi="Courier New"/>
          <w:sz w:val="15"/>
          <w:szCs w:val="15"/>
          <w:color w:val="auto"/>
        </w:rPr>
        <w:t>Shopping Center, the redevelopment of retail buildings in San Antonio, Texas</w:t>
      </w:r>
    </w:p>
    <w:p>
      <w:pPr>
        <w:spacing w:after="0" w:line="237" w:lineRule="auto"/>
        <w:rPr>
          <w:sz w:val="20"/>
          <w:szCs w:val="20"/>
          <w:color w:val="auto"/>
        </w:rPr>
      </w:pPr>
      <w:r>
        <w:rPr>
          <w:rFonts w:ascii="Courier New" w:cs="Courier New" w:eastAsia="Courier New" w:hAnsi="Courier New"/>
          <w:sz w:val="15"/>
          <w:szCs w:val="15"/>
          <w:color w:val="auto"/>
        </w:rPr>
        <w:t>and the redevelopment and retenanting of certain of the Trust's California</w:t>
      </w:r>
    </w:p>
    <w:p>
      <w:pPr>
        <w:spacing w:after="0" w:line="238" w:lineRule="auto"/>
        <w:rPr>
          <w:sz w:val="20"/>
          <w:szCs w:val="20"/>
          <w:color w:val="auto"/>
        </w:rPr>
      </w:pPr>
      <w:r>
        <w:rPr>
          <w:rFonts w:ascii="Courier New" w:cs="Courier New" w:eastAsia="Courier New" w:hAnsi="Courier New"/>
          <w:sz w:val="15"/>
          <w:szCs w:val="15"/>
          <w:color w:val="auto"/>
        </w:rPr>
        <w:t>street retail buildings.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On February 16, 2001 the Trust bought the fee interest underlying the capital lease obligation of $21.4 million,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March 1, 2001 the limited partners in two partnerships, owning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properties in southern California, exercised their rights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partnership agreements and put their interests to the Trust for $18.1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plus additional consideration to be determined based upon meeting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requirements in the future. The Trust paid the initial $18.1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 million in cash at closing and the $6.7 million balance in 328,116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to the limited partners on June 19, 2001. To date, leasing</w:t>
      </w:r>
    </w:p>
    <w:p>
      <w:pPr>
        <w:spacing w:after="0" w:line="237" w:lineRule="auto"/>
        <w:rPr>
          <w:sz w:val="20"/>
          <w:szCs w:val="20"/>
          <w:color w:val="auto"/>
        </w:rPr>
      </w:pPr>
      <w:r>
        <w:rPr>
          <w:rFonts w:ascii="Courier New" w:cs="Courier New" w:eastAsia="Courier New" w:hAnsi="Courier New"/>
          <w:sz w:val="15"/>
          <w:szCs w:val="15"/>
          <w:color w:val="auto"/>
        </w:rPr>
        <w:t>transactions have resulted in a purchase price adjustment of $188,000;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$160,000 of which was paid by the issuance of 7,120 common shares on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2001 and the remainder paid in cash. The Trust estimates that an additional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to $1.2 million will be owed to the limited partners upon completion of</w:t>
      </w:r>
    </w:p>
    <w:p>
      <w:pPr>
        <w:spacing w:after="0" w:line="237" w:lineRule="auto"/>
        <w:rPr>
          <w:sz w:val="20"/>
          <w:szCs w:val="20"/>
          <w:color w:val="auto"/>
        </w:rPr>
      </w:pPr>
      <w:r>
        <w:rPr>
          <w:rFonts w:ascii="Courier New" w:cs="Courier New" w:eastAsia="Courier New" w:hAnsi="Courier New"/>
          <w:sz w:val="15"/>
          <w:szCs w:val="15"/>
          <w:color w:val="auto"/>
        </w:rPr>
        <w:t>certain other leasing transactions.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connection with the buyout of the minority partner at Santana Row in a transaction being structured as a tax-free exchange the Trust made an equity investment of $2.6 million and a loan of $5.9 million to a partnership which purchased a building for $8.5 million. Upon consummation of the exchange in January 2002, the Trust received the minority interest in Santana Row in exchange for its $2.6 million investment in the building. The $5.9 million loan is due to the Trust on January 12, 2003.</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The proceeds from the sale were held by a qualified intermediary until the execution of a tax-free exchange for Friendship Center.</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September 21, 2001 the Trust purchased Friendship Center, a 119,000 square foot street retail property in Washington, D.C. for $33.4 million. The purchase price was funded from the proceeds from the sale of Williamsburg Shopping Center and a $17.0 million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mortgage loan.</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On December 18, 2001 the Trust sold the street retail property located at 101 E. Oak Street in Chicago, Illinois for $6.1 million resulting in a gain of $1.8 million. The proceeds from the sale are being held by a qualified intermediary for purposes of executing a tax-free property exchange.</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On December 30, 2001 the Trust exchanged its 90% interest in a street retail building in Forest Hills, New York to the minority partner in exchange for the minority partners 10% interest in three other street retail buildings in Forest Hills, New York resulting in an accounting loss of approximately $500,000.</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Net cash provided by financing activities, before dividend payments, was $210.4 million in 2001, $92.7 million in 2000, and $68.3 million in 1999. The Trust utilized the proceeds from the sale of Williamsburg Shopping Center, its syndicated credit facility and the construction loan for Santana Row to fund acquisitions, most capital expenditures and balloon debt repayments.</w:t>
      </w:r>
    </w:p>
    <w:p>
      <w:pPr>
        <w:spacing w:after="0" w:line="16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April 12, 2001 the Trust obtained a $33 million mortgage loan secured by Brick Plaza in Brick, New Jersey. The mortgage, which bears interest at 7.415%, matures November 15, 2015. The loan provides for interest only payments for the initial 29 months, then monthly principal and interest payments based on a twenty-seven year amortization schedule until the maturity date. The proceeds from the mortgage loan were used to fund the purchase of the fee interest of Brick Plaza.</w:t>
      </w:r>
    </w:p>
    <w:p>
      <w:pPr>
        <w:spacing w:after="0" w:line="176"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On April 17, 2001 the Trust closed on a $295 million construction loan for Santana Row in San Jose, California, which is described below.</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On May 3, 2001 the Trust refinanced the mortgage loan secured by Federal Plaza in Rockville, Maryland. The new $36.5 million mortgage loan bears interest at 6.75% and matures on June 1, 2011. The loan provides for monthly principal and interest payments of $236,700 based on a thirty year amortization schedule until the maturity date. The proceeds from the refinancing were first used to payoff the outstanding mortgage balance on the property of $26.5 million. The remaining proceeds were used to pay down the Trust's syndicated credit facility.</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August 30, 2001 the Trust refinanced the mortgage loan secured by Tysons Station in Falls Church, Virginia. The new $7.0 million mortgage bears interest at 7.4% and matures on September 1, 2011. The loan provides for monthly principal and interest payments of $51,300 based on a twenty-five year amortization schedule until the maturity date. The proceeds from the refinancing were first used to payoff the outstanding mortgage balance on the property of $3.9 million. The remaining proceeds were used to pay down on the Trust's syndicated credit facility.</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connection with the purchase of Friendship Center in Washington, D.C. on September 21, 2001 the Trust placed a $17.0 million mortgage on the property. The loan, which bears interest at LIBOR plus 135 basis points, matures September 22, 2003 with three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1" w:name="page42"/>
    <w:bookmarkEnd w:id="41"/>
    <w:p>
      <w:pPr>
        <w:ind w:right="3939"/>
        <w:spacing w:after="0" w:line="234" w:lineRule="auto"/>
        <w:rPr>
          <w:sz w:val="20"/>
          <w:szCs w:val="20"/>
          <w:color w:val="auto"/>
        </w:rPr>
      </w:pPr>
      <w:r>
        <w:rPr>
          <w:rFonts w:ascii="Courier New" w:cs="Courier New" w:eastAsia="Courier New" w:hAnsi="Courier New"/>
          <w:sz w:val="15"/>
          <w:szCs w:val="15"/>
          <w:color w:val="auto"/>
        </w:rPr>
        <w:t>one-year extension options. The loan provides for interest only payments through maturity.</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On November 19, 2001 the Trust issued 5.4 million 8.5% Series B Cumulative Redeemable Preferred Shares at $25 per share in a public offering, netting approximately $130.8 million. The proceeds from the share issuance were used to pay down the Trust's syndicated credit facility.</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 has a $300 million syndicated credit facility with seven banks which is due December 19, 2003. This facility requires fees and has various covenants including the maintenance of a minimum shareholders' equity and a maximum ratio of debt to net worth. At December 31, 2001, 2000 and 1999, $44.0 million, $78.0 million and $34.0 million, respectively, was borrowed under the syndicated credit facility. The maximum borrowed during 2001, 2000 and 1999 was $183.5 million, $218.1 million and $205.0 million, respectively. The weighted average interest rate on borrowings during 2001, 2000 and 1999 was 4.9%, 7.1% and 5.9%, respectively.</w:t>
      </w:r>
    </w:p>
    <w:p>
      <w:pPr>
        <w:spacing w:after="0" w:line="178"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In December 1998, the Trust obtained a four-year loan of $125 million from five institutional lenders. The loan requires fees and has the same covenants as the syndicated credit facility. In 2000, the loan was extended for an additional year to December 19, 2003. The weighted average interest rate on the term loan during 2001, 2000 and 1999 was 6.4%, 7.4% and 6.1%, respectively.</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order to minimize the risk of changes in interest rates the Trust will enter into derivative contracts, which qualify as cash flow hedges. During 2001, to hedge its exposure to interest rates on its $125 million term loan, the Trust entered into interest rate swaps, which fixed the LIBOR interest rate on the term loan at 5.27%. The current interest rate on the term loan is LIBOR plus 95 basis points thus fixing the interest rate at 6.22% on notional amounts totaling $125 million. The interest rate swaps mature concurrently with the $125 million term loan on December 19, 2003. There were no open hedge agreements at December 31, 2000.</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Capital requirements in 2002 will depend upon acquisition opportunities, the rate of build-out on the Trust's current developments and the level of improvements and redevelopments on existing properties. The Trust has budgeted approximately $240 million for 2002 for its Santana Row and Pentagon Row developments and $52 million for redevelopments and expansions of its existing portfolio, tenant work and improvements to the core portfolio. The Trust's syndicated credit facility, with $256 million available at December 31, 2001, and the $295 million Santana Row construction loan are anticipated to be sufficient to fund these needs.</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 will need additional capital in order to fund acquisitions, expansions and any new developments, including future phases of Santana Row, if any, and to refinance its maturing debt. Sources of this future funding may be additional debt, both secured and unsecured, additional equity and joint venture relationships.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Trust's long term debt has varying maturity dates and in a number of instances includes balloon payments or other contractual provisions that could require significant repayments during 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42" w:name="page43"/>
    <w:bookmarkEnd w:id="42"/>
    <w:p>
      <w:pPr>
        <w:ind w:right="3399"/>
        <w:spacing w:after="0" w:line="255" w:lineRule="auto"/>
        <w:rPr>
          <w:sz w:val="20"/>
          <w:szCs w:val="20"/>
          <w:color w:val="auto"/>
        </w:rPr>
      </w:pPr>
      <w:r>
        <w:rPr>
          <w:rFonts w:ascii="Courier New" w:cs="Courier New" w:eastAsia="Courier New" w:hAnsi="Courier New"/>
          <w:sz w:val="14"/>
          <w:szCs w:val="14"/>
          <w:color w:val="auto"/>
        </w:rPr>
        <w:t>particular period. In 2002, the $23.2 million construction loan on Woodmont East matures, unless the options to extend are exercised, as well as the $3.4 million note held in connection with the land held for future development in Hillsboro, Oregon and $25.0 million of Senior Notes. The next significant maturities occur in 2003 when $75.0 million of Senior Notes are due in October and the $17 million Friendship Center mortgage loan, if the option to extend is not exercised, is due in September. In addition, the Trust's syndicated credit facility and its $125 million term loan expire in December 2003.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 2002, the Trust's single largest capital use is anticipated to be the development of Santana Row, a multi-phase mixed-use project being built on 42 acres in San Jose, California in the heart of Silicon Valley. The project will consist of residential, retail and hotel components, creating a community with the feel of an urban district. Phase 1 of the project includes Santana Row, the "1,500 foot long main street" and nine buildings which will contain approximately 538,000 square feet of retail space, 501 residential units, a</w:t>
      </w:r>
    </w:p>
    <w:p>
      <w:pPr>
        <w:spacing w:after="0" w:line="2"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214 room hotel and the supporting infrastructure. Eight buildings comprising 440,000 square feet of retail space are expected to be completed during the third and fourth quarters of 2002 with the ninth building being completed twelve to eighteen months later. The total cost of Phase 1 is expected to be $475 million. As of December 31, 2001, the Trust has incurred costs of $229 million including the purchase of the land; the Trust estimates that it will spend approximately $225 million in 2002 and the balance in 2003 to complete the first phase of the project.</w:t>
      </w:r>
    </w:p>
    <w:p>
      <w:pPr>
        <w:spacing w:after="0" w:line="16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On April 17, 2001, the Trust closed on a $295 million construction loan. The loan, which initially bears interest at LIBOR plus 212.5 basis points, matures April 16, 2004 with two one-year extension options, subject to obtaining certain operating targets. The interest rate will decrease to LIBOR plus 187.5 basis points then to LIBOR plus 162.5 basis points upon the achievement of certain leasing, occupancy and net operating income hurdles. There is no assurance that these targets and hurdles will be met. The construction loan requires fees and has various covenants including the maintenance of a minimum shareholders' equity and a maximum ratio of debt to gross asset value. The initial funding of the construction loan took place on August 23, 2001 when the equity and pre-leasing requirements were met. As of December 31, 2001, $62.0 million was borrowed under the loan.</w:t>
      </w:r>
    </w:p>
    <w:p>
      <w:pPr>
        <w:spacing w:after="0" w:line="16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the Trust's control. These factors include among others, the demand for retail and residential space and at what rents, the ability to construct the current and later phases at reasonable costs, the cost of operations, including utilities and insurance, the availability and cost of capital and the general economy, particularly in the Silicon Valley.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Trust has not finalized the cost and scope for all future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3" w:name="page44"/>
    <w:bookmarkEnd w:id="43"/>
    <w:p>
      <w:pPr>
        <w:ind w:right="3399"/>
        <w:spacing w:after="0" w:line="256" w:lineRule="auto"/>
        <w:rPr>
          <w:sz w:val="20"/>
          <w:szCs w:val="20"/>
          <w:color w:val="auto"/>
        </w:rPr>
      </w:pPr>
      <w:r>
        <w:rPr>
          <w:rFonts w:ascii="Courier New" w:cs="Courier New" w:eastAsia="Courier New" w:hAnsi="Courier New"/>
          <w:sz w:val="14"/>
          <w:szCs w:val="14"/>
          <w:color w:val="auto"/>
        </w:rPr>
        <w:t>phases of Santana Row and will not do so until the success of Phase 1 and future demand for rental space can be determined. However, as Phase 1 utilizes only part of the retail and residential entitlements of the property, and as Phase 1 contains infrastructure for further phases, the Trust expects to identify and execute economically viable additional phases to the project.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On February 28, 2002 the Trust adopted a business plan which returns the Trust's primary focus to its traditional business of acquiring and redeveloping community and neighborhood shopping centers that are anchored by supermarkets, drug stores or high volume, value oriented retailers that provide consumer necessities. Concurrent with the adoption of the business plan, the Trust adopted a management succession plan and restructured its management team.</w:t>
      </w:r>
    </w:p>
    <w:p>
      <w:pPr>
        <w:spacing w:after="0" w:line="17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The Trust will complete Bethesda Row, Pentagon Row and Santana Row, but does not plan any new, large-scale, mixed-use, ground-up development projects. Rather, the Trust will return its focus to community and neighborhood shopping centers. The Trust will seek to acquire income producing centers, may seek opportunities to develop ground-up grocery anchored shopping centers in and around the Metropolitan Washington, D.C., Philadelphia and New York markets and will identify and execute redevelopment opportunities in its existing portfolio.</w:t>
      </w:r>
    </w:p>
    <w:p>
      <w:pPr>
        <w:spacing w:after="0" w:line="166"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Steven J. Guttman, the Trust's Chief Executive Officer and Chairman of the Board, will primarily devote his attention to the completion of Santana Row. Upon Mr. Guttman's planned retirement in March 2003, it is expected that Donald C. Wood will become Chief Executive Officer with Mr. Guttman remaining as Chairman of the Board. Effective March 1, 2002, the Trust combined functions of its previous Chief Investment Officer and Chief Financial Officer, and appointed Larry E. Finger, to the new executive office of Chief Financial Officer in charge of capital markets, investor relations and financial reporting. With the renewed emphasis on acquisitions, Jeffrey S. Berkes was appointed an executive officer, Senior Vice President - Strategic Transactions.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a result of the change in the Trust's business plan, the Trust estimates it will record a charge of $16 million to $18 million in the first quarter of 2002. The charge includes severance and other compensation costs related to the management restructuring as well as charges to write-down the Trust's Tanasbourne and other development projects to fair value since the Trust will hold the Tanasbourne project for sale. The Trust is re-evaluating the most effective way to realize value on these assets on a risk-adjusted return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4" w:name="page45"/>
    <w:bookmarkEnd w:id="44"/>
    <w:p>
      <w:pPr>
        <w:ind w:right="3399"/>
        <w:spacing w:after="0" w:line="237" w:lineRule="auto"/>
        <w:rPr>
          <w:sz w:val="20"/>
          <w:szCs w:val="20"/>
          <w:color w:val="auto"/>
        </w:rPr>
      </w:pPr>
      <w:r>
        <w:rPr>
          <w:rFonts w:ascii="Courier New" w:cs="Courier New" w:eastAsia="Courier New" w:hAnsi="Courier New"/>
          <w:sz w:val="15"/>
          <w:szCs w:val="15"/>
          <w:color w:val="auto"/>
        </w:rPr>
        <w:t>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Though not quantifiable until the project is completed, the combined damage claim is estimated to be in excess of $40.0 million.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general contractor the estimated cost of the project is now $92 million, if there is no recovery of damages from the original general contractor. The lawsuit against the original contractor is scheduled for mediation in May 2002, and, should mediation prove unsuccessful, is scheduled to go to trial in October 2002.</w:t>
      </w:r>
    </w:p>
    <w:p>
      <w:pPr>
        <w:spacing w:after="0" w:line="176"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other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an unaffiliated third party, has the right to require the Trust and the two other minority partners to purchase from half to all of Rockville Plaza Company's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reached an agreement with Rockville Plaza Company to acquire an additional 7.5% interest in Congressional Plaza in exchange for funding approximately $7 million of Rockville Plaza Company's share of the redevelopment cost. This funding will take place through 2002 and the transaction will be completed in 2003.</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the terms of five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for two of the partnerships,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 agreements, the partners may redeem their 904,589 operating units for cash or exchange into the same number of common shares of the Trust, at the option of the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Trust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of December 31, 2001 in connection with renovation and development projects, the Trust has contractual obligations of approximately $172 million, including approximately $154 million for Santana Row.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subcontractor of the Trust's Santana Row project has entered into a contract with a wood supply company in which a trustee of the Trust owns an indirect 9.7% interest. The contract provides for a payment to the company of approximately $330,000 for wood flooring. The dollar amount of the contract does not represent a material amount of business to the wood supply company. Terms of the contract were negotiated at arms-length.</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centerpiece of Santana Row is a four-star, 214 room boutique hotel. The Trust has entered into a 99 year ground lease with the hotel requiring minimum rent of $450,000 per annum with rental increases every five years and percentage rent on room, parking and other revenues. The Trust has committed to loan $7.2 million to the hotel. The loan bears interest at rates ranging from 12% to 15% and has a ten year term. During the first five years, interest is payable from cash flow, if available. If cash flow is not sufficient to pay interest, it will accrue and bear interest at the same rate as the initial principal. In addition, the Trust has committed approximately $5.5 million to four restaurant joint ventures at Santana Row in lieu of tenant allowances. The Trust will participate in profits, losses and cash flow in accordance with the terms of each individual venture.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gross tenant sales. These features in the Trust's leases reduce the Trust's exposure to higher costs caused by inflation and allow it to participate in improved tenant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vs. 2000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7.4 % from $260.7 million in 2000 to $279.9 million in 2001. On a same center basis, rental income increased 6.4%, due primarily to the favorable impact of redeveloped and retenanted centers, as well as, increases associated with lease rollovers and increased cost recoveries. Same center basis, in 2001, excludes Williamsburg Shopping Center in Williamsburg, Virginia and Peninsula Shopping Center in Palos Verdes, California which were sold on April 27, 2001 and June 30, 2000, respectively, as well as, properties acquired and properties under development in 2000 and 2001, including Friendship Center in Washington, D.C., Woodmont East in Bethesda, Maryland, Pentagon Row in Arlington, Virginia, 214 Wilshire Boulevard in Santa Monica, California and Town &amp; Country Shopping Center in San Jose, California, which was demolished to make way for the new Santana Row development.</w:t>
      </w:r>
    </w:p>
    <w:p>
      <w:pPr>
        <w:spacing w:after="0" w:line="164"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increased 26.3% from $11.1 million in 2000 to $14.0 million in 2001 due primarily to increases in lease termination fees of $1.2 million and parking income. On a same center basis, other property income increased 18.4%.</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Rental expenses increased 12.8% from $56.3 million in 2000 to $63.5 million in 2001. Increased leasing and marketing costs associated with the Trust's development projects, as well as operating costs associated with the Woodmont East project which was in service for a full year in 2001 were major components of this overall increase. Rental expense as a percentage of property income, rental income plus other property income, increased from 20.7% in 2000 to 21.6% in 2001. On a same center basis, rental expenses increased 4.4% from $54.5 million in 2000 to $57.0 million in 2001, primarily due to general cost increases along with increased property management costs in 2001.</w:t>
      </w:r>
    </w:p>
    <w:p>
      <w:pPr>
        <w:spacing w:after="0" w:line="17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Real estate taxes increased 8.1% from $26.6 million in 2000 to $28.8 million in 2001. On a same center basis, real estate taxes increased 9.3% due primarily to increased taxes on recently redeveloped properties.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47" w:name="page48"/>
    <w:bookmarkEnd w:id="47"/>
    <w:p>
      <w:pPr>
        <w:ind w:right="339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expenses increased 12.5% from $53.3 million in 2000 to $59.9 million in 2001 reflecting the impact of recent new development, tenant work and property redevelopments which were placed in service during the year.</w:t>
      </w:r>
    </w:p>
    <w:p>
      <w:pPr>
        <w:spacing w:after="0" w:line="175"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In 2001, the Trust incurred interest expense of $87.1 million, of which $17.8 million was capitalized, as compared to 2000's $79.7 million, of which $13.3 million was capitalized. The increase in interest expense reflects the additional debt issued to fund the Trust's acquisitions and capital improvement programs. To mitigate its exposure to changes in variable interest rates, the Trust has entered into interest rate swaps on its $125 million term loan which locks the LIBOR interest rate on this loan at 5.27%. The current interest rate on the term loan is LIBOR plus 95 basis points, thus fixing the interest rate at 6.22%. The weighted average interest rate was 7.6% in 2001 compared with 7.9% in 2000. The ratio of earnings to combined fixed charges and preferred dividends was 1.33x in 2001 and 1.40x in 2000. The ratio of earnings to fixed charges was 1.50x both in 2001 and 2000. The ratio of funds from operations to combined fixed charges and preferred dividends was 1.9x in 2001 and 2.0x in 2000.</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Administrative expenses increased from $13.3 million in 2000 to $14.3 million in 2001 due to increased personnel costs, legal and accounting fees. Administrative expenses as a percentage of revenue remained constant in 2001 and 2000 at 4.8%.</w:t>
      </w:r>
    </w:p>
    <w:p>
      <w:pPr>
        <w:spacing w:after="0" w:line="175"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overall $1.3 million decrease from $6.5 million in 2000 to $5.2 million in 2001 is due to the Trust's buy-out of the minority partners' in nine street retail buildings in southern California, thereby increasing the Trust's ownership to 100%.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On December 18, 2001 the Trust sold the street retail property located at 101 E. Oak Street in Chicago, Illinois for $6.1 million, resulting in a gain of $1.8 million. On December 30, 2001 the Trust exchanged its 90% interest in a street retail building in Forest Hills, New York to the minority partner in exchange for the minority partner's 10% interest in three other street retail buildings in Forest Hills, New York resulting in an accounting loss of approximately $500,000. On June 30, 2000, the Trust sold the 296,000 square foot Peninsula Shopping Center located in Palos Verdes, California for $48.6 million resulting in a gain of $3.7 million.</w:t>
      </w:r>
    </w:p>
    <w:p>
      <w:pPr>
        <w:spacing w:after="0" w:line="18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a result of the foregoing items, net income before gain on the sale of real estate increased from $56.8 million in 2000 to $59.6 million in 2001, while net income increased from $60.5 million in 2000 to $68.8 million in 2001 and net income available for common shareholders increased from $52.6 million to $59.7 million.</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Growth in net income in 2002 will continue to be primarily dependent on contributions from the core portfolio. Growth of net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48" w:name="page49"/>
    <w:bookmarkEnd w:id="48"/>
    <w:p>
      <w:pPr>
        <w:ind w:right="3239"/>
        <w:spacing w:after="0" w:line="255" w:lineRule="auto"/>
        <w:rPr>
          <w:sz w:val="20"/>
          <w:szCs w:val="20"/>
          <w:color w:val="auto"/>
        </w:rPr>
      </w:pPr>
      <w:r>
        <w:rPr>
          <w:rFonts w:ascii="Courier New" w:cs="Courier New" w:eastAsia="Courier New" w:hAnsi="Courier New"/>
          <w:sz w:val="14"/>
          <w:szCs w:val="14"/>
          <w:color w:val="auto"/>
        </w:rPr>
        <w:t>income from the core portfolio is, in part, dependent on the financial health of the Trust's tenants and on controlling expenses, some of which are beyond the complete control of the Trust, such as snow removal, insurance and real estate tax assessments and the general economy. The current weakening of the retail and overall economic environment could adversely impact the Trust by increasing vacancies and decreasing rents. In past weak retail and real estate environments, however, the Trust has been able to replace weak and bankrupt tenants with stronger tenants; management believes that due to the quality of the Trust's properties there will continue to be demand for its space. Growth in the core portfolio, however, will be offset by expenses at Santana Row. Leasing, marketing and pre-opening expenses at Santana Row prior to its scheduled opening in fall 2002 and additional depreciation and interest expense as the project is phased into operations will have a dilutive effect on 2002 earnings.</w:t>
      </w:r>
    </w:p>
    <w:p>
      <w:pPr>
        <w:spacing w:after="0" w:line="16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Growth in net income is also dependent on the amount of leverage and interest rates. The Trust's leverage is increasing as it finances its development projects. In addition, to the extent variable-rate debt is unhedged, the Trust will continue to have exposure to changes in market interest rates. If interest rates increase, net income and funds from operations, as well as the ultimate cost of the Trust's development projects, will be negatively impacted. Net income available for common shareholders and funds from operations will also be reduced by the issuance of the 8.5% Series B Cumulative Redeemable Preferred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vs. 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6.0 % from $245.8 million in 1999 to $260.7 million in 2000. On a same center basis, rental income increased 7.7%, due primarily to the favorable impact of redeveloped and retenanted centers, as well as increases associated with lease rollovers. Same center basis, in 2000, excludes properties acquired in 2000 and 1999, Peninsula Shopping Center in Palos Verdes, California and Northeast Plaza in Atlanta, Georgia which were sold on June 30, 2000 and October 18, 1999, respectively and properties developed in 2000 and 1999, including Bethesda Row Phase 3 in Bethesda, Maryland, Old Town in Los Gatos, California and Town &amp; Country Shopping Center in San Jose, California which was vacated as the Santana Row development began.</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remained constant in 2000 compared to 1999. On a same center basis, other property income decreased $473,000 in 2000 compared to 1999, due mostly to decreases in lease termination fees.</w:t>
      </w:r>
    </w:p>
    <w:p>
      <w:pPr>
        <w:spacing w:after="0" w:line="17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Rental expenses increased 4.8% from $53.7 million in 1999 to $56.3 million in 2000. Rental expense as a percentage of property income, rental income plus other property income, remained constant in both periods at 21%. On a same center basis, rental</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49" w:name="page50"/>
    <w:bookmarkEnd w:id="49"/>
    <w:p>
      <w:pPr>
        <w:ind w:right="3499"/>
        <w:spacing w:after="0" w:line="235" w:lineRule="auto"/>
        <w:rPr>
          <w:sz w:val="20"/>
          <w:szCs w:val="20"/>
          <w:color w:val="auto"/>
        </w:rPr>
      </w:pPr>
      <w:r>
        <w:rPr>
          <w:rFonts w:ascii="Courier New" w:cs="Courier New" w:eastAsia="Courier New" w:hAnsi="Courier New"/>
          <w:sz w:val="15"/>
          <w:szCs w:val="15"/>
          <w:color w:val="auto"/>
        </w:rPr>
        <w:t>expenses increased 6.0% from $49.6 million in 1999 to $52.6 million in 2000, primarily due to general cost increases along with increased snow removal and utility costs in 2000.</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Real estate taxes increased 6.4% from $25.0 million in 1999 to $26.6 million in 2000. On a same center basis, real estate taxes increased 5.9% due primarily to increased taxes on recently redeveloped properties.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expenses increased 6.5% from $50.0 million in 1999 to $53.3 million in 2000 reflecting the impact of recent tenant work and property improvements.</w:t>
      </w:r>
    </w:p>
    <w:p>
      <w:pPr>
        <w:spacing w:after="0" w:line="174"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In 2000, the Trust incurred interest expense of $79.7 million, of which $13.3 million was capitalized, as compared to 1999's $68.4 million, of which $6.9 million was capitalized. The increase in interest expense reflects the additional debt issued to fund the Trust's share repurchase and capital improvement programs and increased borrowing costs. The weighted average interest rate was 7.9% in 2000 compared with 7.6% in 1999. The ratio of earnings to combined fixed charges and preferred dividends was 1.40x in 2000 and 1.52x in 1999. The ratio of earnings to fixed charges was 1.50x in 2000 and 1.70x in 1999. The ratio of funds from operations to combined fixed charges and preferred dividends was 2.0x in 2000 and 2.2x in 1999.</w:t>
      </w:r>
    </w:p>
    <w:p>
      <w:pPr>
        <w:spacing w:after="0" w:line="165"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Administrative expenses decreased from $15.1 million in 1999 to $13.3 million in 2000. In 1999 the Trust incurred expenses of approximately $2.8 million related to a terminated merger transaction. The decrease in these costs was offset by increased personnel costs and several key new hires. The tight labor market in the Trust's operating regions resulted in higher compensation costs both to existing and new employees.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majority of the $2.6 million increase from $3.9 million in 1999 to $6.5 million in 2000 is due to the allocation of operating losses to minority owners in 1999 and 1998 in accordance with the respective partnership agreements. The remainder of the increase represents the minority partners' share of increased earnings in certain shopping center and street retail assets.</w:t>
      </w:r>
    </w:p>
    <w:p>
      <w:pPr>
        <w:spacing w:after="0" w:line="176"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On June 30, 2000, the Trust sold the 296,000 square foot Peninsula Shopping Center located in Palos Verdes, California for $48.6 million resulting in a gain of $3.7 million. During the second quarter of 1999, the Trust recorded a $7.1 million charge, representing the estimated loss on a potential sale of certain assets, principally Northeast Plaza in Atlanta, Georgia, thereby valuing the assets at their estimated fair value less estimated costs to sell. On October 18, 1999, the Trust sold Northeast Plaza for $19.6 million, realizing a loss of $6.3 million.</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As a result of the foregoing items, net income before gain (loss) on the sale of real estate increased from $55.5 million in 1999 to $56.8 million in 2000, while net income increased from $48.4 million in 1999 to $60.5 million in 2000 and net income available for common shareholders increased from $40.5 million to</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$52.6 million.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Trust's operating structure is organized on an asset management model, where small focused teams are responsible for a portfolio of assets. The Trust has divided its portfolio of properties into three geographic operating regions: Northeast, Mid-Atlantic and West. Each region is operated under the direction of a chief operating officer, with dedicated leasing, property management and financial staff and operates largely autonomously with respect to day to day operating decisions. Incentive compensation, throughout the regional teams, is tied to the net operating income of the respective portfolios.</w:t>
      </w:r>
    </w:p>
    <w:p>
      <w:pPr>
        <w:spacing w:after="0" w:line="178"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ind w:left="3500"/>
        <w:spacing w:after="0"/>
        <w:tabs>
          <w:tab w:leader="none" w:pos="4720" w:val="left"/>
          <w:tab w:leader="none" w:pos="59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5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Northeast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$120,313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$113,078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$102,452</w:t>
            </w:r>
          </w:p>
        </w:tc>
      </w:tr>
      <w:tr>
        <w:trPr>
          <w:trHeight w:val="168"/>
        </w:trPr>
        <w:tc>
          <w:tcPr>
            <w:tcW w:w="25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Mid-Atlantic</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124,765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114,371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111,624</w:t>
            </w:r>
          </w:p>
        </w:tc>
      </w:tr>
      <w:tr>
        <w:trPr>
          <w:trHeight w:val="168"/>
        </w:trPr>
        <w:tc>
          <w:tcPr>
            <w:tcW w:w="25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West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34,857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31,757</w:t>
            </w:r>
          </w:p>
        </w:tc>
      </w:tr>
      <w:tr>
        <w:trPr>
          <w:trHeight w:val="168"/>
        </w:trPr>
        <w:tc>
          <w:tcPr>
            <w:tcW w:w="258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Total</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$279,935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$260,684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$245,833</w:t>
            </w:r>
          </w:p>
        </w:tc>
      </w:tr>
      <w:tr>
        <w:trPr>
          <w:trHeight w:val="168"/>
        </w:trPr>
        <w:tc>
          <w:tcPr>
            <w:tcW w:w="258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5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Northeast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$86,512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$79,685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$74,276</w:t>
            </w:r>
          </w:p>
        </w:tc>
      </w:tr>
      <w:tr>
        <w:trPr>
          <w:trHeight w:val="168"/>
        </w:trPr>
        <w:tc>
          <w:tcPr>
            <w:tcW w:w="25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Mid-Atlantic</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92,086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84,346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81,425</w:t>
            </w:r>
          </w:p>
        </w:tc>
      </w:tr>
      <w:tr>
        <w:trPr>
          <w:trHeight w:val="168"/>
        </w:trPr>
        <w:tc>
          <w:tcPr>
            <w:tcW w:w="25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West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23,061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24,818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22,665</w:t>
            </w:r>
          </w:p>
        </w:tc>
      </w:tr>
      <w:tr>
        <w:trPr>
          <w:trHeight w:val="168"/>
        </w:trPr>
        <w:tc>
          <w:tcPr>
            <w:tcW w:w="258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Total</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$201,659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$188,849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$178,366</w:t>
            </w:r>
          </w:p>
        </w:tc>
      </w:tr>
      <w:tr>
        <w:trPr>
          <w:trHeight w:val="168"/>
        </w:trPr>
        <w:tc>
          <w:tcPr>
            <w:tcW w:w="258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Northeast region is comprised of 52 assets, extending from suburban Philadelphia north to New York and its suburbs into New England and west to Illinois and Michigan. A significant portion of this portfolio has been held by the Trust for many years although acquisitions, redevelopment and retenanting remain major components to the current and future performance of the region. Several redevelopment projects were completed in 2000 and 2001, which enhanced revenues and net operating income in 2001.</w:t>
      </w:r>
    </w:p>
    <w:p>
      <w:pPr>
        <w:spacing w:after="0" w:line="17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When comparing 2001 with 2000, rental income, on an overall and same center basis, increased 6.4% from $113.1 million in 2000 to $120.3 million in 2001, primarily due to increases at recently redeveloped and retenanted shopping centers and street retail properties, such as Greenlawn, Blue Star, Brunswick, Ellisburg, Fresh Meadows and Austin Street.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1" w:name="page52"/>
    <w:bookmarkEnd w:id="51"/>
    <w:p>
      <w:pPr>
        <w:ind w:right="3319" w:firstLine="437"/>
        <w:spacing w:after="0" w:line="256" w:lineRule="auto"/>
        <w:rPr>
          <w:sz w:val="20"/>
          <w:szCs w:val="20"/>
          <w:color w:val="auto"/>
        </w:rPr>
      </w:pPr>
      <w:r>
        <w:rPr>
          <w:rFonts w:ascii="Courier New" w:cs="Courier New" w:eastAsia="Courier New" w:hAnsi="Courier New"/>
          <w:sz w:val="14"/>
          <w:szCs w:val="14"/>
          <w:color w:val="auto"/>
        </w:rPr>
        <w:t>Net operating income increased 8.6% from $79.7 million in 2000 to $86.5 million in 2001, primarily due to increases at the recently redeveloped and retenanted shopping centers and street retail properties, as well as, increased lease termination fees of $1.0 million in 2001 over 2000's $265,000.</w:t>
      </w:r>
    </w:p>
    <w:p>
      <w:pPr>
        <w:spacing w:after="0" w:line="164"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When comparing 2000 with 1999, rental income increased 10% from $102.5 million in 1999 to $113.1 million in 2000. Excluding Greenlawn Plaza in Greenlawn, New York which was acquired on January 5, 2000, on a same center basis, rental income also increased 10%, primarily due to increases at the recently redeveloped and retenanted shopping centers such as, Bala Cynwyd, Lawrence Park, Gratiot, Langhorne Square, and Wynnewood.</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operating income increased 7% from $74.3 million in 1999 to $79.7 million in 2000. Excluding Greenlawn Plaza in Greenlawn, New York which was acquired on January 5, 2000, on a same center basis, net operating income also increased 7%, primarily due to increases at the recently redeveloped and retenanted Bala Cynwyd, Lawrence Park, Gratiot, Langhorne Square, and Wynnewood shopping centers.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Mid-Atlantic region is comprised of 32 assets, including Pentagon Row, the final phase of which is currently under development, extending from Baltimore south to metropolitan Washington, D.C. and further south through Virginia and North Carolina into Florida. As with the Northeast region, a significant portion of this portfolio has been held by the Trust for many years although acquisitions, new development, redevelopment and retenanting remain major components to its current and future performance.</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When comparing 2001 with 2000, rental income increased 9.1% from $114.4 million in 2000 to $124.8 million in 2001 reflecting the contribution from the recently completed Woodmont East project in Bethesda, Maryland, the rental income generated from the first three buildings at the Pentagon Row project in Arlington, Virginia and the September 21, 2001 acquisition of Friendship Center in Washington, D.C. On a same center basis, which excludes Woodmont East, Pentagon Row, Friendship Center and Williamsburg Shopping Center, which was sold on April 27, 2001, rental income increased 4.3% from $112.4 million in 2000 to $117.2 million in 2001.</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Net operating income increased 9.2% from $84.3 million in 2000 to $92.1 million in 2001. On a same center basis as defined above, net operating income increased 5.2% from $82.9 million in 2000 to $87.1 million in 2001 due primarily to successful anchor, small shop and office leasing.</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When comparing 2000 with 1999, rental income increased 3% from $111.6 million in 1999 to $114.4 million in 2000. On a same center basis, excluding Northeast Plaza in Atlanta, Georgia which was sold in 1999 and the recently developed Phase 3 of the Bethesda Row project in Bethesda, Maryland, rental income increased 4%, due in part to new anchor leases at several centers. Net operating income increased 4% from $81.4 million in 1999 to $84.3 million in 2000. 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52" w:name="page53"/>
    <w:bookmarkEnd w:id="52"/>
    <w:p>
      <w:pPr>
        <w:ind w:right="3399"/>
        <w:spacing w:after="0" w:line="234" w:lineRule="auto"/>
        <w:rPr>
          <w:sz w:val="20"/>
          <w:szCs w:val="20"/>
          <w:color w:val="auto"/>
        </w:rPr>
      </w:pPr>
      <w:r>
        <w:rPr>
          <w:rFonts w:ascii="Courier New" w:cs="Courier New" w:eastAsia="Courier New" w:hAnsi="Courier New"/>
          <w:sz w:val="15"/>
          <w:szCs w:val="15"/>
          <w:color w:val="auto"/>
        </w:rPr>
        <w:t>a same center basis as above, net operating income increased 5%, due primarily to new anchor leases and lease termination fees.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West region is comprised of 37 assets, including Santana Row which is currently under development, extending from Texas to the West Coast. Unlike the Northeast and Mid-Atlantic regions, this portfolio is relatively new to the Trust and is part of a deliberate expansion west over the past several years. This region is the fastest growing at the Trust and includes the Trust's largest new development project, Santana Row in San Jose, California. Several redevelopment projects were completed in 2000 and 2001 which contributed to revenues and net operating income in 2001 and will for future years as well.</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When comparing 2001 with 2000, on a same center basis, which excludes properties acquired and sold in 2001 and 2000 and Santana Row, which is currently under development, rental income increased 14.9% from $28.9 million in 2000 to $33.2 million in 2001, due primarily to increases from recently redeveloped and retenanted properties in Los Angeles and San Francisco, California. On an overall basis, which includes the impact of the sale of Peninsula Shopping Center on June 30, 2000, rental income increased 4.9% from $33.2 million in 2000 to $34.9 million in 2001.</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a same center basis as defined above, net operating income increased 10.9% from $22.0 million in 2000 to $24.4 million in 2001, primarily due to the recently redeveloped and retenanted properties in Los Angeles and San Francisco, California. Overall net operating income decreased 7.1% from $24.8 million in 2000 to $23.1 million in 2001, again reflecting the sale of Peninsula Shopping Center and the marketing and leasing costs associated with the Santana Row development.</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When comparing 2000 with 1999 on a same center basis, which excludes newly developed properties, Santana Row, which is currently under development, and properties sold and acquired since January 1, 1999, rental income increased 20% from $19.7 million in 1999 to $23.5 million in 2000, due primarily to recently redeveloped and retenanted properties in the Los Angeles and San Francisco, California areas. On an overall basis, which includes the impact of the sale of Peninsula Shopping Center on June 30, 2000 and the temporary reduction in earnings caused by the demolition of the old Town &amp; Country Shopping Center to make way for the new Santana Row development, rental income increased 5% from $31.8 million in 1999 to $33.2 million in 2000.</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the same center basis as defined above, net operating income increased 25% from $14.2 million in 1999 to $17.8 million in 2000, due to increases from the recently redeveloped and retenanted properties in the Los Angeles and San Francisco, California areas. Overall net operating income increased 10% from $22.7 million in 1999 to $24.8 million in 2000, again reflecting the sale of Peninsula Shopping Center and the temporary reduction in earnings caused by the Santana Row development.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Funds from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 has historically reported its funds from operations in addition to its net income and net cash provided by operating activities. Funds from operations is a supplemental measure of real estate companies' operating performance. As of January 1, 2000, the National Association of Real Estate Investment Trusts (NAREIT) defines funds from operations as follows: income available for common shareholders before depreciation and amortization of real estate assets and before extraordinary items less gains (losses) on sale of real estate. Prior to January 1, 2000, funds from operations also excluded significant nonrecurring events.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63"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The reconciliation of net income to funds from operations is as follows (in thousands):</w:t>
      </w:r>
    </w:p>
    <w:p>
      <w:pPr>
        <w:spacing w:after="0" w:line="16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Year ended December 31,</w:t>
      </w:r>
    </w:p>
    <w:p>
      <w:pPr>
        <w:ind w:left="4380"/>
        <w:spacing w:after="0" w:line="237" w:lineRule="auto"/>
        <w:tabs>
          <w:tab w:leader="none" w:pos="5420" w:val="left"/>
          <w:tab w:leader="none" w:pos="64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$59,722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$52,573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$40,493</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of real</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estate assets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54,350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48,456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45,388</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Amortization of initial direct costs of</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3,033</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attributable to operating</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partnership units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(Gain) loss on sale of</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(9,185)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7,050</w:t>
            </w:r>
          </w:p>
        </w:tc>
      </w:tr>
      <w:tr>
        <w:trPr>
          <w:trHeight w:val="168"/>
        </w:trPr>
        <w:tc>
          <w:tcPr>
            <w:tcW w:w="37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for common</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$110,432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$102,173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$96,795</w:t>
            </w:r>
          </w:p>
        </w:tc>
      </w:tr>
      <w:tr>
        <w:trPr>
          <w:trHeight w:val="168"/>
        </w:trPr>
        <w:tc>
          <w:tcPr>
            <w:tcW w:w="37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ind w:left="3340"/>
              <w:spacing w:after="0"/>
              <w:rPr>
                <w:sz w:val="20"/>
                <w:szCs w:val="20"/>
                <w:color w:val="auto"/>
              </w:rPr>
            </w:pPr>
            <w:r>
              <w:rPr>
                <w:rFonts w:ascii="Courier New" w:cs="Courier New" w:eastAsia="Courier New" w:hAnsi="Courier New"/>
                <w:sz w:val="15"/>
                <w:szCs w:val="15"/>
                <w:color w:val="auto"/>
              </w:rPr>
              <w:t>54</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4" w:name="page55"/>
    <w:bookmarkEnd w:id="54"/>
    <w:p>
      <w:pPr>
        <w:spacing w:after="0"/>
        <w:tabs>
          <w:tab w:leader="none" w:pos="104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Trust's primary financial market risk is the fluctuation in interest rates. At December 31, 2001, the Trust had $97.0 million of variable rate debt, not including $62.0 million in variable rate construction loans of which the interest is capitalized to the development project. Based upon this balance of variable operating debt, if interest rates increased 1%, the Trust's earnings and cash flows would decrease by approximately $1.0 million. If interest rates decreased 1%, the Trust's earnings and cash flows would increase by approximately $1.0 million. The Trust believes that the change in the fair value of its financial instruments resulting from a forseeable fluctuation in interest rates would be immaterial to its total assets and total liabilities.</w:t>
      </w:r>
    </w:p>
    <w:p>
      <w:pPr>
        <w:spacing w:after="0" w:line="15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ind w:left="180" w:hanging="170"/>
        <w:spacing w:after="0" w:line="237" w:lineRule="auto"/>
        <w:tabs>
          <w:tab w:leader="none" w:pos="1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Item 14.</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line="5" w:lineRule="exact"/>
        <w:rPr>
          <w:sz w:val="20"/>
          <w:szCs w:val="20"/>
          <w:color w:val="auto"/>
        </w:rPr>
      </w:pPr>
    </w:p>
    <w:p>
      <w:pPr>
        <w:ind w:left="180" w:hanging="170"/>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Financial Disclosure.</w:t>
      </w:r>
    </w:p>
    <w:p>
      <w:pPr>
        <w:ind w:left="180" w:hanging="170"/>
        <w:spacing w:after="0" w:line="237" w:lineRule="auto"/>
        <w:tabs>
          <w:tab w:leader="none" w:pos="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55" w:name="page56"/>
    <w:bookmarkEnd w:id="55"/>
    <w:p>
      <w:pPr>
        <w:ind w:left="3160"/>
        <w:spacing w:after="0"/>
        <w:rPr>
          <w:sz w:val="20"/>
          <w:szCs w:val="20"/>
          <w:color w:val="auto"/>
        </w:rPr>
      </w:pPr>
      <w:r>
        <w:rPr>
          <w:rFonts w:ascii="Courier New" w:cs="Courier New" w:eastAsia="Courier New" w:hAnsi="Courier New"/>
          <w:sz w:val="15"/>
          <w:szCs w:val="15"/>
          <w:color w:val="auto"/>
        </w:rPr>
        <w:t>Part III</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firstLine="360"/>
        <w:spacing w:after="0" w:line="235" w:lineRule="auto"/>
        <w:tabs>
          <w:tab w:leader="none" w:pos="10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identifying the Trust's Trustees under the caption "Election of Trustees" of the 2002 Proxy Statement is incorporated herein by reference.</w:t>
      </w:r>
    </w:p>
    <w:p>
      <w:pPr>
        <w:spacing w:after="0" w:line="173" w:lineRule="exact"/>
        <w:rPr>
          <w:rFonts w:ascii="Courier New" w:cs="Courier New" w:eastAsia="Courier New" w:hAnsi="Courier New"/>
          <w:sz w:val="15"/>
          <w:szCs w:val="15"/>
          <w:color w:val="auto"/>
        </w:rPr>
      </w:pPr>
    </w:p>
    <w:p>
      <w:pPr>
        <w:ind w:right="3319" w:firstLine="360"/>
        <w:spacing w:after="0" w:line="234" w:lineRule="auto"/>
        <w:tabs>
          <w:tab w:leader="none" w:pos="10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this item is included in this report at Item 1 under the caption "Executive Officers of the Registrant".</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sections entitled "Summary Compensation Table" and "Aggregated Option Exercises in 2001 and December 31, 2001 Option Values" of the 2002 Proxy Statement are incorporated herein by reference.</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sections entitled "Ownership of Shares by Certain Beneficial Owners" and "Ownership of Shares by Trustees and Officers" of the 2002 Proxy Statement are incorporated herein by reference.</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section entitled "Certain Relationships and Related Transactions" of the 2002 Proxy Statement is incorporated herein by reference.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56" w:name="page57"/>
    <w:bookmarkEnd w:id="56"/>
    <w:p>
      <w:pPr>
        <w:ind w:left="3160"/>
        <w:spacing w:after="0"/>
        <w:rPr>
          <w:sz w:val="20"/>
          <w:szCs w:val="20"/>
          <w:color w:val="auto"/>
        </w:rPr>
      </w:pPr>
      <w:r>
        <w:rPr>
          <w:rFonts w:ascii="Courier New" w:cs="Courier New" w:eastAsia="Courier New" w:hAnsi="Courier New"/>
          <w:sz w:val="15"/>
          <w:szCs w:val="15"/>
          <w:color w:val="auto"/>
        </w:rPr>
        <w:t>Part IV</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w:t>
      </w:r>
    </w:p>
    <w:p>
      <w:pPr>
        <w:spacing w:after="0"/>
        <w:tabs>
          <w:tab w:leader="none" w:pos="12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Schedules, and Reports on</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Form 8-K</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hanging="790"/>
        <w:spacing w:after="0"/>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w:t>
            </w:r>
          </w:p>
        </w:tc>
        <w:tc>
          <w:tcPr>
            <w:tcW w:w="1540" w:type="dxa"/>
            <w:vAlign w:val="bottom"/>
          </w:tcPr>
          <w:p>
            <w:pPr>
              <w:spacing w:after="0"/>
              <w:rPr>
                <w:sz w:val="14"/>
                <w:szCs w:val="14"/>
                <w:color w:val="auto"/>
              </w:rPr>
            </w:pPr>
          </w:p>
        </w:tc>
      </w:tr>
      <w:tr>
        <w:trPr>
          <w:trHeight w:val="168"/>
        </w:trPr>
        <w:tc>
          <w:tcPr>
            <w:tcW w:w="3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Public Accountants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w:t>
            </w:r>
          </w:p>
        </w:tc>
      </w:tr>
      <w:tr>
        <w:trPr>
          <w:trHeight w:val="33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54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2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 and 2000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154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Operations -</w:t>
            </w:r>
          </w:p>
        </w:tc>
        <w:tc>
          <w:tcPr>
            <w:tcW w:w="2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ended</w:t>
            </w:r>
          </w:p>
        </w:tc>
        <w:tc>
          <w:tcPr>
            <w:tcW w:w="15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2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2001, 2000</w:t>
            </w:r>
          </w:p>
        </w:tc>
        <w:tc>
          <w:tcPr>
            <w:tcW w:w="15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1999</w:t>
            </w:r>
          </w:p>
        </w:tc>
        <w:tc>
          <w:tcPr>
            <w:tcW w:w="25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Statements of Common</w:t>
            </w:r>
          </w:p>
        </w:tc>
        <w:tc>
          <w:tcPr>
            <w:tcW w:w="1540" w:type="dxa"/>
            <w:vAlign w:val="bottom"/>
          </w:tcPr>
          <w:p>
            <w:pPr>
              <w:spacing w:after="0"/>
              <w:rPr>
                <w:sz w:val="24"/>
                <w:szCs w:val="24"/>
                <w:color w:val="auto"/>
              </w:rPr>
            </w:pPr>
          </w:p>
        </w:tc>
      </w:tr>
      <w:tr>
        <w:trPr>
          <w:trHeight w:val="168"/>
        </w:trPr>
        <w:tc>
          <w:tcPr>
            <w:tcW w:w="3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 Equity - years</w:t>
            </w:r>
          </w:p>
        </w:tc>
        <w:tc>
          <w:tcPr>
            <w:tcW w:w="1540" w:type="dxa"/>
            <w:vAlign w:val="bottom"/>
          </w:tcPr>
          <w:p>
            <w:pPr>
              <w:spacing w:after="0"/>
              <w:rPr>
                <w:sz w:val="14"/>
                <w:szCs w:val="14"/>
                <w:color w:val="auto"/>
              </w:rPr>
            </w:pPr>
          </w:p>
        </w:tc>
      </w:tr>
      <w:tr>
        <w:trPr>
          <w:trHeight w:val="168"/>
        </w:trPr>
        <w:tc>
          <w:tcPr>
            <w:tcW w:w="3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December 31, 2001, 2000</w:t>
            </w:r>
          </w:p>
        </w:tc>
        <w:tc>
          <w:tcPr>
            <w:tcW w:w="15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1999</w:t>
            </w:r>
          </w:p>
        </w:tc>
        <w:tc>
          <w:tcPr>
            <w:tcW w:w="25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154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Flows -</w:t>
            </w:r>
          </w:p>
        </w:tc>
        <w:tc>
          <w:tcPr>
            <w:tcW w:w="2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ended</w:t>
            </w:r>
          </w:p>
        </w:tc>
        <w:tc>
          <w:tcPr>
            <w:tcW w:w="15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2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 2000 and</w:t>
            </w:r>
          </w:p>
        </w:tc>
        <w:tc>
          <w:tcPr>
            <w:tcW w:w="15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5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33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w:t>
            </w:r>
          </w:p>
        </w:tc>
        <w:tc>
          <w:tcPr>
            <w:tcW w:w="1540" w:type="dxa"/>
            <w:vAlign w:val="bottom"/>
          </w:tcPr>
          <w:p>
            <w:pPr>
              <w:spacing w:after="0"/>
              <w:rPr>
                <w:sz w:val="24"/>
                <w:szCs w:val="24"/>
                <w:color w:val="auto"/>
              </w:rPr>
            </w:pPr>
          </w:p>
        </w:tc>
      </w:tr>
      <w:tr>
        <w:trPr>
          <w:trHeight w:val="168"/>
        </w:trPr>
        <w:tc>
          <w:tcPr>
            <w:tcW w:w="3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1540" w:type="dxa"/>
            <w:vAlign w:val="bottom"/>
          </w:tcPr>
          <w:p>
            <w:pPr>
              <w:spacing w:after="0"/>
              <w:rPr>
                <w:sz w:val="14"/>
                <w:szCs w:val="14"/>
                <w:color w:val="auto"/>
              </w:rPr>
            </w:pPr>
          </w:p>
        </w:tc>
      </w:tr>
      <w:tr>
        <w:trPr>
          <w:trHeight w:val="168"/>
        </w:trPr>
        <w:tc>
          <w:tcPr>
            <w:tcW w:w="3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(Including Selected Quarterly</w:t>
            </w:r>
          </w:p>
        </w:tc>
        <w:tc>
          <w:tcPr>
            <w:tcW w:w="154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Data)</w:t>
            </w:r>
          </w:p>
        </w:tc>
        <w:tc>
          <w:tcPr>
            <w:tcW w:w="252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F-6 - F28</w:t>
            </w:r>
          </w:p>
        </w:tc>
      </w:tr>
    </w:tbl>
    <w:p>
      <w:pPr>
        <w:spacing w:after="0" w:line="166" w:lineRule="exact"/>
        <w:rPr>
          <w:sz w:val="20"/>
          <w:szCs w:val="20"/>
          <w:color w:val="auto"/>
        </w:rPr>
      </w:pPr>
    </w:p>
    <w:p>
      <w:pPr>
        <w:ind w:left="1060" w:hanging="263"/>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Schedule III - Summary of Real Estate</w:t>
      </w:r>
    </w:p>
    <w:p>
      <w:pPr>
        <w:jc w:val="right"/>
        <w:ind w:right="4279"/>
        <w:spacing w:after="0"/>
        <w:tabs>
          <w:tab w:leader="dot" w:pos="760" w:val="left"/>
        </w:tabs>
        <w:rPr>
          <w:sz w:val="20"/>
          <w:szCs w:val="20"/>
          <w:color w:val="auto"/>
        </w:rPr>
      </w:pPr>
      <w:r>
        <w:rPr>
          <w:rFonts w:ascii="Courier New" w:cs="Courier New" w:eastAsia="Courier New" w:hAnsi="Courier New"/>
          <w:sz w:val="15"/>
          <w:szCs w:val="15"/>
          <w:color w:val="auto"/>
        </w:rPr>
        <w:t>and Accumulated Depreciation</w:t>
      </w:r>
      <w:r>
        <w:rPr>
          <w:sz w:val="20"/>
          <w:szCs w:val="20"/>
          <w:color w:val="auto"/>
        </w:rPr>
        <w:tab/>
      </w:r>
      <w:r>
        <w:rPr>
          <w:rFonts w:ascii="Courier New" w:cs="Courier New" w:eastAsia="Courier New" w:hAnsi="Courier New"/>
          <w:sz w:val="14"/>
          <w:szCs w:val="14"/>
          <w:color w:val="auto"/>
        </w:rPr>
        <w:t>F29 - F32</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Schedule IV - Mortgage Loans on Real</w:t>
      </w:r>
    </w:p>
    <w:p>
      <w:pPr>
        <w:jc w:val="right"/>
        <w:ind w:right="4279"/>
        <w:spacing w:after="0"/>
        <w:tabs>
          <w:tab w:leader="dot" w:pos="760" w:val="left"/>
        </w:tabs>
        <w:rPr>
          <w:sz w:val="20"/>
          <w:szCs w:val="20"/>
          <w:color w:val="auto"/>
        </w:rPr>
      </w:pPr>
      <w:r>
        <w:rPr>
          <w:rFonts w:ascii="Courier New" w:cs="Courier New" w:eastAsia="Courier New" w:hAnsi="Courier New"/>
          <w:sz w:val="15"/>
          <w:szCs w:val="15"/>
          <w:color w:val="auto"/>
        </w:rPr>
        <w:t>Estate</w:t>
      </w:r>
      <w:r>
        <w:rPr>
          <w:sz w:val="20"/>
          <w:szCs w:val="20"/>
          <w:color w:val="auto"/>
        </w:rPr>
        <w:tab/>
      </w:r>
      <w:r>
        <w:rPr>
          <w:rFonts w:ascii="Courier New" w:cs="Courier New" w:eastAsia="Courier New" w:hAnsi="Courier New"/>
          <w:sz w:val="14"/>
          <w:szCs w:val="14"/>
          <w:color w:val="auto"/>
        </w:rPr>
        <w:t>F33 - F34</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57" w:name="page58"/>
    <w:bookmarkEnd w:id="57"/>
    <w:p>
      <w:pPr>
        <w:spacing w:after="0"/>
        <w:tabs>
          <w:tab w:leader="none" w:pos="420" w:val="left"/>
          <w:tab w:leader="none" w:pos="1040" w:val="left"/>
        </w:tabs>
        <w:rPr>
          <w:sz w:val="20"/>
          <w:szCs w:val="20"/>
          <w:color w:val="auto"/>
        </w:rPr>
      </w:pPr>
      <w:r>
        <w:rPr>
          <w:rFonts w:ascii="Courier New" w:cs="Courier New" w:eastAsia="Courier New" w:hAnsi="Courier New"/>
          <w:sz w:val="15"/>
          <w:szCs w:val="15"/>
          <w:color w:val="auto"/>
        </w:rPr>
        <w:t>(a)</w:t>
        <w:tab/>
        <w:t>3.</w:t>
      </w:r>
      <w:r>
        <w:rPr>
          <w:sz w:val="20"/>
          <w:szCs w:val="20"/>
          <w:color w:val="auto"/>
        </w:rPr>
        <w:tab/>
      </w:r>
      <w:r>
        <w:rPr>
          <w:rFonts w:ascii="Courier New" w:cs="Courier New" w:eastAsia="Courier New" w:hAnsi="Courier New"/>
          <w:sz w:val="14"/>
          <w:szCs w:val="14"/>
          <w:color w:val="auto"/>
        </w:rPr>
        <w:t>Exhibits</w:t>
      </w:r>
    </w:p>
    <w:p>
      <w:pPr>
        <w:spacing w:after="0" w:line="166" w:lineRule="exact"/>
        <w:rPr>
          <w:sz w:val="20"/>
          <w:szCs w:val="20"/>
          <w:color w:val="auto"/>
        </w:rPr>
      </w:pPr>
    </w:p>
    <w:p>
      <w:pPr>
        <w:ind w:left="1060" w:hanging="613"/>
        <w:spacing w:after="0"/>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Declaration of Trust of Federal Realty Investment</w:t>
      </w:r>
    </w:p>
    <w:p>
      <w:pPr>
        <w:spacing w:after="0" w:line="4" w:lineRule="exact"/>
        <w:rPr>
          <w:rFonts w:ascii="Courier New" w:cs="Courier New" w:eastAsia="Courier New" w:hAnsi="Courier New"/>
          <w:sz w:val="15"/>
          <w:szCs w:val="15"/>
          <w:color w:val="auto"/>
        </w:rPr>
      </w:pPr>
    </w:p>
    <w:p>
      <w:pPr>
        <w:ind w:left="10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Trust dated May 5, 1999 filed with the Commission on May 25, 1999 as an exhibit to the Trust's Current Report on Form 8-K is incorporated herein by reference thereto.</w:t>
      </w:r>
    </w:p>
    <w:p>
      <w:pPr>
        <w:spacing w:after="0" w:line="173" w:lineRule="exact"/>
        <w:rPr>
          <w:rFonts w:ascii="Courier New" w:cs="Courier New" w:eastAsia="Courier New" w:hAnsi="Courier New"/>
          <w:sz w:val="15"/>
          <w:szCs w:val="15"/>
          <w:color w:val="auto"/>
        </w:rPr>
      </w:pPr>
    </w:p>
    <w:p>
      <w:pPr>
        <w:ind w:left="1060" w:right="3679" w:hanging="1"/>
        <w:spacing w:after="0" w:line="258" w:lineRule="auto"/>
        <w:tabs>
          <w:tab w:leader="none" w:pos="158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the Trust dated May 5, 1999 filed with the Commission on May 25, 1999 as an exhibit to the Trust's Current Report on Form 8-K is incorporated herein by reference thereto.</w:t>
      </w:r>
    </w:p>
    <w:p>
      <w:pPr>
        <w:spacing w:after="0" w:line="161" w:lineRule="exact"/>
        <w:rPr>
          <w:rFonts w:ascii="Courier New" w:cs="Courier New" w:eastAsia="Courier New" w:hAnsi="Courier New"/>
          <w:sz w:val="14"/>
          <w:szCs w:val="14"/>
          <w:color w:val="auto"/>
        </w:rPr>
      </w:pPr>
    </w:p>
    <w:p>
      <w:pPr>
        <w:ind w:left="1060" w:right="3399" w:hanging="613"/>
        <w:spacing w:after="0" w:line="235" w:lineRule="auto"/>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 description of a Common Share of Beneficial Interest certificate filed with the Commission as a portion of Exhibit 4 to the Trust's Annual Report on Form 10-K for the year ended December 31, 1999 is incorporated herein by reference thereto.</w:t>
      </w:r>
    </w:p>
    <w:p>
      <w:pPr>
        <w:spacing w:after="0" w:line="175" w:lineRule="exact"/>
        <w:rPr>
          <w:rFonts w:ascii="Courier New" w:cs="Courier New" w:eastAsia="Courier New" w:hAnsi="Courier New"/>
          <w:sz w:val="15"/>
          <w:szCs w:val="15"/>
          <w:color w:val="auto"/>
        </w:rPr>
      </w:pPr>
    </w:p>
    <w:p>
      <w:pPr>
        <w:ind w:left="1060" w:right="3239" w:hanging="1"/>
        <w:spacing w:after="0" w:line="256" w:lineRule="auto"/>
        <w:tabs>
          <w:tab w:leader="none" w:pos="158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 7.95% Series A Cumulative Redeemable Preferred Share certificate filed with the Commission as a portion of Exhibit 4 to the Trust's Annual Report on Form 10-K for the year ended December 31, 1999 is incorporated herein by reference thereto.</w:t>
      </w:r>
    </w:p>
    <w:p>
      <w:pPr>
        <w:spacing w:after="0" w:line="164" w:lineRule="exact"/>
        <w:rPr>
          <w:rFonts w:ascii="Courier New" w:cs="Courier New" w:eastAsia="Courier New" w:hAnsi="Courier New"/>
          <w:sz w:val="14"/>
          <w:szCs w:val="14"/>
          <w:color w:val="auto"/>
        </w:rPr>
      </w:pPr>
    </w:p>
    <w:p>
      <w:pPr>
        <w:ind w:left="1060" w:right="3499" w:hanging="1"/>
        <w:spacing w:after="0" w:line="235" w:lineRule="auto"/>
        <w:tabs>
          <w:tab w:leader="none" w:pos="158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Designation for Shares, filed on Form 8-K with the Commission on October 3, 1997, is incorporated herein by reference thereto.</w:t>
      </w:r>
    </w:p>
    <w:p>
      <w:pPr>
        <w:spacing w:after="0" w:line="173" w:lineRule="exact"/>
        <w:rPr>
          <w:rFonts w:ascii="Courier New" w:cs="Courier New" w:eastAsia="Courier New" w:hAnsi="Courier New"/>
          <w:sz w:val="15"/>
          <w:szCs w:val="15"/>
          <w:color w:val="auto"/>
        </w:rPr>
      </w:pPr>
    </w:p>
    <w:p>
      <w:pPr>
        <w:ind w:left="1060" w:right="3319" w:hanging="1"/>
        <w:spacing w:after="0" w:line="235" w:lineRule="auto"/>
        <w:tabs>
          <w:tab w:leader="none" w:pos="158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 1/4% Convertible Subordinated Debenture due 2002 as described in Amendment No. 1 to Form S-3 (File No. 33-15264), filed with the Commission on August 4, 1987 is incorporated herein by reference thereto.</w:t>
      </w:r>
    </w:p>
    <w:p>
      <w:pPr>
        <w:spacing w:after="0" w:line="175" w:lineRule="exact"/>
        <w:rPr>
          <w:rFonts w:ascii="Courier New" w:cs="Courier New" w:eastAsia="Courier New" w:hAnsi="Courier New"/>
          <w:sz w:val="15"/>
          <w:szCs w:val="15"/>
          <w:color w:val="auto"/>
        </w:rPr>
      </w:pPr>
    </w:p>
    <w:p>
      <w:pPr>
        <w:ind w:left="1060" w:right="3239" w:hanging="1"/>
        <w:spacing w:after="0" w:line="256" w:lineRule="auto"/>
        <w:tabs>
          <w:tab w:leader="none" w:pos="158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line="157" w:lineRule="exact"/>
        <w:rPr>
          <w:rFonts w:ascii="Courier New" w:cs="Courier New" w:eastAsia="Courier New" w:hAnsi="Courier New"/>
          <w:sz w:val="14"/>
          <w:szCs w:val="14"/>
          <w:color w:val="auto"/>
        </w:rPr>
      </w:pPr>
    </w:p>
    <w:p>
      <w:pPr>
        <w:ind w:left="1580" w:hanging="521"/>
        <w:spacing w:after="0"/>
        <w:tabs>
          <w:tab w:leader="none" w:pos="158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December 13, 1993, related to the Trust's</w:t>
      </w:r>
    </w:p>
    <w:p>
      <w:pPr>
        <w:spacing w:after="0" w:line="5" w:lineRule="exact"/>
        <w:rPr>
          <w:sz w:val="20"/>
          <w:szCs w:val="20"/>
          <w:color w:val="auto"/>
        </w:rPr>
      </w:pPr>
    </w:p>
    <w:p>
      <w:pPr>
        <w:ind w:left="1060" w:right="3239"/>
        <w:spacing w:after="0" w:line="254" w:lineRule="auto"/>
        <w:rPr>
          <w:sz w:val="20"/>
          <w:szCs w:val="20"/>
          <w:color w:val="auto"/>
        </w:rPr>
      </w:pPr>
      <w:r>
        <w:rPr>
          <w:rFonts w:ascii="Courier New" w:cs="Courier New" w:eastAsia="Courier New" w:hAnsi="Courier New"/>
          <w:sz w:val="14"/>
          <w:szCs w:val="14"/>
          <w:color w:val="auto"/>
        </w:rPr>
        <w:t>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Trust's Registration Statement on Form S-3, (File No.</w:t>
      </w:r>
    </w:p>
    <w:p>
      <w:pPr>
        <w:spacing w:after="0" w:line="2" w:lineRule="exact"/>
        <w:rPr>
          <w:sz w:val="20"/>
          <w:szCs w:val="20"/>
          <w:color w:val="auto"/>
        </w:rPr>
      </w:pPr>
    </w:p>
    <w:p>
      <w:pPr>
        <w:ind w:left="1060" w:right="3579"/>
        <w:spacing w:after="0" w:line="261" w:lineRule="auto"/>
        <w:rPr>
          <w:sz w:val="20"/>
          <w:szCs w:val="20"/>
          <w:color w:val="auto"/>
        </w:rPr>
      </w:pPr>
      <w:r>
        <w:rPr>
          <w:rFonts w:ascii="Courier New" w:cs="Courier New" w:eastAsia="Courier New" w:hAnsi="Courier New"/>
          <w:sz w:val="14"/>
          <w:szCs w:val="14"/>
          <w:color w:val="auto"/>
        </w:rPr>
        <w:t>33-51029) and amended on Form S-3 (File No. 33-63687), effective December 4, 1995 is incorporated herein by reference thereto.</w:t>
      </w:r>
    </w:p>
    <w:p>
      <w:pPr>
        <w:spacing w:after="0" w:line="160" w:lineRule="exact"/>
        <w:rPr>
          <w:sz w:val="20"/>
          <w:szCs w:val="20"/>
          <w:color w:val="auto"/>
        </w:rPr>
      </w:pPr>
    </w:p>
    <w:p>
      <w:pPr>
        <w:ind w:left="1060" w:right="3679" w:hanging="1"/>
        <w:spacing w:after="0" w:line="235" w:lineRule="auto"/>
        <w:tabs>
          <w:tab w:leader="none" w:pos="15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September 1, 1998 related to the Trust's 8.75% Notes due December 1, 2009 filed as exhibit 4(a) to the Trust's Registration Statement on Form S-3 (File No. 333-63619) is incorporated herein by reference thereto.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17" w:right="1440" w:bottom="1440" w:gutter="0" w:footer="0" w:header="0"/>
        </w:sectPr>
      </w:pPr>
    </w:p>
    <w:bookmarkStart w:id="58" w:name="page59"/>
    <w:bookmarkEnd w:id="58"/>
    <w:p>
      <w:pPr>
        <w:ind w:left="1060" w:right="3499" w:hanging="1"/>
        <w:spacing w:after="0" w:line="235" w:lineRule="auto"/>
        <w:tabs>
          <w:tab w:leader="none" w:pos="167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 8.5% Series B Cumulative Redeemable Preferred Share certificate filed with the commission on November 26, 2001 as a portion of Exhibit 4 to the Trust's Form 8-A is incorporated herein by reference thereto.</w:t>
      </w:r>
    </w:p>
    <w:p>
      <w:pPr>
        <w:spacing w:after="0" w:line="175" w:lineRule="exact"/>
        <w:rPr>
          <w:rFonts w:ascii="Courier New" w:cs="Courier New" w:eastAsia="Courier New" w:hAnsi="Courier New"/>
          <w:sz w:val="15"/>
          <w:szCs w:val="15"/>
          <w:color w:val="auto"/>
        </w:rPr>
      </w:pPr>
    </w:p>
    <w:p>
      <w:pPr>
        <w:ind w:left="1060" w:right="3399" w:hanging="613"/>
        <w:spacing w:after="0" w:line="235" w:lineRule="auto"/>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Trust's 1983 Stock Option Plan adopted May 12, 1983, filed with the Commission as Exhibit 10 (vi) to the Trust's Annual Report on Form 10-K for the year ended December 31, 1983, is incorporated herein by reference.</w:t>
      </w:r>
    </w:p>
    <w:p>
      <w:pPr>
        <w:spacing w:after="0" w:line="175" w:lineRule="exact"/>
        <w:rPr>
          <w:rFonts w:ascii="Courier New" w:cs="Courier New" w:eastAsia="Courier New" w:hAnsi="Courier New"/>
          <w:sz w:val="15"/>
          <w:szCs w:val="15"/>
          <w:color w:val="auto"/>
        </w:rPr>
      </w:pPr>
    </w:p>
    <w:p>
      <w:pPr>
        <w:ind w:left="1060" w:right="3579" w:hanging="1"/>
        <w:spacing w:after="0" w:line="254" w:lineRule="auto"/>
        <w:tabs>
          <w:tab w:leader="none" w:pos="1497"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Deferred Compensation Agreement with Steven J. Guttman dated December 13, 1978, filed with the Commission as Exhibit 10</w:t>
      </w:r>
    </w:p>
    <w:p>
      <w:pPr>
        <w:ind w:left="1060" w:right="3499" w:hanging="1"/>
        <w:spacing w:after="0" w:line="261" w:lineRule="auto"/>
        <w:tabs>
          <w:tab w:leader="none" w:pos="1497"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Trust's Annual Report on Form 10-K for the year ended December 31, 1980 is incorporated herein by reference thereto.</w:t>
      </w:r>
    </w:p>
    <w:p>
      <w:pPr>
        <w:spacing w:after="0" w:line="159" w:lineRule="exact"/>
        <w:rPr>
          <w:rFonts w:ascii="Courier New" w:cs="Courier New" w:eastAsia="Courier New" w:hAnsi="Courier New"/>
          <w:sz w:val="14"/>
          <w:szCs w:val="14"/>
          <w:color w:val="auto"/>
        </w:rPr>
      </w:pPr>
    </w:p>
    <w:p>
      <w:pPr>
        <w:ind w:left="1060" w:right="3239" w:hanging="1"/>
        <w:spacing w:after="0" w:line="256" w:lineRule="auto"/>
        <w:tabs>
          <w:tab w:leader="none" w:pos="167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1985 Non-Qualified Stock Option Plan, adopted on September 13, 1985, filed with the Commission as a portion of Exhibit 10 to the Trust's Annual Report on Form 10-K for the year ended December 31, 1985 is incorporated herein by reference thereto.</w:t>
      </w:r>
    </w:p>
    <w:p>
      <w:pPr>
        <w:spacing w:after="0" w:line="164" w:lineRule="exact"/>
        <w:rPr>
          <w:rFonts w:ascii="Courier New" w:cs="Courier New" w:eastAsia="Courier New" w:hAnsi="Courier New"/>
          <w:sz w:val="14"/>
          <w:szCs w:val="14"/>
          <w:color w:val="auto"/>
        </w:rPr>
      </w:pPr>
    </w:p>
    <w:p>
      <w:pPr>
        <w:ind w:left="1060" w:right="3239" w:hanging="1"/>
        <w:spacing w:after="0" w:line="235" w:lineRule="auto"/>
        <w:tabs>
          <w:tab w:leader="none" w:pos="167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75" w:lineRule="exact"/>
        <w:rPr>
          <w:rFonts w:ascii="Courier New" w:cs="Courier New" w:eastAsia="Courier New" w:hAnsi="Courier New"/>
          <w:sz w:val="15"/>
          <w:szCs w:val="15"/>
          <w:color w:val="auto"/>
        </w:rPr>
      </w:pPr>
    </w:p>
    <w:p>
      <w:pPr>
        <w:ind w:left="1060" w:right="3319" w:hanging="1"/>
        <w:spacing w:after="0" w:line="235" w:lineRule="auto"/>
        <w:tabs>
          <w:tab w:leader="none" w:pos="149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Employment and Relocation Agreement between the Trust and Ron D. Kaplan, dated September 30, 1992, filed as an exhibit to the Trust's Annual Report on Form 10-K for the year ended December 31, 1992 is incorporated herein by reference thereto.</w:t>
      </w:r>
    </w:p>
    <w:p>
      <w:pPr>
        <w:spacing w:after="0" w:line="175" w:lineRule="exact"/>
        <w:rPr>
          <w:rFonts w:ascii="Courier New" w:cs="Courier New" w:eastAsia="Courier New" w:hAnsi="Courier New"/>
          <w:sz w:val="15"/>
          <w:szCs w:val="15"/>
          <w:color w:val="auto"/>
        </w:rPr>
      </w:pPr>
    </w:p>
    <w:p>
      <w:pPr>
        <w:ind w:left="1060" w:right="3239" w:hanging="1"/>
        <w:spacing w:after="0" w:line="236" w:lineRule="auto"/>
        <w:tabs>
          <w:tab w:leader="none" w:pos="167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73" w:lineRule="exact"/>
        <w:rPr>
          <w:rFonts w:ascii="Courier New" w:cs="Courier New" w:eastAsia="Courier New" w:hAnsi="Courier New"/>
          <w:sz w:val="15"/>
          <w:szCs w:val="15"/>
          <w:color w:val="auto"/>
        </w:rPr>
      </w:pPr>
    </w:p>
    <w:p>
      <w:pPr>
        <w:ind w:left="1060" w:right="3239" w:hanging="1"/>
        <w:spacing w:after="0" w:line="256" w:lineRule="auto"/>
        <w:tabs>
          <w:tab w:leader="none" w:pos="167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as amended on October 6, 1997 and further amended on May 6, 1998 , filed with the Commission as portions of Item 10 to the Trust's Annual Report on Form 10-K for the year ended December 31, 1998, is incorporated herein by reference thereto.</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 ended September 30, 1993 are incorporated herein by reference thereto:</w:t>
      </w:r>
    </w:p>
    <w:p>
      <w:pPr>
        <w:spacing w:after="0" w:line="174" w:lineRule="exact"/>
        <w:rPr>
          <w:sz w:val="20"/>
          <w:szCs w:val="20"/>
          <w:color w:val="auto"/>
        </w:rPr>
      </w:pPr>
    </w:p>
    <w:p>
      <w:pPr>
        <w:ind w:left="1060" w:right="3319" w:hanging="1"/>
        <w:spacing w:after="0" w:line="234" w:lineRule="auto"/>
        <w:tabs>
          <w:tab w:leader="none" w:pos="167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Agency Agreement dated as of October 28, 1993 between Federal Realty Investment Trust and Citibank, N.A.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59" w:name="page60"/>
    <w:bookmarkEnd w:id="59"/>
    <w:p>
      <w:pPr>
        <w:ind w:left="1060" w:right="3319" w:hanging="1"/>
        <w:spacing w:after="0" w:line="236" w:lineRule="auto"/>
        <w:tabs>
          <w:tab w:leader="none" w:pos="149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thereto.</w:t>
      </w:r>
    </w:p>
    <w:p>
      <w:pPr>
        <w:spacing w:after="0" w:line="173" w:lineRule="exact"/>
        <w:rPr>
          <w:rFonts w:ascii="Courier New" w:cs="Courier New" w:eastAsia="Courier New" w:hAnsi="Courier New"/>
          <w:sz w:val="15"/>
          <w:szCs w:val="15"/>
          <w:color w:val="auto"/>
        </w:rPr>
      </w:pPr>
    </w:p>
    <w:p>
      <w:pPr>
        <w:ind w:left="1060" w:right="3239" w:hanging="1"/>
        <w:spacing w:after="0" w:line="236" w:lineRule="auto"/>
        <w:tabs>
          <w:tab w:leader="none" w:pos="167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73" w:lineRule="exact"/>
        <w:rPr>
          <w:rFonts w:ascii="Courier New" w:cs="Courier New" w:eastAsia="Courier New" w:hAnsi="Courier New"/>
          <w:sz w:val="15"/>
          <w:szCs w:val="15"/>
          <w:color w:val="auto"/>
        </w:rPr>
      </w:pPr>
    </w:p>
    <w:p>
      <w:pPr>
        <w:ind w:left="1060" w:right="3239" w:hanging="1"/>
        <w:spacing w:after="0" w:line="236" w:lineRule="auto"/>
        <w:tabs>
          <w:tab w:leader="none" w:pos="167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Severance Agreement between Federal Realty Investment Trust and Certain of its Officers dated December 31, 1994, filed with the Commission as a portion of Exhibit 10 to the Trust's Annual Report on Form 10-K for the year ended December 31, 1994, is incorporated herein by reference thereto.</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filed with the Commission as portions of Exhibit 10 to the Trust's Annual Report on Form 10-K for the year ended December 31, 1997, are incorporated herein by reference thereto:</w:t>
      </w:r>
    </w:p>
    <w:p>
      <w:pPr>
        <w:spacing w:after="0" w:line="174" w:lineRule="exact"/>
        <w:rPr>
          <w:sz w:val="20"/>
          <w:szCs w:val="20"/>
          <w:color w:val="auto"/>
        </w:rPr>
      </w:pPr>
    </w:p>
    <w:p>
      <w:pPr>
        <w:ind w:left="1060" w:right="3499" w:hanging="1"/>
        <w:spacing w:after="0" w:line="254" w:lineRule="auto"/>
        <w:tabs>
          <w:tab w:leader="none" w:pos="193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December 19, 1997 by and among Federal Realty Investment Trust, as Borrower, The Financial Institutions Party Thereto and Their Assignees Under Section</w:t>
      </w:r>
    </w:p>
    <w:p>
      <w:pPr>
        <w:spacing w:after="0" w:line="1" w:lineRule="exact"/>
        <w:rPr>
          <w:rFonts w:ascii="Courier New" w:cs="Courier New" w:eastAsia="Courier New" w:hAnsi="Courier New"/>
          <w:sz w:val="14"/>
          <w:szCs w:val="14"/>
          <w:color w:val="auto"/>
        </w:rPr>
      </w:pPr>
    </w:p>
    <w:p>
      <w:pPr>
        <w:ind w:left="1060" w:right="33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13.5.(a), as Lenders, Corestates Bank, N.A., as Syndication Agent, First Union National Bank, as Administrative Agent and as Arranger, and Wells Fargo Bank, as Documentation Agent and as Co-Arranger.</w:t>
      </w:r>
    </w:p>
    <w:p>
      <w:pPr>
        <w:spacing w:after="0" w:line="161" w:lineRule="exact"/>
        <w:rPr>
          <w:rFonts w:ascii="Courier New" w:cs="Courier New" w:eastAsia="Courier New" w:hAnsi="Courier New"/>
          <w:sz w:val="14"/>
          <w:szCs w:val="14"/>
          <w:color w:val="auto"/>
        </w:rPr>
      </w:pPr>
    </w:p>
    <w:p>
      <w:pPr>
        <w:ind w:left="1060" w:right="3399" w:hanging="1"/>
        <w:spacing w:after="0" w:line="261" w:lineRule="auto"/>
        <w:tabs>
          <w:tab w:leader="none" w:pos="167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Performance Share Award Agreement between Federal Realty Investment Trust and Steven J. Guttman, as of January 1, 1998.</w:t>
      </w:r>
    </w:p>
    <w:p>
      <w:pPr>
        <w:spacing w:after="0" w:line="159" w:lineRule="exact"/>
        <w:rPr>
          <w:rFonts w:ascii="Courier New" w:cs="Courier New" w:eastAsia="Courier New" w:hAnsi="Courier New"/>
          <w:sz w:val="14"/>
          <w:szCs w:val="14"/>
          <w:color w:val="auto"/>
        </w:rPr>
      </w:pPr>
    </w:p>
    <w:p>
      <w:pPr>
        <w:jc w:val="both"/>
        <w:ind w:left="1060" w:right="3839" w:hanging="1"/>
        <w:spacing w:after="0" w:line="235" w:lineRule="auto"/>
        <w:tabs>
          <w:tab w:leader="none" w:pos="16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Form of Amended and Restated Restricted Share Award Agreements between Federal Realty Investment Trust and Steven J. Guttman for the years 1998 through 2002.</w:t>
      </w:r>
    </w:p>
    <w:p>
      <w:pPr>
        <w:spacing w:after="0" w:line="173" w:lineRule="exact"/>
        <w:rPr>
          <w:rFonts w:ascii="Courier New" w:cs="Courier New" w:eastAsia="Courier New" w:hAnsi="Courier New"/>
          <w:sz w:val="15"/>
          <w:szCs w:val="15"/>
          <w:color w:val="auto"/>
        </w:rPr>
      </w:pPr>
    </w:p>
    <w:p>
      <w:pPr>
        <w:ind w:left="1060" w:right="3319" w:hanging="1"/>
        <w:spacing w:after="0" w:line="234" w:lineRule="auto"/>
        <w:tabs>
          <w:tab w:leader="none" w:pos="16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Performance Share Award Agreements between Federal Realty Investment Trust and Ron D. Kaplan, as of January 1, 1998.</w:t>
      </w:r>
    </w:p>
    <w:p>
      <w:pPr>
        <w:spacing w:after="0" w:line="173" w:lineRule="exact"/>
        <w:rPr>
          <w:rFonts w:ascii="Courier New" w:cs="Courier New" w:eastAsia="Courier New" w:hAnsi="Courier New"/>
          <w:sz w:val="15"/>
          <w:szCs w:val="15"/>
          <w:color w:val="auto"/>
        </w:rPr>
      </w:pPr>
    </w:p>
    <w:p>
      <w:pPr>
        <w:ind w:left="1060" w:right="3399" w:hanging="1"/>
        <w:spacing w:after="0" w:line="261" w:lineRule="auto"/>
        <w:tabs>
          <w:tab w:leader="none" w:pos="167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Restricted Share Award Agreements between Federal Realty Investment Trust and Ron D. Kaplan, as of January 1, 1998.</w:t>
      </w:r>
    </w:p>
    <w:p>
      <w:pPr>
        <w:spacing w:after="0" w:line="159" w:lineRule="exact"/>
        <w:rPr>
          <w:rFonts w:ascii="Courier New" w:cs="Courier New" w:eastAsia="Courier New" w:hAnsi="Courier New"/>
          <w:sz w:val="14"/>
          <w:szCs w:val="14"/>
          <w:color w:val="auto"/>
        </w:rPr>
      </w:pPr>
    </w:p>
    <w:p>
      <w:pPr>
        <w:ind w:left="1060" w:right="3679" w:hanging="1"/>
        <w:spacing w:after="0" w:line="234" w:lineRule="auto"/>
        <w:tabs>
          <w:tab w:leader="none" w:pos="16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Amended and Restated Employment Agreement between the Trust and Steven J. Guttman as of March 6, 1998.</w:t>
      </w:r>
    </w:p>
    <w:p>
      <w:pPr>
        <w:spacing w:after="0" w:line="173" w:lineRule="exact"/>
        <w:rPr>
          <w:rFonts w:ascii="Courier New" w:cs="Courier New" w:eastAsia="Courier New" w:hAnsi="Courier New"/>
          <w:sz w:val="15"/>
          <w:szCs w:val="15"/>
          <w:color w:val="auto"/>
        </w:rPr>
      </w:pPr>
    </w:p>
    <w:p>
      <w:pPr>
        <w:ind w:left="1060" w:right="3759" w:hanging="1"/>
        <w:spacing w:after="0" w:line="234" w:lineRule="auto"/>
        <w:tabs>
          <w:tab w:leader="none" w:pos="17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Amended and Restated Executive Agreement between the Trust and Steven J. Guttman as of March 6,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0" w:name="page61"/>
    <w:bookmarkEnd w:id="60"/>
    <w:p>
      <w:pPr>
        <w:ind w:left="1140" w:right="3499" w:firstLine="7"/>
        <w:spacing w:after="0" w:line="234" w:lineRule="auto"/>
        <w:tabs>
          <w:tab w:leader="none" w:pos="166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Executive Agreement between the Trust and Ron D. Kaplan as of March 6, 1998.</w:t>
      </w:r>
    </w:p>
    <w:p>
      <w:pPr>
        <w:spacing w:after="0" w:line="173" w:lineRule="exact"/>
        <w:rPr>
          <w:rFonts w:ascii="Courier New" w:cs="Courier New" w:eastAsia="Courier New" w:hAnsi="Courier New"/>
          <w:sz w:val="15"/>
          <w:szCs w:val="15"/>
          <w:color w:val="auto"/>
        </w:rPr>
      </w:pPr>
    </w:p>
    <w:p>
      <w:pPr>
        <w:ind w:left="1140" w:right="3759" w:firstLine="7"/>
        <w:spacing w:after="0" w:line="234" w:lineRule="auto"/>
        <w:tabs>
          <w:tab w:leader="none" w:pos="166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Amended and Restated Severance Agreement between the Trust and Ron D. Kaplan as of March 6, 1998.</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filed with the Commission as portions of Exhibit 10 to the Trust's Annual Report on Form 10-K for the year ended December 31, 1998, is incorporated herein by reference thereto:</w:t>
      </w:r>
    </w:p>
    <w:p>
      <w:pPr>
        <w:spacing w:after="0" w:line="174" w:lineRule="exact"/>
        <w:rPr>
          <w:sz w:val="20"/>
          <w:szCs w:val="20"/>
          <w:color w:val="auto"/>
        </w:rPr>
      </w:pPr>
    </w:p>
    <w:p>
      <w:pPr>
        <w:ind w:left="1140" w:right="3319" w:firstLine="7"/>
        <w:spacing w:after="0" w:line="254" w:lineRule="auto"/>
        <w:tabs>
          <w:tab w:leader="none" w:pos="192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Agreement, dated as of December 22, 1998 by and among Federal Realty Investment Trust, as Borrower, the Financial Institutions Party Thereto and Their Assignees Under Section</w:t>
      </w:r>
    </w:p>
    <w:p>
      <w:pPr>
        <w:spacing w:after="0" w:line="1" w:lineRule="exact"/>
        <w:rPr>
          <w:rFonts w:ascii="Courier New" w:cs="Courier New" w:eastAsia="Courier New" w:hAnsi="Courier New"/>
          <w:sz w:val="14"/>
          <w:szCs w:val="14"/>
          <w:color w:val="auto"/>
        </w:rPr>
      </w:pPr>
    </w:p>
    <w:p>
      <w:pPr>
        <w:ind w:left="1140"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13.5.(d), as Lenders,Commerzbank Aktiengesellschaft, New York Branch as Syndication Agent, PNC, National Association, as Administrative Agent and Fleet National Bank, as documentation agent.</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filed with the Commission as portions of Exhibit 10 to the Trust's Annual Report on Form 10-K for the year ended December 31, 1999, is incorporated herein by reference thereto:</w:t>
      </w:r>
    </w:p>
    <w:p>
      <w:pPr>
        <w:spacing w:after="0" w:line="174" w:lineRule="exact"/>
        <w:rPr>
          <w:sz w:val="20"/>
          <w:szCs w:val="20"/>
          <w:color w:val="auto"/>
        </w:rPr>
      </w:pPr>
    </w:p>
    <w:p>
      <w:pPr>
        <w:ind w:left="1140" w:right="3579" w:firstLine="7"/>
        <w:spacing w:after="0" w:line="234" w:lineRule="auto"/>
        <w:tabs>
          <w:tab w:leader="none" w:pos="17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Amended and Restated Severance Agreement between the Trust and Nancy J. Herman as of December 27, 1999.</w:t>
      </w:r>
    </w:p>
    <w:p>
      <w:pPr>
        <w:spacing w:after="0" w:line="173" w:lineRule="exact"/>
        <w:rPr>
          <w:rFonts w:ascii="Courier New" w:cs="Courier New" w:eastAsia="Courier New" w:hAnsi="Courier New"/>
          <w:sz w:val="15"/>
          <w:szCs w:val="15"/>
          <w:color w:val="auto"/>
        </w:rPr>
      </w:pPr>
    </w:p>
    <w:p>
      <w:pPr>
        <w:ind w:left="1140" w:right="3399" w:firstLine="7"/>
        <w:spacing w:after="0" w:line="234" w:lineRule="auto"/>
        <w:tabs>
          <w:tab w:leader="none" w:pos="18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Performance Share Award Agreement dated as of February 9, 2000 between the Trust and Donald C. Wood.</w:t>
      </w:r>
    </w:p>
    <w:p>
      <w:pPr>
        <w:spacing w:after="0" w:line="173" w:lineRule="exact"/>
        <w:rPr>
          <w:rFonts w:ascii="Courier New" w:cs="Courier New" w:eastAsia="Courier New" w:hAnsi="Courier New"/>
          <w:sz w:val="15"/>
          <w:szCs w:val="15"/>
          <w:color w:val="auto"/>
        </w:rPr>
      </w:pPr>
    </w:p>
    <w:p>
      <w:pPr>
        <w:ind w:left="1140" w:right="3499" w:firstLine="7"/>
        <w:spacing w:after="0" w:line="234" w:lineRule="auto"/>
        <w:tabs>
          <w:tab w:leader="none" w:pos="17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Restricted Share Award Agreement dated as of February 9, 2000 between the Trust and Donald C. Wood.</w:t>
      </w:r>
    </w:p>
    <w:p>
      <w:pPr>
        <w:spacing w:after="0" w:line="173" w:lineRule="exact"/>
        <w:rPr>
          <w:rFonts w:ascii="Courier New" w:cs="Courier New" w:eastAsia="Courier New" w:hAnsi="Courier New"/>
          <w:sz w:val="15"/>
          <w:szCs w:val="15"/>
          <w:color w:val="auto"/>
        </w:rPr>
      </w:pPr>
    </w:p>
    <w:p>
      <w:pPr>
        <w:ind w:left="1140" w:right="3319" w:firstLine="7"/>
        <w:spacing w:after="0" w:line="235" w:lineRule="auto"/>
        <w:tabs>
          <w:tab w:leader="none" w:pos="17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Amendment to Performance Share Award Agreement dated as of February 25, 2000 between Federal Realty Investment Trust and Steven J. Guttman.</w:t>
      </w:r>
    </w:p>
    <w:p>
      <w:pPr>
        <w:spacing w:after="0" w:line="173" w:lineRule="exact"/>
        <w:rPr>
          <w:rFonts w:ascii="Courier New" w:cs="Courier New" w:eastAsia="Courier New" w:hAnsi="Courier New"/>
          <w:sz w:val="15"/>
          <w:szCs w:val="15"/>
          <w:color w:val="auto"/>
        </w:rPr>
      </w:pPr>
    </w:p>
    <w:p>
      <w:pPr>
        <w:ind w:left="1140" w:right="3399" w:firstLine="7"/>
        <w:spacing w:after="0" w:line="235" w:lineRule="auto"/>
        <w:tabs>
          <w:tab w:leader="none" w:pos="175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Amendments to Performance Share Award Agreements dated as of February 25, 2000 between Federal Realty Investment Trust and Ron D. Kaplan.</w:t>
      </w:r>
    </w:p>
    <w:p>
      <w:pPr>
        <w:spacing w:after="0" w:line="173" w:lineRule="exact"/>
        <w:rPr>
          <w:rFonts w:ascii="Courier New" w:cs="Courier New" w:eastAsia="Courier New" w:hAnsi="Courier New"/>
          <w:sz w:val="15"/>
          <w:szCs w:val="15"/>
          <w:color w:val="auto"/>
        </w:rPr>
      </w:pPr>
    </w:p>
    <w:p>
      <w:pPr>
        <w:ind w:left="1140" w:right="3499" w:firstLine="7"/>
        <w:spacing w:after="0" w:line="234" w:lineRule="auto"/>
        <w:tabs>
          <w:tab w:leader="none" w:pos="18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Severance Agreement between Federal Realty Investment Trust and Donald C. Wood dated February 22, 1999.</w:t>
      </w:r>
    </w:p>
    <w:p>
      <w:pPr>
        <w:spacing w:after="0" w:line="173" w:lineRule="exact"/>
        <w:rPr>
          <w:rFonts w:ascii="Courier New" w:cs="Courier New" w:eastAsia="Courier New" w:hAnsi="Courier New"/>
          <w:sz w:val="15"/>
          <w:szCs w:val="15"/>
          <w:color w:val="auto"/>
        </w:rPr>
      </w:pPr>
    </w:p>
    <w:p>
      <w:pPr>
        <w:ind w:left="1140" w:right="3499" w:firstLine="7"/>
        <w:spacing w:after="0" w:line="234" w:lineRule="auto"/>
        <w:tabs>
          <w:tab w:leader="none" w:pos="192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Executive Agreement between Federal Realty Investment Trust and Donald C. Wood dated February 22, 1999.</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filed with the Commission as portions of Exhibit 10 to the Trust's Annual Report on Form 10-K for the year ended December 31, 2000, is incorporated herein by reference thereto:</w:t>
      </w:r>
    </w:p>
    <w:p>
      <w:pPr>
        <w:spacing w:after="0" w:line="174" w:lineRule="exact"/>
        <w:rPr>
          <w:sz w:val="20"/>
          <w:szCs w:val="20"/>
          <w:color w:val="auto"/>
        </w:rPr>
      </w:pPr>
    </w:p>
    <w:p>
      <w:pPr>
        <w:ind w:left="1140" w:right="3499" w:firstLine="7"/>
        <w:spacing w:after="0" w:line="235" w:lineRule="auto"/>
        <w:tabs>
          <w:tab w:leader="none" w:pos="18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Amendment to Restricted Share Award Agreement dated December 8, 2000 between Federal Realty Investment Trust and Ron D. Kaplan.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61" w:name="page62"/>
    <w:bookmarkEnd w:id="61"/>
    <w:p>
      <w:pPr>
        <w:ind w:left="1140" w:right="3499" w:firstLine="7"/>
        <w:spacing w:after="0" w:line="235" w:lineRule="auto"/>
        <w:tabs>
          <w:tab w:leader="none" w:pos="175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Amendment to Restricted Share Award Agreement dated December 8, 2000 between Federal Realty Investment Trust and Ron D. Kaplan.</w:t>
      </w:r>
    </w:p>
    <w:p>
      <w:pPr>
        <w:spacing w:after="0" w:line="173" w:lineRule="exact"/>
        <w:rPr>
          <w:rFonts w:ascii="Courier New" w:cs="Courier New" w:eastAsia="Courier New" w:hAnsi="Courier New"/>
          <w:sz w:val="15"/>
          <w:szCs w:val="15"/>
          <w:color w:val="auto"/>
        </w:rPr>
      </w:pPr>
    </w:p>
    <w:p>
      <w:pPr>
        <w:ind w:left="1140" w:right="3499" w:firstLine="7"/>
        <w:spacing w:after="0" w:line="235" w:lineRule="auto"/>
        <w:tabs>
          <w:tab w:leader="none" w:pos="18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Amendment to Restricted Share Award Agreement dated December 8, 2000 between Federal Realty Investment Trust and Don C. Wood.</w:t>
      </w:r>
    </w:p>
    <w:p>
      <w:pPr>
        <w:spacing w:after="0" w:line="173" w:lineRule="exact"/>
        <w:rPr>
          <w:rFonts w:ascii="Courier New" w:cs="Courier New" w:eastAsia="Courier New" w:hAnsi="Courier New"/>
          <w:sz w:val="15"/>
          <w:szCs w:val="15"/>
          <w:color w:val="auto"/>
        </w:rPr>
      </w:pPr>
    </w:p>
    <w:p>
      <w:pPr>
        <w:jc w:val="both"/>
        <w:ind w:left="1140" w:right="3679" w:firstLine="7"/>
        <w:spacing w:after="0" w:line="235" w:lineRule="auto"/>
        <w:tabs>
          <w:tab w:leader="none" w:pos="18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Split Dollar Life Insurance Agreement dated May 20, 1998 between Federal Realty Investment Trust and The Ronald D. Kaplan Family Trust.</w:t>
      </w:r>
    </w:p>
    <w:p>
      <w:pPr>
        <w:spacing w:after="0" w:line="173" w:lineRule="exact"/>
        <w:rPr>
          <w:rFonts w:ascii="Courier New" w:cs="Courier New" w:eastAsia="Courier New" w:hAnsi="Courier New"/>
          <w:sz w:val="15"/>
          <w:szCs w:val="15"/>
          <w:color w:val="auto"/>
        </w:rPr>
      </w:pPr>
    </w:p>
    <w:p>
      <w:pPr>
        <w:ind w:left="1140" w:right="3679" w:firstLine="7"/>
        <w:spacing w:after="0" w:line="235" w:lineRule="auto"/>
        <w:tabs>
          <w:tab w:leader="none" w:pos="19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Split Dollar Life Insurance Agreement dated June 7, 1998 between Federal Realty Investment Trust and The Guttman Family 1998 Trust.</w:t>
      </w:r>
    </w:p>
    <w:p>
      <w:pPr>
        <w:spacing w:after="0" w:line="173" w:lineRule="exact"/>
        <w:rPr>
          <w:rFonts w:ascii="Courier New" w:cs="Courier New" w:eastAsia="Courier New" w:hAnsi="Courier New"/>
          <w:sz w:val="15"/>
          <w:szCs w:val="15"/>
          <w:color w:val="auto"/>
        </w:rPr>
      </w:pPr>
    </w:p>
    <w:p>
      <w:pPr>
        <w:ind w:left="1140" w:right="3399" w:firstLine="7"/>
        <w:spacing w:after="0" w:line="261" w:lineRule="auto"/>
        <w:tabs>
          <w:tab w:leader="none" w:pos="18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Split Dollar Life Insurance Agreement dated August 12, 1998 between Federal Realty Investment Trust and Donald C. Wood.</w:t>
      </w:r>
    </w:p>
    <w:p>
      <w:pPr>
        <w:spacing w:after="0" w:line="159" w:lineRule="exact"/>
        <w:rPr>
          <w:rFonts w:ascii="Courier New" w:cs="Courier New" w:eastAsia="Courier New" w:hAnsi="Courier New"/>
          <w:sz w:val="14"/>
          <w:szCs w:val="14"/>
          <w:color w:val="auto"/>
        </w:rPr>
      </w:pPr>
    </w:p>
    <w:p>
      <w:pPr>
        <w:ind w:left="1140" w:right="3319" w:firstLine="7"/>
        <w:spacing w:after="0" w:line="235" w:lineRule="auto"/>
        <w:tabs>
          <w:tab w:leader="none" w:pos="18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Split Dollar Life Insurance Agreement dated November 2, 2000 between Federal Realty Investment Trust and The Nancy J. Herman Insurance Trust.</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 ended June 30, 2001 are incorporated herein by reference hereto:</w:t>
      </w:r>
    </w:p>
    <w:p>
      <w:pPr>
        <w:spacing w:after="0" w:line="174" w:lineRule="exact"/>
        <w:rPr>
          <w:sz w:val="20"/>
          <w:szCs w:val="20"/>
          <w:color w:val="auto"/>
        </w:rPr>
      </w:pPr>
    </w:p>
    <w:p>
      <w:pPr>
        <w:ind w:left="1140" w:right="3579" w:firstLine="7"/>
        <w:spacing w:after="0" w:line="256" w:lineRule="auto"/>
        <w:tabs>
          <w:tab w:leader="none" w:pos="210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Building Loan Agreement among FRIT San Jose Town and Country Village LLC, San Jose Residential, Inc. and Street Retail, Inc. jointly and severally as Borrower, Commerzbank AG, New York Branch, Fleet National Bank, Bayerische Hypo-Und Vereinsbank AG, New York Branch and Other Lenders named herein.</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filed as exhibits hereto:</w:t>
      </w:r>
    </w:p>
    <w:p>
      <w:pPr>
        <w:spacing w:after="0" w:line="173" w:lineRule="exact"/>
        <w:rPr>
          <w:sz w:val="20"/>
          <w:szCs w:val="20"/>
          <w:color w:val="auto"/>
        </w:rPr>
      </w:pPr>
    </w:p>
    <w:p>
      <w:pPr>
        <w:ind w:left="1140" w:right="3579" w:hanging="693"/>
        <w:spacing w:after="0" w:line="261" w:lineRule="auto"/>
        <w:tabs>
          <w:tab w:leader="none" w:pos="11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(xxxvii) * Restricted Share Agreement dated February 15, 2000 between Federal Realty Investment Trust and Jeffrey S. Berkes.</w:t>
      </w:r>
    </w:p>
    <w:p>
      <w:pPr>
        <w:spacing w:after="0" w:line="159" w:lineRule="exact"/>
        <w:rPr>
          <w:rFonts w:ascii="Courier New" w:cs="Courier New" w:eastAsia="Courier New" w:hAnsi="Courier New"/>
          <w:sz w:val="14"/>
          <w:szCs w:val="14"/>
          <w:color w:val="auto"/>
        </w:rPr>
      </w:pPr>
    </w:p>
    <w:p>
      <w:pPr>
        <w:ind w:left="1140" w:right="3319" w:firstLine="7"/>
        <w:spacing w:after="0" w:line="234" w:lineRule="auto"/>
        <w:tabs>
          <w:tab w:leader="none" w:pos="201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Severance Agreement between Federal Realty Investment Trust and Jeffrey S. Berkes dated March 1, 2000.</w:t>
      </w:r>
    </w:p>
    <w:p>
      <w:pPr>
        <w:spacing w:after="0" w:line="173" w:lineRule="exact"/>
        <w:rPr>
          <w:rFonts w:ascii="Courier New" w:cs="Courier New" w:eastAsia="Courier New" w:hAnsi="Courier New"/>
          <w:sz w:val="15"/>
          <w:szCs w:val="15"/>
          <w:color w:val="auto"/>
        </w:rPr>
      </w:pPr>
    </w:p>
    <w:p>
      <w:pPr>
        <w:ind w:left="1140" w:right="3319" w:firstLine="7"/>
        <w:spacing w:after="0" w:line="234" w:lineRule="auto"/>
        <w:tabs>
          <w:tab w:leader="none" w:pos="192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Termination letter dated March 1, 2002 between Federal Realty Investment Trust and Ron D. Kaplan.</w:t>
      </w:r>
    </w:p>
    <w:p>
      <w:pPr>
        <w:spacing w:after="0" w:line="173" w:lineRule="exact"/>
        <w:rPr>
          <w:sz w:val="20"/>
          <w:szCs w:val="20"/>
          <w:color w:val="auto"/>
        </w:rPr>
      </w:pPr>
    </w:p>
    <w:p>
      <w:pPr>
        <w:ind w:left="1140" w:right="3399"/>
        <w:spacing w:after="0" w:line="234" w:lineRule="auto"/>
        <w:rPr>
          <w:sz w:val="20"/>
          <w:szCs w:val="20"/>
          <w:color w:val="auto"/>
        </w:rPr>
      </w:pPr>
      <w:r>
        <w:rPr>
          <w:rFonts w:ascii="Courier New" w:cs="Courier New" w:eastAsia="Courier New" w:hAnsi="Courier New"/>
          <w:sz w:val="15"/>
          <w:szCs w:val="15"/>
          <w:color w:val="auto"/>
        </w:rPr>
        <w:t>(xl) * Consulting Agreement dated March 1, 2002 between Federal Realty Investment Trust and Ron D. Kaplan.</w:t>
      </w:r>
    </w:p>
    <w:p>
      <w:pPr>
        <w:spacing w:after="0" w:line="173" w:lineRule="exact"/>
        <w:rPr>
          <w:sz w:val="20"/>
          <w:szCs w:val="20"/>
          <w:color w:val="auto"/>
        </w:rPr>
      </w:pPr>
    </w:p>
    <w:p>
      <w:pPr>
        <w:jc w:val="both"/>
        <w:ind w:left="1140" w:right="3579"/>
        <w:spacing w:after="0" w:line="261" w:lineRule="auto"/>
        <w:rPr>
          <w:sz w:val="20"/>
          <w:szCs w:val="20"/>
          <w:color w:val="auto"/>
        </w:rPr>
      </w:pPr>
      <w:r>
        <w:rPr>
          <w:rFonts w:ascii="Courier New" w:cs="Courier New" w:eastAsia="Courier New" w:hAnsi="Courier New"/>
          <w:sz w:val="14"/>
          <w:szCs w:val="14"/>
          <w:color w:val="auto"/>
        </w:rPr>
        <w:t>(xli) * Full Recourse Secured Promissory Note dated March 14, 2002 between Federal Realty Investment Trust and Ron D. Kaplan.</w:t>
      </w:r>
    </w:p>
    <w:p>
      <w:pPr>
        <w:spacing w:after="0" w:line="160" w:lineRule="exact"/>
        <w:rPr>
          <w:sz w:val="20"/>
          <w:szCs w:val="20"/>
          <w:color w:val="auto"/>
        </w:rPr>
      </w:pPr>
    </w:p>
    <w:p>
      <w:pPr>
        <w:ind w:left="1140" w:right="3579"/>
        <w:spacing w:after="0" w:line="234" w:lineRule="auto"/>
        <w:rPr>
          <w:sz w:val="20"/>
          <w:szCs w:val="20"/>
          <w:color w:val="auto"/>
        </w:rPr>
      </w:pPr>
      <w:r>
        <w:rPr>
          <w:rFonts w:ascii="Courier New" w:cs="Courier New" w:eastAsia="Courier New" w:hAnsi="Courier New"/>
          <w:sz w:val="15"/>
          <w:szCs w:val="15"/>
          <w:color w:val="auto"/>
        </w:rPr>
        <w:t>(xlii) * Share Pledge Agreement dated March 14, 2002 between Federal Realty Investment Trust and Ron D. Kaplan.</w:t>
      </w:r>
    </w:p>
    <w:p>
      <w:pPr>
        <w:spacing w:after="0" w:line="167" w:lineRule="exact"/>
        <w:rPr>
          <w:sz w:val="20"/>
          <w:szCs w:val="20"/>
          <w:color w:val="auto"/>
        </w:rPr>
      </w:pPr>
    </w:p>
    <w:p>
      <w:pPr>
        <w:ind w:left="1140" w:hanging="693"/>
        <w:spacing w:after="0"/>
        <w:tabs>
          <w:tab w:leader="none" w:pos="11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Filed as an exhibit hereto.</w:t>
      </w:r>
    </w:p>
    <w:p>
      <w:pPr>
        <w:spacing w:after="0" w:line="167" w:lineRule="exact"/>
        <w:rPr>
          <w:sz w:val="20"/>
          <w:szCs w:val="20"/>
          <w:color w:val="auto"/>
        </w:rPr>
      </w:pPr>
    </w:p>
    <w:p>
      <w:pPr>
        <w:ind w:left="1140" w:hanging="693"/>
        <w:spacing w:after="0"/>
        <w:tabs>
          <w:tab w:leader="none" w:pos="11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Arthur Andersen.......................</w:t>
      </w:r>
    </w:p>
    <w:p>
      <w:pPr>
        <w:spacing w:after="0" w:line="173" w:lineRule="exact"/>
        <w:rPr>
          <w:sz w:val="20"/>
          <w:szCs w:val="20"/>
          <w:color w:val="auto"/>
        </w:rPr>
      </w:pPr>
    </w:p>
    <w:p>
      <w:pPr>
        <w:ind w:left="1140" w:right="6039" w:hanging="693"/>
        <w:spacing w:after="0" w:line="254" w:lineRule="auto"/>
        <w:tabs>
          <w:tab w:leader="none" w:pos="11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concerning Arthur Andersen's representation to the Trust in accordance with Temporary Note 3T</w:t>
      </w: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Article 3 of Regulation S-X...................</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62" w:name="page63"/>
    <w:bookmarkEnd w:id="62"/>
    <w:p>
      <w:pPr>
        <w:ind w:left="440" w:hanging="430"/>
        <w:spacing w:after="0"/>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Filed during the Last Quarter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199" w:firstLine="1049"/>
        <w:spacing w:after="0" w:line="234" w:lineRule="auto"/>
        <w:rPr>
          <w:sz w:val="20"/>
          <w:szCs w:val="20"/>
          <w:color w:val="auto"/>
        </w:rPr>
      </w:pPr>
      <w:r>
        <w:rPr>
          <w:rFonts w:ascii="Courier New" w:cs="Courier New" w:eastAsia="Courier New" w:hAnsi="Courier New"/>
          <w:sz w:val="15"/>
          <w:szCs w:val="15"/>
          <w:color w:val="auto"/>
        </w:rPr>
        <w:t>A Form 8-K, dated November 1, 2001, was filed in response to Item 5, amended by Form 8-K/A dated December 6, 2001.</w:t>
      </w:r>
    </w:p>
    <w:p>
      <w:pPr>
        <w:spacing w:after="0" w:line="5" w:lineRule="exact"/>
        <w:rPr>
          <w:sz w:val="20"/>
          <w:szCs w:val="20"/>
          <w:color w:val="auto"/>
        </w:rPr>
      </w:pPr>
    </w:p>
    <w:p>
      <w:pPr>
        <w:ind w:right="4199" w:firstLine="1049"/>
        <w:spacing w:after="0" w:line="234" w:lineRule="auto"/>
        <w:rPr>
          <w:sz w:val="20"/>
          <w:szCs w:val="20"/>
          <w:color w:val="auto"/>
        </w:rPr>
      </w:pPr>
      <w:r>
        <w:rPr>
          <w:rFonts w:ascii="Courier New" w:cs="Courier New" w:eastAsia="Courier New" w:hAnsi="Courier New"/>
          <w:sz w:val="15"/>
          <w:szCs w:val="15"/>
          <w:color w:val="auto"/>
        </w:rPr>
        <w:t>A Form 8-K, dated November 19, 2001 was filed in response to Item 5, amended by Form 8-K/A dated November 29, 2001 .</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___________</w:t>
      </w:r>
    </w:p>
    <w:p>
      <w:pPr>
        <w:spacing w:after="0" w:line="173" w:lineRule="exact"/>
        <w:rPr>
          <w:sz w:val="20"/>
          <w:szCs w:val="20"/>
          <w:color w:val="auto"/>
        </w:rPr>
      </w:pPr>
    </w:p>
    <w:p>
      <w:pPr>
        <w:ind w:left="280" w:hanging="270"/>
        <w:spacing w:after="0"/>
        <w:tabs>
          <w:tab w:leader="none" w:pos="2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required to be filed under item 14</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of Form 10-K.</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17" w:right="1440" w:bottom="1440" w:gutter="0" w:footer="0" w:header="0"/>
        </w:sectPr>
      </w:pPr>
    </w:p>
    <w:bookmarkStart w:id="63" w:name="page64"/>
    <w:bookmarkEnd w:id="63"/>
    <w:p>
      <w:pPr>
        <w:ind w:left="3160"/>
        <w:spacing w:after="0"/>
        <w:rPr>
          <w:sz w:val="20"/>
          <w:szCs w:val="20"/>
          <w:color w:val="auto"/>
        </w:rPr>
      </w:pPr>
      <w:r>
        <w:rPr>
          <w:rFonts w:ascii="Courier New" w:cs="Courier New" w:eastAsia="Courier New" w:hAnsi="Courier New"/>
          <w:sz w:val="15"/>
          <w:szCs w:val="15"/>
          <w:color w:val="auto"/>
        </w:rPr>
        <w:t>SIGNATURES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22, 2202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Steven J. Guttman</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340"/>
        <w:spacing w:after="0" w:line="238" w:lineRule="auto"/>
        <w:rPr>
          <w:sz w:val="20"/>
          <w:szCs w:val="20"/>
          <w:color w:val="auto"/>
        </w:rPr>
      </w:pPr>
      <w:r>
        <w:rPr>
          <w:rFonts w:ascii="Courier New" w:cs="Courier New" w:eastAsia="Courier New" w:hAnsi="Courier New"/>
          <w:sz w:val="15"/>
          <w:szCs w:val="15"/>
          <w:color w:val="auto"/>
        </w:rPr>
        <w:t>Steven J. Guttman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Executive Officer</w:t>
      </w:r>
    </w:p>
    <w:p>
      <w:pPr>
        <w:spacing w:after="0" w:line="178" w:lineRule="exact"/>
        <w:rPr>
          <w:sz w:val="20"/>
          <w:szCs w:val="20"/>
          <w:color w:val="auto"/>
        </w:rPr>
      </w:pPr>
    </w:p>
    <w:p>
      <w:pPr>
        <w:sectPr>
          <w:pgSz w:w="11900" w:h="16838" w:orient="portrait"/>
          <w:cols w:equalWidth="0" w:num="3">
            <w:col w:w="440" w:space="620"/>
            <w:col w:w="2780" w:space="720"/>
            <w:col w:w="5679"/>
          </w:cols>
          <w:pgMar w:left="220" w:top="617" w:right="1440" w:bottom="1440" w:gutter="0" w:footer="0" w:header="0"/>
          <w:type w:val="continuous"/>
        </w:sect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c>
          <w:tcPr>
            <w:tcW w:w="174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Chief Executive</w:t>
            </w:r>
          </w:p>
        </w:tc>
        <w:tc>
          <w:tcPr>
            <w:tcW w:w="174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J. Guttman</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J. Guttman</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President and</w:t>
            </w:r>
          </w:p>
        </w:tc>
        <w:tc>
          <w:tcPr>
            <w:tcW w:w="1740" w:type="dxa"/>
            <w:vAlign w:val="bottom"/>
          </w:tcPr>
          <w:p>
            <w:pPr>
              <w:spacing w:after="0"/>
              <w:rPr>
                <w:sz w:val="24"/>
                <w:szCs w:val="2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C. Wood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Operating Officer</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C. Wood</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Senior Vice-President,</w:t>
            </w:r>
          </w:p>
        </w:tc>
        <w:tc>
          <w:tcPr>
            <w:tcW w:w="174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17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Treasurer (Chief</w:t>
            </w:r>
          </w:p>
        </w:tc>
        <w:tc>
          <w:tcPr>
            <w:tcW w:w="174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E. Finger</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E. Finger</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Dennis L. Berman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Dennis L. Berman</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Kenneth D. Brody</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D. Brody</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Kristin Gamble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Kristin Gamble</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Walter F. Loeb</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Walter F. Loeb</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Mark S. Ordan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March 22, 2202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400" w:type="dxa"/>
            <w:vAlign w:val="bottom"/>
          </w:tcPr>
          <w:p>
            <w:pPr>
              <w:spacing w:after="0"/>
              <w:rPr>
                <w:sz w:val="14"/>
                <w:szCs w:val="14"/>
                <w:color w:val="auto"/>
              </w:rPr>
            </w:pP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S. Ordan</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160" w:type="dxa"/>
            <w:vAlign w:val="bottom"/>
          </w:tcPr>
          <w:p>
            <w:pPr>
              <w:spacing w:after="0"/>
              <w:rPr>
                <w:sz w:val="24"/>
                <w:szCs w:val="24"/>
                <w:color w:val="auto"/>
              </w:rPr>
            </w:pPr>
          </w:p>
        </w:tc>
        <w:tc>
          <w:tcPr>
            <w:tcW w:w="2400" w:type="dxa"/>
            <w:vAlign w:val="bottom"/>
          </w:tcPr>
          <w:p>
            <w:pPr>
              <w:ind w:left="1260"/>
              <w:spacing w:after="0"/>
              <w:rPr>
                <w:sz w:val="20"/>
                <w:szCs w:val="20"/>
                <w:color w:val="auto"/>
              </w:rPr>
            </w:pPr>
            <w:r>
              <w:rPr>
                <w:rFonts w:ascii="Courier New" w:cs="Courier New" w:eastAsia="Courier New" w:hAnsi="Courier New"/>
                <w:sz w:val="15"/>
                <w:szCs w:val="15"/>
                <w:color w:val="auto"/>
              </w:rPr>
              <w:t>64</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FINANCIAL STATEMENTS</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AND</w:t>
      </w:r>
    </w:p>
    <w:p>
      <w:pPr>
        <w:ind w:left="1860"/>
        <w:spacing w:after="0" w:line="237" w:lineRule="auto"/>
        <w:rPr>
          <w:sz w:val="20"/>
          <w:szCs w:val="20"/>
          <w:color w:val="auto"/>
        </w:rPr>
      </w:pPr>
      <w:r>
        <w:rPr>
          <w:rFonts w:ascii="Courier New" w:cs="Courier New" w:eastAsia="Courier New" w:hAnsi="Courier New"/>
          <w:sz w:val="15"/>
          <w:szCs w:val="15"/>
          <w:color w:val="auto"/>
        </w:rPr>
        <w:t>SCHEDULES</w:t>
      </w:r>
    </w:p>
    <w:p>
      <w:pPr>
        <w:sectPr>
          <w:pgSz w:w="11900" w:h="16838" w:orient="portrait"/>
          <w:cols w:equalWidth="0" w:num="1">
            <w:col w:w="9019"/>
          </w:cols>
          <w:pgMar w:left="1440" w:top="1440"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Trustees and Shareholders of</w:t>
      </w:r>
    </w:p>
    <w:p>
      <w:pPr>
        <w:spacing w:after="0" w:line="237" w:lineRule="auto"/>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Federal Realty Investment Trust (a Maryland real estate investment trust) and subsidiaries as of December 31, 2001 and 2000 and the related consolidated statements of operations, common shareholders' equity, and cash flows for each of the years in the three year period ended December 31, 2001. These financial statements are the responsibility of the Trust's management. Our responsibility is to express an opinion on these financial statements based on our audits.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Federal Realty Investment Trust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Our audit was made for the purpose of forming an opinion on the basic consolidated financial statements taken as a whole. The financial statement schedules included on pages F-29 through F-34 of the Form 10-K are presented for purposes of complying with the Securities and Exchange Commission's rules and are not a required part of the basic consolidated financial statements. These schedules have been subjected to the auditing procedures applied in our audit of the basic consolidated financial statements and, in our opinion, are fairly stated in all material respects in relation to the basic consolidated financial statements taken as a whole.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237" w:lineRule="auto"/>
        <w:rPr>
          <w:sz w:val="20"/>
          <w:szCs w:val="20"/>
          <w:color w:val="auto"/>
        </w:rPr>
      </w:pPr>
      <w:r>
        <w:rPr>
          <w:rFonts w:ascii="Courier New" w:cs="Courier New" w:eastAsia="Courier New" w:hAnsi="Courier New"/>
          <w:sz w:val="15"/>
          <w:szCs w:val="15"/>
          <w:color w:val="auto"/>
        </w:rPr>
        <w:t>Vienna, Virginia</w:t>
      </w:r>
    </w:p>
    <w:p>
      <w:pPr>
        <w:spacing w:after="0" w:line="238" w:lineRule="auto"/>
        <w:rPr>
          <w:sz w:val="20"/>
          <w:szCs w:val="20"/>
          <w:color w:val="auto"/>
        </w:rPr>
      </w:pPr>
      <w:r>
        <w:rPr>
          <w:rFonts w:ascii="Courier New" w:cs="Courier New" w:eastAsia="Courier New" w:hAnsi="Courier New"/>
          <w:sz w:val="15"/>
          <w:szCs w:val="15"/>
          <w:color w:val="auto"/>
        </w:rPr>
        <w:t>February 11, 2002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617"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December 31,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92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ASSETS</w:t>
            </w:r>
          </w:p>
        </w:tc>
        <w:tc>
          <w:tcPr>
            <w:tcW w:w="3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 thousands, except share data)</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Real estate, at cost</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$ 1,782,318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$ 1,679,289</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321,986</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175,624</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2,104,304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1,854,913</w:t>
            </w:r>
          </w:p>
        </w:tc>
      </w:tr>
      <w:tr>
        <w:trPr>
          <w:trHeight w:val="336"/>
        </w:trPr>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(395,767)</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(351,258)</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1,708,537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1,503,655</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17,563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11,357</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35,607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47,360</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18,580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13,092</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50,739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38,140</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$4,840 and $3,982, respectively</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6,952</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7,475</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$ 1,837,978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$ 1,621,079</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100,293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121,611</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and construction loans payable</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350,043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218,541</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174,843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209,005</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64,014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36,810</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21,664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19,892</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6,026</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5,537</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10,400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410,000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75,289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33,018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47,921</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liquidation preference $25 per share), 4,000,000 shares issued in 1997</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100,000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8.5% Series B Cumulative Redeemable Preferred Shares, (stated at</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liquidation preference $25 per share), 5,400,000 shares issued in 2001</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135,000</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 100,000,000 shares</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41,524,165 and 40,910,972 issued, respectively</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730,835</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723,078</w:t>
            </w:r>
          </w:p>
        </w:tc>
      </w:tr>
      <w:tr>
        <w:trPr>
          <w:trHeight w:val="168"/>
        </w:trPr>
        <w:tc>
          <w:tcPr>
            <w:tcW w:w="6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(322,428)</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(306,287)</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643,824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517,201</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w w:val="98"/>
              </w:rPr>
              <w:t>Less:1,452,926 and 1,441,594 common shares in treasury - at cost, respectively</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(27,990)</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(27,753)</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(17,254)</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(4,148)</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(4,540)</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(4,293)</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592,388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467,654</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$ 1,837,978</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$ 1,621,079</w:t>
            </w:r>
          </w:p>
        </w:tc>
      </w:tr>
      <w:tr>
        <w:trPr>
          <w:trHeight w:val="168"/>
        </w:trPr>
        <w:tc>
          <w:tcPr>
            <w:tcW w:w="692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 income</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$ 279,935</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$ 260,684</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$ 245,833</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6,590</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7,532</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7,649</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13,977</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11,065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11,231</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300,502</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279,281</w:t>
            </w:r>
          </w:p>
        </w:tc>
        <w:tc>
          <w:tcPr>
            <w:tcW w:w="3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264,713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63,481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56,280</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53,677</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28,772</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26,620</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25,021</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69,313</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66,418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61,492</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14,281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13,318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15,120</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59,914</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53,259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50,011</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235,761</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215,895</w:t>
            </w:r>
          </w:p>
        </w:tc>
        <w:tc>
          <w:tcPr>
            <w:tcW w:w="3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205,321</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64,741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63,386</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59,392</w:t>
            </w:r>
          </w:p>
        </w:tc>
      </w:tr>
      <w:tr>
        <w:trPr>
          <w:trHeight w:val="336"/>
        </w:trPr>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Investors' share of operations</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(5,170)</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(6,544)</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(3,899)</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gain (loss) on sale of real estate</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59,571</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56,842</w:t>
            </w:r>
          </w:p>
        </w:tc>
        <w:tc>
          <w:tcPr>
            <w:tcW w:w="3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55,493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Gain (loss) on sale of real estate</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9,185</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3,681</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(7,050)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68,756</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60,523</w:t>
            </w:r>
          </w:p>
        </w:tc>
        <w:tc>
          <w:tcPr>
            <w:tcW w:w="3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48,443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2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(9,034)</w:t>
            </w:r>
          </w:p>
        </w:tc>
        <w:tc>
          <w:tcPr>
            <w:tcW w:w="2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(7,950)</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(7,950)</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w w:val="99"/>
              </w:rPr>
              <w:t>Net income available for common shareholders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52,573</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40,493</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before gain (loss) on sale of real estate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(loss) on sale of real estate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0.23</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0.10</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39,164</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38,796</w:t>
            </w:r>
          </w:p>
        </w:tc>
        <w:tc>
          <w:tcPr>
            <w:tcW w:w="3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39,574</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before gain (loss) on sale of real estate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(loss) on sale of real estate</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0.23</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0.09</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00"/>
              <w:spacing w:after="0"/>
              <w:rPr>
                <w:sz w:val="20"/>
                <w:szCs w:val="20"/>
                <w:color w:val="auto"/>
              </w:rPr>
            </w:pPr>
            <w:r>
              <w:rPr>
                <w:rFonts w:ascii="Courier New" w:cs="Courier New" w:eastAsia="Courier New" w:hAnsi="Courier New"/>
                <w:sz w:val="15"/>
                <w:szCs w:val="15"/>
                <w:color w:val="auto"/>
                <w:w w:val="99"/>
              </w:rPr>
              <w:t>Weighted average number of common shares, diluted</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40,266</w:t>
            </w:r>
          </w:p>
        </w:tc>
        <w:tc>
          <w:tcPr>
            <w:tcW w:w="26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39,910</w:t>
            </w:r>
          </w:p>
        </w:tc>
        <w:tc>
          <w:tcPr>
            <w:tcW w:w="3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40,638</w:t>
            </w:r>
          </w:p>
        </w:tc>
      </w:tr>
      <w:tr>
        <w:trPr>
          <w:trHeight w:val="168"/>
        </w:trPr>
        <w:tc>
          <w:tcPr>
            <w:tcW w:w="4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17"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80" w:type="dxa"/>
            <w:vAlign w:val="bottom"/>
            <w:gridSpan w:val="5"/>
          </w:tcPr>
          <w:p>
            <w:pPr>
              <w:jc w:val="right"/>
              <w:ind w:right="667"/>
              <w:spacing w:after="0"/>
              <w:rPr>
                <w:sz w:val="20"/>
                <w:szCs w:val="20"/>
                <w:color w:val="auto"/>
              </w:rPr>
            </w:pPr>
            <w:r>
              <w:rPr>
                <w:rFonts w:ascii="Courier New" w:cs="Courier New" w:eastAsia="Courier New" w:hAnsi="Courier New"/>
                <w:sz w:val="15"/>
                <w:szCs w:val="15"/>
                <w:color w:val="auto"/>
              </w:rPr>
              <w:t>Year ended December 31,</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Amount</w:t>
            </w:r>
          </w:p>
        </w:tc>
        <w:tc>
          <w:tcPr>
            <w:tcW w:w="12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Paid-in</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40,910,972</w:t>
            </w: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723,078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40,418,766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$ 713,354</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to reflect change in par value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partnership interests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335,236</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2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6,919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22,066</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67,684</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1,398</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159,234</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2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3,277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153,713</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3,136</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96,657</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2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1,877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270,809</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5,190</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Cost of 8.5% Series B Cumulative Preferred Shares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(4,775)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41,524,165</w:t>
            </w:r>
          </w:p>
        </w:tc>
        <w:tc>
          <w:tcPr>
            <w:tcW w:w="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730,835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40,910,972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Accumulated Dividends in Excess of Trust Net Income</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40" w:type="dxa"/>
            <w:vAlign w:val="bottom"/>
          </w:tcPr>
          <w:p>
            <w:pPr>
              <w:spacing w:after="0"/>
              <w:rPr>
                <w:sz w:val="14"/>
                <w:szCs w:val="14"/>
                <w:color w:val="auto"/>
              </w:rPr>
            </w:pPr>
          </w:p>
        </w:tc>
        <w:tc>
          <w:tcPr>
            <w:tcW w:w="16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($306,287)</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($286,348)</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68,756</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60,523</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(75,863)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(72,512)</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(9,034)</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(7,950)</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40" w:type="dxa"/>
            <w:vAlign w:val="bottom"/>
          </w:tcPr>
          <w:p>
            <w:pPr>
              <w:spacing w:after="0"/>
              <w:rPr>
                <w:sz w:val="14"/>
                <w:szCs w:val="14"/>
                <w:color w:val="auto"/>
              </w:rPr>
            </w:pPr>
          </w:p>
        </w:tc>
        <w:tc>
          <w:tcPr>
            <w:tcW w:w="16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($322,428)</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($306,287)</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(1,441,594)</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($27,753)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(217,644)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4,334)</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(11,332)</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(237)</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(38,550)</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(787)</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(1,185,400)</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(22,632)</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(1,452,926)</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($27,990)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(1,441,594)</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($ 27,753)</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(735,875)</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($17,254)</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(599,427)</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($15,219)</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(61,369)</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(830)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(218,771)</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(4,151)</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130,588</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3,079</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82,323</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2,116</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(666,656)</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($15,005)</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(735,875)</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($17,254)</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 plans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(242,638)</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($4,540)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(317,606)</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($6,030)</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issued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(3,333)</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(5,500)</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27,416</w:t>
            </w: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80,468</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1,605</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(218,555)</w:t>
            </w: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($4,148)</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(242,638)</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($4,540)</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04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(4,342)</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($4,293)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4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68,756</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(4,342)</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other comprehensive income</w:t>
            </w:r>
          </w:p>
        </w:tc>
        <w:tc>
          <w:tcPr>
            <w:tcW w:w="1040" w:type="dxa"/>
            <w:vAlign w:val="bottom"/>
          </w:tcPr>
          <w:p>
            <w:pPr>
              <w:spacing w:after="0"/>
              <w:rPr>
                <w:sz w:val="14"/>
                <w:szCs w:val="14"/>
                <w:color w:val="auto"/>
              </w:rPr>
            </w:pPr>
          </w:p>
        </w:tc>
        <w:tc>
          <w:tcPr>
            <w:tcW w:w="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64,463</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6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6"/>
              </w:rPr>
              <w:t>Year ended December 31,</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1999</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w:t>
            </w:r>
          </w:p>
        </w:tc>
        <w:tc>
          <w:tcPr>
            <w:tcW w:w="400" w:type="dxa"/>
            <w:vAlign w:val="bottom"/>
          </w:tcPr>
          <w:p>
            <w:pPr>
              <w:spacing w:after="0"/>
              <w:rPr>
                <w:sz w:val="24"/>
                <w:szCs w:val="24"/>
                <w:color w:val="auto"/>
              </w:rPr>
            </w:pP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Additional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1"/>
              </w:rPr>
              <w:t>Paid-in</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1"/>
              </w:rPr>
              <w:t>Capital</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40,139,675</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707,724</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to reflect change in par value</w:t>
            </w:r>
          </w:p>
        </w:tc>
        <w:tc>
          <w:tcPr>
            <w:tcW w:w="10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(707,324)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707,323</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partnership interests</w:t>
            </w:r>
          </w:p>
        </w:tc>
        <w:tc>
          <w:tcPr>
            <w:tcW w:w="10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0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52,667</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1,092</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165,770</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3,566</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0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60,654</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1,373</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Cost of 8.5% Series B Cumulative Preferred Shares</w:t>
            </w:r>
          </w:p>
        </w:tc>
        <w:tc>
          <w:tcPr>
            <w:tcW w:w="10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ectPr>
          <w:pgSz w:w="11900" w:h="16838" w:orient="portrait"/>
          <w:cols w:equalWidth="0" w:num="1">
            <w:col w:w="11460"/>
          </w:cols>
          <w:pgMar w:left="220" w:top="449" w:right="21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40,418,766</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w:t>
            </w:r>
          </w:p>
        </w:tc>
        <w:tc>
          <w:tcPr>
            <w:tcW w:w="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713,354</w:t>
            </w:r>
          </w:p>
        </w:tc>
      </w:tr>
      <w:tr>
        <w:trPr>
          <w:trHeight w:val="168"/>
        </w:trPr>
        <w:tc>
          <w:tcPr>
            <w:tcW w:w="4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($255,211)</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48,443</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(71,630)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(7,950)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5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($286,348)</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of Beneficial Interest in Treasury</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(59,425)</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($1,376)</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(17,719)</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(393)</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(140,500)</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(217,644)</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($4,334)</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(582,910)</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($14,892)</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(31,660)</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15,143</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(599,427)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($15,219)</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Subscriptions receivable from employee stock plans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issued</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(337,111)</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($6,298)</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(9,083)</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28,588</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(317,606)</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15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other comprehensive income</w:t>
            </w:r>
          </w:p>
        </w:tc>
        <w:tc>
          <w:tcPr>
            <w:tcW w:w="15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13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w:t>
            </w:r>
          </w:p>
        </w:tc>
        <w:tc>
          <w:tcPr>
            <w:tcW w:w="2260" w:type="dxa"/>
            <w:vAlign w:val="bottom"/>
            <w:gridSpan w:val="4"/>
          </w:tcPr>
          <w:p>
            <w:pPr>
              <w:spacing w:after="0"/>
              <w:rPr>
                <w:sz w:val="20"/>
                <w:szCs w:val="20"/>
                <w:color w:val="auto"/>
              </w:rPr>
            </w:pPr>
            <w:r>
              <w:rPr>
                <w:rFonts w:ascii="Courier New" w:cs="Courier New" w:eastAsia="Courier New" w:hAnsi="Courier New"/>
                <w:sz w:val="15"/>
                <w:szCs w:val="15"/>
                <w:color w:val="auto"/>
              </w:rPr>
              <w:t>ended December 31,</w:t>
            </w:r>
          </w:p>
        </w:tc>
      </w:tr>
      <w:tr>
        <w:trPr>
          <w:trHeight w:val="336"/>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68,756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48,443</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59,914</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53,259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50,011</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loss on sale of real estate</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(9,185)</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7,050</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2,395</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(5,544)</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(5,257)</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(18,305)</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(2,183)</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operating accounts payable,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4,132</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accrued expenses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7,736</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2,926</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108,545</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106,146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102,183</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(61,415)</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(23,554)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(25,337)</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development</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(158,048)</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(81,023)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(32,589)</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other</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(41,013)</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(64,815)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(58,207)</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Repayments (issuance) of mortgage notes receivable, net</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3,275</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(2,341)</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real estate, net of costs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25,063</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47,157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19,161</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(232,138)</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(121,741)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(99,313)</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 (repayment) of short-term debt, net</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(34,000)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47,400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(100,147)</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Proceeds from mortgage and construction financing, net of costs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145,427</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166,383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issuance of senior notes, net of costs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(100,000)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172,193</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Series B Preferred shares, net of costs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130,225</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2,243</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repurchased</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(22,632)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(2,565)</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(31,550)</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(1,151)</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(80,593)</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(77,499)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(76,617)</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minority interest, net</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(2,318)</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129,799</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15,214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(8,362)</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Increase (decrease) in cash</w:t>
            </w:r>
          </w:p>
        </w:tc>
        <w:tc>
          <w:tcPr>
            <w:tcW w:w="22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6,206</w:t>
            </w:r>
          </w:p>
        </w:tc>
        <w:tc>
          <w:tcPr>
            <w:tcW w:w="34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(5,492)</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at beginning of year</w:t>
            </w:r>
          </w:p>
        </w:tc>
        <w:tc>
          <w:tcPr>
            <w:tcW w:w="22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11,357</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11,738</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17,230</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at end of year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11,738</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6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December 31, 2001, 2000 and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Federal Realty Investment Trust (the "Trust") is a full-service real estate company, which owns and operates community and neighborhood shopping centers and owns and develops main street retail properties, retail buildings and mixed-use properties located in densely developed urban and suburban areas.</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for federal income tax purposes. A trust which distributes at least 90%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of the Trust include the accounts of the Trust, its wholly owned corporate subsidiaries, several corporations where the Trust has a majority ownership, numerous partnerships and a joint venture, all of which it controls. The equity interests of other investors are reflected as investors' interest in consolidated assets. All significant intercompany transactions and balances are eliminated in consolidation.</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Recognition. Leases with tenants are classified as operating leases. Minimum rents are recognized on a straight-line basis over the terms of the related leases net of valuation adjustments based on management's assessment of credit, collection and other business risk. Percentage rents, which represent additional rents based on gross tenant sales, are recognized at the end of the lease year or other period in which tenant sales' thresholds have been reached and the percentage rents are due. Real estate tax and other cost reimbursements are recognized on an accrual basis over the periods in which the expenditures occurred.</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Real Estate. Land, buildings and real estate under development are recorded at cost. Depreciation is computed using the straight-line method. Estimated useful lives range from three to 25 years on apartment buildings and improvements, and from three to 50 years on retail properties and improvements. Maintenance and repair costs are charged to operations as incurred. Tenant work and other major improvements are capitalized and depreciated over the life of the lease or their estimated useful life, respectively. In accordance with Statement of Financial Accounting Standard ("SFAS") No. 66, "Accounting for Sales of Real Estate", sales are recognized at closing only when sufficient down payments have been obtained, possession and other attributes of ownership have been transferred to the buyer and the Trust has no significant continuing involvement. The gain or loss resulting from the sale of properties is included in net income at the time of sale. Upon termination of a lease, undepreciated tenant improvement costs are charged to operations if the assets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617" w:right="1440" w:bottom="1440" w:gutter="0" w:footer="0" w:header="0"/>
        </w:sectPr>
      </w:pPr>
    </w:p>
    <w:bookmarkStart w:id="72" w:name="page73"/>
    <w:bookmarkEnd w:id="72"/>
    <w:p>
      <w:pPr>
        <w:ind w:right="3499"/>
        <w:spacing w:after="0" w:line="234" w:lineRule="auto"/>
        <w:rPr>
          <w:sz w:val="20"/>
          <w:szCs w:val="20"/>
          <w:color w:val="auto"/>
        </w:rPr>
      </w:pPr>
      <w:r>
        <w:rPr>
          <w:rFonts w:ascii="Courier New" w:cs="Courier New" w:eastAsia="Courier New" w:hAnsi="Courier New"/>
          <w:sz w:val="15"/>
          <w:szCs w:val="15"/>
          <w:color w:val="auto"/>
        </w:rPr>
        <w:t>are replaced and the asset and the corresponding accumulated depreciation are retired.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evaluates the carrying value of its long-lived assets in accordance with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fair market value.</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(effective for the Trust on January 1, 2002). SFAS No. 144 requires that one accounting model be used for long-lived assets to be disposed of by sale, whether previously held and used or newly-acquired, and broadens the presentation of discontinued operations to include more disposal transactions.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Trust, when applicable as lessee, classifies its leases of land and buildings as operating or capital leases in accordance with the provisions of SFAS No. 13, "Accounting for Leases".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Certain external and internal costs directly related to the development, redevelopment and leasing of real estate including applicable salaries and their related direct costs are capitalized. The capitalized costs associated with developments, redevelopments and leasing are depreciated or amortized over the life of the improvement and lease, respectively. Unamortized leasing costs are charged to operations if the applicable tenant vacates before the expiration of their lease.</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costs on developments and major redevelopments are capitalized as part of the development and redevelopment. Capitalization of interest commences when development activities and expenditures begin and end upon completion, i.e. when the asset is ready for its intended use. Generally rental property is considered substantially complete and ready for its intended use upon completion of tenant improvements, but no later than one year from the completion of major construction activity.</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Debt Issue Costs. Costs related to the issuance of debt instruments are capitalized and are amortized as interest expense over the life of the related issue using the effective interest method. Upon conversion or in the event of redemption, applicable unamortized costs are charged to shareholders' equity or to operations, respectively.</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Cash and Cash Equivalents. The Trust defines cash as cash on hand, demand deposits with financial institutions and short term liquid investments with an initial maturity under three months. Cash balances in individual banks may exceed insurable amounts from time to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 Upon adoption of SFAS No. 133 "Accounting for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24" w:right="1440" w:bottom="1440" w:gutter="0" w:footer="0" w:header="0"/>
        </w:sectPr>
      </w:pPr>
    </w:p>
    <w:bookmarkStart w:id="73" w:name="page74"/>
    <w:bookmarkEnd w:id="73"/>
    <w:p>
      <w:pPr>
        <w:ind w:right="3319"/>
        <w:spacing w:after="0" w:line="254" w:lineRule="auto"/>
        <w:rPr>
          <w:sz w:val="20"/>
          <w:szCs w:val="20"/>
          <w:color w:val="auto"/>
        </w:rPr>
      </w:pPr>
      <w:r>
        <w:rPr>
          <w:rFonts w:ascii="Courier New" w:cs="Courier New" w:eastAsia="Courier New" w:hAnsi="Courier New"/>
          <w:sz w:val="14"/>
          <w:szCs w:val="14"/>
          <w:color w:val="auto"/>
        </w:rPr>
        <w:t>Derivative Instruments and Hedging Activities" on January 1, 2001, the Trust had no derivatives and thus there was no transition adjustment upon adoption. SFAS No. 133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The Trust enters into derivative contracts, which qualify as cash flow hedges, in order to manage interest rate risk. Derivatives are not purchased for speculation. During 2001, to hedge its exposure to interest rates on its $125 million term loan, the Trust entered into interest rate swaps, which fixed the LIBOR interest rate on the term loan at 5.27%. The current interest rate on the term loan is LIBOR plus 95 basis points, thus fixing the interest rate at 6.22% on notional amounts totaling $125 million. The Trust is exposed to credit loss in the event of non-performance by the counterparties to the interest rate protection agreement should interest rates exceed the cap. However, management does not anticipate non-performance by the counterparties. The counterparties have long-term debt ratings of A- or above by S&amp;P and AA2 or above by Moody's. Although the Trust's cap is not exchange-traded,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market value is recorded as a component of other comprehensive income within stockholders' equity and either a derivative instrument asset or liability is recorded on the balance sheet. At December 31, 2001, an unrealized loss of $4,342,000, representing the difference between the current market value and the 6.22% fixed interest rate on the swap, was recorded in other comprehensive income with a corresponding derivative liability on the balance sheet. Interest expense of approximately $2,217,000 will be reclassified from other comprehensive income into current earnings over the next twelve months to bring the effective interest rate up to 6.22%. There were no open derivative contracts at December 31, 2000 or 1999.</w:t>
      </w:r>
    </w:p>
    <w:p>
      <w:pPr>
        <w:spacing w:after="0" w:line="34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Acquisition, Development and Construction Loan Arrangements. The Trust has made certain mortgage loans that, because of their nature, qualify as loan receivables. At the time the loans were made the Trust did not intend for the arrangement to be anything other than a financing and did not contemplate a real estate investment. Using guidance set forth in the Third Notice to Practitioners issued by the AICPA in February 1986 entitled "ADC Arrangements" ("the Third Notice"), the Trust evaluates each investment to determine whether the loan arrangement qualifies under the Third Notice as a loan, joint venture or real estate investment and the appropriate accounting thereon; such determination affects the Trust's balance sheet classification of these investments and the recognition of interest income derived therefrom. Generally, the Trust receives additional interest on these loans, however the Trust never receives in excess of 50% of the residual profit in the project (as defined in the Third Notice) and because the borrower has either a substantial investment in the project or has guaranteed all or a portion of</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24" w:right="1440" w:bottom="1440" w:gutter="0" w:footer="0" w:header="0"/>
        </w:sectPr>
      </w:pPr>
    </w:p>
    <w:bookmarkStart w:id="74" w:name="page75"/>
    <w:bookmarkEnd w:id="74"/>
    <w:p>
      <w:pPr>
        <w:ind w:right="3579"/>
        <w:spacing w:after="0" w:line="256" w:lineRule="auto"/>
        <w:rPr>
          <w:sz w:val="20"/>
          <w:szCs w:val="20"/>
          <w:color w:val="auto"/>
        </w:rPr>
      </w:pPr>
      <w:r>
        <w:rPr>
          <w:rFonts w:ascii="Courier New" w:cs="Courier New" w:eastAsia="Courier New" w:hAnsi="Courier New"/>
          <w:sz w:val="14"/>
          <w:szCs w:val="14"/>
          <w:color w:val="auto"/>
        </w:rPr>
        <w:t>the Trust's loan (or a combination thereof) the loans qualify for loan accounting. The amounts under ADC arrangements at December 31, 2001 and 2000 are $35.6 million and $47.4 million, respectively and interest income recognized thereon was $4.1 million and $5.0 million, respectively.</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periods. These estimates are prepared using management's best judgment, after considering past and current events. Actual results could differ from these estimates.</w:t>
      </w:r>
    </w:p>
    <w:p>
      <w:pPr>
        <w:spacing w:after="0" w:line="16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Comprehensive Income. The Trust's interest rate swaps were documented as cash flow hedges and designated as effective at inception of the swap contract, therefore, the unrealized gain or loss upon measuring the swaps at their fair market value is recorded as a component of other comprehensive income within stockholders' equity. In accordance with SFAS No. 115, "Accounting for Certain Investments in Debt and Equity Securities", investments purchased in connection with the Trust's nonqualified deferred compensation plan are classified as available for sale securities and reported at fair value. Unrealized gains or losses on these investments purchased to match the Trust's obligation to the participants is also recorded as a component of other comprehensive income. At December 31, 2001 these investments consisted of mutual funds and are stated at market value.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24" w:right="1440" w:bottom="1440" w:gutter="0" w:footer="0" w:header="0"/>
        </w:sectPr>
      </w:pPr>
    </w:p>
    <w:bookmarkStart w:id="75" w:name="page76"/>
    <w:bookmarkEnd w:id="75"/>
    <w:p>
      <w:pPr>
        <w:ind w:right="3499"/>
        <w:spacing w:after="0" w:line="255" w:lineRule="auto"/>
        <w:rPr>
          <w:sz w:val="20"/>
          <w:szCs w:val="20"/>
          <w:color w:val="auto"/>
        </w:rPr>
      </w:pPr>
      <w:r>
        <w:rPr>
          <w:rFonts w:ascii="Courier New" w:cs="Courier New" w:eastAsia="Courier New" w:hAnsi="Courier New"/>
          <w:sz w:val="14"/>
          <w:szCs w:val="14"/>
          <w:color w:val="auto"/>
        </w:rPr>
        <w:t>Earnings Per Share. The Trust calculates basic and diluted earnings per share in accordance with SFAS No. 128, "Earnings Per Share". Basic EPS excludes dilution and is computed by dividing net income available for common shareholders by the weighted number of common shares outstanding for the period. Diluted EPS reflects the potential dilution that could occur if securities or other contracts to issue common shares were exercised or converted into common shares and then shared in the earnings of the Trust.</w:t>
      </w:r>
    </w:p>
    <w:p>
      <w:pPr>
        <w:spacing w:after="0" w:line="166"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reconciliation between basic and diluted EPS (in thousands, except per share data):</w:t>
      </w:r>
    </w:p>
    <w:p>
      <w:pPr>
        <w:spacing w:after="0" w:line="167" w:lineRule="exact"/>
        <w:rPr>
          <w:sz w:val="20"/>
          <w:szCs w:val="20"/>
          <w:color w:val="auto"/>
        </w:rPr>
      </w:pPr>
    </w:p>
    <w:p>
      <w:pPr>
        <w:ind w:left="3340"/>
        <w:spacing w:after="0"/>
        <w:tabs>
          <w:tab w:leader="none" w:pos="4180" w:val="left"/>
          <w:tab w:leader="none" w:pos="52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ind w:left="180" w:hanging="170"/>
        <w:spacing w:after="0" w:line="237" w:lineRule="auto"/>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Numerator</w:t>
      </w:r>
    </w:p>
    <w:p>
      <w:pPr>
        <w:ind w:left="180" w:hanging="170"/>
        <w:spacing w:after="0" w:line="237" w:lineRule="auto"/>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3200" w:type="dxa"/>
            <w:vAlign w:val="bottom"/>
          </w:tcPr>
          <w:p>
            <w:pPr>
              <w:spacing w:after="0" w:line="169" w:lineRule="exact"/>
              <w:rPr>
                <w:sz w:val="20"/>
                <w:szCs w:val="20"/>
                <w:color w:val="auto"/>
              </w:rPr>
            </w:pPr>
            <w:r>
              <w:rPr>
                <w:rFonts w:ascii="Courier New" w:cs="Courier New" w:eastAsia="Courier New" w:hAnsi="Courier New"/>
                <w:sz w:val="15"/>
                <w:szCs w:val="15"/>
                <w:color w:val="auto"/>
              </w:rPr>
              <w:t>Net income available for common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$59,722</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$52,573</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$40,493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1,384</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1,311</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320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diluted</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$61,106</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$53,884</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$41,324</w:t>
            </w:r>
          </w:p>
        </w:tc>
      </w:tr>
      <w:tr>
        <w:trPr>
          <w:trHeight w:val="168"/>
        </w:trPr>
        <w:tc>
          <w:tcPr>
            <w:tcW w:w="320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39,164</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38,796</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39,574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905</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320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 diluted</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40,266</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39,910</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40,638</w:t>
            </w:r>
          </w:p>
        </w:tc>
      </w:tr>
      <w:tr>
        <w:trPr>
          <w:trHeight w:val="168"/>
        </w:trPr>
        <w:tc>
          <w:tcPr>
            <w:tcW w:w="320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 basic</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320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Earnings per common share - diluted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68"/>
        </w:trPr>
        <w:tc>
          <w:tcPr>
            <w:tcW w:w="3200" w:type="dxa"/>
            <w:vAlign w:val="bottom"/>
          </w:tcPr>
          <w:p>
            <w:pPr>
              <w:spacing w:after="0"/>
              <w:rPr>
                <w:sz w:val="14"/>
                <w:szCs w:val="14"/>
                <w:color w:val="auto"/>
              </w:rPr>
            </w:pP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Stock options are accounted for in accordance with APB 25, as interpreted, whereby if options are priced at fair market value or above at the date of grant, no compensation expense is recognized.</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Reclassifications. Certain components of real estate, mortgages and construction loans payable and notes payable on the December 31, 2000 Balance Sheet have been reclassified to assure comparability of all periods presented.</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24"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NOTE 1: REAL ESTATE AND ENCUMBRANCES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 summary of the Trust's properties at December 31, 2001 and 2000 is as follows (in thousands):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Accumulated</w:t>
      </w:r>
    </w:p>
    <w:p>
      <w:pPr>
        <w:ind w:left="2460"/>
        <w:spacing w:after="0" w:line="237" w:lineRule="auto"/>
        <w:tabs>
          <w:tab w:leader="none" w:pos="306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depreciation and</w:t>
      </w:r>
    </w:p>
    <w:p>
      <w:pPr>
        <w:spacing w:after="0"/>
        <w:tabs>
          <w:tab w:leader="none" w:pos="3220" w:val="left"/>
          <w:tab w:leader="none" w:pos="454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amortization</w:t>
      </w:r>
      <w:r>
        <w:rPr>
          <w:sz w:val="20"/>
          <w:szCs w:val="20"/>
          <w:color w:val="auto"/>
        </w:rPr>
        <w:tab/>
      </w:r>
      <w:r>
        <w:rPr>
          <w:rFonts w:ascii="Courier New" w:cs="Courier New" w:eastAsia="Courier New" w:hAnsi="Courier New"/>
          <w:sz w:val="14"/>
          <w:szCs w:val="14"/>
          <w:color w:val="auto"/>
        </w:rPr>
        <w:t>Encumbrances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$1,928,554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329,911</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350,043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169,072</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59,967</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100,293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6,678</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5,889</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$2,104,304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395,767</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450,336</w:t>
            </w:r>
          </w:p>
        </w:tc>
      </w:tr>
      <w:tr>
        <w:trPr>
          <w:trHeight w:val="168"/>
        </w:trPr>
        <w:tc>
          <w:tcPr>
            <w:tcW w:w="206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$1,633,448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276,982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218,541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capital leases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214,805</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68,564</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121,611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6,660</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5,712</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$1,854,913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351,258</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340,152</w:t>
            </w:r>
          </w:p>
        </w:tc>
      </w:tr>
      <w:tr>
        <w:trPr>
          <w:trHeight w:val="168"/>
        </w:trPr>
        <w:tc>
          <w:tcPr>
            <w:tcW w:w="206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2001 the Trust expended cash of $61.4 million to acquire real estate and an additional $199.1 million to improve, redevelop and develop its existing real estate. Of the $199.1 million spent in 2001 on the Trust's existing real estate portfolio, approximately $158.0 million was invested in the Trust's development projects, primarily the projects in Bethesda, Maryland; San Jose, California; and in Arlington, Virginia. The remaining $41.0 million of capital expenditures relates to improvements to common areas, tenant work and various redevelopments, including the office expansion and retenanting of Willow Lawn Shopping Center, the renovation of Brunswick Shopping Center, the redevelopment of retail buildings in San Antonio, Texas and the redevelopment and retenanting of certain of the Trust's California street retail buildings.</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February 16, 2001 the Trust bought the fee interest underlying the capital lease obligation of $21.4 million,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On March 1, 2001 the limited partners in two partnerships, owning street retail properties in southern California, exercised their rights under the partnership agreements and put their interests to the Trust for $18.1 million plus additional consideration to be determined upon meeting certain leasing requirements in the future. The Trust paid the initial $18.1 million, $11.4 million in cash at closing, and the $6.7 million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77" w:name="page78"/>
    <w:bookmarkEnd w:id="77"/>
    <w:p>
      <w:pPr>
        <w:ind w:right="3499"/>
        <w:spacing w:after="0" w:line="255" w:lineRule="auto"/>
        <w:rPr>
          <w:sz w:val="20"/>
          <w:szCs w:val="20"/>
          <w:color w:val="auto"/>
        </w:rPr>
      </w:pPr>
      <w:r>
        <w:rPr>
          <w:rFonts w:ascii="Courier New" w:cs="Courier New" w:eastAsia="Courier New" w:hAnsi="Courier New"/>
          <w:sz w:val="14"/>
          <w:szCs w:val="14"/>
          <w:color w:val="auto"/>
        </w:rPr>
        <w:t>balance in 328,116 common shares issued to the limited partners on June 19, 2001. To date, leasing transactions have resulted in a purchase price adjustment of $188,000; $160,000 of which was paid by the issuance of 7,120 common shares on December 6, 2001 and the remainder paid in cash. The Trust estimates that an additional $1.0 to $1.2 million will be owed to the limited partners upon completion of certain other leasing transactions.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buyout of the minority partner at Santana Row in a transaction being structured as a tax-free exchange the Trust made an equity investment of $2.6 million and a loan of $5.9 million to a partnership which purchased a building for $8.5 million. Upon consummation of the exchange in January 2002, the Trust received the minority interest in Santana Row in exchange for its $2.6 million investment in the building. The $5.9 million loan is due to the Trust on January 12, 2003.</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The proceeds from the sale were held by a qualified intermediary until the execution of a tax-free exchange for Friendship Center.</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September 21, 2001 the Trust purchased Friendship Center, a 119,000 square foot street retail property in Washington, D.C. for $33.4 million. The purchase was funded from the proceeds from the sale of Williamsburg Shopping Center and a $17.0 million mortgage loan.</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On December 18, 2001 the Trust sold the street retail property located at 101 E. Oak Street in Chicago, Illinois for $6.1 million resulting in a gain of $1.8 million. The proceeds from the sale are being held by a qualified intermediary for purposes of executing a tax-free property exchange.</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December 30, 2001 the Trust exchanged its 90% interest in a street retail building in Forest Hills, New York to the minority partner in exchange for the minority partner's 10% interest in three other street retail buildings in Forest Hills, New York resulting in an accounting loss of approximately $500,000.</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Trust's 120 retail properties at December 31, 2001 are located in 15 states and the District of Columbia. There are approximately 2,100 tenants providing a wide range of retail products and services. These tenants range from sole proprietorships to national retailers; no one tenant or corporate group of tenants accounts for more than 2.7% of revenue.</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Mortgage notes receivable of $35.6 million are due over various terms from January 2002 to May 2021 and have an average weighted interest rate of 10.0%. Under the terms of certain of these mortgages, the Trust will receive additional interest based upon the gross income of the secured properties and, upon sale of the properties, the Trust will share in the appreciation of the properties.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Mortgages and construction loans payable and capital lease obligations are due in installments over various terms extending to 2016 and 2060, respectively, with interest rates ranging from 4.1% to 11.25%. Certain of the capital lease obligations require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24" w:right="1440" w:bottom="1440" w:gutter="0" w:footer="0" w:header="0"/>
        </w:sectPr>
      </w:pPr>
    </w:p>
    <w:bookmarkStart w:id="78" w:name="page79"/>
    <w:bookmarkEnd w:id="78"/>
    <w:p>
      <w:pPr>
        <w:ind w:right="3319"/>
        <w:spacing w:after="0" w:line="236" w:lineRule="auto"/>
        <w:rPr>
          <w:sz w:val="20"/>
          <w:szCs w:val="20"/>
          <w:color w:val="auto"/>
        </w:rPr>
      </w:pPr>
      <w:r>
        <w:rPr>
          <w:rFonts w:ascii="Courier New" w:cs="Courier New" w:eastAsia="Courier New" w:hAnsi="Courier New"/>
          <w:sz w:val="15"/>
          <w:szCs w:val="15"/>
          <w:color w:val="auto"/>
        </w:rPr>
        <w:t>additional interest payments based upon property performance. The Trust refinanced two maturing mortgages totaling $30.5 million during 2001 by placing new mortgage notes totaling $43.5 million on these properties. In addition the Trust placed new mortgage loans on two properties, Brick Plaza and Friendship Center, totaling $50.0 million. There were no maturing mortgages in 2000 or 1999.</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April 17, 2001 the Trust closed on a $295 million construction loan for Santana Row in San Jose, California. The loan, which initially bears interest at LIBOR plus 212.5 basis points, matures April 16, 2004 with two one-year extension options, subject to obtaining certain operating targets. The interest rate will decrease to LIBOR plus 187.5 basis points and then to LIBOR plus</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162.5 basis points upon the achievement of certain leasing, occupancy and net operating income hurdles. There is no assurance that these targets and hurdles will be met. The construction loan requires fees and has various covenants including the maintenance of a minimum shareholders' equity and a maximum ratio of debt to gross asset value. The initial funding of the construction loan took place on August 23, 2001 when the equity and pre-leasing requirements were met. As of December 31, 2001, $62.0 million was borrowed under the loan. No principal payments are due until maturity. The property secures the construction loan facility.</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2001 there was $23.2 million borrowed under the construction loan for the Trust's Woodmont East development in Bethesda, Maryland. The loan, which has a floating interest rate of LIBOR plus 120 to 150 basis points, depending on occupancy levels, matures August 29, 2002 with two one-year extension options. No principal payments are due until maturity. The property secures the construction loan facility.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24" w:right="1440" w:bottom="1440" w:gutter="0" w:footer="0" w:header="0"/>
        </w:sectPr>
      </w:pPr>
    </w:p>
    <w:bookmarkStart w:id="79" w:name="page80"/>
    <w:bookmarkEnd w:id="79"/>
    <w:p>
      <w:pPr>
        <w:ind w:right="3319" w:firstLine="437"/>
        <w:spacing w:after="0" w:line="235" w:lineRule="auto"/>
        <w:rPr>
          <w:sz w:val="20"/>
          <w:szCs w:val="20"/>
          <w:color w:val="auto"/>
        </w:rPr>
      </w:pPr>
      <w:r>
        <w:rPr>
          <w:rFonts w:ascii="Courier New" w:cs="Courier New" w:eastAsia="Courier New" w:hAnsi="Courier New"/>
          <w:sz w:val="15"/>
          <w:szCs w:val="15"/>
          <w:color w:val="auto"/>
        </w:rPr>
        <w:t>Scheduled principal payments on mortgage and construction loan indebtedness, assuming the option to extend the Woodmont East construction loan is exercised, as of December 31, 2001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17,709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87,826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237,887</w:t>
            </w:r>
          </w:p>
        </w:tc>
      </w:tr>
      <w:tr>
        <w:trPr>
          <w:trHeight w:val="168"/>
        </w:trPr>
        <w:tc>
          <w:tcPr>
            <w:tcW w:w="3500" w:type="dxa"/>
            <w:vAlign w:val="bottom"/>
          </w:tcPr>
          <w:p>
            <w:pPr>
              <w:spacing w:after="0"/>
              <w:rPr>
                <w:sz w:val="14"/>
                <w:szCs w:val="14"/>
                <w:color w:val="auto"/>
              </w:rPr>
            </w:pP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$ 350,043</w:t>
            </w:r>
          </w:p>
        </w:tc>
      </w:tr>
      <w:tr>
        <w:trPr>
          <w:trHeight w:val="168"/>
        </w:trPr>
        <w:tc>
          <w:tcPr>
            <w:tcW w:w="3500" w:type="dxa"/>
            <w:vAlign w:val="bottom"/>
          </w:tcPr>
          <w:p>
            <w:pPr>
              <w:spacing w:after="0"/>
              <w:rPr>
                <w:sz w:val="14"/>
                <w:szCs w:val="14"/>
                <w:color w:val="auto"/>
              </w:rPr>
            </w:pP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2001,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18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9,394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9,324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9,539</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375,012</w:t>
            </w:r>
          </w:p>
        </w:tc>
      </w:tr>
      <w:tr>
        <w:trPr>
          <w:trHeight w:val="168"/>
        </w:trPr>
        <w:tc>
          <w:tcPr>
            <w:tcW w:w="390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422,347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 representing interest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(322,054)</w:t>
            </w:r>
          </w:p>
        </w:tc>
      </w:tr>
      <w:tr>
        <w:trPr>
          <w:trHeight w:val="168"/>
        </w:trPr>
        <w:tc>
          <w:tcPr>
            <w:tcW w:w="390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w:t>
            </w: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$ 100,293</w:t>
            </w:r>
          </w:p>
        </w:tc>
      </w:tr>
      <w:tr>
        <w:trPr>
          <w:trHeight w:val="168"/>
        </w:trPr>
        <w:tc>
          <w:tcPr>
            <w:tcW w:w="3900" w:type="dxa"/>
            <w:vAlign w:val="bottom"/>
          </w:tcPr>
          <w:p>
            <w:pPr>
              <w:spacing w:after="0"/>
              <w:rPr>
                <w:sz w:val="14"/>
                <w:szCs w:val="14"/>
                <w:color w:val="auto"/>
              </w:rPr>
            </w:pPr>
          </w:p>
        </w:tc>
        <w:tc>
          <w:tcPr>
            <w:tcW w:w="1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 Arrangements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Trust's leases with retail property and apartment tenants are classified as operating leases. Leases on apartments are generally for a period of one year, whereas retail property leases generally range from three to 10 years (certain leases with anchor tenants may be longer), and usually provide for contingent rentals based on sales and sharing of certain operating costs.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rental income are as follows (in thousands):</w:t>
      </w:r>
    </w:p>
    <w:p>
      <w:pPr>
        <w:spacing w:after="0" w:line="166"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Year ended December 31,</w:t>
            </w:r>
          </w:p>
        </w:tc>
        <w:tc>
          <w:tcPr>
            <w:tcW w:w="440" w:type="dxa"/>
            <w:vAlign w:val="bottom"/>
          </w:tcPr>
          <w:p>
            <w:pPr>
              <w:spacing w:after="0"/>
              <w:rPr>
                <w:sz w:val="14"/>
                <w:szCs w:val="14"/>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2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ind w:left="180" w:hanging="170"/>
        <w:spacing w:after="0" w:line="237" w:lineRule="auto"/>
        <w:tabs>
          <w:tab w:leader="none" w:pos="1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Retail and mixed-use properties</w:t>
      </w:r>
    </w:p>
    <w:tbl>
      <w:tblPr>
        <w:tblLayout w:type="fixed"/>
        <w:tblInd w:w="0" w:type="dxa"/>
        <w:tblCellMar>
          <w:top w:w="0" w:type="dxa"/>
          <w:left w:w="0" w:type="dxa"/>
          <w:bottom w:w="0" w:type="dxa"/>
          <w:right w:w="0" w:type="dxa"/>
        </w:tblCellMar>
      </w:tblPr>
      <w:tr>
        <w:trPr>
          <w:trHeight w:val="169"/>
        </w:trPr>
        <w:tc>
          <w:tcPr>
            <w:tcW w:w="2100" w:type="dxa"/>
            <w:vAlign w:val="bottom"/>
          </w:tcPr>
          <w:p>
            <w:pPr>
              <w:ind w:left="280"/>
              <w:spacing w:after="0" w:line="169" w:lineRule="exact"/>
              <w:rPr>
                <w:sz w:val="20"/>
                <w:szCs w:val="20"/>
                <w:color w:val="auto"/>
              </w:rPr>
            </w:pPr>
            <w:r>
              <w:rPr>
                <w:rFonts w:ascii="Courier New" w:cs="Courier New" w:eastAsia="Courier New" w:hAnsi="Courier New"/>
                <w:sz w:val="15"/>
                <w:szCs w:val="15"/>
                <w:color w:val="auto"/>
              </w:rPr>
              <w:t>Minimum rents</w:t>
            </w:r>
          </w:p>
        </w:tc>
        <w:tc>
          <w:tcPr>
            <w:tcW w:w="10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$223,515</w:t>
            </w:r>
          </w:p>
        </w:tc>
        <w:tc>
          <w:tcPr>
            <w:tcW w:w="15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$208,474</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$197,299</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47,328</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43,056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39,574</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rent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6,107</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 - rents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2,985</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2,683</w:t>
            </w:r>
          </w:p>
        </w:tc>
      </w:tr>
      <w:tr>
        <w:trPr>
          <w:trHeight w:val="168"/>
        </w:trPr>
        <w:tc>
          <w:tcPr>
            <w:tcW w:w="21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$279,935</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$260,684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$245,833</w:t>
            </w:r>
          </w:p>
        </w:tc>
      </w:tr>
      <w:tr>
        <w:trPr>
          <w:trHeight w:val="168"/>
        </w:trPr>
        <w:tc>
          <w:tcPr>
            <w:tcW w:w="21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F14</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The components of rental expense are as follows (in thousands):</w:t>
      </w:r>
    </w:p>
    <w:p>
      <w:pPr>
        <w:spacing w:after="0" w:line="166" w:lineRule="exact"/>
        <w:rPr>
          <w:sz w:val="20"/>
          <w:szCs w:val="20"/>
          <w:color w:val="auto"/>
        </w:rPr>
      </w:pPr>
    </w:p>
    <w:tbl>
      <w:tblPr>
        <w:tblLayout w:type="fixed"/>
        <w:tblInd w:w="246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ended December 31,</w:t>
            </w:r>
          </w:p>
        </w:tc>
        <w:tc>
          <w:tcPr>
            <w:tcW w:w="440" w:type="dxa"/>
            <w:vAlign w:val="bottom"/>
          </w:tcPr>
          <w:p>
            <w:pPr>
              <w:spacing w:after="0"/>
              <w:rPr>
                <w:sz w:val="14"/>
                <w:szCs w:val="14"/>
                <w:color w:val="auto"/>
              </w:rPr>
            </w:pPr>
          </w:p>
        </w:tc>
      </w:tr>
      <w:tr>
        <w:trPr>
          <w:trHeight w:val="168"/>
        </w:trPr>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2001</w:t>
            </w:r>
          </w:p>
        </w:tc>
        <w:tc>
          <w:tcPr>
            <w:tcW w:w="21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Repairs and maintenance</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$17,383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$15,347</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Management fees and costs</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11,995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10,635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Utilities</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8,129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 properties</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4,709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4,510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Ground rent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3,698</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14,417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10,428</w:t>
            </w:r>
          </w:p>
        </w:tc>
      </w:tr>
      <w:tr>
        <w:trPr>
          <w:trHeight w:val="168"/>
        </w:trPr>
        <w:tc>
          <w:tcPr>
            <w:tcW w:w="22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$63,481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$56,280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$53,677</w:t>
            </w:r>
          </w:p>
        </w:tc>
      </w:tr>
      <w:tr>
        <w:trPr>
          <w:trHeight w:val="168"/>
        </w:trPr>
        <w:tc>
          <w:tcPr>
            <w:tcW w:w="22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Minimum future retail property rentals on noncancelable operating leases, before any reserve for uncollectible amounts, on operating properties as of December 31, 2001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98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231,787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221,169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200,241</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179,164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153,902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898,538</w:t>
            </w:r>
          </w:p>
        </w:tc>
      </w:tr>
      <w:tr>
        <w:trPr>
          <w:trHeight w:val="168"/>
        </w:trPr>
        <w:tc>
          <w:tcPr>
            <w:tcW w:w="2720" w:type="dxa"/>
            <w:vAlign w:val="bottom"/>
          </w:tcPr>
          <w:p>
            <w:pPr>
              <w:spacing w:after="0"/>
              <w:rPr>
                <w:sz w:val="14"/>
                <w:szCs w:val="14"/>
                <w:color w:val="auto"/>
              </w:rPr>
            </w:pP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$1,884,801</w:t>
            </w:r>
          </w:p>
        </w:tc>
      </w:tr>
      <w:tr>
        <w:trPr>
          <w:trHeight w:val="168"/>
        </w:trPr>
        <w:tc>
          <w:tcPr>
            <w:tcW w:w="2720" w:type="dxa"/>
            <w:vAlign w:val="bottom"/>
          </w:tcPr>
          <w:p>
            <w:pPr>
              <w:spacing w:after="0"/>
              <w:rPr>
                <w:sz w:val="14"/>
                <w:szCs w:val="14"/>
                <w:color w:val="auto"/>
              </w:rPr>
            </w:pPr>
          </w:p>
        </w:tc>
        <w:tc>
          <w:tcPr>
            <w:tcW w:w="2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4"/>
                <w:szCs w:val="24"/>
                <w:color w:val="auto"/>
              </w:rPr>
            </w:pPr>
          </w:p>
        </w:tc>
        <w:tc>
          <w:tcPr>
            <w:tcW w:w="29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F15</w:t>
            </w:r>
          </w:p>
        </w:tc>
      </w:tr>
    </w:tbl>
    <w:p>
      <w:pPr>
        <w:sectPr>
          <w:pgSz w:w="11900" w:h="16838" w:orient="portrait"/>
          <w:cols w:equalWidth="0" w:num="1">
            <w:col w:w="10239"/>
          </w:cols>
          <w:pgMar w:left="220" w:top="617"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NOTE 2. FAIR VALUE OF FINANCIAL INSTRUMENTS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mortgage notes receivable and payable, using the Trust's estimate of current interest rates for similar notes;</w:t>
      </w:r>
    </w:p>
    <w:p>
      <w:pPr>
        <w:ind w:left="360" w:hanging="350"/>
        <w:spacing w:after="0" w:line="234" w:lineRule="auto"/>
        <w:tabs>
          <w:tab w:leader="none" w:pos="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carrying amounts in the balance sheet approximate fair value for cash,</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accrued expenses and short term borrowings. Notes receivable from officers are excluded from fair value estimation since they have been issued in connection with employee stock ownership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2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2001</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Fair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18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1800" w:type="dxa"/>
            <w:vAlign w:val="bottom"/>
          </w:tcPr>
          <w:p>
            <w:pPr>
              <w:spacing w:after="0"/>
              <w:rPr>
                <w:sz w:val="14"/>
                <w:szCs w:val="14"/>
                <w:color w:val="auto"/>
              </w:rPr>
            </w:pP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&amp; equivalents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$ 17,563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$ 17,563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$ 11,357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$ 11,357</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receivable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35,607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48,039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Mortgages and</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construction loans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notes payable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524,886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559,179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427,546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427,937</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debentures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75,289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70,696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71,058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425,970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411,934</w:t>
            </w:r>
          </w:p>
        </w:tc>
      </w:tr>
      <w:tr>
        <w:trPr>
          <w:trHeight w:val="336"/>
        </w:trPr>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F16</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NOTE 3. NOTES PAYABLE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Trust's notes payable consist of the following (in thousands):</w:t>
      </w:r>
    </w:p>
    <w:p>
      <w:pPr>
        <w:spacing w:after="0" w:line="166" w:lineRule="exact"/>
        <w:rPr>
          <w:sz w:val="20"/>
          <w:szCs w:val="20"/>
          <w:color w:val="auto"/>
        </w:rPr>
      </w:pPr>
    </w:p>
    <w:p>
      <w:pPr>
        <w:ind w:left="3080"/>
        <w:spacing w:after="0"/>
        <w:tabs>
          <w:tab w:leader="none" w:pos="41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Revolving credit facilities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$ 78,000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note with banks</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5,843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6,005</w:t>
            </w:r>
          </w:p>
        </w:tc>
      </w:tr>
      <w:tr>
        <w:trPr>
          <w:trHeight w:val="168"/>
        </w:trPr>
        <w:tc>
          <w:tcPr>
            <w:tcW w:w="258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$174,843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$209,005</w:t>
            </w:r>
          </w:p>
        </w:tc>
      </w:tr>
      <w:tr>
        <w:trPr>
          <w:trHeight w:val="168"/>
        </w:trPr>
        <w:tc>
          <w:tcPr>
            <w:tcW w:w="258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December 1997 the Trust obtained a five year syndicated revolving credit facility for $300 million due December 2002. The syndicated facility requires fees and has various covenants including the maintenance of a minimum shareholders' equity and a maximum ratio of debt to net worth. In June 2000, the Trust modified certain covenants and extended the maturity date to December 19, 2003. The current borrowing rate on the syndicated credit facility is LIBOR plus 80 basis points.</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December 1998 the Trust obtained a four year loan of $125 million from five institutional lenders. The loan was originally due December 2002 and was extended to December 19, 2003 along with the syndicated credit facility. The loan requires the payment of certain fees and has the same covenants as the syndicated credit facility. The current borrowing rate on the term loan is LIBOR plus 95 basis points.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maximum amount drawn under these facilities during 2001, 2000 and 1999 was $308.5 million, $343.1 million and $330.0 million, respectively. In 2001, 2000 and 1999 the weighted average interest rate on borrowings was 5.6%, 7.2% and 5.9%, respectively, and the average amount outstanding was $269.7 million, $283.2 million and $296.4 million, respectively.</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connection with the land held for future development in Hillsboro, Oregon, the Trust issued a $3.4 million note which was originally due June 30, 2001. The note has been extended one year to June 30, 2002. The loan bears interest at LIBOR plus 125 basis points. The property secures the loan facility.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5 1/4% CONVERTIBLE SUBORDINATED DEBENTURES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17"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interest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At December 2001 and 2000 the Trust had outstanding $289,000 of 5 1/4% convertible subordinated debentures due 2002. The debentures which are convertible into shares of beneficial interest at $30.625 were not registered under the Securities Act of 1933 and were not publicly distributed within the United States.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There are no significant financial covenants on these debentures. The Trust is in compliance with the terms and covenants of these borrowings. No principal is due on these notes prior to maturity.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SENIOR NOTES AND DEBENTURES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Unsecured senior notes and debentures at December 31, 2001 and 2000 consist of the following (in thousands):</w:t>
      </w:r>
    </w:p>
    <w:p>
      <w:pPr>
        <w:spacing w:after="0" w:line="167" w:lineRule="exact"/>
        <w:rPr>
          <w:sz w:val="20"/>
          <w:szCs w:val="20"/>
          <w:color w:val="auto"/>
        </w:rPr>
      </w:pPr>
    </w:p>
    <w:p>
      <w:pPr>
        <w:ind w:left="4040"/>
        <w:spacing w:after="0"/>
        <w:tabs>
          <w:tab w:leader="none" w:pos="49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8% Notes due April 21, 2002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$ 25,000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$ 25,000</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6.74%</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Medium-Term Notes due March 10, 2004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39,500</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6.625% Notes due December 1, 2005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6.99%</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Medium-Term Notes due March 10, 2006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40,500</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6.82%</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Medium-Term Notes due August 1, 2027,</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redeemable at par by holder August 1, 2007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7.48%</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Debentures due August 15, 2026,</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redeemable at par by holder August 15, 2008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8.75%</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Notes due December 1, 2009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$410,000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$410,000</w:t>
            </w:r>
          </w:p>
        </w:tc>
      </w:tr>
      <w:tr>
        <w:trPr>
          <w:trHeight w:val="168"/>
        </w:trPr>
        <w:tc>
          <w:tcPr>
            <w:tcW w:w="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On January 17, 2000 the Trust's $100 million of 8.875% Notes matured and were paid with borrowings from the Trust's syndicated credit facilities.</w:t>
      </w:r>
    </w:p>
    <w:p>
      <w:pPr>
        <w:spacing w:after="0" w:line="160"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loan agreements contain various covenants, including limitations on the amount of debt and minimum debt service coverage ratios. The Trust is in compliance with all covenants. No principal is due on these notes prior to maturity.</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September 1998 the Trust filed a $500 million shelf registration statement with the Securities and Exchange Commission which allows the issuance of debt securities, preferred shares and common shares. As of December 31, 2001, $190 million is available under the shelf registration.</w:t>
      </w:r>
    </w:p>
    <w:p>
      <w:pPr>
        <w:spacing w:after="0" w:line="175"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The Trust plans to pay-off the 8% Notes due April 21,2002 through borrowings from its syndicated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DIVIDENDS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November 1, 2001 the Trustees declared a quarterly cash dividend of $.48 per common share, payable January 15, 2002 to common shareholders of record January 2, 2002. For the years ended December 31, 2000 and 1999 $.11 and $.16, of dividends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17" w:right="1440" w:bottom="1440" w:gutter="0" w:footer="0" w:header="0"/>
        </w:sectPr>
      </w:pPr>
    </w:p>
    <w:bookmarkStart w:id="84" w:name="page85"/>
    <w:bookmarkEnd w:id="84"/>
    <w:p>
      <w:pPr>
        <w:ind w:right="3319"/>
        <w:spacing w:after="0" w:line="234" w:lineRule="auto"/>
        <w:rPr>
          <w:sz w:val="20"/>
          <w:szCs w:val="20"/>
          <w:color w:val="auto"/>
        </w:rPr>
      </w:pPr>
      <w:r>
        <w:rPr>
          <w:rFonts w:ascii="Courier New" w:cs="Courier New" w:eastAsia="Courier New" w:hAnsi="Courier New"/>
          <w:sz w:val="15"/>
          <w:szCs w:val="15"/>
          <w:color w:val="auto"/>
        </w:rPr>
        <w:t>paid per common share, respectively, represented a return of capital. There was no return of capital in 2001.</w:t>
      </w:r>
    </w:p>
    <w:p>
      <w:pPr>
        <w:spacing w:after="0" w:line="173"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On November 1, 2001 the Trustees declared a quarterly cash dividend of $.49687 per share on its Series A Cumulative Redeemable Preferred Shares, payable on January 31, 2002 to shareholders of record on January 15, 2002.</w:t>
      </w:r>
    </w:p>
    <w:p>
      <w:pPr>
        <w:spacing w:after="0" w:line="161"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On January 2, 2002 the Trustees declared a quarterly cash dividend of $.3778 per share on its Series B Cumulative Redeemable Preferred Shares, payable January 31, 2002 to shareholders of record on January 15, 2002.</w:t>
      </w:r>
    </w:p>
    <w:p>
      <w:pPr>
        <w:spacing w:after="0" w:line="16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For the year ended December 31, 2000, $.04 of dividends paid per common share and per preferred share represent a capital gain. There were no capital gains in 2001 or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COMMITMENTS AND 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Though not quantifiable until the project is completed, the combined damage claim is estimated to be in excess of $40.0 million.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general contractor the estimated cost of the project is now $92 million, if there is no recovery of damages from the original general contractor. The lawsuit against the original contractor is scheduled for mediation in May 2002, and, should mediation prove unsuccessful, is scheduled to go to trial in October 2002.</w:t>
      </w:r>
    </w:p>
    <w:p>
      <w:pPr>
        <w:spacing w:after="0" w:line="177"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other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an unaffiliated third party, has the right to require the Trust and the two other minority partners to purchase from half to all of Rockville Plaza Company's 37.5% interest in Congressional Plaza at the interest's then-current fair market value. Based on management's current estimate of fair market value, the Trust's estimated</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23" w:right="1440" w:bottom="1440" w:gutter="0" w:footer="0" w:header="0"/>
        </w:sectPr>
      </w:pPr>
    </w:p>
    <w:bookmarkStart w:id="85" w:name="page86"/>
    <w:bookmarkEnd w:id="85"/>
    <w:p>
      <w:pPr>
        <w:ind w:right="3579"/>
        <w:spacing w:after="0" w:line="236" w:lineRule="auto"/>
        <w:rPr>
          <w:sz w:val="20"/>
          <w:szCs w:val="20"/>
          <w:color w:val="auto"/>
        </w:rPr>
      </w:pPr>
      <w:r>
        <w:rPr>
          <w:rFonts w:ascii="Courier New" w:cs="Courier New" w:eastAsia="Courier New" w:hAnsi="Courier New"/>
          <w:sz w:val="15"/>
          <w:szCs w:val="15"/>
          <w:color w:val="auto"/>
        </w:rPr>
        <w:t>liability upon exercise of the put option is approximately $27.5 million. In conjunction with a redevelopment currently taking place at the property, the Trust has reached an agreement with Rockville Plaza Company to acquire an additional 7.5% interest in Congressional Plaza in exchange for funding approximately $7 million of Rockville Plaza Company's share of the redevelopment cost. The funding will take place through 2002 and the transaction will be completed in early 2003.</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the terms of five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for two of the partnerships,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 agreements, the partners may redeem their 904,589 operating units for cash or exchange into the same number of common shares of the Trust, at the option of the Trust.</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of December 31, 2001 in connection with renovation and development projects, the Trust has contractual obligations of approximately $172 million, including approximately $154 million for Santana Row.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subcontractor of the Trust's Santana Row project has entered into a contract with a wood supply company in which a trustee of the Trust owns an indirect 9.7% interest. The contract provides for a payment to the company of approximately $330,000 for wood flooring. The dollar amount of the contract does not represent a material amount of business to the wood supply company. Terms of the contract were negotiated at arms-length.</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centerpiece of Santana Row is a four-star, 214 room boutique hotel. The Trust has entered into a 99 year ground lease with the hotel requiring minimum rent of $450,000 per annum with rental increases every five years and percentage rent on room, parking and other revenues. The Trust has committed to loan $7.2 million to the hotel. The loan bears interest at rates ranging from 12% to 15% and has a ten year term. During the first five years, interest is payable from cash flow, if available. If cash flow is not sufficient to pay interest, it will accrue and bear interest at the same rate as the initial principal. In addition, the Trust has committed approximately $5.5 million to four restaurant joint ventures at Santana Row in lieu of tenant allowances. The Trust will participate in profits, losses and cash flow in accordance with the terms of each individual venture.</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Trust is obligated under ground lease agreements on several shopping centers requiring minimum annual payments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  3,909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3,977</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252,229</w:t>
            </w:r>
          </w:p>
        </w:tc>
      </w:tr>
      <w:tr>
        <w:trPr>
          <w:trHeight w:val="168"/>
        </w:trPr>
        <w:tc>
          <w:tcPr>
            <w:tcW w:w="2100" w:type="dxa"/>
            <w:vAlign w:val="bottom"/>
          </w:tcPr>
          <w:p>
            <w:pPr>
              <w:spacing w:after="0"/>
              <w:rPr>
                <w:sz w:val="14"/>
                <w:szCs w:val="14"/>
                <w:color w:val="auto"/>
              </w:rPr>
            </w:pP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$271,876</w:t>
            </w:r>
          </w:p>
        </w:tc>
      </w:tr>
      <w:tr>
        <w:trPr>
          <w:trHeight w:val="168"/>
        </w:trPr>
        <w:tc>
          <w:tcPr>
            <w:tcW w:w="2100" w:type="dxa"/>
            <w:vAlign w:val="bottom"/>
          </w:tcPr>
          <w:p>
            <w:pPr>
              <w:spacing w:after="0"/>
              <w:rPr>
                <w:sz w:val="14"/>
                <w:szCs w:val="14"/>
                <w:color w:val="auto"/>
              </w:rPr>
            </w:pPr>
          </w:p>
        </w:tc>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4"/>
                <w:szCs w:val="24"/>
                <w:color w:val="auto"/>
              </w:rPr>
            </w:pPr>
          </w:p>
        </w:tc>
        <w:tc>
          <w:tcPr>
            <w:tcW w:w="360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F20</w:t>
            </w:r>
          </w:p>
        </w:tc>
      </w:tr>
    </w:tbl>
    <w:p>
      <w:pPr>
        <w:sectPr>
          <w:pgSz w:w="11900" w:h="16838" w:orient="portrait"/>
          <w:cols w:equalWidth="0" w:num="1">
            <w:col w:w="10239"/>
          </w:cols>
          <w:pgMar w:left="220" w:top="624"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NOTE 8. SHAREHOLDERS' EQUITY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May 1999, the Trust reorganized as a Maryland real estate investment trust by amending and restating its declaration of trust and bylaws. The Amended Declaration of Trust changed the number of authorized shares of common and preferred shares from unlimited to 100,000,000 and 15,000,000, respectively. In addition, all common shares of beneficial 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October 6, 1997 the Trust issued four million 7.95% Series A Cumulative Redeemable Preferred Shares at $25 per share in a public offering, realizing cash proceeds of approximately $96.6 million after costs of $3.4 million. The Series A Preferred Shares are not redeemable prior to October 6, 2002.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Dividends on the Preferred Shares are payable quarterly in arrears on the last day of January, April, July and October.</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November 19, 2001 the Trust issued 5.4 million 8.5% Series B Cumulative Redeemable Preferred Shares at $25 per share in a public offering, realizing cash proceeds of approximately $130.2 million after costs of $4.8 million. The Series B Preferred Shares are not redeemable prior to November 27, 2006.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Dividends on the Preferred Shares are payable quarterly in arrears on the last day of January, April, July and October.</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Trust has a Dividend Reinvestment Plan, whereby shareholders may use their dividends and make optional cash payments to purchase shares. In 2001, 2000 and 1999, 159,234 shares, 153,713 shares and 165,770 shares, respectively, were issued under the Plan.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December 1999, the Trustees authorized a share repurchase program for calendar year 2000 of up to an aggregate of 4 million of the Trust's common shares. During 2000 a total of 1,325,900 shares were repurchased, at a cost of $25.2 million. The Trust did not repurchase shares in 2001.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2001 and 2000, 96,657 common shares and 270,809 common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87" w:name="page88"/>
    <w:bookmarkEnd w:id="87"/>
    <w:p>
      <w:pPr>
        <w:ind w:right="3319"/>
        <w:spacing w:after="0" w:line="236" w:lineRule="auto"/>
        <w:rPr>
          <w:sz w:val="20"/>
          <w:szCs w:val="20"/>
          <w:color w:val="auto"/>
        </w:rPr>
      </w:pPr>
      <w:r>
        <w:rPr>
          <w:rFonts w:ascii="Courier New" w:cs="Courier New" w:eastAsia="Courier New" w:hAnsi="Courier New"/>
          <w:sz w:val="15"/>
          <w:szCs w:val="15"/>
          <w:color w:val="auto"/>
        </w:rPr>
        <w:t>shares, respectively, were awarded to the Trust's Chief Executive Officer and other key employees under various incentive compensation programs designed to directly link a significant portion of their current and long term compensation to the prosperity of the Trust and its shareholders. The shares vest over terms from 3 to 8 years.</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1999, 65,660 common shares were awarded, and 5,006 shares were forfeited and retired, to the Trust's Chief Executive Officer and other key employees under various incentive compensation programs. Fifteen thousand shares vested upon award, and the balance vest over terms from 5 to 13 years.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January 1994 under the terms of the 1993 Long Term Incentive Plan, an officer of the Trust purchased 40,000 common shares at $25 per share with the assistance of a $1.0 million loan from the Trust. The loan, which has a term of 12 years and a current balance of $500,000, bears interest at 6.24%. Forgiveness of up to 75% of the loan is subject to the future performance of the Trust. One eighth of the loan was forgiven on January 31, 1995 and an additional one sixteenth has been forgiven each January 31 since then as certain performance criteria of the Trust were met.</w:t>
      </w:r>
    </w:p>
    <w:p>
      <w:pPr>
        <w:spacing w:after="0" w:line="177"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has been forgiven during each year of the plan. At December 31, 2001 the Trust has outstanding purchase loans to participants of $1.3 million. The purchase loans bear interest at 9.39%. The shares purchased under the plan may not be sold, pledged or assigned until both the purchase and tax loans associated with the plan are satisfied and the term has expired, without the consent of the Compensation Committee of the Board of Trustees.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Tax loans with a balance of $3.1 million in 2001, $2.2 million in 2000 and $1.3 million in 1999 have been made in connection with restricted share grants to the Trust's Chief Executive Officer, President and Chief Investment Officer and in connection with the Share Purchase Plans. The loans, which bear interest ranging from 6.36% to 9.39%, are due over periods ranging from 8 to 13 years from the date of the loan.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April 13, 1999, the Shareholder Rights Plan adopted in 1989 expired. On March 11, 1999 the Trust entered into an Amended and Restated Rights Agreement with American Stock Transfer and Trust Company, pursuant to which (i)the expiration date of the Trust's shareholder rights plan was extended for an additional ten years to April 24, 2009, (ii)the beneficial ownership percentage at which a person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624" w:right="1440" w:bottom="1440" w:gutter="0" w:footer="0" w:header="0"/>
        </w:sectPr>
      </w:pPr>
    </w:p>
    <w:bookmarkStart w:id="88" w:name="page89"/>
    <w:bookmarkEnd w:id="88"/>
    <w:p>
      <w:pPr>
        <w:ind w:right="3499"/>
        <w:spacing w:after="0" w:line="234" w:lineRule="auto"/>
        <w:rPr>
          <w:sz w:val="20"/>
          <w:szCs w:val="20"/>
          <w:color w:val="auto"/>
        </w:rPr>
      </w:pPr>
      <w:r>
        <w:rPr>
          <w:rFonts w:ascii="Courier New" w:cs="Courier New" w:eastAsia="Courier New" w:hAnsi="Courier New"/>
          <w:sz w:val="15"/>
          <w:szCs w:val="15"/>
          <w:color w:val="auto"/>
        </w:rPr>
        <w:t>becomes an "Acquiring Person" under the plan was reduced from 20% to 15%, and (iii) certain other amendments were made.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STOCK OPTION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1993 Long Term Incentive Plan ("Plan") has been amended to authorize the grant of options and other stock based awards for up to 5.5 million shares. Options granted under the Plan have ten year terms and vest in one to five years. Under the Plan, on each annual meeting date during the term of the Plan, each nonemployee Trustee will be awarded 2,500 options.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May 2001 the Trust's shareholders' approved the 2001 Long Term Incentive Plan ("2001 Plan") which authorized an additional 1,750,000 shares for future option and other stock based awards.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option price to acquire shares under the 2001 Plan and previous plans is required to be at least the fair market value at the date of grant. As a result of the exercise of options, the Trust had outstanding from its officers and employees notes for $2.5 million, $2.6 million and $3.6 million at December 31, 2001, 2000 and 1999, respectively. The notes issued under the 1993 Plan bear interest at the lesser of (i) the Trust's borrowing rate on the date of exercise or (ii)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 the shares and are with recourse. The loans have a term extending to the employee's or officer's retirement date.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SFAS No. 123, "Accounting for Stock-Based Compensation" requires pro forma information regarding net income and earnings per share as if the Trust accounted for its stock options under the fair value method of that Statement. The fair value for options issued in 2001, 2000 and 1999 has been estimated as $350,000, $549,000 and $434,000, respectively, as of the date of grant, using a binomial model with the following weighted-average assumptions for 2001, 2000 and 1999, respectively: risk-free interest rates of 4.9%, 5.2% and 5.4%; volatility factors of the expected market price of the Trust's shares of 20%, 14% and 15%; and a weighted average expected life of the option of 6.9 years, 5.7 years and 6.6 years. The Trust's assumed weighted average dividend yield used to estimate the fair value of the options issued was 9.598% in 2001.</w:t>
      </w:r>
    </w:p>
    <w:p>
      <w:pPr>
        <w:spacing w:after="0" w:line="16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24" w:right="1440" w:bottom="1440" w:gutter="0" w:footer="0" w:header="0"/>
        </w:sectPr>
      </w:pPr>
    </w:p>
    <w:bookmarkStart w:id="89" w:name="page90"/>
    <w:bookmarkEnd w:id="89"/>
    <w:p>
      <w:pPr>
        <w:ind w:right="3499" w:firstLine="437"/>
        <w:spacing w:after="0" w:line="258"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 vesting period. The pro forma information is as follows (in thousands except for earnings per share):</w:t>
      </w:r>
    </w:p>
    <w:p>
      <w:pPr>
        <w:spacing w:after="0" w:line="155" w:lineRule="exact"/>
        <w:rPr>
          <w:sz w:val="20"/>
          <w:szCs w:val="20"/>
          <w:color w:val="auto"/>
        </w:rPr>
      </w:pPr>
    </w:p>
    <w:p>
      <w:pPr>
        <w:ind w:left="3340"/>
        <w:spacing w:after="0"/>
        <w:tabs>
          <w:tab w:leader="none" w:pos="4180" w:val="left"/>
          <w:tab w:leader="none" w:pos="49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4"/>
          <w:szCs w:val="14"/>
          <w:color w:val="auto"/>
        </w:rPr>
        <w:t>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$68,076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$59,445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$46,368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earnings per share, basic</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earnings per share, diluted</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the Trust's stock option activity for the years ended</w:t>
      </w:r>
    </w:p>
    <w:p>
      <w:pPr>
        <w:spacing w:after="0" w:line="237" w:lineRule="auto"/>
        <w:rPr>
          <w:sz w:val="20"/>
          <w:szCs w:val="20"/>
          <w:color w:val="auto"/>
        </w:rPr>
      </w:pPr>
      <w:r>
        <w:rPr>
          <w:rFonts w:ascii="Courier New" w:cs="Courier New" w:eastAsia="Courier New" w:hAnsi="Courier New"/>
          <w:sz w:val="15"/>
          <w:szCs w:val="15"/>
          <w:color w:val="auto"/>
        </w:rPr>
        <w:t>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w:t>
            </w: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Under</w:t>
            </w:r>
          </w:p>
        </w:tc>
        <w:tc>
          <w:tcPr>
            <w:tcW w:w="14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Option</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January 1, 1999</w:t>
            </w:r>
          </w:p>
        </w:tc>
        <w:tc>
          <w:tcPr>
            <w:tcW w:w="1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3,608,816</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$25.00</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720,000</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21.12</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(52,667)</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20.73</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forfeited</w:t>
            </w:r>
          </w:p>
        </w:tc>
        <w:tc>
          <w:tcPr>
            <w:tcW w:w="1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(380,635)</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25.29</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3,895,514</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24.31</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737,500</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19.75</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(67,684)</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20.50</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forfeited</w:t>
            </w:r>
          </w:p>
        </w:tc>
        <w:tc>
          <w:tcPr>
            <w:tcW w:w="1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(847,049)</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24.27</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3,718,281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23.46</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granted</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417,500</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19.80</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(27,566)</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20.81</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Options forfeited</w:t>
            </w:r>
          </w:p>
        </w:tc>
        <w:tc>
          <w:tcPr>
            <w:tcW w:w="1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(351,834)</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22.88</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2001</w:t>
            </w: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3,756,381</w:t>
            </w: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23.12</w:t>
            </w:r>
          </w:p>
        </w:tc>
      </w:tr>
      <w:tr>
        <w:trPr>
          <w:trHeight w:val="168"/>
        </w:trPr>
        <w:tc>
          <w:tcPr>
            <w:tcW w:w="2200" w:type="dxa"/>
            <w:vAlign w:val="bottom"/>
          </w:tcPr>
          <w:p>
            <w:pPr>
              <w:spacing w:after="0"/>
              <w:rPr>
                <w:sz w:val="14"/>
                <w:szCs w:val="14"/>
                <w:color w:val="auto"/>
              </w:rPr>
            </w:pPr>
          </w:p>
        </w:tc>
        <w:tc>
          <w:tcPr>
            <w:tcW w:w="1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2001 and 2000, options for 2.7 million and 2.3 million shares, respectively, were exercisable. The average remaining contractual life of options outstanding at December 31, 2001 and 2000 was 5.8 years and 8.1 years, respectively. The weighted average grant date fair value per option for options granted in 2001 and 2000 was $1.04 and $.72, respectively. The exercise price of options outstanding at December 31, 2001 ranged from $18.00 per share to $27.13 per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SAVINGS AND RETIREMENT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 has a savings and retirement plan in accordance with the provisions of Section 401(k) of the Internal Revenue Code. Employees' contributions range, at the discretion of each employee, from 1% to 20% of compensation up to a maximum of $10,500. Under the plan, the Trust, out of its current net income, contributes 50% of each employee's first 5% of contributions. In addition, the Trust may make discretionary contributions within the limits of deductibility set forth by the Code. Employees of the Trust are immediately eligible to</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23" w:right="1440" w:bottom="1440" w:gutter="0" w:footer="0" w:header="0"/>
        </w:sectPr>
      </w:pPr>
    </w:p>
    <w:bookmarkStart w:id="90" w:name="page91"/>
    <w:bookmarkEnd w:id="90"/>
    <w:p>
      <w:pPr>
        <w:ind w:right="3319"/>
        <w:spacing w:after="0" w:line="235" w:lineRule="auto"/>
        <w:rPr>
          <w:sz w:val="20"/>
          <w:szCs w:val="20"/>
          <w:color w:val="auto"/>
        </w:rPr>
      </w:pPr>
      <w:r>
        <w:rPr>
          <w:rFonts w:ascii="Courier New" w:cs="Courier New" w:eastAsia="Courier New" w:hAnsi="Courier New"/>
          <w:sz w:val="15"/>
          <w:szCs w:val="15"/>
          <w:color w:val="auto"/>
        </w:rPr>
        <w:t>become plan participants. Employees are not eligible to receive matching contributions until their first anniversary of employment. The Trust's expense for the years ended December 31, 2001, 2000 and 1999 was $243,000, $216,000 and $223,000, respectively.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 nonqualified deferred compensation plan for Trust officers and directors was established in 1994. The plan allows the participants to defer future income until the earlier of age 65 or termination of employment with the Trust. As of December 31, 2001, the Trust is liable to participants for approximately $2.4 million under this plan. Although this is an unfunded plan, the Trust has purchased certain investments with which to match this obligation.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INTEREST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Trust incurred interest expense totaling $87.1 million, $79.7 million and $68.4 million in 2001, 2000 and 1999, respectively, of which $17.8 million, $13.3 million, and $6.9 million respectively, was capitalized. Interest paid was $84.1 million in 2001, $83.1 million in 2000 and $67.0 million in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SUBSEQUENT EVENTS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On January 31, 2002 the Trust received repayment of $1,152,000 of mortgage notes receivable.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February 1, 2002, to complete the buyout of the minority partner at Santana Row, the Trust received the minority partner's interest in Santana Row in exchange for a $2.6 million investment in a partnership which had purchased a building. A $5.9 million loan made by the Trust to the partnership as part of the original purchase is due January 12, 2003.</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As has been the practice over the past four years, under a Restricted Share Agreement designed to link his compensation with the prosperity of the shareholders, the Trust's Chief Executive Officer elected to accept stock in lieu of cash for his 2002 salary and 2001 bonus. As a result, in 2002, 28,913 common shares were awarded to the Chief Executive Officer in lieu of his 2002 cash salary and 14,908 shares in lieu of his 2001 bonus.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Pursuant to the 2001 Incentive Bonus Plan, vice presidents and certain key employees receive part of their 2001 bonus in Federal Realty shares which vest over three years. Consequently, on February 28, 2002, 23,168 shares were awarded under this plan.</w:t>
      </w:r>
    </w:p>
    <w:p>
      <w:pPr>
        <w:spacing w:after="0" w:line="17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In February 2002, 415,000 options and 30,000 performance shares were granted to certain officers and key employees.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624"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NOTE 13. SUBSEQUENT EVENTS - CHANGE IN BUSINESS PLAN (UNAUDITED)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February 28, 2002 the Trust adopted a business plan which returns the Trust's primary focus to its traditional business of acquiring and redeveloping community and neighborhood shopping centers that are anchored by supermarkets, drug stores or high volume, value oriented retailers that provide consumer necessities. Concurrent with the adoption of the business plan, the Trust adopted a management succession plan and restructured its management team.</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will complete Bethesda Row, Pentagon Row and Santana Row, but does not plan any new, large-scale, mixed-use, ground-up development projects. Rather, the Trust will return its focus to community and neighborhood shopping centers. The Trust will seek to acquire income producing centers, may seek opportunities to develop ground-up grocery anchored shopping centers in and around the Metropolitan Washington, D.C., Philadelphia and New York markets and will identify and execute redevelopment opportunities in its existing portfolio.</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Steven J. Guttman, the Trust's Chief Executive Officer and Chairman of the Board, will primarily devote his attention to the completion of Santana Row. Upon Mr. Guttman's planned retirement in March 2003, it is expected that Donald C. Wood will become Chief Executive Officer with Mr. Guttman remaining as Chairman of the Board. Effective March 1, 2002, the Trust combined functions of its previous Chief Investment Officer and Chief Financial Officer, and appointed Larry E. Finger, to the new executive office of Chief Financial Officer in charge of capital markets, investor relations and financial reporting. With the renewed emphasis on acquisitions, Jeffrey S. Berkes was appointed an executive officer, Senior Vice President - Strategic Transactions.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result of the change in the Trust's business plan, the Trust estimates it will record a charge of $16 million to $18 million in the first quarter of 2002. The charge includes severance and other compensation costs related to the management restructuring as well as charges to write-down the Trust's Tanasbourne and other development projects to fair value since the Trust will hold the Tanasbourne project for sale. The Trust is re-evaluating the most effective way to realize value on these assets on a risk-adjusted return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assets in three geographic operating regions: Northeast, Mid-Atlantic and West.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17" w:right="1440" w:bottom="1440" w:gutter="0" w:footer="0" w:header="0"/>
        </w:sectPr>
      </w:pPr>
    </w:p>
    <w:bookmarkStart w:id="92" w:name="page93"/>
    <w:bookmarkEnd w:id="92"/>
    <w:p>
      <w:pPr>
        <w:ind w:right="4820" w:firstLine="437"/>
        <w:spacing w:after="0" w:line="23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335"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North</w:t>
            </w:r>
          </w:p>
        </w:tc>
        <w:tc>
          <w:tcPr>
            <w:tcW w:w="1560" w:type="dxa"/>
            <w:vAlign w:val="bottom"/>
          </w:tcPr>
          <w:p>
            <w:pPr>
              <w:ind w:left="600"/>
              <w:spacing w:after="0"/>
              <w:rPr>
                <w:sz w:val="20"/>
                <w:szCs w:val="20"/>
                <w:color w:val="auto"/>
              </w:rPr>
            </w:pPr>
            <w:r>
              <w:rPr>
                <w:rFonts w:ascii="Courier New" w:cs="Courier New" w:eastAsia="Courier New" w:hAnsi="Courier New"/>
                <w:sz w:val="15"/>
                <w:szCs w:val="15"/>
                <w:color w:val="auto"/>
              </w:rPr>
              <w:t>Mid</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5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2001</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East</w:t>
            </w:r>
          </w:p>
        </w:tc>
        <w:tc>
          <w:tcPr>
            <w:tcW w:w="1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Atlantic</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West</w:t>
            </w:r>
          </w:p>
        </w:tc>
        <w:tc>
          <w:tcPr>
            <w:tcW w:w="1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Consolidated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$120,313</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$124,765</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$ 34,857</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279,935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5,659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5,715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13,977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(23,597)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(28,443)</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(11,441)</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(63,481)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(15,863)</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(9,951)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(28,772)</w:t>
            </w:r>
          </w:p>
        </w:tc>
      </w:tr>
      <w:tr>
        <w:trPr>
          <w:trHeight w:val="168"/>
        </w:trPr>
        <w:tc>
          <w:tcPr>
            <w:tcW w:w="32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86,512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92,086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23,061</w:t>
            </w: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201,659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$6,590</w:t>
            </w:r>
          </w:p>
        </w:tc>
        <w:tc>
          <w:tcPr>
            <w:tcW w:w="7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(69,313)</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(69,313)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(14,281)</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(14,281)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(27,576)</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(23,921)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(7,383)</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(1,034)</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(59,914)</w:t>
            </w:r>
          </w:p>
        </w:tc>
      </w:tr>
      <w:tr>
        <w:trPr>
          <w:trHeight w:val="168"/>
        </w:trPr>
        <w:tc>
          <w:tcPr>
            <w:tcW w:w="32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w:t>
            </w: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of operations and</w:t>
            </w: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$ 58,936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$ 68,165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$ 15,678</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($78,038)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64,741</w:t>
            </w:r>
          </w:p>
        </w:tc>
      </w:tr>
      <w:tr>
        <w:trPr>
          <w:trHeight w:val="168"/>
        </w:trPr>
        <w:tc>
          <w:tcPr>
            <w:tcW w:w="32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$ 15,386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$ 87,706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$169,278</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_</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272,370</w:t>
            </w:r>
          </w:p>
        </w:tc>
      </w:tr>
      <w:tr>
        <w:trPr>
          <w:trHeight w:val="168"/>
        </w:trPr>
        <w:tc>
          <w:tcPr>
            <w:tcW w:w="32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$760,849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$793,566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$549,889</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_</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$2,104,304</w:t>
            </w:r>
          </w:p>
        </w:tc>
      </w:tr>
      <w:tr>
        <w:trPr>
          <w:trHeight w:val="168"/>
        </w:trPr>
        <w:tc>
          <w:tcPr>
            <w:tcW w:w="32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4"/>
                <w:szCs w:val="2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North</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Mid</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2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East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Atlantic</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West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$113,078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$114,371</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$ 33,235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260,684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4,215</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2,950</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11,065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(23,261)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(24,766)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(8,253)</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(56,280)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(14,347)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(3,114)</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(26,620)</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79,685</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84,346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24,818</w:t>
            </w: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188,849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$7,532</w:t>
            </w:r>
          </w:p>
        </w:tc>
        <w:tc>
          <w:tcPr>
            <w:tcW w:w="7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7,532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(66,418)</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(66,418)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(13,318)</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(25,169)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(21,915)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(5,242)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(933)</w:t>
            </w:r>
          </w:p>
        </w:tc>
        <w:tc>
          <w:tcPr>
            <w:tcW w:w="7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(53,259)</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of operations and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$ 54,516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$ 62,431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$ 19,576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($73,137)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63,386</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$ 38,696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$ 60,783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$ 83,205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_</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182,684</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$754,048</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$720,208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$380,657</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_</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$1,854,913</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4"/>
                <w:szCs w:val="24"/>
                <w:color w:val="auto"/>
              </w:rPr>
            </w:pPr>
          </w:p>
        </w:tc>
        <w:tc>
          <w:tcPr>
            <w:tcW w:w="1880" w:type="dxa"/>
            <w:vAlign w:val="bottom"/>
          </w:tcPr>
          <w:p>
            <w:pPr>
              <w:ind w:left="800"/>
              <w:spacing w:after="0"/>
              <w:rPr>
                <w:sz w:val="20"/>
                <w:szCs w:val="20"/>
                <w:color w:val="auto"/>
              </w:rPr>
            </w:pPr>
            <w:r>
              <w:rPr>
                <w:rFonts w:ascii="Courier New" w:cs="Courier New" w:eastAsia="Courier New" w:hAnsi="Courier New"/>
                <w:sz w:val="15"/>
                <w:szCs w:val="15"/>
                <w:color w:val="auto"/>
              </w:rPr>
              <w:t>North</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Mid</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2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1999</w:t>
            </w:r>
          </w:p>
        </w:tc>
        <w:tc>
          <w:tcPr>
            <w:tcW w:w="1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East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Atlantic</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West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Consolidated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$102,452</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$111,624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$ 31,757</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245,833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5,672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1,656</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11,231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(20,702)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(25,096)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(7,879)</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(53,677)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(13,146)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(9,006)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(2,869)</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(25,021)</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74,276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81,425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22,665</w:t>
            </w: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178,366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$7,649</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7,649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(61,492)</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(61,492)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(15,120)</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(15,120)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(22,648)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(22,473)</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(4,101)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(789)</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(50,011)</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of operations and</w:t>
            </w: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sale of real Estate</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$ 51,628</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$ 58,952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$ 18,564</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($69,752)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59,392</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$ 32,547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$ 26,444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$ 62,512</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121,503</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$715,772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$663,019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$342,668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$1,721,459</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1300"/>
          </w:cols>
          <w:pgMar w:left="220" w:top="624" w:right="379"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NOTE 15. QUARTERLY DATA (UNAUDITED)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40" w:firstLine="437"/>
        <w:spacing w:after="0" w:line="234" w:lineRule="auto"/>
        <w:rPr>
          <w:sz w:val="20"/>
          <w:szCs w:val="20"/>
          <w:color w:val="auto"/>
        </w:rPr>
      </w:pPr>
      <w:r>
        <w:rPr>
          <w:rFonts w:ascii="Courier New" w:cs="Courier New" w:eastAsia="Courier New" w:hAnsi="Courier New"/>
          <w:sz w:val="15"/>
          <w:szCs w:val="15"/>
          <w:color w:val="auto"/>
        </w:rPr>
        <w:t>The following summary represents the results of operations for each quarter in 2001 and 2000 (in thousands, except per share data):</w:t>
      </w:r>
    </w:p>
    <w:p>
      <w:pPr>
        <w:spacing w:after="0" w:line="200" w:lineRule="exact"/>
        <w:rPr>
          <w:sz w:val="20"/>
          <w:szCs w:val="20"/>
          <w:color w:val="auto"/>
        </w:rPr>
      </w:pPr>
    </w:p>
    <w:p>
      <w:pPr>
        <w:spacing w:after="0" w:line="310" w:lineRule="exact"/>
        <w:rPr>
          <w:sz w:val="20"/>
          <w:szCs w:val="20"/>
          <w:color w:val="auto"/>
        </w:rPr>
      </w:pPr>
    </w:p>
    <w:p>
      <w:pPr>
        <w:jc w:val="both"/>
        <w:ind w:left="3240" w:right="520" w:firstLine="87"/>
        <w:spacing w:after="0"/>
        <w:rPr>
          <w:sz w:val="20"/>
          <w:szCs w:val="20"/>
          <w:color w:val="auto"/>
        </w:rPr>
      </w:pPr>
      <w:r>
        <w:rPr>
          <w:rFonts w:ascii="Courier New" w:cs="Courier New" w:eastAsia="Courier New" w:hAnsi="Courier New"/>
          <w:sz w:val="15"/>
          <w:szCs w:val="15"/>
          <w:color w:val="auto"/>
        </w:rPr>
        <w:t>First Second Third Fourth Quarter Quarter Quarter Quarter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$71,703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$73,398</w:t>
            </w:r>
          </w:p>
        </w:tc>
        <w:tc>
          <w:tcPr>
            <w:tcW w:w="66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$75,524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$79,877</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w:t>
            </w: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common shares</w:t>
            </w: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12,245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20,180</w:t>
            </w: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13,194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 basic</w:t>
            </w: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66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2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 diluted   (4)</w:t>
            </w:r>
          </w:p>
        </w:tc>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660" w:type="dxa"/>
            <w:vAlign w:val="bottom"/>
          </w:tcPr>
          <w:p>
            <w:pPr>
              <w:spacing w:after="0"/>
              <w:rPr>
                <w:sz w:val="14"/>
                <w:szCs w:val="14"/>
                <w:color w:val="auto"/>
              </w:rPr>
            </w:pP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r>
      <w:tr>
        <w:trPr>
          <w:trHeight w:val="336"/>
        </w:trPr>
        <w:tc>
          <w:tcPr>
            <w:tcW w:w="2540" w:type="dxa"/>
            <w:vAlign w:val="bottom"/>
          </w:tcPr>
          <w:p>
            <w:pPr>
              <w:spacing w:after="0"/>
              <w:rPr>
                <w:sz w:val="24"/>
                <w:szCs w:val="24"/>
                <w:color w:val="auto"/>
              </w:rPr>
            </w:pPr>
          </w:p>
        </w:tc>
        <w:tc>
          <w:tcPr>
            <w:tcW w:w="2320" w:type="dxa"/>
            <w:vAlign w:val="bottom"/>
          </w:tcPr>
          <w:p>
            <w:pPr>
              <w:jc w:val="right"/>
              <w:ind w:right="1007"/>
              <w:spacing w:after="0"/>
              <w:rPr>
                <w:sz w:val="20"/>
                <w:szCs w:val="20"/>
                <w:color w:val="auto"/>
              </w:rPr>
            </w:pPr>
            <w:r>
              <w:rPr>
                <w:rFonts w:ascii="Courier New" w:cs="Courier New" w:eastAsia="Courier New" w:hAnsi="Courier New"/>
                <w:sz w:val="15"/>
                <w:szCs w:val="15"/>
                <w:color w:val="auto"/>
              </w:rPr>
              <w:t>First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Second</w:t>
            </w:r>
          </w:p>
        </w:tc>
        <w:tc>
          <w:tcPr>
            <w:tcW w:w="660" w:type="dxa"/>
            <w:vAlign w:val="bottom"/>
          </w:tcPr>
          <w:p>
            <w:pPr>
              <w:spacing w:after="0"/>
              <w:rPr>
                <w:sz w:val="24"/>
                <w:szCs w:val="24"/>
                <w:color w:val="auto"/>
              </w:rPr>
            </w:pPr>
          </w:p>
        </w:tc>
        <w:tc>
          <w:tcPr>
            <w:tcW w:w="18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Third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Fourth</w:t>
            </w:r>
          </w:p>
        </w:tc>
        <w:tc>
          <w:tcPr>
            <w:tcW w:w="30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23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Quarter</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Quarter</w:t>
            </w:r>
          </w:p>
        </w:tc>
        <w:tc>
          <w:tcPr>
            <w:tcW w:w="660" w:type="dxa"/>
            <w:vAlign w:val="bottom"/>
          </w:tcPr>
          <w:p>
            <w:pPr>
              <w:spacing w:after="0"/>
              <w:rPr>
                <w:sz w:val="14"/>
                <w:szCs w:val="14"/>
                <w:color w:val="auto"/>
              </w:rPr>
            </w:pPr>
          </w:p>
        </w:tc>
        <w:tc>
          <w:tcPr>
            <w:tcW w:w="18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2000</w:t>
      </w:r>
    </w:p>
    <w:tbl>
      <w:tblPr>
        <w:tblLayout w:type="fixed"/>
        <w:tblInd w:w="0" w:type="dxa"/>
        <w:tblCellMar>
          <w:top w:w="0" w:type="dxa"/>
          <w:left w:w="0" w:type="dxa"/>
          <w:bottom w:w="0" w:type="dxa"/>
          <w:right w:w="0" w:type="dxa"/>
        </w:tblCellMar>
      </w:tblPr>
      <w:tr>
        <w:trPr>
          <w:trHeight w:val="169"/>
        </w:trPr>
        <w:tc>
          <w:tcPr>
            <w:tcW w:w="2760" w:type="dxa"/>
            <w:vAlign w:val="bottom"/>
          </w:tcPr>
          <w:p>
            <w:pPr>
              <w:spacing w:after="0" w:line="169" w:lineRule="exact"/>
              <w:rPr>
                <w:sz w:val="20"/>
                <w:szCs w:val="20"/>
                <w:color w:val="auto"/>
              </w:rPr>
            </w:pPr>
            <w:r>
              <w:rPr>
                <w:rFonts w:ascii="Courier New" w:cs="Courier New" w:eastAsia="Courier New" w:hAnsi="Courier New"/>
                <w:sz w:val="15"/>
                <w:szCs w:val="15"/>
                <w:color w:val="auto"/>
              </w:rPr>
              <w:t>Revenue</w:t>
            </w:r>
          </w:p>
        </w:tc>
        <w:tc>
          <w:tcPr>
            <w:tcW w:w="220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$69,104</w:t>
            </w:r>
          </w:p>
        </w:tc>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$68,806</w:t>
            </w:r>
          </w:p>
        </w:tc>
        <w:tc>
          <w:tcPr>
            <w:tcW w:w="880" w:type="dxa"/>
            <w:vAlign w:val="bottom"/>
          </w:tcPr>
          <w:p>
            <w:pPr>
              <w:spacing w:after="0"/>
              <w:rPr>
                <w:sz w:val="14"/>
                <w:szCs w:val="14"/>
                <w:color w:val="auto"/>
              </w:rPr>
            </w:pPr>
          </w:p>
        </w:tc>
        <w:tc>
          <w:tcPr>
            <w:tcW w:w="1600" w:type="dxa"/>
            <w:vAlign w:val="bottom"/>
          </w:tcPr>
          <w:p>
            <w:pPr>
              <w:jc w:val="right"/>
              <w:ind w:right="347"/>
              <w:spacing w:after="0" w:line="169" w:lineRule="exact"/>
              <w:rPr>
                <w:sz w:val="20"/>
                <w:szCs w:val="20"/>
                <w:color w:val="auto"/>
              </w:rPr>
            </w:pPr>
            <w:r>
              <w:rPr>
                <w:rFonts w:ascii="Courier New" w:cs="Courier New" w:eastAsia="Courier New" w:hAnsi="Courier New"/>
                <w:sz w:val="15"/>
                <w:szCs w:val="15"/>
                <w:color w:val="auto"/>
              </w:rPr>
              <w:t>$68,581</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$72,790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common shares</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12,151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16,087</w:t>
            </w:r>
          </w:p>
        </w:tc>
        <w:tc>
          <w:tcPr>
            <w:tcW w:w="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12,433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 basic</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88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 diluted</w:t>
            </w: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880" w:type="dxa"/>
            <w:vAlign w:val="bottom"/>
          </w:tcPr>
          <w:p>
            <w:pPr>
              <w:spacing w:after="0"/>
              <w:rPr>
                <w:sz w:val="14"/>
                <w:szCs w:val="14"/>
                <w:color w:val="auto"/>
              </w:rPr>
            </w:pP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bl>
    <w:p>
      <w:pPr>
        <w:spacing w:after="0" w:line="341" w:lineRule="exact"/>
        <w:rPr>
          <w:sz w:val="20"/>
          <w:szCs w:val="20"/>
          <w:color w:val="auto"/>
        </w:rPr>
      </w:pPr>
    </w:p>
    <w:p>
      <w:pPr>
        <w:ind w:right="3580"/>
        <w:spacing w:after="0" w:line="234" w:lineRule="auto"/>
        <w:rPr>
          <w:sz w:val="20"/>
          <w:szCs w:val="20"/>
          <w:color w:val="auto"/>
        </w:rPr>
      </w:pPr>
      <w:r>
        <w:rPr>
          <w:rFonts w:ascii="Courier New" w:cs="Courier New" w:eastAsia="Courier New" w:hAnsi="Courier New"/>
          <w:sz w:val="15"/>
          <w:szCs w:val="15"/>
          <w:color w:val="auto"/>
        </w:rPr>
        <w:t>(1)Net income includes a $7.9 million gain on sale of real estate ($.20 gain per share - basic and diluted).</w:t>
      </w:r>
    </w:p>
    <w:p>
      <w:pPr>
        <w:spacing w:after="0" w:line="173"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(2)Net income includes a net $1.3 million gain on sale of real estate ($.03 gain per share - basic and $.02 gain per share - diluted).</w:t>
      </w:r>
    </w:p>
    <w:p>
      <w:pPr>
        <w:spacing w:after="0" w:line="173" w:lineRule="exact"/>
        <w:rPr>
          <w:sz w:val="20"/>
          <w:szCs w:val="20"/>
          <w:color w:val="auto"/>
        </w:rPr>
      </w:pPr>
    </w:p>
    <w:p>
      <w:pPr>
        <w:ind w:right="3580"/>
        <w:spacing w:after="0" w:line="234" w:lineRule="auto"/>
        <w:rPr>
          <w:sz w:val="20"/>
          <w:szCs w:val="20"/>
          <w:color w:val="auto"/>
        </w:rPr>
      </w:pPr>
      <w:r>
        <w:rPr>
          <w:rFonts w:ascii="Courier New" w:cs="Courier New" w:eastAsia="Courier New" w:hAnsi="Courier New"/>
          <w:sz w:val="15"/>
          <w:szCs w:val="15"/>
          <w:color w:val="auto"/>
        </w:rPr>
        <w:t>(3)Net income includes a $3.7 million gain on sale of real estate ($.10 gain per share - basic and $.09 gain per share - diluted).</w:t>
      </w:r>
    </w:p>
    <w:p>
      <w:pPr>
        <w:spacing w:after="0" w:line="173" w:lineRule="exact"/>
        <w:rPr>
          <w:sz w:val="20"/>
          <w:szCs w:val="20"/>
          <w:color w:val="auto"/>
        </w:rPr>
      </w:pPr>
    </w:p>
    <w:p>
      <w:pPr>
        <w:ind w:right="3320"/>
        <w:spacing w:after="0" w:line="234" w:lineRule="auto"/>
        <w:rPr>
          <w:sz w:val="20"/>
          <w:szCs w:val="20"/>
          <w:color w:val="auto"/>
        </w:rPr>
      </w:pPr>
      <w:r>
        <w:rPr>
          <w:rFonts w:ascii="Courier New" w:cs="Courier New" w:eastAsia="Courier New" w:hAnsi="Courier New"/>
          <w:sz w:val="15"/>
          <w:szCs w:val="15"/>
          <w:color w:val="auto"/>
        </w:rPr>
        <w:t>(4)The sum of quarterly earnings per common share - diluted, $1.51 differs from the annual earnings per common share - diluted, $1.52, due to rounding.</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40"/>
          </w:cols>
          <w:pgMar w:left="220" w:top="617" w:right="14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0"/>
        </w:trPr>
        <w:tc>
          <w:tcPr>
            <w:tcW w:w="3420" w:type="dxa"/>
            <w:vAlign w:val="bottom"/>
          </w:tcPr>
          <w:p>
            <w:pPr>
              <w:ind w:left="1060"/>
              <w:spacing w:after="0"/>
              <w:rPr>
                <w:sz w:val="20"/>
                <w:szCs w:val="20"/>
                <w:color w:val="auto"/>
              </w:rPr>
            </w:pPr>
            <w:r>
              <w:rPr>
                <w:rFonts w:ascii="Courier New" w:cs="Courier New" w:eastAsia="Courier New" w:hAnsi="Courier New"/>
                <w:sz w:val="15"/>
                <w:szCs w:val="15"/>
                <w:color w:val="auto"/>
              </w:rPr>
              <w:t>COLUMN A</w:t>
            </w:r>
          </w:p>
        </w:tc>
        <w:tc>
          <w:tcPr>
            <w:tcW w:w="8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COLUMN B</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rPr>
              <w:t>COLUMN C</w:t>
            </w:r>
          </w:p>
        </w:tc>
        <w:tc>
          <w:tcPr>
            <w:tcW w:w="1520" w:type="dxa"/>
            <w:vAlign w:val="bottom"/>
          </w:tcPr>
          <w:p>
            <w:pPr>
              <w:spacing w:after="0"/>
              <w:rPr>
                <w:sz w:val="14"/>
                <w:szCs w:val="14"/>
                <w:color w:val="auto"/>
              </w:rPr>
            </w:pPr>
          </w:p>
        </w:tc>
        <w:tc>
          <w:tcPr>
            <w:tcW w:w="16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COLUMN D</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8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tcPr>
          <w:p>
            <w:pPr>
              <w:spacing w:after="0"/>
              <w:rPr>
                <w:sz w:val="14"/>
                <w:szCs w:val="14"/>
                <w:color w:val="auto"/>
              </w:rPr>
            </w:pP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Initial cost to company</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Cost Capitalized</w:t>
            </w:r>
          </w:p>
        </w:tc>
      </w:tr>
      <w:tr>
        <w:trPr>
          <w:trHeight w:val="168"/>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Building and</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Subsequent to</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Descriptions</w:t>
            </w:r>
          </w:p>
        </w:tc>
        <w:tc>
          <w:tcPr>
            <w:tcW w:w="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Encumbrance</w:t>
            </w:r>
          </w:p>
        </w:tc>
        <w:tc>
          <w:tcPr>
            <w:tcW w:w="16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Land</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Improvements</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Acquisition</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8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1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ALLWOOD (New Jersey)</w:t>
            </w:r>
          </w:p>
        </w:tc>
        <w:tc>
          <w:tcPr>
            <w:tcW w:w="80" w:type="dxa"/>
            <w:vAlign w:val="bottom"/>
          </w:tcPr>
          <w:p>
            <w:pPr>
              <w:spacing w:after="0"/>
              <w:rPr>
                <w:sz w:val="24"/>
                <w:szCs w:val="24"/>
                <w:color w:val="auto"/>
              </w:rPr>
            </w:pP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$ 3,523,000</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$ 3,920,000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ANDORRA (Pennsylvania)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2,432,000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12,346,000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 BUILDINGS (2)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1,334,000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9,104,000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 CYNWYD (Pennsylvania)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3,565,000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14,466,000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6,186,000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BARRACKS ROAD (Virginia)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44,300,000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4,363,000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16,459,000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18,295,000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BETHESDA ROW (Maryland)</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36,046,000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9,114,000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20,821,000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45,562,000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BLUESTAR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26,893,000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29,922,000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8,963,000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BRICK PLAZA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33,000,000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24,715,000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28,901,000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BRISTOL (Connecticut)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3,856,000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15,959,000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BRUNSWICK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11,195,000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12,456,000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RETAIL BUILDINGS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SANTA MONICA (9)</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22,645,000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12,709,000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34,312,000</w:t>
            </w: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 DIEGO (4)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3,844,000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1,352,000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6,901,000</w:t>
            </w: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150 POST STREET (San Francisco)</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11,685,000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9,181,000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6,903,000</w:t>
            </w: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(7)</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19,496,000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25,752,000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CLIFTON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3,277,000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3,646,000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CONGRESSIONAL PLAZA (Maryland)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2,793,000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7,424,000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36,839,000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 RETAIL BUILDINGS (13)</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25,061,000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27,739,000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COURTHOUSE CENTER (Maryland)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1,750,000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(Illinois)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4,635,000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11,611,000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DEDHAM PLAZA (Massachusetts)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12,369,000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12,918,000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2,799,000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EASTGATE (North Carolina)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1,608,000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5,775,000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ELLISBURG CIRCLE (New Jersey)</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4,028,000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11,309,000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10,301,000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ESCONDIDO PROMENADE (California)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9,400,000</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11,505,000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12,147,000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833,000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FALLS PLAZA (Virginia)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1,260,000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6,159,000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FALLS PLAZA - East (Virginia)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FEASTERVILLE (Pennsylvania)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1,431,000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1,600,000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8,474,000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PLAZA (Maryland)</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36,304,000</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10,216,000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17,895,000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33,366,000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FINLEY SQUARE (Illinois)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9,252,000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9,544,000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6,929,000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 RETAIL BUILDINGS (2)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5,206,000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1,631,000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FLOURTOWN (Pennsylvania)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1,345,000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3,943,000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FRESH MEADOWS (New York)</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24,625,000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25,255,000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14,272,000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FRIENDSHIP CTR (District of Columbia)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17,000,000</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12,696,000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20,803,000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GAITHERSBURG SQUARE (Maryland)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7,701,000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5,271,000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10,505,000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GARDEN MARKET (Illinois)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2,677,000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4,829,000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2,823,000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GOVERNOR PLAZA (Maryland)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2,068,000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10,170,000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GRATIOT PLAZA (Michigan)</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1,601,000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14,517,000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GREENLAWN (New York)</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2,294,000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3,864,000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4,857,000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5,405,000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HAUPPAUGE (New York)</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16,700,000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8,791,000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15,262,000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HUNTINGTON (New York)</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14,387,000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16,008,000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6,487,000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IDYLWOOD PLAZA (Virginia)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4,308,000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10,026,000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 RETAIL BUILDINGS (2)</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1,291,000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KINGS COURT (California)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10,714,000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LANCASTER (Pennsylvania)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68,000</w:t>
            </w:r>
          </w:p>
        </w:tc>
        <w:tc>
          <w:tcPr>
            <w:tcW w:w="16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2,103,000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2,588,000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LANGHORNE SQUARE (Pennsylvania)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2,974,000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13,768,000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LAUREL (Maryland)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7,458,000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22,525,000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15,254,000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PARK (Pennsylvania)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31,400,000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5,723,000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7,160,000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10,540,000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LEESBURG PLAZA (Virginia)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9,900,000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8,184,000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10,722,000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1,166,000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LOEHMANN'S PLAZA (Virginia)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1,237,000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15,096,000</w:t>
            </w:r>
          </w:p>
        </w:tc>
        <w:tc>
          <w:tcPr>
            <w:tcW w:w="6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8,605,000</w:t>
            </w:r>
          </w:p>
        </w:tc>
      </w:tr>
      <w:tr>
        <w:trPr>
          <w:trHeight w:val="505"/>
        </w:trPr>
        <w:tc>
          <w:tcPr>
            <w:tcW w:w="3420" w:type="dxa"/>
            <w:vAlign w:val="bottom"/>
          </w:tcPr>
          <w:p>
            <w:pPr>
              <w:ind w:left="800"/>
              <w:spacing w:after="0"/>
              <w:rPr>
                <w:sz w:val="20"/>
                <w:szCs w:val="20"/>
                <w:color w:val="auto"/>
              </w:rPr>
            </w:pPr>
            <w:r>
              <w:rPr>
                <w:rFonts w:ascii="Courier New" w:cs="Courier New" w:eastAsia="Courier New" w:hAnsi="Courier New"/>
                <w:sz w:val="15"/>
                <w:szCs w:val="15"/>
                <w:color w:val="auto"/>
              </w:rPr>
              <w:t>COLUMN A</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COLUMN E</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4"/>
                <w:szCs w:val="14"/>
                <w:color w:val="auto"/>
              </w:rPr>
            </w:pPr>
          </w:p>
        </w:tc>
        <w:tc>
          <w:tcPr>
            <w:tcW w:w="438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880" w:type="dxa"/>
            <w:vAlign w:val="bottom"/>
            <w:gridSpan w:val="5"/>
          </w:tcPr>
          <w:p>
            <w:pPr>
              <w:jc w:val="center"/>
              <w:ind w:left="2927"/>
              <w:spacing w:after="0" w:line="168" w:lineRule="exact"/>
              <w:rPr>
                <w:sz w:val="20"/>
                <w:szCs w:val="20"/>
                <w:color w:val="auto"/>
              </w:rPr>
            </w:pPr>
            <w:r>
              <w:rPr>
                <w:rFonts w:ascii="Courier New" w:cs="Courier New" w:eastAsia="Courier New" w:hAnsi="Courier New"/>
                <w:sz w:val="15"/>
                <w:szCs w:val="15"/>
                <w:color w:val="auto"/>
                <w:w w:val="97"/>
              </w:rPr>
              <w:t>Gross amount at which carried at close of period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Building and</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Descriptions</w:t>
            </w:r>
          </w:p>
        </w:tc>
        <w:tc>
          <w:tcPr>
            <w:tcW w:w="80" w:type="dxa"/>
            <w:vAlign w:val="bottom"/>
          </w:tcPr>
          <w:p>
            <w:pPr>
              <w:spacing w:after="0"/>
              <w:rPr>
                <w:sz w:val="14"/>
                <w:szCs w:val="14"/>
                <w:color w:val="auto"/>
              </w:rPr>
            </w:pP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Land</w:t>
            </w:r>
          </w:p>
        </w:tc>
        <w:tc>
          <w:tcPr>
            <w:tcW w:w="16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Improvements</w:t>
            </w:r>
          </w:p>
        </w:tc>
        <w:tc>
          <w:tcPr>
            <w:tcW w:w="15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ALLWOOD (New Jersey)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spacing w:after="0"/>
              <w:rPr>
                <w:sz w:val="24"/>
                <w:szCs w:val="24"/>
                <w:color w:val="auto"/>
              </w:rPr>
            </w:pPr>
          </w:p>
        </w:tc>
        <w:tc>
          <w:tcPr>
            <w:tcW w:w="16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4,264,000</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$ 4,264,000</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ANDORRA (Pennsylvania)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2,432,000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15,991,000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18,423,000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 BUILDINGS (2)</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1,334,000</w:t>
            </w:r>
          </w:p>
        </w:tc>
        <w:tc>
          <w:tcPr>
            <w:tcW w:w="16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9,702,000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11,036,000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 CYNWYD (Pennsylvania)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3,565,000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20,652,000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24,217,000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BARRACKS ROAD (Virginia)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4,363,000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34,754,000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39,117,000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BETHESDA ROW (Maryland)</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9,127,000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66,370,000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75,497,000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BLUESTAR (New Jersey)</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38,885,000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38,885,000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BRICK PLAZA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3,788,000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49,828,000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53,616,000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BRISTOL (Connecticut)</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3,856,000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17,794,000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21,650,000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BRUNSWICK (New Jersey)</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20,953,000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20,953,000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RETAIL BUILDINGS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SANTA MONICA (9)</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22,645,000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47,021,000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69,666,000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 DIEGO (4)</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3,844,000</w:t>
            </w:r>
          </w:p>
        </w:tc>
        <w:tc>
          <w:tcPr>
            <w:tcW w:w="16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8,253,000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12,097,000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150 POST STREET (San Francisco)</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11,685,000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16,084,000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27,769,000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(7)</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19,496,000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34,539,000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54,035,000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CLIFTON (New Jersey)</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4,797,000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4,797,000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CONGRESSIONAL PLAZA (Maryland)</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2,793,000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44,263,000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47,056,000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 RETAIL BUILDINGS (13)</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25,061,000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30,124,000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55,185,000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COURTHOUSE CENTER (Maryland)</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1,750,000</w:t>
            </w:r>
          </w:p>
        </w:tc>
        <w:tc>
          <w:tcPr>
            <w:tcW w:w="16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1,981,000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3,731,000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(Illinois)</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4,635,000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17,046,000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21,681,000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DEDHAM PLAZA (Massachusetts)</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12,369,000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15,717,000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28,086,000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EASTGATE (North Carolina)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1,608,000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11,086,000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12,694,000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ELLISBURG CIRCLE (New Jersey)</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4,028,000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21,610,000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25,638,000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ESCONDIDO PROMENADE (California)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11,505,000</w:t>
            </w:r>
          </w:p>
        </w:tc>
        <w:tc>
          <w:tcPr>
            <w:tcW w:w="168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12,980,000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24,485,000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FALLS PLAZA (Virginia)</w:t>
            </w:r>
          </w:p>
        </w:tc>
        <w:tc>
          <w:tcPr>
            <w:tcW w:w="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1,260,000</w:t>
            </w:r>
          </w:p>
        </w:tc>
        <w:tc>
          <w:tcPr>
            <w:tcW w:w="16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6,894,000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8,154,000</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0239"/>
          </w:cols>
          <w:pgMar w:left="220" w:top="953" w:right="1440" w:bottom="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FALLS PLAZA - East (Virginia)</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559,000</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3,350,000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FEASTERVILLE (Pennsylvania)</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1,431,000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10,074,000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11,505,000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PLAZA (Maryland)</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10,216,000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51,261,000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61,477,000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FINLEY SQUARE (Illinois)</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9,252,000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16,473,000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25,725,000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 RETAIL BUILDINGS</w:t>
            </w:r>
          </w:p>
        </w:tc>
        <w:tc>
          <w:tcPr>
            <w:tcW w:w="12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88"/>
              </w:rPr>
              <w:t>(2)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5,206,000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1,667,000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6,873,000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FLOURTOWN (Pennsylvania)</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1,345,000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8,625,000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FRESH MEADOWS (New York)</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24,625,000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39,527,000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64,152,000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FRIENDSHIP CTR (District of Columbia)</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12,696,000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20,807,000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33,503,000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GAITHERSBURG SQUARE (Maryland)</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6,012,000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17,465,000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23,477,000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GARDEN MARKET (Illinois)</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2,677,000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7,652,000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10,329,000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GOVERNOR PLAZA (Maryland)</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2,068,000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15,075,000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17,143,000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GRATIOT PLAZA (Michigan)</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16,118,000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16,643,000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GREENLAWN (New York)</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2,294,000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10,559,000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(New Jersey)</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7,580,000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HAUPPAUGE (New York)</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8,791,000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17,339,000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26,130,000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HUNTINGTON (New York)</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22,495,000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22,495,000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IDYLWOOD PLAZA (Virginia)</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4,308,000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10,482,000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14,790,000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ILLINOIS RETAIL BUILDINGS (2)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1,291,000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4,261,000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KINGS COURT (California)</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10,865,000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10,865,000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LANCASTER (Pennsylvania)</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4,691,000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4,691,000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LANGHORNE SQUARE (Pennsylvania)</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720,000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16,742,000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17,462,000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LAUREL (Maryland)</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7,458,000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37,779,000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45,237,000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LAWRENCE PARK (Pennsylvania)</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5,734,000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17,689,000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23,423,000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LEESBURG PLAZA (Virginia)</w:t>
            </w:r>
          </w:p>
        </w:tc>
        <w:tc>
          <w:tcPr>
            <w:tcW w:w="12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8,184,000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11,888,000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20,072,000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LOEHMANN'S PLAZA (Virginia)</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1,248,000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23,690,000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24,938,000</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ind w:left="880"/>
              <w:spacing w:after="0"/>
              <w:rPr>
                <w:sz w:val="20"/>
                <w:szCs w:val="20"/>
                <w:color w:val="auto"/>
              </w:rPr>
            </w:pPr>
            <w:r>
              <w:rPr>
                <w:rFonts w:ascii="Courier New" w:cs="Courier New" w:eastAsia="Courier New" w:hAnsi="Courier New"/>
                <w:sz w:val="15"/>
                <w:szCs w:val="15"/>
                <w:color w:val="auto"/>
              </w:rPr>
              <w:t>COLUMN A</w:t>
            </w: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COLUMN F</w:t>
            </w: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COLUMN G</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COLUMN H</w:t>
            </w:r>
          </w:p>
        </w:tc>
        <w:tc>
          <w:tcPr>
            <w:tcW w:w="22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COLUMN I</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Life on which</w:t>
            </w:r>
          </w:p>
        </w:tc>
      </w:tr>
      <w:tr>
        <w:trPr>
          <w:trHeight w:val="168"/>
        </w:trPr>
        <w:tc>
          <w:tcPr>
            <w:tcW w:w="3240" w:type="dxa"/>
            <w:vAlign w:val="bottom"/>
          </w:tcPr>
          <w:p>
            <w:pPr>
              <w:spacing w:after="0"/>
              <w:rPr>
                <w:sz w:val="14"/>
                <w:szCs w:val="14"/>
                <w:color w:val="auto"/>
              </w:rPr>
            </w:pP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Accumulated</w:t>
            </w:r>
          </w:p>
        </w:tc>
        <w:tc>
          <w:tcPr>
            <w:tcW w:w="1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spacing w:after="0"/>
              <w:rPr>
                <w:sz w:val="14"/>
                <w:szCs w:val="14"/>
                <w:color w:val="auto"/>
              </w:rPr>
            </w:pP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depreciation in latest</w:t>
            </w:r>
          </w:p>
        </w:tc>
      </w:tr>
      <w:tr>
        <w:trPr>
          <w:trHeight w:val="168"/>
        </w:trPr>
        <w:tc>
          <w:tcPr>
            <w:tcW w:w="4960" w:type="dxa"/>
            <w:vAlign w:val="bottom"/>
            <w:gridSpan w:val="2"/>
          </w:tcPr>
          <w:p>
            <w:pPr>
              <w:ind w:left="3160"/>
              <w:spacing w:after="0" w:line="168" w:lineRule="exact"/>
              <w:rPr>
                <w:sz w:val="20"/>
                <w:szCs w:val="20"/>
                <w:color w:val="auto"/>
              </w:rPr>
            </w:pPr>
            <w:r>
              <w:rPr>
                <w:rFonts w:ascii="Courier New" w:cs="Courier New" w:eastAsia="Courier New" w:hAnsi="Courier New"/>
                <w:sz w:val="15"/>
                <w:szCs w:val="15"/>
                <w:color w:val="auto"/>
              </w:rPr>
              <w:t>Depreciation and</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Date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statements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Descriptions</w:t>
            </w:r>
          </w:p>
        </w:tc>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Construction</w:t>
            </w:r>
          </w:p>
        </w:tc>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Acquired</w:t>
            </w:r>
          </w:p>
        </w:tc>
        <w:tc>
          <w:tcPr>
            <w:tcW w:w="22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is computed</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ALLWOOD (New Jersey)</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   1,653,000</w:t>
            </w:r>
          </w:p>
        </w:tc>
        <w:tc>
          <w:tcPr>
            <w:tcW w:w="1600" w:type="dxa"/>
            <w:vAlign w:val="bottom"/>
          </w:tcPr>
          <w:p>
            <w:pPr>
              <w:ind w:left="560"/>
              <w:spacing w:after="0"/>
              <w:rPr>
                <w:sz w:val="20"/>
                <w:szCs w:val="20"/>
                <w:color w:val="auto"/>
              </w:rPr>
            </w:pPr>
            <w:r>
              <w:rPr>
                <w:rFonts w:ascii="Courier New" w:cs="Courier New" w:eastAsia="Courier New" w:hAnsi="Courier New"/>
                <w:sz w:val="15"/>
                <w:szCs w:val="15"/>
                <w:color w:val="auto"/>
              </w:rPr>
              <w:t>1958</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12/12/88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ANDORRA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6,809,000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1953</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01/12/88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 BUILDINGS (2)</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965,000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1995-1998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05/07/98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 CYNWYD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4,990,000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1955</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09/22/93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BARRACKS ROAD (Virginia)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17,800,000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12/31/85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BETHESDA ROW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8,642,000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1945-2000</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12/31/93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35 -</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 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BLUESTAR (New Jersey)</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13,151,000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12/12/88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BRICK PLAZA (New Jersey)</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16,595,000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12/28/89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BRISTOL (Connecticut)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3,382,000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9/22/95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BRUNSWICK (New Jersey)</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6,024,000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1957</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12/12/88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RETAIL BUILDINGS</w:t>
            </w: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SANTA MONICA (9)</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4,348,000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1888-2000</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1996-2000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 DIEGO (4)</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467,000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1888-1995</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1996-1997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150 POST STREET (San Francisco)</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1,694,000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1908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10/23/97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(7)</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1,854,000</w:t>
            </w:r>
          </w:p>
        </w:tc>
        <w:tc>
          <w:tcPr>
            <w:tcW w:w="16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var</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1996-1999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CLIFTON (New Jersey)</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1,766,000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12/12/88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CONGRESSIONAL PLAZA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16,099,000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1965</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04/01/65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 RETAIL BUILDINGS (13)</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5,659,000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1900-1991</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1994-1996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COURTHOUSE CENTER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238,000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1975</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12/17/97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(Illinois)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4,556,000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07/19/93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DEDHAM PLAZA (Massachusetts)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3,880,000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12/31/93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EASTGATE (North Carolina)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5,712,000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1963</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12/18/86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ELLISBURG CIRCLE (New Jersey)</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8,657,000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10/16/92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ESCONDIDO PROMENADE (California)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1,903,000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1987</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12/31/96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FALLS PLAZA (Virginia)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2,222,000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1962</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09/30/67</w:t>
            </w:r>
          </w:p>
        </w:tc>
        <w:tc>
          <w:tcPr>
            <w:tcW w:w="22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22 3/4 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FALLS PLAZA - East (Virginia)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2,574,000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1960</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10/05/72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FEASTERVILLE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4,619,000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07/23/80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PLAZA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16,489,000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1970</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06/29/89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FINLEY SQUARE (Illinois)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4,212,000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1974</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04/27/95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 RETAIL BUILDINGS (2)</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284,000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1920</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02/28/96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FLOURTOWN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3,262,000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1957</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04/25/80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FRESH MEADOWS (New York)</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4,389,000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1946-1949</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12/05/97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FRIENDSHIP CTR (District of Columbia)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197,000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09/21/01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GAITHERSBURG SQUARE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5,637,000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1966</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04/22/93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GARDEN MARKET (Illinois)</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1,568,000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07/28/94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GOVERNOR PLAZA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8,877,000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1963</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10/01/85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GRATIOT PLAZA (Michigan)</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4,138,000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1964</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03/29/73</w:t>
            </w:r>
          </w:p>
        </w:tc>
        <w:tc>
          <w:tcPr>
            <w:tcW w:w="22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25 3/4 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GREENLAWN (New York)</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476,000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1975</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01/05/00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(New Jersey)</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3,530,000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1961</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12/12/88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HAUPPAUGE (New York)</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1,636,000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1963</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08/06/98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HUNTINGTON (New York)</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8,995,000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1962</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12/12/88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IDYLWOOD PLAZA (Virginia)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2,408,000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1991</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04/15/94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ILLINOIS RETAIL BUILDINGS (2)</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606,000</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1900-1927</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1995-1997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KINGS COURT (California)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1,391,000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1960</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08/24/98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LANCASTER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3,980,000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1958</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04/24/80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LANGHORNE SQUARE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5,820,000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1966</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01/31/85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LAUREL (Maryland)</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17,396,000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1956</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08/15/86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PARK (Pennsylvania)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13,635,000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1972</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07/23/80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LEESBURG PLAZA (Virginia)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1,142,000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1967</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09/15/98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LOEHMANN'S PLAZA (Virginia)</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2,016,000</w:t>
            </w:r>
          </w:p>
        </w:tc>
        <w:tc>
          <w:tcPr>
            <w:tcW w:w="16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1971</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07/21/83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40"/>
          </w:cols>
          <w:pgMar w:left="220" w:top="135" w:right="1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0"/>
        </w:trPr>
        <w:tc>
          <w:tcPr>
            <w:tcW w:w="3200" w:type="dxa"/>
            <w:vAlign w:val="bottom"/>
          </w:tcPr>
          <w:p>
            <w:pPr>
              <w:ind w:left="440"/>
              <w:spacing w:after="0"/>
              <w:rPr>
                <w:sz w:val="20"/>
                <w:szCs w:val="20"/>
                <w:color w:val="auto"/>
              </w:rPr>
            </w:pPr>
            <w:r>
              <w:rPr>
                <w:rFonts w:ascii="Courier New" w:cs="Courier New" w:eastAsia="Courier New" w:hAnsi="Courier New"/>
                <w:sz w:val="15"/>
                <w:szCs w:val="15"/>
                <w:color w:val="auto"/>
              </w:rPr>
              <w:t>COLUMN A</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COLUMN B</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COLUMN C</w:t>
            </w:r>
          </w:p>
        </w:tc>
        <w:tc>
          <w:tcPr>
            <w:tcW w:w="1580" w:type="dxa"/>
            <w:vAlign w:val="bottom"/>
          </w:tcPr>
          <w:p>
            <w:pPr>
              <w:spacing w:after="0"/>
              <w:rPr>
                <w:sz w:val="14"/>
                <w:szCs w:val="14"/>
                <w:color w:val="auto"/>
              </w:rPr>
            </w:pPr>
          </w:p>
        </w:tc>
        <w:tc>
          <w:tcPr>
            <w:tcW w:w="1920" w:type="dxa"/>
            <w:vAlign w:val="bottom"/>
          </w:tcPr>
          <w:p>
            <w:pPr>
              <w:ind w:left="260"/>
              <w:spacing w:after="0"/>
              <w:rPr>
                <w:sz w:val="20"/>
                <w:szCs w:val="20"/>
                <w:color w:val="auto"/>
              </w:rPr>
            </w:pPr>
            <w:r>
              <w:rPr>
                <w:rFonts w:ascii="Courier New" w:cs="Courier New" w:eastAsia="Courier New" w:hAnsi="Courier New"/>
                <w:sz w:val="15"/>
                <w:szCs w:val="15"/>
                <w:color w:val="auto"/>
              </w:rPr>
              <w:t>COLUMN D</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Initial cost to company</w:t>
            </w:r>
          </w:p>
        </w:tc>
        <w:tc>
          <w:tcPr>
            <w:tcW w:w="19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 Capitalized</w:t>
            </w:r>
          </w:p>
        </w:tc>
      </w:tr>
      <w:tr>
        <w:trPr>
          <w:trHeight w:val="168"/>
        </w:trPr>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Building and</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Subsequent to</w:t>
            </w: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Descriptions</w:t>
            </w:r>
          </w:p>
        </w:tc>
        <w:tc>
          <w:tcPr>
            <w:tcW w:w="1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Encumbrance</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Land</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Improvements</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Acquisition</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MAGRUDERS (Maryland)</w:t>
            </w:r>
          </w:p>
        </w:tc>
        <w:tc>
          <w:tcPr>
            <w:tcW w:w="1880" w:type="dxa"/>
            <w:vAlign w:val="bottom"/>
          </w:tcPr>
          <w:p>
            <w:pPr>
              <w:spacing w:after="0"/>
              <w:rPr>
                <w:sz w:val="24"/>
                <w:szCs w:val="2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4,554,000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4,859,000</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588,000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 RETAIL BLDG (1)</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1,873,000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1,884,000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223,000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MID PIKE PLAZA (Maryland)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10,243,000</w:t>
            </w:r>
          </w:p>
        </w:tc>
        <w:tc>
          <w:tcPr>
            <w:tcW w:w="15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10,335,000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6,294,000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 RETAIL BUILDING (1)</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737,000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1,466,000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1,060,000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RETAIL BUILDINGS (3)</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5,891,000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6,051,000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12,024,000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(Pennsylvania)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1,152,000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10,596,000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9,434,000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LAKE COMMONS (Illinois)</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2,782,000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8,604,000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1,556,000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OLD KEENE MILL (Virginia)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638,000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998,000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3,406,000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OLD TOWN CENTER (California)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3,420,000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2,765,000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26,660,000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PAN AM SHOPPING CENTER (Virginia)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8,694,000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12,929,000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2,777,000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PERRING PLAZA (Maryland)</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2,800,000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6,461,000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14,655,000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PIKE 7 (Virginia)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9,709,000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22,799,000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775,000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 ANNE PLAZA (Massachusetts)</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3,319,000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8,457,000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2,879,000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QUINCE ORCHARD PLAZA (Maryland)</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3,197,000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7,949,000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7,248,000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APTS. (Maryland)</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552,000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2,246,000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3,880,000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RUTGERS (New Jersey)</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12,968,000</w:t>
            </w:r>
          </w:p>
        </w:tc>
        <w:tc>
          <w:tcPr>
            <w:tcW w:w="15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14,429,000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1,414,000</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SAM'S PARK &amp; SHOP (District of Columbia)</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4,840,000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6,319,000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573,000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SAUGUS (Massachusetts)</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4,383,000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8,291,000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394,000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SHIRLINGTON (Virginia)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9,761,000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14,808,000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6,772,000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RETAIL BUILDINGS (9)</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304,000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14,680,000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1,976,000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28,698,000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TOWER (Virginia)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7,170,000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10,518,000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TROY (New Jersey)</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3,126,000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5,193,000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12,040,000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TYSONS STATION (Virginia)</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6,967,000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388,000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453,000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2,416,000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UPTOWN (Oregon)</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10,257,000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5,846,000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357,000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WILDWOOD (Maryland)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27,600,000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9,111,000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1,061,000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5,499,000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GROVE (Pennsylvania)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1,499,000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6,643,000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17,575,000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LAWN (Virginia)</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3,192,000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7,723,000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50,620,000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WYNNEWOOD (Pennsylvania)</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32,000,000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8,055,000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13,759,000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13,086,000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PROJECTS:</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PENTAGON ROW (Virginia)</w:t>
            </w: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2,955,000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73,754,000</w:t>
            </w: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TANASBOURNE (Oregon)</w:t>
            </w:r>
          </w:p>
        </w:tc>
        <w:tc>
          <w:tcPr>
            <w:tcW w:w="18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8,200,000</w:t>
            </w:r>
          </w:p>
        </w:tc>
        <w:tc>
          <w:tcPr>
            <w:tcW w:w="158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7,705,000</w:t>
            </w: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SANTANA ROW (California)</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62,004,000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41,969,000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1,161,000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186,242,000</w:t>
            </w:r>
          </w:p>
        </w:tc>
      </w:tr>
      <w:tr>
        <w:trPr>
          <w:trHeight w:val="168"/>
        </w:trPr>
        <w:tc>
          <w:tcPr>
            <w:tcW w:w="320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$450,336,000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$441,578,000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$735,865,000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$926,861,000</w:t>
            </w:r>
          </w:p>
        </w:tc>
      </w:tr>
      <w:tr>
        <w:trPr>
          <w:trHeight w:val="168"/>
        </w:trPr>
        <w:tc>
          <w:tcPr>
            <w:tcW w:w="320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200" w:type="dxa"/>
            <w:vAlign w:val="bottom"/>
          </w:tcPr>
          <w:p>
            <w:pPr>
              <w:ind w:left="440"/>
              <w:spacing w:after="0"/>
              <w:rPr>
                <w:sz w:val="20"/>
                <w:szCs w:val="20"/>
                <w:color w:val="auto"/>
              </w:rPr>
            </w:pPr>
            <w:r>
              <w:rPr>
                <w:rFonts w:ascii="Courier New" w:cs="Courier New" w:eastAsia="Courier New" w:hAnsi="Courier New"/>
                <w:sz w:val="15"/>
                <w:szCs w:val="15"/>
                <w:color w:val="auto"/>
              </w:rPr>
              <w:t>COLUMN A</w:t>
            </w:r>
          </w:p>
        </w:tc>
        <w:tc>
          <w:tcPr>
            <w:tcW w:w="34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COLUMN E</w:t>
            </w: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ind w:left="180" w:hanging="170"/>
        <w:spacing w:after="0"/>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   --------------  -------------</w:t>
      </w:r>
    </w:p>
    <w:p>
      <w:pPr>
        <w:ind w:left="34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Gross amount at which carried at close of period</w:t>
      </w:r>
    </w:p>
    <w:tbl>
      <w:tblPr>
        <w:tblLayout w:type="fixed"/>
        <w:tblInd w:w="0" w:type="dxa"/>
        <w:tblCellMar>
          <w:top w:w="0" w:type="dxa"/>
          <w:left w:w="0" w:type="dxa"/>
          <w:bottom w:w="0" w:type="dxa"/>
          <w:right w:w="0" w:type="dxa"/>
        </w:tblCellMar>
      </w:tblPr>
      <w:tr>
        <w:trPr>
          <w:trHeight w:val="169"/>
        </w:trPr>
        <w:tc>
          <w:tcPr>
            <w:tcW w:w="3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Building and</w:t>
            </w:r>
          </w:p>
        </w:tc>
        <w:tc>
          <w:tcPr>
            <w:tcW w:w="1500" w:type="dxa"/>
            <w:vAlign w:val="bottom"/>
          </w:tcPr>
          <w:p>
            <w:pPr>
              <w:spacing w:after="0"/>
              <w:rPr>
                <w:sz w:val="14"/>
                <w:szCs w:val="1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Descriptions</w:t>
            </w:r>
          </w:p>
        </w:tc>
        <w:tc>
          <w:tcPr>
            <w:tcW w:w="560" w:type="dxa"/>
            <w:vAlign w:val="bottom"/>
          </w:tcPr>
          <w:p>
            <w:pPr>
              <w:spacing w:after="0"/>
              <w:rPr>
                <w:sz w:val="14"/>
                <w:szCs w:val="14"/>
                <w:color w:val="auto"/>
              </w:rPr>
            </w:pPr>
          </w:p>
        </w:tc>
        <w:tc>
          <w:tcPr>
            <w:tcW w:w="1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Land</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Improvements</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MAGRUDERS (Maryland)</w:t>
            </w:r>
          </w:p>
        </w:tc>
        <w:tc>
          <w:tcPr>
            <w:tcW w:w="56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4,554,000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5,447,000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 RETAIL BLDG (1)</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1,873,000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2,107,000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MID PIKE PLAZA (Maryland)</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16,629,000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16,629,000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 RETAIL BUILDING (1)</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3,263,000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RETAIL BUILDINGS (3)</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6,140,000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17,826,000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23,966,000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(Pennsylvania)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20,029,000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21,182,000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LAKE COMMONS (Illinois)</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2,782,000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10,160,000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12,942,000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OLD KEENE MILL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638,000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4,404,000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5,042,000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OLD TOWN CENTER (California)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3,420,000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29,425,000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32,845,000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PAN AM SHOPPING CENTER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8,694,000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15,706,000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24,400,000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PERRING PLAZA (Maryland)</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2,800,000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21,116,000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23,916,000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PIKE 7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9,709,000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23,574,000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33,283,000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 ANNE PLAZA (Massachusetts)</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3,319,000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14,655,000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QUINCE ORCHARD PLAZA (Maryland)</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2,928,000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15,466,000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18,394,000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APTS. (Maryland)</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6,678,000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RUTGERS (New Jersey)</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15,843,000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15,843,000</w:t>
            </w: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SAM'S PARK &amp; SHOP (District of Columbia)</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4,840,000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6,892,000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11,732,000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SAUGUS (Massachusetts)</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4,383,000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8,685,000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13,068,000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SHIRLINGTON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9,816,000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21,525,000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31,341,000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RETAIL BUILDINGS (9)</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14,680,000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30,674,000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45,354,000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TOWER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7,129,000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10,739,000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17,868,000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TROY (New Jersey)</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3,126,000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17,233,000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20,359,000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TYSONS STATION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2,782,000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3,257,000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UPTOWN (Oregon)</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10,257,000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6,203,000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16,460,000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WILDWOOD (Maryland)</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9,111,000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6,560,000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15,671,000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GROVE (Pennsylvania)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1,499,000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24,218,000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25,717,000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LAWN (Virginia)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7,790,000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53,745,000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61,535,000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WYNNEWOOD (Pennsylvania)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8,055,000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26,845,000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34,900,000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PROJECTS:</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PENTAGON ROW (Virginia)</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76,709,000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76,709,000</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TANASBOURNE (Oregon)</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15,905,000</w:t>
            </w:r>
          </w:p>
        </w:tc>
        <w:tc>
          <w:tcPr>
            <w:tcW w:w="1300" w:type="dxa"/>
            <w:vAlign w:val="bottom"/>
          </w:tcPr>
          <w:p>
            <w:pPr>
              <w:spacing w:after="0"/>
              <w:rPr>
                <w:sz w:val="14"/>
                <w:szCs w:val="14"/>
                <w:color w:val="auto"/>
              </w:rPr>
            </w:pP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15,905,000</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SANTANA ROW (California)</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41,969,000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187,403,000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229,372,000</w:t>
            </w:r>
          </w:p>
        </w:tc>
      </w:tr>
      <w:tr>
        <w:trPr>
          <w:trHeight w:val="168"/>
        </w:trPr>
        <w:tc>
          <w:tcPr>
            <w:tcW w:w="3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TOTALS</w:t>
            </w: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$456,138,000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$1,648,166,000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$2,104,304,000</w:t>
            </w:r>
          </w:p>
        </w:tc>
      </w:tr>
      <w:tr>
        <w:trPr>
          <w:trHeight w:val="168"/>
        </w:trPr>
        <w:tc>
          <w:tcPr>
            <w:tcW w:w="3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953" w:right="1440" w:bottom="0" w:gutter="0" w:footer="0" w:header="0"/>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COLUMN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COLUMN 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firstLine="87"/>
        <w:spacing w:after="0" w:line="234" w:lineRule="auto"/>
        <w:rPr>
          <w:sz w:val="20"/>
          <w:szCs w:val="20"/>
          <w:color w:val="auto"/>
        </w:rPr>
      </w:pPr>
      <w:r>
        <w:rPr>
          <w:rFonts w:ascii="Courier New" w:cs="Courier New" w:eastAsia="Courier New" w:hAnsi="Courier New"/>
          <w:sz w:val="15"/>
          <w:szCs w:val="15"/>
          <w:color w:val="auto"/>
        </w:rPr>
        <w:t>COLUMN G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COLUMN H</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COLUMN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on which</w:t>
      </w:r>
    </w:p>
    <w:p>
      <w:pPr>
        <w:sectPr>
          <w:pgSz w:w="11900" w:h="16838" w:orient="portrait"/>
          <w:cols w:equalWidth="0" w:num="5">
            <w:col w:w="2900" w:space="520"/>
            <w:col w:w="1580" w:space="180"/>
            <w:col w:w="1120" w:space="100"/>
            <w:col w:w="960" w:space="180"/>
            <w:col w:w="2699"/>
          </w:cols>
          <w:pgMar w:left="220" w:top="953" w:right="144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ind w:left="340"/>
              <w:spacing w:after="0"/>
              <w:rPr>
                <w:sz w:val="20"/>
                <w:szCs w:val="20"/>
                <w:color w:val="auto"/>
              </w:rPr>
            </w:pPr>
            <w:r>
              <w:rPr>
                <w:rFonts w:ascii="Courier New" w:cs="Courier New" w:eastAsia="Courier New" w:hAnsi="Courier New"/>
                <w:sz w:val="15"/>
                <w:szCs w:val="15"/>
                <w:color w:val="auto"/>
              </w:rPr>
              <w:t>Date</w:t>
            </w:r>
          </w:p>
        </w:tc>
        <w:tc>
          <w:tcPr>
            <w:tcW w:w="3060" w:type="dxa"/>
            <w:vAlign w:val="bottom"/>
            <w:gridSpan w:val="3"/>
          </w:tcPr>
          <w:p>
            <w:pPr>
              <w:ind w:left="960"/>
              <w:spacing w:after="0"/>
              <w:rPr>
                <w:sz w:val="20"/>
                <w:szCs w:val="20"/>
                <w:color w:val="auto"/>
              </w:rPr>
            </w:pPr>
            <w:r>
              <w:rPr>
                <w:rFonts w:ascii="Courier New" w:cs="Courier New" w:eastAsia="Courier New" w:hAnsi="Courier New"/>
                <w:sz w:val="15"/>
                <w:szCs w:val="15"/>
                <w:color w:val="auto"/>
              </w:rPr>
              <w:t>depreciation in latest</w:t>
            </w:r>
          </w:p>
        </w:tc>
      </w:tr>
      <w:tr>
        <w:trPr>
          <w:trHeight w:val="168"/>
        </w:trPr>
        <w:tc>
          <w:tcPr>
            <w:tcW w:w="3080" w:type="dxa"/>
            <w:vAlign w:val="bottom"/>
          </w:tcPr>
          <w:p>
            <w:pPr>
              <w:spacing w:after="0"/>
              <w:rPr>
                <w:sz w:val="14"/>
                <w:szCs w:val="14"/>
                <w:color w:val="auto"/>
              </w:rPr>
            </w:pP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Depreciation and</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2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statements</w:t>
            </w: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Descriptions</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Acquired</w:t>
            </w: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 computed</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MAGRUDERS (Maryland)</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660,000</w:t>
            </w:r>
          </w:p>
        </w:tc>
        <w:tc>
          <w:tcPr>
            <w:tcW w:w="13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1955</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12/17/97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 RETAIL BLDG (1)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457,000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1930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09/07/95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MID PIKE PLAZA (Maryland)</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8,748,000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1963</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05/18/82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 RETAIL BUILDING (1)</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555,000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1940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08/16/95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RETAIL BUILDINGS (3)</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1,288,000</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1937 - 1987</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12/16/97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(Pennsylvania)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9,960,000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1959</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08/30/83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LAKE COMMONS (Illinois)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2,268,000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1989</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04/27/94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OLD KEENE MILL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3,110,000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06/15/76</w:t>
            </w: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33 1/3 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OLD TOWN CENTER (California)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2,755,000</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1997 - 1998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10/22/97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PAN AM SHOPPING CENTER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5,373,000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1979</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02/05/93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PERRING PLAZA (Maryland)</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10,156,000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1963</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10/01/85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PIKE 7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3,409,000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03/31/97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 ANNE PLAZA (Massachusetts)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3,117,000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1967</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12/23/94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QUINCE ORCHARD PLAZA (Maryland)</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5,293,000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1975</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04/22/93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ROLLINGWOOD APTS. (Maryland)</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5,889,000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01/15/71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RUTGERS (New Jersey)</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5,908,000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1973</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12/12/88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SAM'S PARK &amp; SHOP (District of Columbia)  1,390,000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1930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12/01/95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SAUGUS (Massachusetts)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1,380,000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1976</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10/01/96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SHIRLINGTON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3,363,000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1940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12/21/95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RETAIL BUILDINGS (9)</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380,000</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1998-1999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TOWER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1,068,000</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1953 - 1960</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08/24/98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TROY (New Jersey)</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10,675,000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1966</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07/23/80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TYSONS STATION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2,282,000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1954</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01/17/78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UPTOWN (Oregon)</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842,000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1913- 1959</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09/26/97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WILDWOOD (Maryland)</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5,859,000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1958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05/05/69</w:t>
            </w: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33 1/3 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GROVE (Pennsylvania)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11,137,000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1953</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11/20/84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WILLOW LAWN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24,354,000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1957</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12/05/83</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WYNNEWOOD (Pennsylvania)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3,978,000</w:t>
            </w:r>
          </w:p>
        </w:tc>
        <w:tc>
          <w:tcPr>
            <w:tcW w:w="13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1948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10/29/96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PROJECTS:</w:t>
            </w: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PENTAGON ROW (Virginia)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742,000</w:t>
            </w:r>
          </w:p>
        </w:tc>
        <w:tc>
          <w:tcPr>
            <w:tcW w:w="130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TANASBOURNE (Oregon)</w:t>
            </w: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SANTANA ROW (California)</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1,028,000</w:t>
            </w:r>
          </w:p>
        </w:tc>
        <w:tc>
          <w:tcPr>
            <w:tcW w:w="130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03/05/97</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TOTALS</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$395,767,000</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5"/>
        </w:trPr>
        <w:tc>
          <w:tcPr>
            <w:tcW w:w="3080" w:type="dxa"/>
            <w:vAlign w:val="bottom"/>
          </w:tcPr>
          <w:p>
            <w:pPr>
              <w:spacing w:after="0"/>
              <w:rPr>
                <w:sz w:val="24"/>
                <w:szCs w:val="24"/>
                <w:color w:val="auto"/>
              </w:rPr>
            </w:pPr>
          </w:p>
        </w:tc>
        <w:tc>
          <w:tcPr>
            <w:tcW w:w="192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F30</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98" w:name="page99"/>
    <w:bookmarkEnd w:id="98"/>
    <w:p>
      <w:pPr>
        <w:ind w:left="2280"/>
        <w:spacing w:after="0"/>
        <w:rPr>
          <w:sz w:val="20"/>
          <w:szCs w:val="20"/>
          <w:color w:val="auto"/>
        </w:rPr>
      </w:pPr>
      <w:r>
        <w:rPr>
          <w:rFonts w:ascii="Courier New" w:cs="Courier New" w:eastAsia="Courier New" w:hAnsi="Courier New"/>
          <w:sz w:val="15"/>
          <w:szCs w:val="15"/>
          <w:color w:val="auto"/>
        </w:rPr>
        <w:t>FEDERAL REALTY INVESTMENT TRUST</w:t>
      </w:r>
    </w:p>
    <w:tbl>
      <w:tblPr>
        <w:tblLayout w:type="fixed"/>
        <w:tblInd w:w="0" w:type="dxa"/>
        <w:tblCellMar>
          <w:top w:w="0" w:type="dxa"/>
          <w:left w:w="0" w:type="dxa"/>
          <w:bottom w:w="0" w:type="dxa"/>
          <w:right w:w="0" w:type="dxa"/>
        </w:tblCellMar>
      </w:tblPr>
      <w:tr>
        <w:trPr>
          <w:trHeight w:val="168"/>
        </w:trPr>
        <w:tc>
          <w:tcPr>
            <w:tcW w:w="5440" w:type="dxa"/>
            <w:vAlign w:val="bottom"/>
          </w:tcPr>
          <w:p>
            <w:pPr>
              <w:ind w:left="3160"/>
              <w:spacing w:after="0" w:line="168" w:lineRule="exact"/>
              <w:rPr>
                <w:sz w:val="20"/>
                <w:szCs w:val="20"/>
                <w:color w:val="auto"/>
              </w:rPr>
            </w:pPr>
            <w:r>
              <w:rPr>
                <w:rFonts w:ascii="Courier New" w:cs="Courier New" w:eastAsia="Courier New" w:hAnsi="Courier New"/>
                <w:sz w:val="15"/>
                <w:szCs w:val="15"/>
                <w:color w:val="auto"/>
              </w:rPr>
              <w:t>SCHEDULE III</w:t>
            </w:r>
          </w:p>
        </w:tc>
        <w:tc>
          <w:tcPr>
            <w:tcW w:w="1400" w:type="dxa"/>
            <w:vAlign w:val="bottom"/>
          </w:tcPr>
          <w:p>
            <w:pPr>
              <w:spacing w:after="0"/>
              <w:rPr>
                <w:sz w:val="14"/>
                <w:szCs w:val="14"/>
                <w:color w:val="auto"/>
              </w:rPr>
            </w:pPr>
          </w:p>
        </w:tc>
      </w:tr>
      <w:tr>
        <w:trPr>
          <w:trHeight w:val="168"/>
        </w:trPr>
        <w:tc>
          <w:tcPr>
            <w:tcW w:w="54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SUMMARY OF REAL ESTATE AND ACCUMULATED</w:t>
            </w:r>
          </w:p>
        </w:tc>
        <w:tc>
          <w:tcPr>
            <w:tcW w:w="1400" w:type="dxa"/>
            <w:vAlign w:val="bottom"/>
          </w:tcPr>
          <w:p>
            <w:pPr>
              <w:spacing w:after="0"/>
              <w:rPr>
                <w:sz w:val="14"/>
                <w:szCs w:val="14"/>
                <w:color w:val="auto"/>
              </w:rPr>
            </w:pPr>
          </w:p>
        </w:tc>
      </w:tr>
      <w:tr>
        <w:trPr>
          <w:trHeight w:val="168"/>
        </w:trPr>
        <w:tc>
          <w:tcPr>
            <w:tcW w:w="54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DEPRECIATION - CONTINUED</w:t>
            </w:r>
          </w:p>
        </w:tc>
        <w:tc>
          <w:tcPr>
            <w:tcW w:w="1400" w:type="dxa"/>
            <w:vAlign w:val="bottom"/>
          </w:tcPr>
          <w:p>
            <w:pPr>
              <w:spacing w:after="0"/>
              <w:rPr>
                <w:sz w:val="14"/>
                <w:szCs w:val="14"/>
                <w:color w:val="auto"/>
              </w:rPr>
            </w:pPr>
          </w:p>
        </w:tc>
      </w:tr>
      <w:tr>
        <w:trPr>
          <w:trHeight w:val="168"/>
        </w:trPr>
        <w:tc>
          <w:tcPr>
            <w:tcW w:w="544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w w:val="99"/>
              </w:rPr>
              <w:t>Three Years Ended December 31, 2001</w:t>
            </w:r>
          </w:p>
        </w:tc>
        <w:tc>
          <w:tcPr>
            <w:tcW w:w="1400" w:type="dxa"/>
            <w:vAlign w:val="bottom"/>
          </w:tcPr>
          <w:p>
            <w:pPr>
              <w:spacing w:after="0"/>
              <w:rPr>
                <w:sz w:val="14"/>
                <w:szCs w:val="14"/>
                <w:color w:val="auto"/>
              </w:rPr>
            </w:pPr>
          </w:p>
        </w:tc>
      </w:tr>
      <w:tr>
        <w:trPr>
          <w:trHeight w:val="336"/>
        </w:trPr>
        <w:tc>
          <w:tcPr>
            <w:tcW w:w="5440" w:type="dxa"/>
            <w:vAlign w:val="bottom"/>
          </w:tcPr>
          <w:p>
            <w:pPr>
              <w:ind w:left="2380"/>
              <w:spacing w:after="0"/>
              <w:rPr>
                <w:sz w:val="20"/>
                <w:szCs w:val="20"/>
                <w:color w:val="auto"/>
              </w:rPr>
            </w:pPr>
            <w:r>
              <w:rPr>
                <w:rFonts w:ascii="Courier New" w:cs="Courier New" w:eastAsia="Courier New" w:hAnsi="Courier New"/>
                <w:sz w:val="15"/>
                <w:szCs w:val="15"/>
                <w:color w:val="auto"/>
              </w:rPr>
              <w:t>Reconciliation of Total Cost</w:t>
            </w:r>
          </w:p>
        </w:tc>
        <w:tc>
          <w:tcPr>
            <w:tcW w:w="1400" w:type="dxa"/>
            <w:vAlign w:val="bottom"/>
          </w:tcPr>
          <w:p>
            <w:pPr>
              <w:spacing w:after="0"/>
              <w:rPr>
                <w:sz w:val="24"/>
                <w:szCs w:val="2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January 1, 1999</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$1,642,136,000</w:t>
            </w:r>
          </w:p>
        </w:tc>
      </w:tr>
      <w:tr>
        <w:trPr>
          <w:trHeight w:val="336"/>
        </w:trPr>
        <w:tc>
          <w:tcPr>
            <w:tcW w:w="544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1400" w:type="dxa"/>
            <w:vAlign w:val="bottom"/>
          </w:tcPr>
          <w:p>
            <w:pPr>
              <w:spacing w:after="0"/>
              <w:rPr>
                <w:sz w:val="24"/>
                <w:szCs w:val="2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26,355,000</w:t>
            </w: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Improvements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95,148,000</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 during period - disposition</w:t>
            </w:r>
          </w:p>
        </w:tc>
        <w:tc>
          <w:tcPr>
            <w:tcW w:w="140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property and miscellaneous retirements and impairments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(42,180,000)</w:t>
            </w:r>
          </w:p>
        </w:tc>
      </w:tr>
      <w:tr>
        <w:trPr>
          <w:trHeight w:val="168"/>
        </w:trPr>
        <w:tc>
          <w:tcPr>
            <w:tcW w:w="544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1,721,459,000</w:t>
            </w:r>
          </w:p>
        </w:tc>
      </w:tr>
      <w:tr>
        <w:trPr>
          <w:trHeight w:val="336"/>
        </w:trPr>
        <w:tc>
          <w:tcPr>
            <w:tcW w:w="544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1400" w:type="dxa"/>
            <w:vAlign w:val="bottom"/>
          </w:tcPr>
          <w:p>
            <w:pPr>
              <w:spacing w:after="0"/>
              <w:rPr>
                <w:sz w:val="24"/>
                <w:szCs w:val="2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26,794,000</w:t>
            </w: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Improvements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156,021,000</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 during period - disposition</w:t>
            </w:r>
          </w:p>
        </w:tc>
        <w:tc>
          <w:tcPr>
            <w:tcW w:w="140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property and miscellaneous retirements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(49,361,000)</w:t>
            </w:r>
          </w:p>
        </w:tc>
      </w:tr>
      <w:tr>
        <w:trPr>
          <w:trHeight w:val="168"/>
        </w:trPr>
        <w:tc>
          <w:tcPr>
            <w:tcW w:w="544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1,854,913,000</w:t>
            </w:r>
          </w:p>
        </w:tc>
      </w:tr>
      <w:tr>
        <w:trPr>
          <w:trHeight w:val="336"/>
        </w:trPr>
        <w:tc>
          <w:tcPr>
            <w:tcW w:w="544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1400" w:type="dxa"/>
            <w:vAlign w:val="bottom"/>
          </w:tcPr>
          <w:p>
            <w:pPr>
              <w:spacing w:after="0"/>
              <w:rPr>
                <w:sz w:val="24"/>
                <w:szCs w:val="24"/>
                <w:color w:val="auto"/>
              </w:rPr>
            </w:pP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Acquisitions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52,820,000</w:t>
            </w:r>
          </w:p>
        </w:tc>
      </w:tr>
      <w:tr>
        <w:trPr>
          <w:trHeight w:val="168"/>
        </w:trPr>
        <w:tc>
          <w:tcPr>
            <w:tcW w:w="54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Improvements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219,549,000</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 during period - disposition</w:t>
            </w:r>
          </w:p>
        </w:tc>
        <w:tc>
          <w:tcPr>
            <w:tcW w:w="140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property and miscellaneous retirements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(22,978,000)</w:t>
            </w:r>
          </w:p>
        </w:tc>
      </w:tr>
      <w:tr>
        <w:trPr>
          <w:trHeight w:val="168"/>
        </w:trPr>
        <w:tc>
          <w:tcPr>
            <w:tcW w:w="544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$2,104,304,000</w:t>
            </w:r>
          </w:p>
        </w:tc>
      </w:tr>
      <w:tr>
        <w:trPr>
          <w:trHeight w:val="168"/>
        </w:trPr>
        <w:tc>
          <w:tcPr>
            <w:tcW w:w="544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00" w:right="3679" w:hanging="528"/>
        <w:spacing w:after="0" w:line="234" w:lineRule="auto"/>
        <w:tabs>
          <w:tab w:leader="none" w:pos="71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tax purposes, the aggregate cost basis is approximately $1,898,190,000 as of December 31, 2001.</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617" w:right="1440" w:bottom="1440" w:gutter="0" w:footer="0" w:header="0"/>
        </w:sectPr>
      </w:pPr>
    </w:p>
    <w:bookmarkStart w:id="99" w:name="page100"/>
    <w:bookmarkEnd w:id="99"/>
    <w:p>
      <w:pPr>
        <w:ind w:left="2280"/>
        <w:spacing w:after="0"/>
        <w:rPr>
          <w:sz w:val="20"/>
          <w:szCs w:val="20"/>
          <w:color w:val="auto"/>
        </w:rPr>
      </w:pPr>
      <w:r>
        <w:rPr>
          <w:rFonts w:ascii="Courier New" w:cs="Courier New" w:eastAsia="Courier New" w:hAnsi="Courier New"/>
          <w:sz w:val="15"/>
          <w:szCs w:val="15"/>
          <w:color w:val="auto"/>
        </w:rPr>
        <w:t>FEDERAL REALTY INVESTMENT TRUST</w:t>
      </w:r>
    </w:p>
    <w:p>
      <w:pPr>
        <w:ind w:left="3160"/>
        <w:spacing w:after="0" w:line="237" w:lineRule="auto"/>
        <w:rPr>
          <w:sz w:val="20"/>
          <w:szCs w:val="20"/>
          <w:color w:val="auto"/>
        </w:rPr>
      </w:pPr>
      <w:r>
        <w:rPr>
          <w:rFonts w:ascii="Courier New" w:cs="Courier New" w:eastAsia="Courier New" w:hAnsi="Courier New"/>
          <w:sz w:val="15"/>
          <w:szCs w:val="15"/>
          <w:color w:val="auto"/>
        </w:rPr>
        <w:t>SCHEDULE III</w:t>
      </w:r>
    </w:p>
    <w:p>
      <w:pPr>
        <w:ind w:left="1840"/>
        <w:spacing w:after="0" w:line="238" w:lineRule="auto"/>
        <w:rPr>
          <w:sz w:val="20"/>
          <w:szCs w:val="20"/>
          <w:color w:val="auto"/>
        </w:rPr>
      </w:pPr>
      <w:r>
        <w:rPr>
          <w:rFonts w:ascii="Courier New" w:cs="Courier New" w:eastAsia="Courier New" w:hAnsi="Courier New"/>
          <w:sz w:val="15"/>
          <w:szCs w:val="15"/>
          <w:color w:val="auto"/>
        </w:rPr>
        <w:t>SUMMARY OF REAL ESTATE AND ACCUMULATED</w:t>
      </w:r>
    </w:p>
    <w:p>
      <w:pPr>
        <w:ind w:left="2280"/>
        <w:spacing w:after="0" w:line="237" w:lineRule="auto"/>
        <w:rPr>
          <w:sz w:val="20"/>
          <w:szCs w:val="20"/>
          <w:color w:val="auto"/>
        </w:rPr>
      </w:pPr>
      <w:r>
        <w:rPr>
          <w:rFonts w:ascii="Courier New" w:cs="Courier New" w:eastAsia="Courier New" w:hAnsi="Courier New"/>
          <w:sz w:val="15"/>
          <w:szCs w:val="15"/>
          <w:color w:val="auto"/>
        </w:rPr>
        <w:t>DEPRECIATION - CONTINUED</w:t>
      </w:r>
    </w:p>
    <w:p>
      <w:pPr>
        <w:ind w:left="2280"/>
        <w:spacing w:after="0" w:line="238" w:lineRule="auto"/>
        <w:rPr>
          <w:sz w:val="20"/>
          <w:szCs w:val="20"/>
          <w:color w:val="auto"/>
        </w:rPr>
      </w:pPr>
      <w:r>
        <w:rPr>
          <w:rFonts w:ascii="Courier New" w:cs="Courier New" w:eastAsia="Courier New" w:hAnsi="Courier New"/>
          <w:sz w:val="15"/>
          <w:szCs w:val="15"/>
          <w:color w:val="auto"/>
        </w:rPr>
        <w:t>Three Years Ended December 31, 2001</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Reconciliation of Accumulated Depreciation and Amortization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20"/>
                <w:szCs w:val="20"/>
                <w:color w:val="auto"/>
              </w:rPr>
            </w:pPr>
            <w:r>
              <w:rPr>
                <w:rFonts w:ascii="Courier New" w:cs="Courier New" w:eastAsia="Courier New" w:hAnsi="Courier New"/>
                <w:sz w:val="15"/>
                <w:szCs w:val="15"/>
                <w:color w:val="auto"/>
              </w:rPr>
              <w:t>Balance, January 1, 1999</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$286,053,000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440" w:type="dxa"/>
            <w:vAlign w:val="bottom"/>
          </w:tcPr>
          <w:p>
            <w:pPr>
              <w:spacing w:after="0"/>
              <w:rPr>
                <w:sz w:val="14"/>
                <w:szCs w:val="1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46,133,000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Deductions during period - disposition of</w:t>
            </w:r>
          </w:p>
        </w:tc>
        <w:tc>
          <w:tcPr>
            <w:tcW w:w="1440" w:type="dxa"/>
            <w:vAlign w:val="bottom"/>
          </w:tcPr>
          <w:p>
            <w:pPr>
              <w:spacing w:after="0"/>
              <w:rPr>
                <w:sz w:val="14"/>
                <w:szCs w:val="14"/>
                <w:color w:val="auto"/>
              </w:rPr>
            </w:pP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miscellaneous retirements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(14,265,000)</w:t>
            </w:r>
          </w:p>
        </w:tc>
      </w:tr>
      <w:tr>
        <w:trPr>
          <w:trHeight w:val="168"/>
        </w:trPr>
        <w:tc>
          <w:tcPr>
            <w:tcW w:w="5920" w:type="dxa"/>
            <w:vAlign w:val="bottom"/>
          </w:tcPr>
          <w:p>
            <w:pPr>
              <w:spacing w:after="0"/>
              <w:rPr>
                <w:sz w:val="14"/>
                <w:szCs w:val="14"/>
                <w:color w:val="auto"/>
              </w:rPr>
            </w:pP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317,921,000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Additions during period</w:t>
            </w:r>
          </w:p>
        </w:tc>
        <w:tc>
          <w:tcPr>
            <w:tcW w:w="1440" w:type="dxa"/>
            <w:vAlign w:val="bottom"/>
          </w:tcPr>
          <w:p>
            <w:pPr>
              <w:spacing w:after="0"/>
              <w:rPr>
                <w:sz w:val="14"/>
                <w:szCs w:val="1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49,176,000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Deductions during period - disposition of property,</w:t>
            </w:r>
          </w:p>
        </w:tc>
        <w:tc>
          <w:tcPr>
            <w:tcW w:w="1440" w:type="dxa"/>
            <w:vAlign w:val="bottom"/>
          </w:tcPr>
          <w:p>
            <w:pPr>
              <w:spacing w:after="0"/>
              <w:rPr>
                <w:sz w:val="14"/>
                <w:szCs w:val="14"/>
                <w:color w:val="auto"/>
              </w:rPr>
            </w:pP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miscellaneous retirements and acquisition of minority interest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(15,839,000)</w:t>
            </w:r>
          </w:p>
        </w:tc>
      </w:tr>
      <w:tr>
        <w:trPr>
          <w:trHeight w:val="168"/>
        </w:trPr>
        <w:tc>
          <w:tcPr>
            <w:tcW w:w="5920" w:type="dxa"/>
            <w:vAlign w:val="bottom"/>
          </w:tcPr>
          <w:p>
            <w:pPr>
              <w:spacing w:after="0"/>
              <w:rPr>
                <w:sz w:val="14"/>
                <w:szCs w:val="14"/>
                <w:color w:val="auto"/>
              </w:rPr>
            </w:pP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351,258,000</w:t>
            </w:r>
          </w:p>
        </w:tc>
      </w:tr>
      <w:tr>
        <w:trPr>
          <w:trHeight w:val="336"/>
        </w:trPr>
        <w:tc>
          <w:tcPr>
            <w:tcW w:w="592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1440" w:type="dxa"/>
            <w:vAlign w:val="bottom"/>
          </w:tcPr>
          <w:p>
            <w:pPr>
              <w:spacing w:after="0"/>
              <w:rPr>
                <w:sz w:val="24"/>
                <w:szCs w:val="2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expense</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55,048,000</w:t>
            </w: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Deductions during period - disposition of property,</w:t>
            </w:r>
          </w:p>
        </w:tc>
        <w:tc>
          <w:tcPr>
            <w:tcW w:w="1440" w:type="dxa"/>
            <w:vAlign w:val="bottom"/>
          </w:tcPr>
          <w:p>
            <w:pPr>
              <w:spacing w:after="0"/>
              <w:rPr>
                <w:sz w:val="14"/>
                <w:szCs w:val="14"/>
                <w:color w:val="auto"/>
              </w:rPr>
            </w:pPr>
          </w:p>
        </w:tc>
      </w:tr>
      <w:tr>
        <w:trPr>
          <w:trHeight w:val="168"/>
        </w:trPr>
        <w:tc>
          <w:tcPr>
            <w:tcW w:w="5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miscellaneous retirements and acquisition of minority interest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(10,539,000)</w:t>
            </w:r>
          </w:p>
        </w:tc>
      </w:tr>
      <w:tr>
        <w:trPr>
          <w:trHeight w:val="168"/>
        </w:trPr>
        <w:tc>
          <w:tcPr>
            <w:tcW w:w="5920" w:type="dxa"/>
            <w:vAlign w:val="bottom"/>
          </w:tcPr>
          <w:p>
            <w:pPr>
              <w:spacing w:after="0"/>
              <w:rPr>
                <w:sz w:val="14"/>
                <w:szCs w:val="14"/>
                <w:color w:val="auto"/>
              </w:rPr>
            </w:pP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$395,767,000</w:t>
            </w:r>
          </w:p>
        </w:tc>
      </w:tr>
      <w:tr>
        <w:trPr>
          <w:trHeight w:val="168"/>
        </w:trPr>
        <w:tc>
          <w:tcPr>
            <w:tcW w:w="5920" w:type="dxa"/>
            <w:vAlign w:val="bottom"/>
          </w:tcPr>
          <w:p>
            <w:pPr>
              <w:spacing w:after="0"/>
              <w:rPr>
                <w:sz w:val="14"/>
                <w:szCs w:val="14"/>
                <w:color w:val="auto"/>
              </w:rPr>
            </w:pP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20" w:type="dxa"/>
            <w:vAlign w:val="bottom"/>
          </w:tcPr>
          <w:p>
            <w:pPr>
              <w:ind w:left="3240"/>
              <w:spacing w:after="0"/>
              <w:rPr>
                <w:sz w:val="20"/>
                <w:szCs w:val="20"/>
                <w:color w:val="auto"/>
              </w:rPr>
            </w:pPr>
            <w:r>
              <w:rPr>
                <w:rFonts w:ascii="Courier New" w:cs="Courier New" w:eastAsia="Courier New" w:hAnsi="Courier New"/>
                <w:sz w:val="15"/>
                <w:szCs w:val="15"/>
                <w:color w:val="auto"/>
              </w:rPr>
              <w:t>F32</w:t>
            </w:r>
          </w:p>
        </w:tc>
        <w:tc>
          <w:tcPr>
            <w:tcW w:w="14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0" w:name="page101"/>
    <w:bookmarkEnd w:id="100"/>
    <w:p>
      <w:pPr>
        <w:jc w:val="center"/>
        <w:ind w:right="1220"/>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680"/>
        <w:spacing w:after="0" w:line="237" w:lineRule="auto"/>
        <w:rPr>
          <w:sz w:val="20"/>
          <w:szCs w:val="20"/>
          <w:color w:val="auto"/>
        </w:rPr>
      </w:pPr>
      <w:r>
        <w:rPr>
          <w:rFonts w:ascii="Courier New" w:cs="Courier New" w:eastAsia="Courier New" w:hAnsi="Courier New"/>
          <w:sz w:val="15"/>
          <w:szCs w:val="15"/>
          <w:color w:val="auto"/>
        </w:rPr>
        <w:t>SCHEDULE IV</w:t>
      </w:r>
    </w:p>
    <w:p>
      <w:pPr>
        <w:jc w:val="center"/>
        <w:ind w:right="680"/>
        <w:spacing w:after="0" w:line="238" w:lineRule="auto"/>
        <w:rPr>
          <w:sz w:val="20"/>
          <w:szCs w:val="20"/>
          <w:color w:val="auto"/>
        </w:rPr>
      </w:pPr>
      <w:r>
        <w:rPr>
          <w:rFonts w:ascii="Courier New" w:cs="Courier New" w:eastAsia="Courier New" w:hAnsi="Courier New"/>
          <w:sz w:val="15"/>
          <w:szCs w:val="15"/>
          <w:color w:val="auto"/>
        </w:rPr>
        <w:t>MORTGAGE LOANS ON REAL ESTATE</w:t>
      </w:r>
    </w:p>
    <w:tbl>
      <w:tblPr>
        <w:tblLayout w:type="fixed"/>
        <w:tblInd w:w="0" w:type="dxa"/>
        <w:tblCellMar>
          <w:top w:w="0" w:type="dxa"/>
          <w:left w:w="0" w:type="dxa"/>
          <w:bottom w:w="0" w:type="dxa"/>
          <w:right w:w="0" w:type="dxa"/>
        </w:tblCellMar>
      </w:tblPr>
      <w:tr>
        <w:trPr>
          <w:trHeight w:val="168"/>
        </w:trPr>
        <w:tc>
          <w:tcPr>
            <w:tcW w:w="2460" w:type="dxa"/>
            <w:vAlign w:val="bottom"/>
          </w:tcPr>
          <w:p>
            <w:pPr>
              <w:spacing w:after="0"/>
              <w:rPr>
                <w:sz w:val="14"/>
                <w:szCs w:val="14"/>
                <w:color w:val="auto"/>
              </w:rPr>
            </w:pPr>
          </w:p>
        </w:tc>
        <w:tc>
          <w:tcPr>
            <w:tcW w:w="4160" w:type="dxa"/>
            <w:vAlign w:val="bottom"/>
            <w:gridSpan w:val="4"/>
          </w:tcPr>
          <w:p>
            <w:pPr>
              <w:ind w:left="1480"/>
              <w:spacing w:after="0" w:line="168" w:lineRule="exact"/>
              <w:rPr>
                <w:sz w:val="20"/>
                <w:szCs w:val="20"/>
                <w:color w:val="auto"/>
              </w:rPr>
            </w:pPr>
            <w:r>
              <w:rPr>
                <w:rFonts w:ascii="Courier New" w:cs="Courier New" w:eastAsia="Courier New" w:hAnsi="Courier New"/>
                <w:sz w:val="15"/>
                <w:szCs w:val="15"/>
                <w:color w:val="auto"/>
              </w:rPr>
              <w:t>Year Ended December 31, 2001</w:t>
            </w: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Column A</w:t>
            </w:r>
          </w:p>
        </w:tc>
        <w:tc>
          <w:tcPr>
            <w:tcW w:w="2060" w:type="dxa"/>
            <w:vAlign w:val="bottom"/>
          </w:tcPr>
          <w:p>
            <w:pPr>
              <w:ind w:left="700"/>
              <w:spacing w:after="0"/>
              <w:rPr>
                <w:sz w:val="20"/>
                <w:szCs w:val="20"/>
                <w:color w:val="auto"/>
              </w:rPr>
            </w:pPr>
            <w:r>
              <w:rPr>
                <w:rFonts w:ascii="Courier New" w:cs="Courier New" w:eastAsia="Courier New" w:hAnsi="Courier New"/>
                <w:sz w:val="15"/>
                <w:szCs w:val="15"/>
                <w:color w:val="auto"/>
              </w:rPr>
              <w:t>Column B</w:t>
            </w:r>
          </w:p>
        </w:tc>
        <w:tc>
          <w:tcPr>
            <w:tcW w:w="160" w:type="dxa"/>
            <w:vAlign w:val="bottom"/>
          </w:tcPr>
          <w:p>
            <w:pPr>
              <w:spacing w:after="0"/>
              <w:rPr>
                <w:sz w:val="24"/>
                <w:szCs w:val="24"/>
                <w:color w:val="auto"/>
              </w:rPr>
            </w:pPr>
          </w:p>
        </w:tc>
        <w:tc>
          <w:tcPr>
            <w:tcW w:w="19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Column C</w:t>
            </w:r>
          </w:p>
        </w:tc>
        <w:tc>
          <w:tcPr>
            <w:tcW w:w="26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Column D</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Column 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2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Periodic Payment</w:t>
            </w: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Lien</w:t>
            </w:r>
          </w:p>
        </w:tc>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w:t>
            </w:r>
          </w:p>
        </w:tc>
        <w:tc>
          <w:tcPr>
            <w:tcW w:w="160" w:type="dxa"/>
            <w:vAlign w:val="bottom"/>
          </w:tcPr>
          <w:p>
            <w:pPr>
              <w:spacing w:after="0"/>
              <w:rPr>
                <w:sz w:val="14"/>
                <w:szCs w:val="14"/>
                <w:color w:val="auto"/>
              </w:rPr>
            </w:pPr>
          </w:p>
        </w:tc>
        <w:tc>
          <w:tcPr>
            <w:tcW w:w="19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Maturity Date</w:t>
            </w:r>
          </w:p>
        </w:tc>
        <w:tc>
          <w:tcPr>
            <w:tcW w:w="26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Terms</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Prior Liens</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w:t>
            </w:r>
          </w:p>
        </w:tc>
        <w:tc>
          <w:tcPr>
            <w:tcW w:w="194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2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460" w:type="dxa"/>
            <w:vAlign w:val="bottom"/>
          </w:tcPr>
          <w:p>
            <w:pPr>
              <w:spacing w:after="0"/>
              <w:rPr>
                <w:sz w:val="20"/>
                <w:szCs w:val="20"/>
                <w:color w:val="auto"/>
              </w:rPr>
            </w:pPr>
            <w:r>
              <w:rPr>
                <w:rFonts w:ascii="Courier New" w:cs="Courier New" w:eastAsia="Courier New" w:hAnsi="Courier New"/>
                <w:sz w:val="15"/>
                <w:szCs w:val="15"/>
                <w:color w:val="auto"/>
              </w:rPr>
              <w:t>Leasehold mortgage</w:t>
            </w: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c>
          <w:tcPr>
            <w:tcW w:w="16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2003</w:t>
            </w: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Interest only</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on shopping</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monthly; $10,000,000</w:t>
            </w: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 in New Jersey</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balloon paYment due</w:t>
            </w: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at maturity</w:t>
            </w: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Mortgages on retail</w:t>
            </w: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w w:val="96"/>
              </w:rPr>
              <w:t>January 2002</w:t>
            </w:r>
          </w:p>
        </w:tc>
        <w:tc>
          <w:tcPr>
            <w:tcW w:w="66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Interest only monthly;</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in</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balloon payment due</w:t>
            </w: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Pennsylvania</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at maturity</w:t>
            </w: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 on retail</w:t>
            </w: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Greater of prime plus</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May 2021</w:t>
            </w:r>
          </w:p>
        </w:tc>
        <w:tc>
          <w:tcPr>
            <w:tcW w:w="66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Interest only</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in Philadelphia</w:t>
            </w:r>
          </w:p>
        </w:tc>
        <w:tc>
          <w:tcPr>
            <w:tcW w:w="2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 or 10%</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monthly; balloon payment</w:t>
            </w: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due at maturity</w:t>
            </w: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 on retail</w:t>
            </w: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w w:val="98"/>
              </w:rPr>
              <w:t>10% plus participation</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May 2021</w:t>
            </w:r>
          </w:p>
        </w:tc>
        <w:tc>
          <w:tcPr>
            <w:tcW w:w="66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Interest only; balloon</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in Philadelphia</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payment due at maturity</w:t>
            </w: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 on land in</w:t>
            </w: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w w:val="98"/>
              </w:rPr>
              <w:t>10% plus participation</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July 2002</w:t>
            </w:r>
          </w:p>
        </w:tc>
        <w:tc>
          <w:tcPr>
            <w:tcW w:w="66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Courier New" w:cs="Courier New" w:eastAsia="Courier New" w:hAnsi="Courier New"/>
                <w:sz w:val="15"/>
                <w:szCs w:val="15"/>
                <w:color w:val="auto"/>
              </w:rPr>
              <w:t>None. Balloon and</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Santa Monica, California</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accrued interest due at</w:t>
            </w: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maturity</w:t>
            </w: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460" w:type="dxa"/>
            <w:vAlign w:val="bottom"/>
          </w:tcPr>
          <w:p>
            <w:pPr>
              <w:ind w:left="800"/>
              <w:spacing w:after="0"/>
              <w:rPr>
                <w:sz w:val="20"/>
                <w:szCs w:val="20"/>
                <w:color w:val="auto"/>
              </w:rPr>
            </w:pPr>
            <w:r>
              <w:rPr>
                <w:rFonts w:ascii="Courier New" w:cs="Courier New" w:eastAsia="Courier New" w:hAnsi="Courier New"/>
                <w:sz w:val="15"/>
                <w:szCs w:val="15"/>
                <w:color w:val="auto"/>
              </w:rPr>
              <w:t>Column A</w:t>
            </w:r>
          </w:p>
        </w:tc>
        <w:tc>
          <w:tcPr>
            <w:tcW w:w="2060" w:type="dxa"/>
            <w:vAlign w:val="bottom"/>
          </w:tcPr>
          <w:p>
            <w:pPr>
              <w:ind w:left="340"/>
              <w:spacing w:after="0"/>
              <w:rPr>
                <w:sz w:val="20"/>
                <w:szCs w:val="20"/>
                <w:color w:val="auto"/>
              </w:rPr>
            </w:pPr>
            <w:r>
              <w:rPr>
                <w:rFonts w:ascii="Courier New" w:cs="Courier New" w:eastAsia="Courier New" w:hAnsi="Courier New"/>
                <w:sz w:val="15"/>
                <w:szCs w:val="15"/>
                <w:color w:val="auto"/>
              </w:rPr>
              <w:t>Column F</w:t>
            </w:r>
          </w:p>
        </w:tc>
        <w:tc>
          <w:tcPr>
            <w:tcW w:w="160" w:type="dxa"/>
            <w:vAlign w:val="bottom"/>
          </w:tcPr>
          <w:p>
            <w:pPr>
              <w:spacing w:after="0"/>
              <w:rPr>
                <w:sz w:val="24"/>
                <w:szCs w:val="2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Column G</w:t>
            </w: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Carrying</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Face Amount</w:t>
            </w:r>
          </w:p>
        </w:tc>
        <w:tc>
          <w:tcPr>
            <w:tcW w:w="160" w:type="dxa"/>
            <w:vAlign w:val="bottom"/>
          </w:tcPr>
          <w:p>
            <w:pPr>
              <w:spacing w:after="0"/>
              <w:rPr>
                <w:sz w:val="14"/>
                <w:szCs w:val="14"/>
                <w:color w:val="auto"/>
              </w:rPr>
            </w:pP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Amount of</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Lien</w:t>
            </w:r>
          </w:p>
        </w:tc>
        <w:tc>
          <w:tcPr>
            <w:tcW w:w="2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Mortgages</w:t>
            </w:r>
          </w:p>
        </w:tc>
        <w:tc>
          <w:tcPr>
            <w:tcW w:w="1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Mortgages (1)</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9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Leasehold mortgage</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$10,000,000</w:t>
            </w:r>
          </w:p>
        </w:tc>
        <w:tc>
          <w:tcPr>
            <w:tcW w:w="16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$10,000,000</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w:t>
            </w: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on shopping</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 in New Jersey</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Mortgages on retail</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1,152,000</w:t>
            </w:r>
          </w:p>
        </w:tc>
        <w:tc>
          <w:tcPr>
            <w:tcW w:w="16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1,152,000</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w:t>
            </w: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in</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Pennsylvania</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 on retail</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25,000,000</w:t>
            </w:r>
          </w:p>
        </w:tc>
        <w:tc>
          <w:tcPr>
            <w:tcW w:w="16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11,964,000</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(4)</w:t>
            </w: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in Philadelphia</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 on retail</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9,250,000</w:t>
            </w:r>
          </w:p>
        </w:tc>
        <w:tc>
          <w:tcPr>
            <w:tcW w:w="16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9,250,000</w:t>
            </w: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in Philadelphia</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Mortgage on land in</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2,569,000</w:t>
            </w:r>
          </w:p>
        </w:tc>
        <w:tc>
          <w:tcPr>
            <w:tcW w:w="16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3,241,000</w:t>
            </w: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Santa Monica, California</w:t>
            </w: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plus accrued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cost</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2460" w:type="dxa"/>
            <w:vAlign w:val="bottom"/>
          </w:tcPr>
          <w:p>
            <w:pPr>
              <w:spacing w:after="0"/>
              <w:rPr>
                <w:sz w:val="24"/>
                <w:szCs w:val="24"/>
                <w:color w:val="auto"/>
              </w:rPr>
            </w:pP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$47,971,000</w:t>
            </w:r>
          </w:p>
        </w:tc>
        <w:tc>
          <w:tcPr>
            <w:tcW w:w="16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$35,607,000</w:t>
            </w:r>
          </w:p>
        </w:tc>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246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335" w:lineRule="exact"/>
        <w:rPr>
          <w:sz w:val="20"/>
          <w:szCs w:val="20"/>
          <w:color w:val="auto"/>
        </w:rPr>
      </w:pPr>
    </w:p>
    <w:p>
      <w:pPr>
        <w:ind w:left="280" w:hanging="270"/>
        <w:spacing w:after="0"/>
        <w:tabs>
          <w:tab w:leader="none" w:pos="2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tax purposes, the aggregate tax basis is approximately</w:t>
      </w:r>
    </w:p>
    <w:p>
      <w:pPr>
        <w:spacing w:after="0" w:line="4" w:lineRule="exact"/>
        <w:rPr>
          <w:rFonts w:ascii="Courier New" w:cs="Courier New" w:eastAsia="Courier New" w:hAnsi="Courier New"/>
          <w:sz w:val="15"/>
          <w:szCs w:val="15"/>
          <w:color w:val="auto"/>
        </w:rPr>
      </w:pPr>
    </w:p>
    <w:p>
      <w:pPr>
        <w:ind w:left="280" w:right="438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$35,607,000 as of December 31, 2001. No payments are delinquent on these mortgages.</w:t>
      </w:r>
    </w:p>
    <w:p>
      <w:pPr>
        <w:spacing w:after="0" w:line="5" w:lineRule="exact"/>
        <w:rPr>
          <w:rFonts w:ascii="Courier New" w:cs="Courier New" w:eastAsia="Courier New" w:hAnsi="Courier New"/>
          <w:sz w:val="15"/>
          <w:szCs w:val="15"/>
          <w:color w:val="auto"/>
        </w:rPr>
      </w:pPr>
    </w:p>
    <w:p>
      <w:pPr>
        <w:ind w:left="280" w:right="4020" w:hanging="270"/>
        <w:spacing w:after="0" w:line="234" w:lineRule="auto"/>
        <w:tabs>
          <w:tab w:leader="none" w:pos="2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extendable for up to 45 years with interest increasing to a maximum of 11%.</w:t>
      </w:r>
    </w:p>
    <w:p>
      <w:pPr>
        <w:ind w:left="280" w:hanging="270"/>
        <w:spacing w:after="0" w:line="237" w:lineRule="auto"/>
        <w:tabs>
          <w:tab w:leader="none" w:pos="2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balance was repaid on January 31, 2002.</w:t>
      </w:r>
    </w:p>
    <w:p>
      <w:pPr>
        <w:ind w:left="280" w:hanging="270"/>
        <w:spacing w:after="0" w:line="237" w:lineRule="auto"/>
        <w:tabs>
          <w:tab w:leader="none" w:pos="2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available for up to $25,000,000.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940"/>
          </w:cols>
          <w:pgMar w:left="220" w:top="954" w:right="7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6220" w:type="dxa"/>
            <w:vAlign w:val="bottom"/>
          </w:tcPr>
          <w:p>
            <w:pPr>
              <w:jc w:val="center"/>
              <w:ind w:left="1867"/>
              <w:spacing w:after="0"/>
              <w:rPr>
                <w:sz w:val="20"/>
                <w:szCs w:val="20"/>
                <w:color w:val="auto"/>
              </w:rPr>
            </w:pPr>
            <w:r>
              <w:rPr>
                <w:rFonts w:ascii="Courier New" w:cs="Courier New" w:eastAsia="Courier New" w:hAnsi="Courier New"/>
                <w:sz w:val="15"/>
                <w:szCs w:val="15"/>
                <w:color w:val="auto"/>
                <w:w w:val="97"/>
              </w:rPr>
              <w:t>FEDERAL REALTY INVESTMENT TRUST</w:t>
            </w:r>
          </w:p>
        </w:tc>
        <w:tc>
          <w:tcPr>
            <w:tcW w:w="2100" w:type="dxa"/>
            <w:vAlign w:val="bottom"/>
          </w:tcPr>
          <w:p>
            <w:pPr>
              <w:spacing w:after="0"/>
              <w:rPr>
                <w:sz w:val="14"/>
                <w:szCs w:val="14"/>
                <w:color w:val="auto"/>
              </w:rPr>
            </w:pPr>
          </w:p>
        </w:tc>
      </w:tr>
      <w:tr>
        <w:trPr>
          <w:trHeight w:val="168"/>
        </w:trPr>
        <w:tc>
          <w:tcPr>
            <w:tcW w:w="6220" w:type="dxa"/>
            <w:vAlign w:val="bottom"/>
          </w:tcPr>
          <w:p>
            <w:pPr>
              <w:ind w:left="3680"/>
              <w:spacing w:after="0" w:line="168" w:lineRule="exact"/>
              <w:rPr>
                <w:sz w:val="20"/>
                <w:szCs w:val="20"/>
                <w:color w:val="auto"/>
              </w:rPr>
            </w:pPr>
            <w:r>
              <w:rPr>
                <w:rFonts w:ascii="Courier New" w:cs="Courier New" w:eastAsia="Courier New" w:hAnsi="Courier New"/>
                <w:sz w:val="15"/>
                <w:szCs w:val="15"/>
                <w:color w:val="auto"/>
              </w:rPr>
              <w:t>SCHEDULE IV</w:t>
            </w:r>
          </w:p>
        </w:tc>
        <w:tc>
          <w:tcPr>
            <w:tcW w:w="2100" w:type="dxa"/>
            <w:vAlign w:val="bottom"/>
          </w:tcPr>
          <w:p>
            <w:pPr>
              <w:spacing w:after="0"/>
              <w:rPr>
                <w:sz w:val="14"/>
                <w:szCs w:val="14"/>
                <w:color w:val="auto"/>
              </w:rPr>
            </w:pPr>
          </w:p>
        </w:tc>
      </w:tr>
      <w:tr>
        <w:trPr>
          <w:trHeight w:val="168"/>
        </w:trPr>
        <w:tc>
          <w:tcPr>
            <w:tcW w:w="6220" w:type="dxa"/>
            <w:vAlign w:val="bottom"/>
          </w:tcPr>
          <w:p>
            <w:pPr>
              <w:jc w:val="center"/>
              <w:ind w:left="1847"/>
              <w:spacing w:after="0" w:line="168" w:lineRule="exact"/>
              <w:rPr>
                <w:sz w:val="20"/>
                <w:szCs w:val="20"/>
                <w:color w:val="auto"/>
              </w:rPr>
            </w:pPr>
            <w:r>
              <w:rPr>
                <w:rFonts w:ascii="Courier New" w:cs="Courier New" w:eastAsia="Courier New" w:hAnsi="Courier New"/>
                <w:sz w:val="15"/>
                <w:szCs w:val="15"/>
                <w:color w:val="auto"/>
                <w:w w:val="97"/>
              </w:rPr>
              <w:t>MORTGAGE LOANS ON REAL ESTATE - CONTINUED</w:t>
            </w:r>
          </w:p>
        </w:tc>
        <w:tc>
          <w:tcPr>
            <w:tcW w:w="2100" w:type="dxa"/>
            <w:vAlign w:val="bottom"/>
          </w:tcPr>
          <w:p>
            <w:pPr>
              <w:spacing w:after="0"/>
              <w:rPr>
                <w:sz w:val="14"/>
                <w:szCs w:val="14"/>
                <w:color w:val="auto"/>
              </w:rPr>
            </w:pPr>
          </w:p>
        </w:tc>
      </w:tr>
      <w:tr>
        <w:trPr>
          <w:trHeight w:val="168"/>
        </w:trPr>
        <w:tc>
          <w:tcPr>
            <w:tcW w:w="6220" w:type="dxa"/>
            <w:vAlign w:val="bottom"/>
          </w:tcPr>
          <w:p>
            <w:pPr>
              <w:jc w:val="center"/>
              <w:ind w:left="1847"/>
              <w:spacing w:after="0" w:line="168" w:lineRule="exact"/>
              <w:rPr>
                <w:sz w:val="20"/>
                <w:szCs w:val="20"/>
                <w:color w:val="auto"/>
              </w:rPr>
            </w:pPr>
            <w:r>
              <w:rPr>
                <w:rFonts w:ascii="Courier New" w:cs="Courier New" w:eastAsia="Courier New" w:hAnsi="Courier New"/>
                <w:sz w:val="15"/>
                <w:szCs w:val="15"/>
                <w:color w:val="auto"/>
                <w:w w:val="97"/>
              </w:rPr>
              <w:t>Three Years Ended December 31, 2001</w:t>
            </w:r>
          </w:p>
        </w:tc>
        <w:tc>
          <w:tcPr>
            <w:tcW w:w="2100" w:type="dxa"/>
            <w:vAlign w:val="bottom"/>
          </w:tcPr>
          <w:p>
            <w:pPr>
              <w:spacing w:after="0"/>
              <w:rPr>
                <w:sz w:val="14"/>
                <w:szCs w:val="14"/>
                <w:color w:val="auto"/>
              </w:rPr>
            </w:pPr>
          </w:p>
        </w:tc>
      </w:tr>
      <w:tr>
        <w:trPr>
          <w:trHeight w:val="336"/>
        </w:trPr>
        <w:tc>
          <w:tcPr>
            <w:tcW w:w="6220" w:type="dxa"/>
            <w:vAlign w:val="bottom"/>
          </w:tcPr>
          <w:p>
            <w:pPr>
              <w:jc w:val="center"/>
              <w:ind w:left="1867"/>
              <w:spacing w:after="0"/>
              <w:rPr>
                <w:sz w:val="20"/>
                <w:szCs w:val="20"/>
                <w:color w:val="auto"/>
              </w:rPr>
            </w:pPr>
            <w:r>
              <w:rPr>
                <w:rFonts w:ascii="Courier New" w:cs="Courier New" w:eastAsia="Courier New" w:hAnsi="Courier New"/>
                <w:sz w:val="15"/>
                <w:szCs w:val="15"/>
                <w:color w:val="auto"/>
                <w:w w:val="96"/>
              </w:rPr>
              <w:t>Reconciliation of Carrying Amount</w:t>
            </w:r>
          </w:p>
        </w:tc>
        <w:tc>
          <w:tcPr>
            <w:tcW w:w="2100" w:type="dxa"/>
            <w:vAlign w:val="bottom"/>
          </w:tcPr>
          <w:p>
            <w:pPr>
              <w:spacing w:after="0"/>
              <w:rPr>
                <w:sz w:val="24"/>
                <w:szCs w:val="24"/>
                <w:color w:val="auto"/>
              </w:rPr>
            </w:pP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Balance, January 1, 1999</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$51,154,000</w:t>
            </w:r>
          </w:p>
        </w:tc>
      </w:tr>
      <w:tr>
        <w:trPr>
          <w:trHeight w:val="336"/>
        </w:trPr>
        <w:tc>
          <w:tcPr>
            <w:tcW w:w="622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2100" w:type="dxa"/>
            <w:vAlign w:val="bottom"/>
          </w:tcPr>
          <w:p>
            <w:pPr>
              <w:spacing w:after="0"/>
              <w:rPr>
                <w:sz w:val="24"/>
                <w:szCs w:val="24"/>
                <w:color w:val="auto"/>
              </w:rPr>
            </w:pPr>
          </w:p>
        </w:tc>
      </w:tr>
      <w:tr>
        <w:trPr>
          <w:trHeight w:val="168"/>
        </w:trPr>
        <w:tc>
          <w:tcPr>
            <w:tcW w:w="6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loan</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2,516,000</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Deductions during period</w:t>
            </w:r>
          </w:p>
        </w:tc>
        <w:tc>
          <w:tcPr>
            <w:tcW w:w="2100" w:type="dxa"/>
            <w:vAlign w:val="bottom"/>
          </w:tcPr>
          <w:p>
            <w:pPr>
              <w:spacing w:after="0"/>
              <w:rPr>
                <w:sz w:val="14"/>
                <w:szCs w:val="14"/>
                <w:color w:val="auto"/>
              </w:rPr>
            </w:pPr>
          </w:p>
        </w:tc>
      </w:tr>
      <w:tr>
        <w:trPr>
          <w:trHeight w:val="168"/>
        </w:trPr>
        <w:tc>
          <w:tcPr>
            <w:tcW w:w="6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Collection of loan</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62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1999</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53,495,000</w:t>
            </w:r>
          </w:p>
        </w:tc>
      </w:tr>
      <w:tr>
        <w:trPr>
          <w:trHeight w:val="336"/>
        </w:trPr>
        <w:tc>
          <w:tcPr>
            <w:tcW w:w="622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2100" w:type="dxa"/>
            <w:vAlign w:val="bottom"/>
          </w:tcPr>
          <w:p>
            <w:pPr>
              <w:spacing w:after="0"/>
              <w:rPr>
                <w:sz w:val="24"/>
                <w:szCs w:val="24"/>
                <w:color w:val="auto"/>
              </w:rPr>
            </w:pPr>
          </w:p>
        </w:tc>
      </w:tr>
      <w:tr>
        <w:trPr>
          <w:trHeight w:val="168"/>
        </w:trPr>
        <w:tc>
          <w:tcPr>
            <w:tcW w:w="6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loans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5,701,000</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Deductions during period</w:t>
            </w:r>
          </w:p>
        </w:tc>
        <w:tc>
          <w:tcPr>
            <w:tcW w:w="2100" w:type="dxa"/>
            <w:vAlign w:val="bottom"/>
          </w:tcPr>
          <w:p>
            <w:pPr>
              <w:spacing w:after="0"/>
              <w:rPr>
                <w:sz w:val="14"/>
                <w:szCs w:val="14"/>
                <w:color w:val="auto"/>
              </w:rPr>
            </w:pPr>
          </w:p>
        </w:tc>
      </w:tr>
      <w:tr>
        <w:trPr>
          <w:trHeight w:val="168"/>
        </w:trPr>
        <w:tc>
          <w:tcPr>
            <w:tcW w:w="6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Collection and satisfaction of loans</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(11,836,000)</w:t>
            </w:r>
          </w:p>
        </w:tc>
      </w:tr>
      <w:tr>
        <w:trPr>
          <w:trHeight w:val="168"/>
        </w:trPr>
        <w:tc>
          <w:tcPr>
            <w:tcW w:w="62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2000</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47,360,000</w:t>
            </w:r>
          </w:p>
        </w:tc>
      </w:tr>
      <w:tr>
        <w:trPr>
          <w:trHeight w:val="336"/>
        </w:trPr>
        <w:tc>
          <w:tcPr>
            <w:tcW w:w="6220" w:type="dxa"/>
            <w:vAlign w:val="bottom"/>
          </w:tcPr>
          <w:p>
            <w:pPr>
              <w:ind w:left="280"/>
              <w:spacing w:after="0"/>
              <w:rPr>
                <w:sz w:val="20"/>
                <w:szCs w:val="20"/>
                <w:color w:val="auto"/>
              </w:rPr>
            </w:pPr>
            <w:r>
              <w:rPr>
                <w:rFonts w:ascii="Courier New" w:cs="Courier New" w:eastAsia="Courier New" w:hAnsi="Courier New"/>
                <w:sz w:val="15"/>
                <w:szCs w:val="15"/>
                <w:color w:val="auto"/>
              </w:rPr>
              <w:t>Additions during period</w:t>
            </w:r>
          </w:p>
        </w:tc>
        <w:tc>
          <w:tcPr>
            <w:tcW w:w="2100" w:type="dxa"/>
            <w:vAlign w:val="bottom"/>
          </w:tcPr>
          <w:p>
            <w:pPr>
              <w:spacing w:after="0"/>
              <w:rPr>
                <w:sz w:val="24"/>
                <w:szCs w:val="24"/>
                <w:color w:val="auto"/>
              </w:rPr>
            </w:pPr>
          </w:p>
        </w:tc>
      </w:tr>
      <w:tr>
        <w:trPr>
          <w:trHeight w:val="168"/>
        </w:trPr>
        <w:tc>
          <w:tcPr>
            <w:tcW w:w="6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loans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925,000</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Deductions during period</w:t>
            </w:r>
          </w:p>
        </w:tc>
        <w:tc>
          <w:tcPr>
            <w:tcW w:w="2100" w:type="dxa"/>
            <w:vAlign w:val="bottom"/>
          </w:tcPr>
          <w:p>
            <w:pPr>
              <w:spacing w:after="0"/>
              <w:rPr>
                <w:sz w:val="14"/>
                <w:szCs w:val="14"/>
                <w:color w:val="auto"/>
              </w:rPr>
            </w:pPr>
          </w:p>
        </w:tc>
      </w:tr>
      <w:tr>
        <w:trPr>
          <w:trHeight w:val="168"/>
        </w:trPr>
        <w:tc>
          <w:tcPr>
            <w:tcW w:w="6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Collection and satisfaction of loans</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(12,678,000)</w:t>
            </w:r>
          </w:p>
        </w:tc>
      </w:tr>
      <w:tr>
        <w:trPr>
          <w:trHeight w:val="168"/>
        </w:trPr>
        <w:tc>
          <w:tcPr>
            <w:tcW w:w="62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$35,607,000</w:t>
            </w:r>
          </w:p>
        </w:tc>
      </w:tr>
      <w:tr>
        <w:trPr>
          <w:trHeight w:val="168"/>
        </w:trPr>
        <w:tc>
          <w:tcPr>
            <w:tcW w:w="62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220" w:type="dxa"/>
            <w:vAlign w:val="bottom"/>
          </w:tcPr>
          <w:p>
            <w:pPr>
              <w:ind w:left="3340"/>
              <w:spacing w:after="0"/>
              <w:rPr>
                <w:sz w:val="20"/>
                <w:szCs w:val="20"/>
                <w:color w:val="auto"/>
              </w:rPr>
            </w:pPr>
            <w:r>
              <w:rPr>
                <w:rFonts w:ascii="Courier New" w:cs="Courier New" w:eastAsia="Courier New" w:hAnsi="Courier New"/>
                <w:sz w:val="15"/>
                <w:szCs w:val="15"/>
                <w:color w:val="auto"/>
              </w:rPr>
              <w:t>F34</w:t>
            </w:r>
          </w:p>
        </w:tc>
        <w:tc>
          <w:tcPr>
            <w:tcW w:w="21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02" w:name="page103"/>
    <w:bookmarkEnd w:id="10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line="237" w:lineRule="auto"/>
        <w:rPr>
          <w:sz w:val="20"/>
          <w:szCs w:val="20"/>
          <w:color w:val="auto"/>
        </w:rPr>
      </w:pPr>
      <w:r>
        <w:rPr>
          <w:rFonts w:ascii="Courier New" w:cs="Courier New" w:eastAsia="Courier New" w:hAnsi="Courier New"/>
          <w:sz w:val="15"/>
          <w:szCs w:val="15"/>
          <w:color w:val="auto"/>
        </w:rPr>
        <w:t>RESTRICTED SHARE AWARD AGREEMENT</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February 15, 2000</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parties to this Restricted Share Award Agreement (this "Agreement") are Federal Realty Investment Trust, an unincorporated business trust organized under the laws of the District of Columbia (the "Trust"), and Jeffrey S. Berkes, an individual employee of the Trust (the "Key Employee").</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Board of Trustees of the Trust (the "Board of Trustees") has authorized the award by the Trust to the Key Employee, under the Trust's Amended and Restated 1993 Long-Term Incentive Plan (the "Amended Plan") of a Restricted Share Award for a certain number of shares of beneficial interest, no par value, of the Trust (the "Shares"), subject to certain restrictions and covenants on the part of Key Employee. The parties hereto desire to set forth in this Agreement their respective rights and obligations with respect to such Shares.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Capitalized terms used in this Agreement, unless otherwise defined herein, have the respective meanings given to such terms in the Amended Plan. The terms of the Amended Plan are incorporated by reference as if set forth herein in their entirety. To the extent this Restricted Share Award Agreement is in any way inconsistent with the Amended Plan, the terms and provisions of the Amended Plan shall prevail.</w:t>
      </w:r>
    </w:p>
    <w:p>
      <w:pPr>
        <w:spacing w:after="0" w:line="175"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In consideration of the covenants set forth in this Agreement, and intending to be legally bound hereby, the parties hereto agree as follows:</w:t>
      </w:r>
    </w:p>
    <w:p>
      <w:pPr>
        <w:spacing w:after="0" w:line="153" w:lineRule="exact"/>
        <w:rPr>
          <w:sz w:val="20"/>
          <w:szCs w:val="20"/>
          <w:color w:val="auto"/>
        </w:rPr>
      </w:pPr>
    </w:p>
    <w:p>
      <w:pPr>
        <w:ind w:left="880" w:hanging="433"/>
        <w:spacing w:after="0"/>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of Restricted Shares.</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hereby confirms the grant to the Key Employee, as of February 15, 2000 (the "Award Date"), of Twenty Thousand (20,000) Shares (the "Restricted Shares"), subject to the restrictions and other terms and conditions set forth herein and in the Amended Plan.</w:t>
      </w:r>
    </w:p>
    <w:p>
      <w:pPr>
        <w:spacing w:after="0" w:line="175" w:lineRule="exact"/>
        <w:rPr>
          <w:rFonts w:ascii="Courier New" w:cs="Courier New" w:eastAsia="Courier New" w:hAnsi="Courier New"/>
          <w:sz w:val="15"/>
          <w:szCs w:val="15"/>
          <w:color w:val="auto"/>
        </w:rPr>
      </w:pPr>
    </w:p>
    <w:p>
      <w:pPr>
        <w:ind w:right="3499" w:firstLine="884"/>
        <w:spacing w:after="0" w:line="236" w:lineRule="auto"/>
        <w:tabs>
          <w:tab w:leader="none" w:pos="1224"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as soon as practicable after the Award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w:t>
      </w:r>
    </w:p>
    <w:p>
      <w:pPr>
        <w:spacing w:after="0" w:line="1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1 of 5</w:t>
      </w:r>
    </w:p>
    <w:p>
      <w:pPr>
        <w:sectPr>
          <w:pgSz w:w="11900" w:h="16838" w:orient="portrait"/>
          <w:cols w:equalWidth="0" w:num="1">
            <w:col w:w="10239"/>
          </w:cols>
          <w:pgMar w:left="220" w:top="471" w:right="1440" w:bottom="1440" w:gutter="0" w:footer="0" w:header="0"/>
        </w:sectPr>
      </w:pPr>
    </w:p>
    <w:bookmarkStart w:id="103" w:name="page104"/>
    <w:bookmarkEnd w:id="103"/>
    <w:p>
      <w:pPr>
        <w:ind w:right="3319"/>
        <w:spacing w:after="0" w:line="234" w:lineRule="auto"/>
        <w:rPr>
          <w:sz w:val="20"/>
          <w:szCs w:val="20"/>
          <w:color w:val="auto"/>
        </w:rPr>
      </w:pPr>
      <w:r>
        <w:rPr>
          <w:rFonts w:ascii="Courier New" w:cs="Courier New" w:eastAsia="Courier New" w:hAnsi="Courier New"/>
          <w:sz w:val="15"/>
          <w:szCs w:val="15"/>
          <w:color w:val="auto"/>
        </w:rPr>
        <w:t>or legends to be placed on such certificate or certificates to make appropriate reference to such restrictions.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certificate or certificates representing the Restricted Shares shall be held in custody by the Chief Financial Officer of the Trust until the Restriction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67" w:lineRule="exact"/>
        <w:rPr>
          <w:sz w:val="20"/>
          <w:szCs w:val="20"/>
          <w:color w:val="auto"/>
        </w:rPr>
      </w:pPr>
    </w:p>
    <w:p>
      <w:pPr>
        <w:ind w:left="880" w:hanging="433"/>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Restricted Shares.</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312"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the Award Date, the Key Employee shall have all rights and privileges of a stockholder with respect to the Restricted Shares, except that the following restrictions shall apply:</w:t>
      </w:r>
    </w:p>
    <w:p>
      <w:pPr>
        <w:spacing w:after="0" w:line="173" w:lineRule="exact"/>
        <w:rPr>
          <w:rFonts w:ascii="Courier New" w:cs="Courier New" w:eastAsia="Courier New" w:hAnsi="Courier New"/>
          <w:sz w:val="15"/>
          <w:szCs w:val="15"/>
          <w:color w:val="auto"/>
        </w:rPr>
      </w:pPr>
    </w:p>
    <w:p>
      <w:pPr>
        <w:ind w:right="3399" w:firstLine="1322"/>
        <w:spacing w:after="0" w:line="236" w:lineRule="auto"/>
        <w:tabs>
          <w:tab w:leader="none" w:pos="1837"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or sold, during the Restriction Period (as hereinafter defined in Paragraph 3);</w:t>
      </w:r>
    </w:p>
    <w:p>
      <w:pPr>
        <w:spacing w:after="0" w:line="174" w:lineRule="exact"/>
        <w:rPr>
          <w:rFonts w:ascii="Courier New" w:cs="Courier New" w:eastAsia="Courier New" w:hAnsi="Courier New"/>
          <w:sz w:val="15"/>
          <w:szCs w:val="15"/>
          <w:color w:val="auto"/>
        </w:rPr>
      </w:pPr>
    </w:p>
    <w:p>
      <w:pPr>
        <w:ind w:right="3319" w:firstLine="1322"/>
        <w:spacing w:after="0" w:line="234" w:lineRule="auto"/>
        <w:tabs>
          <w:tab w:leader="none" w:pos="1837"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a portion of the Restricted Shares may be forfeited in accordance with Paragraph 4; and</w:t>
      </w:r>
    </w:p>
    <w:p>
      <w:pPr>
        <w:spacing w:after="0" w:line="173" w:lineRule="exact"/>
        <w:rPr>
          <w:rFonts w:ascii="Courier New" w:cs="Courier New" w:eastAsia="Courier New" w:hAnsi="Courier New"/>
          <w:sz w:val="15"/>
          <w:szCs w:val="15"/>
          <w:color w:val="auto"/>
        </w:rPr>
      </w:pPr>
    </w:p>
    <w:p>
      <w:pPr>
        <w:ind w:right="3399" w:firstLine="1322"/>
        <w:spacing w:after="0" w:line="236" w:lineRule="auto"/>
        <w:tabs>
          <w:tab w:leader="none" w:pos="1837"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2 of 5</w:t>
      </w:r>
    </w:p>
    <w:p>
      <w:pPr>
        <w:sectPr>
          <w:pgSz w:w="11900" w:h="16838" w:orient="portrait"/>
          <w:cols w:equalWidth="0" w:num="1">
            <w:col w:w="10239"/>
          </w:cols>
          <w:pgMar w:left="220" w:top="624" w:right="1440" w:bottom="1440" w:gutter="0" w:footer="0" w:header="0"/>
        </w:sectPr>
      </w:pPr>
    </w:p>
    <w:bookmarkStart w:id="104" w:name="page105"/>
    <w:bookmarkEnd w:id="104"/>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Period.</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579" w:firstLine="884"/>
        <w:spacing w:after="0" w:line="235" w:lineRule="auto"/>
        <w:tabs>
          <w:tab w:leader="none" w:pos="1312"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set forth in Paragraph 2 shall apply for a period (the "Restriction Period") from the Award Date until such Restriction Period lapses as follows:</w:t>
      </w:r>
    </w:p>
    <w:p>
      <w:pPr>
        <w:spacing w:after="0" w:line="167" w:lineRule="exact"/>
        <w:rPr>
          <w:rFonts w:ascii="Courier New" w:cs="Courier New" w:eastAsia="Courier New" w:hAnsi="Courier New"/>
          <w:sz w:val="15"/>
          <w:szCs w:val="15"/>
          <w:color w:val="auto"/>
        </w:rPr>
      </w:pPr>
    </w:p>
    <w:p>
      <w:pPr>
        <w:ind w:left="1840" w:hanging="518"/>
        <w:spacing w:after="0"/>
        <w:tabs>
          <w:tab w:leader="none" w:pos="184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Four Thousand (4,000) Restricted Shares,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 Period shall lapse on February 15 , 2001;</w:t>
      </w:r>
    </w:p>
    <w:p>
      <w:pPr>
        <w:spacing w:after="0" w:line="173" w:lineRule="exact"/>
        <w:rPr>
          <w:rFonts w:ascii="Courier New" w:cs="Courier New" w:eastAsia="Courier New" w:hAnsi="Courier New"/>
          <w:sz w:val="15"/>
          <w:szCs w:val="15"/>
          <w:color w:val="auto"/>
        </w:rPr>
      </w:pPr>
    </w:p>
    <w:p>
      <w:pPr>
        <w:ind w:right="3319" w:firstLine="1322"/>
        <w:spacing w:after="0" w:line="261" w:lineRule="auto"/>
        <w:tabs>
          <w:tab w:leader="none" w:pos="1837"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additional Four Thousand (4,000) Restricted Shares, the Restriction Period shall lapse on February 15, 2002; and</w:t>
      </w:r>
    </w:p>
    <w:p>
      <w:pPr>
        <w:spacing w:after="0" w:line="159" w:lineRule="exact"/>
        <w:rPr>
          <w:rFonts w:ascii="Courier New" w:cs="Courier New" w:eastAsia="Courier New" w:hAnsi="Courier New"/>
          <w:sz w:val="14"/>
          <w:szCs w:val="14"/>
          <w:color w:val="auto"/>
        </w:rPr>
      </w:pPr>
    </w:p>
    <w:p>
      <w:pPr>
        <w:ind w:right="3319" w:firstLine="1322"/>
        <w:spacing w:after="0" w:line="261" w:lineRule="auto"/>
        <w:tabs>
          <w:tab w:leader="none" w:pos="1837"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additional Four Thousand (4,000) Restricted Shares, the Restriction Period shall lapse on February 15, 2003; and</w:t>
      </w:r>
    </w:p>
    <w:p>
      <w:pPr>
        <w:spacing w:after="0" w:line="159" w:lineRule="exact"/>
        <w:rPr>
          <w:rFonts w:ascii="Courier New" w:cs="Courier New" w:eastAsia="Courier New" w:hAnsi="Courier New"/>
          <w:sz w:val="14"/>
          <w:szCs w:val="14"/>
          <w:color w:val="auto"/>
        </w:rPr>
      </w:pPr>
    </w:p>
    <w:p>
      <w:pPr>
        <w:ind w:right="3319" w:firstLine="1322"/>
        <w:spacing w:after="0" w:line="261" w:lineRule="auto"/>
        <w:tabs>
          <w:tab w:leader="none" w:pos="1837"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additional Four Thousand (4,000) Restricted Shares, the Restriction Period shall lapse on February 15, 2004, and</w:t>
      </w:r>
    </w:p>
    <w:p>
      <w:pPr>
        <w:spacing w:after="0" w:line="159" w:lineRule="exact"/>
        <w:rPr>
          <w:rFonts w:ascii="Courier New" w:cs="Courier New" w:eastAsia="Courier New" w:hAnsi="Courier New"/>
          <w:sz w:val="14"/>
          <w:szCs w:val="14"/>
          <w:color w:val="auto"/>
        </w:rPr>
      </w:pPr>
    </w:p>
    <w:p>
      <w:pPr>
        <w:ind w:right="3679" w:firstLine="1322"/>
        <w:spacing w:after="0" w:line="261" w:lineRule="auto"/>
        <w:tabs>
          <w:tab w:leader="none" w:pos="1837"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remaining Four Thousand (4,000) Restricted Shares, the Restriction Period shall lapse on February 15, 2005;</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however, that the Restriction Period for any particular Restricted Shares shall not lapse on the date set forth above unless the Key Employee has tendered to the Trust, on or before that date, the amount of any state and federal withholding tax obligation which will be imposed on the Trust by reason of the lapsing of the Restriction Period for such Restricted Shares on that date.</w:t>
      </w:r>
    </w:p>
    <w:p>
      <w:pPr>
        <w:spacing w:after="0" w:line="175" w:lineRule="exact"/>
        <w:rPr>
          <w:sz w:val="20"/>
          <w:szCs w:val="20"/>
          <w:color w:val="auto"/>
        </w:rPr>
      </w:pPr>
    </w:p>
    <w:p>
      <w:pPr>
        <w:ind w:right="3319" w:firstLine="884"/>
        <w:spacing w:after="0" w:line="255" w:lineRule="auto"/>
        <w:tabs>
          <w:tab w:leader="none" w:pos="131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Restriction Period shall lapse as to all Restricted Shares (i) in the event of the death or Disability of the Key Employee, or (ii) in the event that the Key Employee is discharged by the Trust without Cause as defined in the Amended Plan, provided in any case that the Key Employee shall have completed at least one year of employment after the Award Date, and provided further that the Key Employee or his legal representative shall first tender, within ninety (90) days after the death, Disability or discharge without Cause, the amount of any state and federal withholding tax obligation which will be imposed on the Trust by reason of the lapsing of the Restriction Period for such Restricted Shares.</w:t>
      </w:r>
    </w:p>
    <w:p>
      <w:pPr>
        <w:spacing w:after="0" w:line="165" w:lineRule="exact"/>
        <w:rPr>
          <w:rFonts w:ascii="Courier New" w:cs="Courier New" w:eastAsia="Courier New" w:hAnsi="Courier New"/>
          <w:sz w:val="14"/>
          <w:szCs w:val="14"/>
          <w:color w:val="auto"/>
        </w:rPr>
      </w:pPr>
    </w:p>
    <w:p>
      <w:pPr>
        <w:ind w:right="3319" w:firstLine="884"/>
        <w:spacing w:after="0" w:line="255" w:lineRule="auto"/>
        <w:tabs>
          <w:tab w:leader="none" w:pos="131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notwithstanding the foregoing, the Restriction Period shall lapse as to all Restricted Shares upon the occurrence of a Change in Control, and in such event, the Trust shall deliver or cause to be delivered to the Key Employee within ten (10) business days after the Change in Control one or more stock certificates representing those Shares as to which the Restriction Period shall have lapsed, provided that the Key Employee shall first tender the amount of any state and federal withholding tax obligation which will be imposed on the Trust by reason of the lapsing of the Restriction Period for</w:t>
      </w:r>
    </w:p>
    <w:p>
      <w:pPr>
        <w:spacing w:after="0" w:line="15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3 of 5</w:t>
      </w:r>
    </w:p>
    <w:p>
      <w:pPr>
        <w:sectPr>
          <w:pgSz w:w="11900" w:h="16838" w:orient="portrait"/>
          <w:cols w:equalWidth="0" w:num="1">
            <w:col w:w="10239"/>
          </w:cols>
          <w:pgMar w:left="220" w:top="617"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such Restricted Shares.</w:t>
      </w:r>
    </w:p>
    <w:p>
      <w:pPr>
        <w:spacing w:after="0" w:line="166" w:lineRule="exact"/>
        <w:rPr>
          <w:sz w:val="20"/>
          <w:szCs w:val="20"/>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Subject to Paragraph 3(c), if during the Restriction</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Period (i) the Key Employee is discharged by the Trust for Cause, (ii) the Key Employee resigns from employment with the Trust, or (iii) any of the events described in Paragraph 3(b) above occur prior to the completion by the Key Employee of one year of employment after the Award Date, then all rights of the Key Employee to any and all then-remaining Restricted Shares shall terminate and be forfeited. In addition, in the event the Key Employee or his legal representative fails to tender to the Trust any required tax withholding amount in accordance with Paragraphs 3(a), 3(b), or 3(c) above by the date specified therein, then the Trust shall retain a portion of the Restricted Shares sufficient to meet its tax withholding obligation.</w:t>
      </w:r>
    </w:p>
    <w:p>
      <w:pPr>
        <w:spacing w:after="0" w:line="173" w:lineRule="exact"/>
        <w:rPr>
          <w:sz w:val="20"/>
          <w:szCs w:val="20"/>
          <w:color w:val="auto"/>
        </w:rPr>
      </w:pPr>
    </w:p>
    <w:p>
      <w:pPr>
        <w:ind w:left="880" w:hanging="433"/>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and inure to the</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benefit of the heirs and representatives of the Key Employee and the assigns and successors of the Trust, but neither this Agreement nor any rights hereunder shall be assignable or otherwise subject to hypothecation by the Key Employee.</w:t>
      </w:r>
    </w:p>
    <w:p>
      <w:pPr>
        <w:spacing w:after="0" w:line="169" w:lineRule="exact"/>
        <w:rPr>
          <w:sz w:val="20"/>
          <w:szCs w:val="20"/>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  This Agreement constitutes the entire</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agreement of the parties with respect to the subject matter hereof and shall supersede all prior agreements and understandings, oral or written, between the parties with respect thereto. This Agreement may be amended at any time by written agreement of the parties hereto.</w:t>
      </w:r>
    </w:p>
    <w:p>
      <w:pPr>
        <w:spacing w:after="0" w:line="169" w:lineRule="exact"/>
        <w:rPr>
          <w:sz w:val="20"/>
          <w:szCs w:val="20"/>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and its validity, interpretation,</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performance and enforcement shall be governed by the laws of the State of Maryland other than the conflict of laws provisions of such laws, and shall be construed in accordance therewith.</w:t>
      </w:r>
    </w:p>
    <w:p>
      <w:pPr>
        <w:spacing w:after="0" w:line="174" w:lineRule="exact"/>
        <w:rPr>
          <w:sz w:val="20"/>
          <w:szCs w:val="20"/>
          <w:color w:val="auto"/>
        </w:rPr>
      </w:pPr>
    </w:p>
    <w:p>
      <w:pPr>
        <w:ind w:left="880" w:hanging="433"/>
        <w:spacing w:after="0"/>
        <w:tabs>
          <w:tab w:leader="none" w:pos="8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for any reason, any provision of this Agreement is</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0" w:lineRule="exact"/>
        <w:rPr>
          <w:sz w:val="20"/>
          <w:szCs w:val="20"/>
          <w:color w:val="auto"/>
        </w:rPr>
      </w:pPr>
    </w:p>
    <w:p>
      <w:pPr>
        <w:ind w:left="880" w:hanging="433"/>
        <w:spacing w:after="0"/>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This Agreement shall not confer upon the Key</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Employee any right with respect to continuance of employment by the Trust.</w:t>
      </w:r>
    </w:p>
    <w:p>
      <w:pPr>
        <w:spacing w:after="0" w:line="173" w:lineRule="exact"/>
        <w:rPr>
          <w:sz w:val="20"/>
          <w:szCs w:val="20"/>
          <w:color w:val="auto"/>
        </w:rPr>
      </w:pPr>
    </w:p>
    <w:p>
      <w:pPr>
        <w:ind w:left="880" w:hanging="433"/>
        <w:spacing w:after="0"/>
        <w:tabs>
          <w:tab w:leader="none" w:pos="8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References.  References to the Key Employee in any provision</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of this Agreement under circumstances where the provision should logically be construed to apply to the Key Employee's executors or the administrators, or the person or persons to</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4 of 5</w:t>
      </w:r>
    </w:p>
    <w:p>
      <w:pPr>
        <w:sectPr>
          <w:pgSz w:w="11900" w:h="16838" w:orient="portrait"/>
          <w:cols w:equalWidth="0" w:num="1">
            <w:col w:w="10239"/>
          </w:cols>
          <w:pgMar w:left="220" w:top="617" w:right="1440" w:bottom="1440" w:gutter="0" w:footer="0" w:header="0"/>
        </w:sectPr>
      </w:pPr>
    </w:p>
    <w:bookmarkStart w:id="106" w:name="page107"/>
    <w:bookmarkEnd w:id="106"/>
    <w:p>
      <w:pPr>
        <w:jc w:val="both"/>
        <w:ind w:right="3319"/>
        <w:spacing w:after="0" w:line="235" w:lineRule="auto"/>
        <w:rPr>
          <w:sz w:val="20"/>
          <w:szCs w:val="20"/>
          <w:color w:val="auto"/>
        </w:rPr>
      </w:pPr>
      <w:r>
        <w:rPr>
          <w:rFonts w:ascii="Courier New" w:cs="Courier New" w:eastAsia="Courier New" w:hAnsi="Courier New"/>
          <w:sz w:val="15"/>
          <w:szCs w:val="15"/>
          <w:color w:val="auto"/>
        </w:rPr>
        <w:t>whom all or any portion of the Restricted Shares may be transferred by will or the laws of descent and distribution, shall be deemed to include such person or persons.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the Trust has caused this Agreement to be duly executed and the Key Employee has hereunto set his hand effective as of the day and year first above written.</w:t>
      </w:r>
    </w:p>
    <w:p>
      <w:pPr>
        <w:spacing w:after="0" w:line="17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By:___________________________</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Name:_________________________</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Title:________________________</w:t>
      </w:r>
    </w:p>
    <w:p>
      <w:pPr>
        <w:sectPr>
          <w:pgSz w:w="11900" w:h="16838" w:orient="portrait"/>
          <w:cols w:equalWidth="0" w:num="1">
            <w:col w:w="10239"/>
          </w:cols>
          <w:pgMar w:left="220" w:top="62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EMPLOYEE</w:t>
      </w:r>
    </w:p>
    <w:p>
      <w:pPr>
        <w:spacing w:after="0" w:line="178" w:lineRule="exact"/>
        <w:rPr>
          <w:sz w:val="20"/>
          <w:szCs w:val="20"/>
          <w:color w:val="auto"/>
        </w:rPr>
      </w:pPr>
    </w:p>
    <w:p>
      <w:pPr>
        <w:sectPr>
          <w:pgSz w:w="11900" w:h="16838" w:orient="portrait"/>
          <w:cols w:equalWidth="0" w:num="2">
            <w:col w:w="3580" w:space="720"/>
            <w:col w:w="593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S. Berkes</w:t>
      </w:r>
    </w:p>
    <w:p>
      <w:pPr>
        <w:spacing w:after="0" w:line="173" w:lineRule="exact"/>
        <w:rPr>
          <w:sz w:val="20"/>
          <w:szCs w:val="20"/>
          <w:color w:val="auto"/>
        </w:rPr>
      </w:pPr>
    </w:p>
    <w:p>
      <w:pPr>
        <w:sectPr>
          <w:pgSz w:w="11900" w:h="16838" w:orient="portrait"/>
          <w:cols w:equalWidth="0" w:num="2">
            <w:col w:w="3580" w:space="720"/>
            <w:col w:w="5939"/>
          </w:cols>
          <w:pgMar w:left="220" w:top="623"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4"/>
          <w:szCs w:val="14"/>
          <w:color w:val="auto"/>
        </w:rPr>
        <w:t>Page 5 of 5</w:t>
      </w:r>
    </w:p>
    <w:p>
      <w:pPr>
        <w:sectPr>
          <w:pgSz w:w="11900" w:h="16838" w:orient="portrait"/>
          <w:cols w:equalWidth="0" w:num="1">
            <w:col w:w="10239"/>
          </w:cols>
          <w:pgMar w:left="220" w:top="623" w:right="1440" w:bottom="1440" w:gutter="0" w:footer="0" w:header="0"/>
          <w:type w:val="continuous"/>
        </w:sectPr>
      </w:pPr>
    </w:p>
    <w:bookmarkStart w:id="107" w:name="page108"/>
    <w:bookmarkEnd w:id="107"/>
    <w:p>
      <w:pPr>
        <w:ind w:left="2720"/>
        <w:spacing w:after="0"/>
        <w:rPr>
          <w:sz w:val="20"/>
          <w:szCs w:val="20"/>
          <w:color w:val="auto"/>
        </w:rPr>
      </w:pPr>
      <w:r>
        <w:rPr>
          <w:rFonts w:ascii="Courier New" w:cs="Courier New" w:eastAsia="Courier New" w:hAnsi="Courier New"/>
          <w:sz w:val="15"/>
          <w:szCs w:val="15"/>
          <w:color w:val="auto"/>
        </w:rPr>
        <w:t>SEVERANCE AGREEMENT</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SEVERANCE AGREEMENT ("Severance Agreement"), made and entered into as of this 1st day of March, 2000 by and between FEDERAL REALTY INVESTMENT TRUST, a Maryland real estate investment trust ("Employer"), and JEFFREY S. BERKES ("Employee").</w:t>
      </w:r>
    </w:p>
    <w:p>
      <w:pPr>
        <w:spacing w:after="0" w:line="175"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WHEREAS, commencing on February 15, 2000, Employee will serve as Employer's Vice President - Strategic Transactions and Employer and Employee wish to set forth the terms of a Severance Agreement for Employee.</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69" w:lineRule="exact"/>
        <w:rPr>
          <w:sz w:val="20"/>
          <w:szCs w:val="20"/>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Severance Agreement.  This Severance Agreement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effective as of the date first written above and shall continue and remain in full force and effect until terminated by the parties in writing.</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In the event that Employee's employment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with Employer is terminated under any of the circumstances in Sections 2(a) or 2(b), Employee will be deemed to have been Terminated Without Cause and shall receive payments and benefits as described in this Section 2; provided, however, in the event Employee's employment with Employer is terminated under any of the circumstances in Sections 2(a) or 2(b) under circumstances described in Section 7 below, Employee shall receive such payments and benefits as are set forth in Section 7 in lieu of the payments and benefits under this Section 2:</w:t>
      </w:r>
    </w:p>
    <w:p>
      <w:pPr>
        <w:spacing w:after="0" w:line="165" w:lineRule="exact"/>
        <w:rPr>
          <w:rFonts w:ascii="Courier New" w:cs="Courier New" w:eastAsia="Courier New" w:hAnsi="Courier New"/>
          <w:sz w:val="15"/>
          <w:szCs w:val="15"/>
          <w:color w:val="auto"/>
        </w:rPr>
      </w:pPr>
    </w:p>
    <w:p>
      <w:pPr>
        <w:ind w:left="1680" w:right="3399" w:hanging="796"/>
        <w:spacing w:after="0" w:line="234" w:lineRule="auto"/>
        <w:tabs>
          <w:tab w:leader="none" w:pos="16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Employer other than with Cause (as "Cause" is defined in Section 4 hereof);</w:t>
      </w:r>
    </w:p>
    <w:p>
      <w:pPr>
        <w:spacing w:after="0" w:line="173" w:lineRule="exact"/>
        <w:rPr>
          <w:rFonts w:ascii="Courier New" w:cs="Courier New" w:eastAsia="Courier New" w:hAnsi="Courier New"/>
          <w:sz w:val="15"/>
          <w:szCs w:val="15"/>
          <w:color w:val="auto"/>
        </w:rPr>
      </w:pPr>
    </w:p>
    <w:p>
      <w:pPr>
        <w:ind w:left="1680" w:right="4199" w:hanging="796"/>
        <w:spacing w:after="0" w:line="261" w:lineRule="auto"/>
        <w:tabs>
          <w:tab w:leader="none" w:pos="168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within six (6) months following the occurrence of one or more of the following events:</w:t>
      </w:r>
    </w:p>
    <w:p>
      <w:pPr>
        <w:spacing w:after="0" w:line="153" w:lineRule="exact"/>
        <w:rPr>
          <w:rFonts w:ascii="Courier New" w:cs="Courier New" w:eastAsia="Courier New" w:hAnsi="Courier New"/>
          <w:sz w:val="14"/>
          <w:szCs w:val="14"/>
          <w:color w:val="auto"/>
        </w:rPr>
      </w:pPr>
    </w:p>
    <w:p>
      <w:pPr>
        <w:ind w:left="2380" w:hanging="709"/>
        <w:spacing w:after="0"/>
        <w:tabs>
          <w:tab w:leader="none" w:pos="238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nature of Employee's duties or the scope</w:t>
      </w:r>
    </w:p>
    <w:p>
      <w:pPr>
        <w:spacing w:after="0" w:line="4" w:lineRule="exact"/>
        <w:rPr>
          <w:rFonts w:ascii="Courier New" w:cs="Courier New" w:eastAsia="Courier New" w:hAnsi="Courier New"/>
          <w:sz w:val="15"/>
          <w:szCs w:val="15"/>
          <w:color w:val="auto"/>
        </w:rPr>
      </w:pPr>
    </w:p>
    <w:p>
      <w:pPr>
        <w:ind w:left="238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Employee's responsibilities or authority as of the date first written above are materially modified by Employer without Employee's written consent where such material modification constitutes an actual or constructive demotion of Employee; provided, however, that a change in the position(s) to whom Employee reports shall not by itself constitute a material modification of Employee's responsibilities unless Employee is assigned to report to a position below the level of executive officer; provided, further, that if Employee voluntarily becomes an employee of an affiliate of the Employer in connection with a Spin-off (as defined in Section 16)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 to 20</w:t>
      </w:r>
    </w:p>
    <w:p>
      <w:pPr>
        <w:sectPr>
          <w:pgSz w:w="11900" w:h="16838" w:orient="portrait"/>
          <w:cols w:equalWidth="0" w:num="1">
            <w:col w:w="10239"/>
          </w:cols>
          <w:pgMar w:left="220" w:top="617" w:right="1440" w:bottom="1440" w:gutter="0" w:footer="0" w:header="0"/>
        </w:sectPr>
      </w:pPr>
    </w:p>
    <w:bookmarkStart w:id="108" w:name="page109"/>
    <w:bookmarkEnd w:id="108"/>
    <w:p>
      <w:pPr>
        <w:ind w:left="1496" w:right="3239" w:hanging="709"/>
        <w:spacing w:after="0" w:line="235" w:lineRule="auto"/>
        <w:tabs>
          <w:tab w:leader="none" w:pos="149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changes the location of its principal office to outside a fifty (50) mile radius of Washington, D.C.;</w:t>
      </w:r>
    </w:p>
    <w:p>
      <w:pPr>
        <w:spacing w:after="0" w:line="173" w:lineRule="exact"/>
        <w:rPr>
          <w:rFonts w:ascii="Courier New" w:cs="Courier New" w:eastAsia="Courier New" w:hAnsi="Courier New"/>
          <w:sz w:val="15"/>
          <w:szCs w:val="15"/>
          <w:color w:val="auto"/>
        </w:rPr>
      </w:pPr>
    </w:p>
    <w:p>
      <w:pPr>
        <w:ind w:left="1496" w:right="3319" w:hanging="709"/>
        <w:spacing w:after="0" w:line="255" w:lineRule="auto"/>
        <w:tabs>
          <w:tab w:leader="none" w:pos="149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Employer's setting of Employee's base salary for any year at an amount which is less than ninety percent (90%) of the greater of (A) Employee's base salary for 2000, or (B) Employee's highest base salary during the three (3) then most recent calendar years (including the year of termination), regardless of whether such salary reduction occurs in one year or over the course of years; and</w:t>
      </w:r>
    </w:p>
    <w:p>
      <w:pPr>
        <w:spacing w:after="0" w:line="165" w:lineRule="exact"/>
        <w:rPr>
          <w:rFonts w:ascii="Courier New" w:cs="Courier New" w:eastAsia="Courier New" w:hAnsi="Courier New"/>
          <w:sz w:val="14"/>
          <w:szCs w:val="14"/>
          <w:color w:val="auto"/>
        </w:rPr>
      </w:pPr>
    </w:p>
    <w:p>
      <w:pPr>
        <w:ind w:left="1496" w:right="3239" w:hanging="709"/>
        <w:spacing w:after="0" w:line="236" w:lineRule="auto"/>
        <w:tabs>
          <w:tab w:leader="none" w:pos="149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Severance Agreement is not expressly assumed by any successor (directly or indirectly, whether by purchase, merger, consolidation or otherwise) to all or substantially all of the business and/or assets of Employer.</w:t>
      </w:r>
    </w:p>
    <w:p>
      <w:pPr>
        <w:spacing w:after="0" w:line="167"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by Employer to Terminate Without Cause.</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8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Employer's decision to terminate Employee's employment Without Cause shall be made by the Board of Trustees.</w:t>
      </w:r>
    </w:p>
    <w:p>
      <w:pPr>
        <w:spacing w:after="0" w:line="153"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 Upon Termination Without Cause.  In the</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Termination Without Cause other than under circumstances describedin Section 7 below, Employee will receive as severance pay an amount in cash equal to one (1) year's salary. For the purpose of calculating amounts payable pursuant to this Section 2(d), "salary" shall be an amount equal to (i) the greater of (A) Employee's highest annual base salary paid during the previous</w:t>
      </w:r>
    </w:p>
    <w:p>
      <w:pPr>
        <w:spacing w:after="0" w:line="7" w:lineRule="exact"/>
        <w:rPr>
          <w:rFonts w:ascii="Courier New" w:cs="Courier New" w:eastAsia="Courier New" w:hAnsi="Courier New"/>
          <w:sz w:val="15"/>
          <w:szCs w:val="15"/>
          <w:color w:val="auto"/>
        </w:rPr>
      </w:pPr>
    </w:p>
    <w:p>
      <w:pPr>
        <w:ind w:left="796"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three (3) years or (B) Employee's annual base salary in the year of termination, plus (ii) the greatest annual aggregate amount of any cash and/or stock bonus paid to Employee in respect of any of the three (3) fiscal years immediately preceding such termination (it being understood and agreed that such amount shall not include compensation paid pursuant to performance share awards). For purposes of the preceding sentence: (i) a stock bonus will be considered to have been paid in respect of a particular year if (A) in the case of a bonus paid under Employer's Incentive Bonus Plan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and (ii)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Payment also will be made for vacation time that has accrued, but is unused as of the date of termination.</w:t>
      </w:r>
    </w:p>
    <w:p>
      <w:pPr>
        <w:spacing w:after="0" w:line="172"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In the event of Termination Without Cause other</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than under circumstances described in Section 7 below, Employee shall receive "Full Benefits" for nine (9) months. Employer shall have satisfied its obligation to</w:t>
      </w:r>
    </w:p>
    <w:p>
      <w:pPr>
        <w:spacing w:after="0" w:line="167"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2 of 20</w:t>
      </w:r>
    </w:p>
    <w:p>
      <w:pPr>
        <w:sectPr>
          <w:pgSz w:w="11900" w:h="16838" w:orient="portrait"/>
          <w:cols w:equalWidth="0" w:num="1">
            <w:col w:w="9355"/>
          </w:cols>
          <w:pgMar w:left="1104" w:top="623" w:right="1440" w:bottom="1440" w:gutter="0" w:footer="0" w:header="0"/>
        </w:sectPr>
      </w:pPr>
    </w:p>
    <w:bookmarkStart w:id="109" w:name="page110"/>
    <w:bookmarkEnd w:id="109"/>
    <w:p>
      <w:pPr>
        <w:ind w:left="796" w:right="3239"/>
        <w:spacing w:after="0" w:line="234" w:lineRule="auto"/>
        <w:rPr>
          <w:sz w:val="20"/>
          <w:szCs w:val="20"/>
          <w:color w:val="auto"/>
        </w:rPr>
      </w:pPr>
      <w:r>
        <w:rPr>
          <w:rFonts w:ascii="Courier New" w:cs="Courier New" w:eastAsia="Courier New" w:hAnsi="Courier New"/>
          <w:sz w:val="15"/>
          <w:szCs w:val="15"/>
          <w:color w:val="auto"/>
        </w:rPr>
        <w:t>provide Full Benefits to Employee if it (i) pays premiums due in connection with COBRA continuation coverage to</w:t>
      </w:r>
    </w:p>
    <w:p>
      <w:pPr>
        <w:spacing w:after="0" w:line="5" w:lineRule="exact"/>
        <w:rPr>
          <w:sz w:val="20"/>
          <w:szCs w:val="20"/>
          <w:color w:val="auto"/>
        </w:rPr>
      </w:pPr>
    </w:p>
    <w:p>
      <w:pPr>
        <w:ind w:left="796" w:right="3399"/>
        <w:spacing w:after="0" w:line="254" w:lineRule="auto"/>
        <w:rPr>
          <w:sz w:val="20"/>
          <w:szCs w:val="20"/>
          <w:color w:val="auto"/>
        </w:rPr>
      </w:pPr>
      <w:r>
        <w:rPr>
          <w:rFonts w:ascii="Courier New" w:cs="Courier New" w:eastAsia="Courier New" w:hAnsi="Courier New"/>
          <w:sz w:val="14"/>
          <w:szCs w:val="14"/>
          <w:color w:val="auto"/>
        </w:rPr>
        <w:t>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w:t>
      </w:r>
    </w:p>
    <w:p>
      <w:pPr>
        <w:spacing w:after="0" w:line="7" w:lineRule="exact"/>
        <w:rPr>
          <w:sz w:val="20"/>
          <w:szCs w:val="20"/>
          <w:color w:val="auto"/>
        </w:rPr>
      </w:pPr>
    </w:p>
    <w:p>
      <w:pPr>
        <w:ind w:left="796" w:right="3579"/>
        <w:spacing w:after="0" w:line="236" w:lineRule="auto"/>
        <w:rPr>
          <w:sz w:val="20"/>
          <w:szCs w:val="20"/>
          <w:color w:val="auto"/>
        </w:rPr>
      </w:pPr>
      <w:r>
        <w:rPr>
          <w:rFonts w:ascii="Courier New" w:cs="Courier New" w:eastAsia="Courier New" w:hAnsi="Courier New"/>
          <w:sz w:val="15"/>
          <w:szCs w:val="15"/>
          <w:color w:val="auto"/>
        </w:rPr>
        <w:t>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176" w:lineRule="exact"/>
        <w:rPr>
          <w:sz w:val="20"/>
          <w:szCs w:val="20"/>
          <w:color w:val="auto"/>
        </w:rPr>
      </w:pPr>
    </w:p>
    <w:p>
      <w:pPr>
        <w:ind w:left="796" w:hanging="796"/>
        <w:spacing w:after="0"/>
        <w:tabs>
          <w:tab w:leader="none" w:pos="79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Notwithstanding any agreement to the contrary,</w:t>
      </w:r>
    </w:p>
    <w:p>
      <w:pPr>
        <w:spacing w:after="0" w:line="4" w:lineRule="exact"/>
        <w:rPr>
          <w:rFonts w:ascii="Courier New" w:cs="Courier New" w:eastAsia="Courier New" w:hAnsi="Courier New"/>
          <w:sz w:val="14"/>
          <w:szCs w:val="14"/>
          <w:color w:val="auto"/>
        </w:rPr>
      </w:pPr>
    </w:p>
    <w:p>
      <w:pPr>
        <w:ind w:left="79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796"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 event of any Termination Without Cause other than under circumstances described in Section 7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172" w:lineRule="exact"/>
        <w:rPr>
          <w:rFonts w:ascii="Courier New" w:cs="Courier New" w:eastAsia="Courier New" w:hAnsi="Courier New"/>
          <w:sz w:val="14"/>
          <w:szCs w:val="14"/>
          <w:color w:val="auto"/>
        </w:rPr>
      </w:pPr>
    </w:p>
    <w:p>
      <w:pPr>
        <w:ind w:left="796" w:hanging="796"/>
        <w:spacing w:after="0"/>
        <w:tabs>
          <w:tab w:leader="none" w:pos="79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Outplacement Services. In the event of Termination Without</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Cause other than under circumstances described in Section 7 below, Employer shall make available at Employer's expense to Employee at Employee's option the services of an employment search/outplacement agency selected by Employer for a period not to exceed six (6) months from the date of Employee's termination.</w:t>
      </w:r>
    </w:p>
    <w:p>
      <w:pPr>
        <w:spacing w:after="0" w:line="174"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Telephone/Secretary. In the event of Termination</w:t>
      </w:r>
    </w:p>
    <w:p>
      <w:pPr>
        <w:spacing w:after="0" w:line="4" w:lineRule="exact"/>
        <w:rPr>
          <w:rFonts w:ascii="Courier New" w:cs="Courier New" w:eastAsia="Courier New" w:hAnsi="Courier New"/>
          <w:sz w:val="14"/>
          <w:szCs w:val="14"/>
          <w:color w:val="auto"/>
        </w:rPr>
      </w:pPr>
    </w:p>
    <w:p>
      <w:pPr>
        <w:ind w:left="79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796"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other than under circumstances described in Section 7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65" w:lineRule="exact"/>
        <w:rPr>
          <w:rFonts w:ascii="Courier New" w:cs="Courier New" w:eastAsia="Courier New" w:hAnsi="Courier New"/>
          <w:sz w:val="14"/>
          <w:szCs w:val="14"/>
          <w:color w:val="auto"/>
        </w:rPr>
      </w:pPr>
    </w:p>
    <w:p>
      <w:pPr>
        <w:ind w:left="796" w:hanging="796"/>
        <w:spacing w:after="0"/>
        <w:tabs>
          <w:tab w:leader="none" w:pos="79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If Employee terminates his or her employment pursuant</w:t>
      </w:r>
    </w:p>
    <w:p>
      <w:pPr>
        <w:spacing w:after="0" w:line="4" w:lineRule="exact"/>
        <w:rPr>
          <w:rFonts w:ascii="Courier New" w:cs="Courier New" w:eastAsia="Courier New" w:hAnsi="Courier New"/>
          <w:sz w:val="14"/>
          <w:szCs w:val="14"/>
          <w:color w:val="auto"/>
        </w:rPr>
      </w:pPr>
    </w:p>
    <w:p>
      <w:pPr>
        <w:ind w:left="79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796" w:right="39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Section 2(b) hereof other than under circumstances described in Section 7 below and (i)</w:t>
      </w:r>
    </w:p>
    <w:p>
      <w:pPr>
        <w:spacing w:after="0" w:line="167"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3 of 20</w:t>
      </w:r>
    </w:p>
    <w:p>
      <w:pPr>
        <w:sectPr>
          <w:pgSz w:w="11900" w:h="16838" w:orient="portrait"/>
          <w:cols w:equalWidth="0" w:num="1">
            <w:col w:w="9355"/>
          </w:cols>
          <w:pgMar w:left="1104" w:top="624" w:right="1440" w:bottom="1440" w:gutter="0" w:footer="0" w:header="0"/>
        </w:sectPr>
      </w:pPr>
    </w:p>
    <w:bookmarkStart w:id="110" w:name="page111"/>
    <w:bookmarkEnd w:id="110"/>
    <w:p>
      <w:pPr>
        <w:ind w:left="1233" w:right="3239"/>
        <w:spacing w:after="0" w:line="236" w:lineRule="auto"/>
        <w:rPr>
          <w:sz w:val="20"/>
          <w:szCs w:val="20"/>
          <w:color w:val="auto"/>
        </w:rPr>
      </w:pPr>
      <w:r>
        <w:rPr>
          <w:rFonts w:ascii="Courier New" w:cs="Courier New" w:eastAsia="Courier New" w:hAnsi="Courier New"/>
          <w:sz w:val="15"/>
          <w:szCs w:val="15"/>
          <w:color w:val="auto"/>
        </w:rPr>
        <w:t>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174" w:lineRule="exact"/>
        <w:rPr>
          <w:sz w:val="20"/>
          <w:szCs w:val="20"/>
          <w:color w:val="auto"/>
        </w:rPr>
      </w:pPr>
    </w:p>
    <w:p>
      <w:pPr>
        <w:ind w:left="1233" w:right="3239" w:hanging="796"/>
        <w:spacing w:after="0" w:line="236" w:lineRule="auto"/>
        <w:tabs>
          <w:tab w:leader="none" w:pos="1233"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Agreement, it shall not be considered a Termination Without Cause in the event that the Employee voluntarily becomes an employee of an affiliate of the Employer in connection with a Spin-off of that affiliate if the Employer has assigned this Agreement to the affiliate as contemplated in Section 16 and the affiliate has assumed the obligations hereunder.</w:t>
      </w:r>
    </w:p>
    <w:p>
      <w:pPr>
        <w:spacing w:after="0" w:line="169"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If Employee is not an executive officer of</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3"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Employer, Employee shall give sixty (60) days' written notice to Employer of Employee's resignation from employment in all capacities with Employer other than under circumstances described in Section 7 below; if Employee is an executive officer of Employer, Employee shall give ninety (90) days' written notice to Employer of Employee's resignation from employment in all capacities with Employer other than under circumstances described in Section 7 below.</w:t>
      </w:r>
    </w:p>
    <w:p>
      <w:pPr>
        <w:spacing w:after="0" w:line="159"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With Cause.  Employee shall be</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3"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deemed to have been terminated with Cause in the event that the employment of Employee is terminated for any of the following reasons other than under circumstances described in Section 7 below:</w:t>
      </w:r>
    </w:p>
    <w:p>
      <w:pPr>
        <w:spacing w:after="0" w:line="161" w:lineRule="exact"/>
        <w:rPr>
          <w:rFonts w:ascii="Courier New" w:cs="Courier New" w:eastAsia="Courier New" w:hAnsi="Courier New"/>
          <w:sz w:val="15"/>
          <w:szCs w:val="15"/>
          <w:color w:val="auto"/>
        </w:rPr>
      </w:pPr>
    </w:p>
    <w:p>
      <w:pPr>
        <w:ind w:left="1233" w:right="3399" w:hanging="796"/>
        <w:spacing w:after="0" w:line="236" w:lineRule="auto"/>
        <w:tabs>
          <w:tab w:leader="none" w:pos="123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174" w:lineRule="exact"/>
        <w:rPr>
          <w:rFonts w:ascii="Courier New" w:cs="Courier New" w:eastAsia="Courier New" w:hAnsi="Courier New"/>
          <w:sz w:val="15"/>
          <w:szCs w:val="15"/>
          <w:color w:val="auto"/>
        </w:rPr>
      </w:pPr>
    </w:p>
    <w:p>
      <w:pPr>
        <w:ind w:left="1233" w:right="3319" w:hanging="796"/>
        <w:spacing w:after="0" w:line="235" w:lineRule="auto"/>
        <w:tabs>
          <w:tab w:leader="none" w:pos="123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conduct which is demonstrably and materially injurious to Employer or an affiliate thereof, monetarily or otherwise;</w:t>
      </w:r>
    </w:p>
    <w:p>
      <w:pPr>
        <w:spacing w:after="0" w:line="167" w:lineRule="exact"/>
        <w:rPr>
          <w:rFonts w:ascii="Courier New" w:cs="Courier New" w:eastAsia="Courier New" w:hAnsi="Courier New"/>
          <w:sz w:val="15"/>
          <w:szCs w:val="15"/>
          <w:color w:val="auto"/>
        </w:rPr>
      </w:pPr>
    </w:p>
    <w:p>
      <w:pPr>
        <w:ind w:left="1233" w:hanging="796"/>
        <w:spacing w:after="0"/>
        <w:tabs>
          <w:tab w:leader="none" w:pos="123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fiduciary duty involving personal profit; or</w:t>
      </w:r>
    </w:p>
    <w:p>
      <w:pPr>
        <w:spacing w:after="0" w:line="172" w:lineRule="exact"/>
        <w:rPr>
          <w:rFonts w:ascii="Courier New" w:cs="Courier New" w:eastAsia="Courier New" w:hAnsi="Courier New"/>
          <w:sz w:val="15"/>
          <w:szCs w:val="15"/>
          <w:color w:val="auto"/>
        </w:rPr>
      </w:pPr>
    </w:p>
    <w:p>
      <w:pPr>
        <w:ind w:left="1233" w:right="3239" w:hanging="796"/>
        <w:spacing w:after="0" w:line="236" w:lineRule="auto"/>
        <w:tabs>
          <w:tab w:leader="none" w:pos="123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75" w:lineRule="exact"/>
        <w:rPr>
          <w:rFonts w:ascii="Courier New" w:cs="Courier New" w:eastAsia="Courier New" w:hAnsi="Courier New"/>
          <w:sz w:val="15"/>
          <w:szCs w:val="15"/>
          <w:color w:val="auto"/>
        </w:rPr>
      </w:pPr>
    </w:p>
    <w:p>
      <w:pPr>
        <w:ind w:left="1233" w:right="3939" w:hanging="796"/>
        <w:spacing w:after="0" w:line="235" w:lineRule="auto"/>
        <w:tabs>
          <w:tab w:leader="none" w:pos="123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by Employer to Terminate With Cause. The decision to terminate the employment of Employee with Cause shall be made by the Board of Trustees.</w:t>
      </w:r>
    </w:p>
    <w:p>
      <w:pPr>
        <w:spacing w:after="0" w:line="173" w:lineRule="exact"/>
        <w:rPr>
          <w:rFonts w:ascii="Courier New" w:cs="Courier New" w:eastAsia="Courier New" w:hAnsi="Courier New"/>
          <w:sz w:val="15"/>
          <w:szCs w:val="15"/>
          <w:color w:val="auto"/>
        </w:rPr>
      </w:pPr>
    </w:p>
    <w:p>
      <w:pPr>
        <w:ind w:left="1233" w:right="3319" w:hanging="796"/>
        <w:spacing w:after="0" w:line="236" w:lineRule="auto"/>
        <w:tabs>
          <w:tab w:leader="none" w:pos="123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 Upon Termination with Cause. In the event of termination for Failure to Perform pursuant to Section 4(a), or termination for cause pursuant to Section 4(b), (c) or (d) above, the terms of the stock option agreements between</w:t>
      </w:r>
    </w:p>
    <w:p>
      <w:pPr>
        <w:spacing w:after="0" w:line="167" w:lineRule="exact"/>
        <w:rPr>
          <w:sz w:val="20"/>
          <w:szCs w:val="20"/>
          <w:color w:val="auto"/>
        </w:rPr>
      </w:pPr>
    </w:p>
    <w:p>
      <w:pPr>
        <w:ind w:left="2453"/>
        <w:spacing w:after="0"/>
        <w:rPr>
          <w:sz w:val="20"/>
          <w:szCs w:val="20"/>
          <w:color w:val="auto"/>
        </w:rPr>
      </w:pPr>
      <w:r>
        <w:rPr>
          <w:rFonts w:ascii="Courier New" w:cs="Courier New" w:eastAsia="Courier New" w:hAnsi="Courier New"/>
          <w:sz w:val="15"/>
          <w:szCs w:val="15"/>
          <w:color w:val="auto"/>
        </w:rPr>
        <w:t>4 of 20</w:t>
      </w:r>
    </w:p>
    <w:p>
      <w:pPr>
        <w:sectPr>
          <w:pgSz w:w="11900" w:h="16838" w:orient="portrait"/>
          <w:cols w:equalWidth="0" w:num="1">
            <w:col w:w="9792"/>
          </w:cols>
          <w:pgMar w:left="667" w:top="624" w:right="1440" w:bottom="1440" w:gutter="0" w:footer="0" w:header="0"/>
        </w:sectPr>
      </w:pPr>
    </w:p>
    <w:bookmarkStart w:id="111" w:name="page112"/>
    <w:bookmarkEnd w:id="111"/>
    <w:p>
      <w:pPr>
        <w:ind w:left="1233" w:right="3319"/>
        <w:spacing w:after="0" w:line="235" w:lineRule="auto"/>
        <w:rPr>
          <w:sz w:val="20"/>
          <w:szCs w:val="20"/>
          <w:color w:val="auto"/>
        </w:rPr>
      </w:pPr>
      <w:r>
        <w:rPr>
          <w:rFonts w:ascii="Courier New" w:cs="Courier New" w:eastAsia="Courier New" w:hAnsi="Courier New"/>
          <w:sz w:val="15"/>
          <w:szCs w:val="15"/>
          <w:color w:val="auto"/>
        </w:rPr>
        <w:t>Employer and Employee thereunder will determine the terms of the vesting of options and the exercisability of vested options.</w:t>
      </w:r>
    </w:p>
    <w:p>
      <w:pPr>
        <w:spacing w:after="0" w:line="174" w:lineRule="exact"/>
        <w:rPr>
          <w:sz w:val="20"/>
          <w:szCs w:val="20"/>
          <w:color w:val="auto"/>
        </w:rPr>
      </w:pPr>
    </w:p>
    <w:p>
      <w:pPr>
        <w:ind w:left="1753" w:hanging="529"/>
        <w:spacing w:after="0"/>
        <w:tabs>
          <w:tab w:leader="none" w:pos="1753"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Termination for Failure to Perform.  In the</w:t>
      </w:r>
    </w:p>
    <w:p>
      <w:pPr>
        <w:spacing w:after="0" w:line="4" w:lineRule="exact"/>
        <w:rPr>
          <w:rFonts w:ascii="Courier New" w:cs="Courier New" w:eastAsia="Courier New" w:hAnsi="Courier New"/>
          <w:sz w:val="14"/>
          <w:szCs w:val="14"/>
          <w:color w:val="auto"/>
        </w:rPr>
      </w:pPr>
    </w:p>
    <w:p>
      <w:pPr>
        <w:ind w:left="17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1753"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event that Employee's employment is terminated with Cause pursuant to Section 4(a) above, Employee shall receive as severance pay an amount in cash equal to one (1) month's salary for every year of service to Employer in excess of five (5) years of service; such severance payment shall not exceed six (6) months' pay. The number of months for which such a payment is due shall determine the length of the for cause term ("For Cause Term"). For the purposes of this Section 4(f)(i)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4(f)(i) shall cease upon the date Employee commences such employment or affiliation; provided, however,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1753" w:hanging="529"/>
        <w:spacing w:after="0"/>
        <w:tabs>
          <w:tab w:leader="none" w:pos="1753" w:val="left"/>
        </w:tabs>
        <w:numPr>
          <w:ilvl w:val="2"/>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Cause Termination. In the event that Employee's</w:t>
      </w:r>
    </w:p>
    <w:p>
      <w:pPr>
        <w:spacing w:after="0" w:line="4" w:lineRule="exact"/>
        <w:rPr>
          <w:rFonts w:ascii="Courier New" w:cs="Courier New" w:eastAsia="Courier New" w:hAnsi="Courier New"/>
          <w:sz w:val="14"/>
          <w:szCs w:val="14"/>
          <w:color w:val="auto"/>
        </w:rPr>
      </w:pPr>
    </w:p>
    <w:p>
      <w:pPr>
        <w:ind w:left="17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1753" w:right="33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is terminated with Cause pursuant to Section 4(b), (c) or (d), Employee shall receive all base salary due and payable as of the date of Employee's termination of employment. No payment shall be made for bonus or other compensation. Payment also will be made for accrued, but unused vacation time.</w:t>
      </w:r>
    </w:p>
    <w:p>
      <w:pPr>
        <w:spacing w:after="0" w:line="159"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Upon Disability.  Employer may</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3"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terminate Employee upon thirty (30) days' prior written notice if (i) Employee's Disability has disabled Employee from rendering service to Employer for at least a six (6) month consecutive period during the term of Employee's employment, (ii) Employee's "Disability" is within the meaning of such defined term in Employer's group long-term disability policy, and (iii) Employee is covered</w:t>
      </w:r>
    </w:p>
    <w:p>
      <w:pPr>
        <w:spacing w:after="0" w:line="2" w:lineRule="exact"/>
        <w:rPr>
          <w:rFonts w:ascii="Courier New" w:cs="Courier New" w:eastAsia="Courier New" w:hAnsi="Courier New"/>
          <w:sz w:val="15"/>
          <w:szCs w:val="15"/>
          <w:color w:val="auto"/>
        </w:rPr>
      </w:pPr>
    </w:p>
    <w:p>
      <w:pPr>
        <w:ind w:left="433"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w:t>
      </w:r>
    </w:p>
    <w:p>
      <w:pPr>
        <w:spacing w:after="0" w:line="2" w:lineRule="exact"/>
        <w:rPr>
          <w:rFonts w:ascii="Courier New" w:cs="Courier New" w:eastAsia="Courier New" w:hAnsi="Courier New"/>
          <w:sz w:val="15"/>
          <w:szCs w:val="15"/>
          <w:color w:val="auto"/>
        </w:rPr>
      </w:pPr>
    </w:p>
    <w:p>
      <w:pPr>
        <w:ind w:left="433" w:right="3319" w:firstLine="4"/>
        <w:spacing w:after="0" w:line="254" w:lineRule="auto"/>
        <w:tabs>
          <w:tab w:leader="none" w:pos="783"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w:t>
      </w:r>
    </w:p>
    <w:p>
      <w:pPr>
        <w:spacing w:after="0" w:line="2" w:lineRule="exact"/>
        <w:rPr>
          <w:rFonts w:ascii="Courier New" w:cs="Courier New" w:eastAsia="Courier New" w:hAnsi="Courier New"/>
          <w:sz w:val="14"/>
          <w:szCs w:val="14"/>
          <w:color w:val="auto"/>
        </w:rPr>
      </w:pPr>
    </w:p>
    <w:p>
      <w:pPr>
        <w:ind w:left="43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such payments equal to the actual amount of such tax-exempt payments.</w:t>
      </w:r>
    </w:p>
    <w:p>
      <w:pPr>
        <w:spacing w:after="0" w:line="171" w:lineRule="exact"/>
        <w:rPr>
          <w:sz w:val="20"/>
          <w:szCs w:val="20"/>
          <w:color w:val="auto"/>
        </w:rPr>
      </w:pPr>
    </w:p>
    <w:p>
      <w:pPr>
        <w:ind w:left="2453"/>
        <w:spacing w:after="0"/>
        <w:rPr>
          <w:sz w:val="20"/>
          <w:szCs w:val="20"/>
          <w:color w:val="auto"/>
        </w:rPr>
      </w:pPr>
      <w:r>
        <w:rPr>
          <w:rFonts w:ascii="Courier New" w:cs="Courier New" w:eastAsia="Courier New" w:hAnsi="Courier New"/>
          <w:sz w:val="15"/>
          <w:szCs w:val="15"/>
          <w:color w:val="auto"/>
        </w:rPr>
        <w:t>5 of 20</w:t>
      </w:r>
    </w:p>
    <w:p>
      <w:pPr>
        <w:sectPr>
          <w:pgSz w:w="11900" w:h="16838" w:orient="portrait"/>
          <w:cols w:equalWidth="0" w:num="1">
            <w:col w:w="9792"/>
          </w:cols>
          <w:pgMar w:left="667" w:top="623" w:right="1440" w:bottom="1440" w:gutter="0" w:footer="0" w:header="0"/>
        </w:sectPr>
      </w:pPr>
    </w:p>
    <w:bookmarkStart w:id="112" w:name="page113"/>
    <w:bookmarkEnd w:id="112"/>
    <w:p>
      <w:pPr>
        <w:ind w:left="1233" w:hanging="796"/>
        <w:spacing w:after="0"/>
        <w:tabs>
          <w:tab w:leader="none" w:pos="123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Employee shall receive Full Benefits (as defined</w:t>
      </w:r>
    </w:p>
    <w:p>
      <w:pPr>
        <w:ind w:left="12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233"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above) for one (1) year following termination due to Disability.</w:t>
      </w:r>
    </w:p>
    <w:p>
      <w:pPr>
        <w:spacing w:after="0" w:line="166" w:lineRule="exact"/>
        <w:rPr>
          <w:rFonts w:ascii="Courier New" w:cs="Courier New" w:eastAsia="Courier New" w:hAnsi="Courier New"/>
          <w:sz w:val="15"/>
          <w:szCs w:val="15"/>
          <w:color w:val="auto"/>
        </w:rPr>
      </w:pPr>
    </w:p>
    <w:p>
      <w:pPr>
        <w:ind w:left="1233" w:hanging="796"/>
        <w:spacing w:after="0"/>
        <w:tabs>
          <w:tab w:leader="none" w:pos="1233"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In the event that Employee's employment is</w:t>
      </w:r>
    </w:p>
    <w:p>
      <w:pPr>
        <w:ind w:left="12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233"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67"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Upon Death. If Employee dies,</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3"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w:t>
      </w:r>
    </w:p>
    <w:p>
      <w:pPr>
        <w:spacing w:after="0" w:line="159"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Upon Change in Control.</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1233" w:hanging="796"/>
        <w:spacing w:after="0"/>
        <w:tabs>
          <w:tab w:leader="none" w:pos="1233"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Defined. No benefits shall be payable under</w:t>
      </w:r>
    </w:p>
    <w:p>
      <w:pPr>
        <w:spacing w:after="0" w:line="4" w:lineRule="exact"/>
        <w:rPr>
          <w:rFonts w:ascii="Courier New" w:cs="Courier New" w:eastAsia="Courier New" w:hAnsi="Courier New"/>
          <w:sz w:val="14"/>
          <w:szCs w:val="14"/>
          <w:color w:val="auto"/>
        </w:rPr>
      </w:pPr>
    </w:p>
    <w:p>
      <w:pPr>
        <w:ind w:left="123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jc w:val="both"/>
        <w:ind w:left="1233"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Section 7 unless there shall have occurred a Change in Control of Employer, as defined below. For purposes of this Section 7, a "Change in Control" of Employer shall mean any of the following events:</w:t>
      </w:r>
    </w:p>
    <w:p>
      <w:pPr>
        <w:spacing w:after="0" w:line="175" w:lineRule="exact"/>
        <w:rPr>
          <w:rFonts w:ascii="Courier New" w:cs="Courier New" w:eastAsia="Courier New" w:hAnsi="Courier New"/>
          <w:sz w:val="14"/>
          <w:szCs w:val="14"/>
          <w:color w:val="auto"/>
        </w:rPr>
      </w:pPr>
    </w:p>
    <w:p>
      <w:pPr>
        <w:ind w:left="1753" w:right="3399" w:hanging="529"/>
        <w:spacing w:after="0" w:line="254" w:lineRule="auto"/>
        <w:tabs>
          <w:tab w:leader="none" w:pos="1753"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provided, however, in determining whether a Change in Control has occurred, Voting Securities which</w:t>
      </w:r>
    </w:p>
    <w:p>
      <w:pPr>
        <w:spacing w:after="0" w:line="4" w:lineRule="exact"/>
        <w:rPr>
          <w:rFonts w:ascii="Courier New" w:cs="Courier New" w:eastAsia="Courier New" w:hAnsi="Courier New"/>
          <w:sz w:val="14"/>
          <w:szCs w:val="14"/>
          <w:color w:val="auto"/>
        </w:rPr>
      </w:pPr>
    </w:p>
    <w:p>
      <w:pPr>
        <w:ind w:left="1753" w:right="36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73" w:lineRule="exact"/>
        <w:rPr>
          <w:rFonts w:ascii="Courier New" w:cs="Courier New" w:eastAsia="Courier New" w:hAnsi="Courier New"/>
          <w:sz w:val="14"/>
          <w:szCs w:val="14"/>
          <w:color w:val="auto"/>
        </w:rPr>
      </w:pPr>
    </w:p>
    <w:p>
      <w:pPr>
        <w:ind w:left="1753" w:right="3319" w:hanging="529"/>
        <w:spacing w:after="0" w:line="236" w:lineRule="auto"/>
        <w:tabs>
          <w:tab w:leader="none" w:pos="1753"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of this Severance Agreement, are members of the Board of Trustees (the "Incumbent Trustees"), cease for any reason to constitute at least two-thirds of the Board; provided, however, that if the election, or nomination for election by Employer's</w:t>
      </w:r>
    </w:p>
    <w:p>
      <w:pPr>
        <w:spacing w:after="0" w:line="168" w:lineRule="exact"/>
        <w:rPr>
          <w:sz w:val="20"/>
          <w:szCs w:val="20"/>
          <w:color w:val="auto"/>
        </w:rPr>
      </w:pPr>
    </w:p>
    <w:p>
      <w:pPr>
        <w:ind w:left="2453"/>
        <w:spacing w:after="0"/>
        <w:rPr>
          <w:sz w:val="20"/>
          <w:szCs w:val="20"/>
          <w:color w:val="auto"/>
        </w:rPr>
      </w:pPr>
      <w:r>
        <w:rPr>
          <w:rFonts w:ascii="Courier New" w:cs="Courier New" w:eastAsia="Courier New" w:hAnsi="Courier New"/>
          <w:sz w:val="15"/>
          <w:szCs w:val="15"/>
          <w:color w:val="auto"/>
        </w:rPr>
        <w:t>6 of 20</w:t>
      </w:r>
    </w:p>
    <w:p>
      <w:pPr>
        <w:sectPr>
          <w:pgSz w:w="11900" w:h="16838" w:orient="portrait"/>
          <w:cols w:equalWidth="0" w:num="1">
            <w:col w:w="9792"/>
          </w:cols>
          <w:pgMar w:left="667" w:top="617" w:right="1440" w:bottom="1440" w:gutter="0" w:footer="0" w:header="0"/>
        </w:sectPr>
      </w:pPr>
    </w:p>
    <w:bookmarkStart w:id="113" w:name="page114"/>
    <w:bookmarkEnd w:id="113"/>
    <w:p>
      <w:pPr>
        <w:ind w:left="980" w:right="3319"/>
        <w:spacing w:after="0" w:line="255" w:lineRule="auto"/>
        <w:rPr>
          <w:sz w:val="20"/>
          <w:szCs w:val="20"/>
          <w:color w:val="auto"/>
        </w:rPr>
      </w:pPr>
      <w:r>
        <w:rPr>
          <w:rFonts w:ascii="Courier New" w:cs="Courier New" w:eastAsia="Courier New" w:hAnsi="Courier New"/>
          <w:sz w:val="14"/>
          <w:szCs w:val="14"/>
          <w:color w:val="auto"/>
        </w:rPr>
        <w:t>shareholders, of any new member was approved by a vote of at least two-thirds of the Incumbent Trustees, such new member shall, for purposes of this Severance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w:t>
      </w:r>
    </w:p>
    <w:p>
      <w:pPr>
        <w:spacing w:after="0" w:line="164" w:lineRule="exact"/>
        <w:rPr>
          <w:sz w:val="20"/>
          <w:szCs w:val="20"/>
          <w:color w:val="auto"/>
        </w:rPr>
      </w:pPr>
    </w:p>
    <w:p>
      <w:pPr>
        <w:ind w:left="980" w:right="3319"/>
        <w:spacing w:after="0" w:line="261" w:lineRule="auto"/>
        <w:rPr>
          <w:sz w:val="20"/>
          <w:szCs w:val="20"/>
          <w:color w:val="auto"/>
        </w:rPr>
      </w:pPr>
      <w:r>
        <w:rPr>
          <w:rFonts w:ascii="Courier New" w:cs="Courier New" w:eastAsia="Courier New" w:hAnsi="Courier New"/>
          <w:sz w:val="14"/>
          <w:szCs w:val="14"/>
          <w:color w:val="auto"/>
        </w:rPr>
        <w:t>including by reason of any agreement intended to avoid or settle any Election Contest or Proxy Contest; or</w:t>
      </w:r>
    </w:p>
    <w:p>
      <w:pPr>
        <w:spacing w:after="0" w:line="153" w:lineRule="exact"/>
        <w:rPr>
          <w:sz w:val="20"/>
          <w:szCs w:val="20"/>
          <w:color w:val="auto"/>
        </w:rPr>
      </w:pPr>
    </w:p>
    <w:p>
      <w:pPr>
        <w:ind w:left="980" w:hanging="529"/>
        <w:spacing w:after="0"/>
        <w:tabs>
          <w:tab w:leader="none" w:pos="9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shareholders of Employer of</w:t>
      </w:r>
    </w:p>
    <w:p>
      <w:pPr>
        <w:spacing w:after="0" w:line="172" w:lineRule="exact"/>
        <w:rPr>
          <w:rFonts w:ascii="Courier New" w:cs="Courier New" w:eastAsia="Courier New" w:hAnsi="Courier New"/>
          <w:sz w:val="15"/>
          <w:szCs w:val="15"/>
          <w:color w:val="auto"/>
        </w:rPr>
      </w:pPr>
    </w:p>
    <w:p>
      <w:pPr>
        <w:ind w:left="1420" w:right="4019" w:hanging="444"/>
        <w:spacing w:after="0" w:line="261" w:lineRule="auto"/>
        <w:tabs>
          <w:tab w:leader="none" w:pos="142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involving Employer, unless:</w:t>
      </w:r>
    </w:p>
    <w:p>
      <w:pPr>
        <w:spacing w:after="0" w:line="159" w:lineRule="exact"/>
        <w:rPr>
          <w:rFonts w:ascii="Courier New" w:cs="Courier New" w:eastAsia="Courier New" w:hAnsi="Courier New"/>
          <w:sz w:val="14"/>
          <w:szCs w:val="14"/>
          <w:color w:val="auto"/>
        </w:rPr>
      </w:pPr>
    </w:p>
    <w:p>
      <w:pPr>
        <w:ind w:left="1860" w:right="3239" w:hanging="446"/>
        <w:spacing w:after="0" w:line="237" w:lineRule="auto"/>
        <w:tabs>
          <w:tab w:leader="none" w:pos="186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73" w:lineRule="exact"/>
        <w:rPr>
          <w:rFonts w:ascii="Courier New" w:cs="Courier New" w:eastAsia="Courier New" w:hAnsi="Courier New"/>
          <w:sz w:val="15"/>
          <w:szCs w:val="15"/>
          <w:color w:val="auto"/>
        </w:rPr>
      </w:pPr>
    </w:p>
    <w:p>
      <w:pPr>
        <w:ind w:left="1860" w:right="3239" w:hanging="446"/>
        <w:spacing w:after="0" w:line="236" w:lineRule="auto"/>
        <w:tabs>
          <w:tab w:leader="none" w:pos="186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175" w:lineRule="exact"/>
        <w:rPr>
          <w:rFonts w:ascii="Courier New" w:cs="Courier New" w:eastAsia="Courier New" w:hAnsi="Courier New"/>
          <w:sz w:val="15"/>
          <w:szCs w:val="15"/>
          <w:color w:val="auto"/>
        </w:rPr>
      </w:pPr>
    </w:p>
    <w:p>
      <w:pPr>
        <w:ind w:left="1860" w:right="3239" w:hanging="446"/>
        <w:spacing w:after="0" w:line="237" w:lineRule="auto"/>
        <w:tabs>
          <w:tab w:leader="none" w:pos="186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Employer or any 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73" w:lineRule="exact"/>
        <w:rPr>
          <w:rFonts w:ascii="Courier New" w:cs="Courier New" w:eastAsia="Courier New" w:hAnsi="Courier New"/>
          <w:sz w:val="15"/>
          <w:szCs w:val="15"/>
          <w:color w:val="auto"/>
        </w:rPr>
      </w:pPr>
    </w:p>
    <w:p>
      <w:pPr>
        <w:ind w:left="1860" w:right="3319" w:hanging="446"/>
        <w:spacing w:after="0" w:line="235" w:lineRule="auto"/>
        <w:tabs>
          <w:tab w:leader="none" w:pos="186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described in clauses (1) through (3) shall herein be referred to as a "Non-Control Transaction;"</w:t>
      </w:r>
    </w:p>
    <w:p>
      <w:pPr>
        <w:spacing w:after="0" w:line="173" w:lineRule="exact"/>
        <w:rPr>
          <w:rFonts w:ascii="Courier New" w:cs="Courier New" w:eastAsia="Courier New" w:hAnsi="Courier New"/>
          <w:sz w:val="15"/>
          <w:szCs w:val="15"/>
          <w:color w:val="auto"/>
        </w:rPr>
      </w:pPr>
    </w:p>
    <w:p>
      <w:pPr>
        <w:ind w:left="1420" w:right="3239" w:hanging="444"/>
        <w:spacing w:after="0" w:line="234" w:lineRule="auto"/>
        <w:tabs>
          <w:tab w:leader="none" w:pos="142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liquidation or dissolution of Employer; or</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7 of 20</w:t>
      </w:r>
    </w:p>
    <w:p>
      <w:pPr>
        <w:sectPr>
          <w:pgSz w:w="11900" w:h="16838" w:orient="portrait"/>
          <w:cols w:equalWidth="0" w:num="1">
            <w:col w:w="9019"/>
          </w:cols>
          <w:pgMar w:left="1440" w:top="624" w:right="1440" w:bottom="1440" w:gutter="0" w:footer="0" w:header="0"/>
        </w:sectPr>
      </w:pPr>
    </w:p>
    <w:bookmarkStart w:id="114" w:name="page115"/>
    <w:bookmarkEnd w:id="114"/>
    <w:p>
      <w:pPr>
        <w:ind w:left="1756" w:right="3239" w:hanging="444"/>
        <w:spacing w:after="0" w:line="235" w:lineRule="auto"/>
        <w:tabs>
          <w:tab w:leader="none" w:pos="1756"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for the sale or other disposition of all or substantially all of the assets of Employer to any Person (other than a transfer to a Subsidiary).</w:t>
      </w:r>
    </w:p>
    <w:p>
      <w:pPr>
        <w:spacing w:after="0" w:line="175" w:lineRule="exact"/>
        <w:rPr>
          <w:rFonts w:ascii="Courier New" w:cs="Courier New" w:eastAsia="Courier New" w:hAnsi="Courier New"/>
          <w:sz w:val="15"/>
          <w:szCs w:val="15"/>
          <w:color w:val="auto"/>
        </w:rPr>
      </w:pPr>
    </w:p>
    <w:p>
      <w:pPr>
        <w:ind w:left="1316" w:right="3399" w:hanging="529"/>
        <w:spacing w:after="0" w:line="254" w:lineRule="auto"/>
        <w:tabs>
          <w:tab w:leader="none" w:pos="1316"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w:t>
      </w:r>
    </w:p>
    <w:p>
      <w:pPr>
        <w:spacing w:after="0" w:line="338" w:lineRule="exact"/>
        <w:rPr>
          <w:sz w:val="20"/>
          <w:szCs w:val="20"/>
          <w:color w:val="auto"/>
        </w:rPr>
      </w:pPr>
    </w:p>
    <w:tbl>
      <w:tblPr>
        <w:tblLayout w:type="fixed"/>
        <w:tblInd w:w="1316" w:type="dxa"/>
        <w:tblCellMar>
          <w:top w:w="0" w:type="dxa"/>
          <w:left w:w="0" w:type="dxa"/>
          <w:bottom w:w="0" w:type="dxa"/>
          <w:right w:w="0" w:type="dxa"/>
        </w:tblCellMar>
      </w:tblPr>
      <w:tr>
        <w:trPr>
          <w:trHeight w:val="170"/>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w w:val="98"/>
              </w:rPr>
              <w:t>are referred as the</w:t>
            </w:r>
          </w:p>
        </w:tc>
        <w:tc>
          <w:tcPr>
            <w:tcW w:w="2580" w:type="dxa"/>
            <w:vAlign w:val="bottom"/>
          </w:tcPr>
          <w:p>
            <w:pPr>
              <w:ind w:left="220"/>
              <w:spacing w:after="0"/>
              <w:rPr>
                <w:sz w:val="20"/>
                <w:szCs w:val="20"/>
                <w:color w:val="auto"/>
              </w:rPr>
            </w:pPr>
            <w:r>
              <w:rPr>
                <w:rFonts w:ascii="Courier New" w:cs="Courier New" w:eastAsia="Courier New" w:hAnsi="Courier New"/>
                <w:sz w:val="15"/>
                <w:szCs w:val="15"/>
                <w:color w:val="auto"/>
              </w:rPr>
              <w:t>"Reorganization").</w:t>
            </w:r>
          </w:p>
        </w:tc>
      </w:tr>
      <w:tr>
        <w:trPr>
          <w:trHeight w:val="168"/>
        </w:trPr>
        <w:tc>
          <w:tcPr>
            <w:tcW w:w="4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Immediately   following the completion of the</w:t>
            </w:r>
          </w:p>
        </w:tc>
      </w:tr>
      <w:tr>
        <w:trPr>
          <w:trHeight w:val="168"/>
        </w:trPr>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Reorganization, all</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references to the Voting</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shall be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deemed to refer to the voting</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w:t>
            </w:r>
          </w:p>
        </w:tc>
        <w:tc>
          <w:tcPr>
            <w:tcW w:w="3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the Holding Company.</w:t>
            </w:r>
          </w:p>
        </w:tc>
      </w:tr>
    </w:tbl>
    <w:p>
      <w:pPr>
        <w:spacing w:after="0" w:line="173" w:lineRule="exact"/>
        <w:rPr>
          <w:sz w:val="20"/>
          <w:szCs w:val="20"/>
          <w:color w:val="auto"/>
        </w:rPr>
      </w:pPr>
    </w:p>
    <w:p>
      <w:pPr>
        <w:ind w:left="1316" w:right="3499" w:hanging="529"/>
        <w:spacing w:after="0" w:line="255" w:lineRule="auto"/>
        <w:tabs>
          <w:tab w:leader="none" w:pos="131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Severance 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57" w:lineRule="exact"/>
        <w:rPr>
          <w:rFonts w:ascii="Courier New" w:cs="Courier New" w:eastAsia="Courier New" w:hAnsi="Courier New"/>
          <w:sz w:val="14"/>
          <w:szCs w:val="14"/>
          <w:color w:val="auto"/>
        </w:rPr>
      </w:pPr>
    </w:p>
    <w:p>
      <w:pPr>
        <w:ind w:left="796" w:hanging="796"/>
        <w:spacing w:after="0"/>
        <w:tabs>
          <w:tab w:leader="none" w:pos="79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Following Change in Control.</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5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If a Change in Control of Employer occurs, Employee shall be entitled to the benefits provided in this Section 7</w:t>
      </w:r>
    </w:p>
    <w:p>
      <w:pPr>
        <w:spacing w:after="0" w:line="1" w:lineRule="exact"/>
        <w:rPr>
          <w:sz w:val="20"/>
          <w:szCs w:val="20"/>
          <w:color w:val="auto"/>
        </w:rPr>
      </w:pPr>
    </w:p>
    <w:p>
      <w:pPr>
        <w:ind w:left="796" w:right="3579"/>
        <w:spacing w:after="0" w:line="237" w:lineRule="auto"/>
        <w:rPr>
          <w:sz w:val="20"/>
          <w:szCs w:val="20"/>
          <w:color w:val="auto"/>
        </w:rPr>
      </w:pPr>
      <w:r>
        <w:rPr>
          <w:rFonts w:ascii="Courier New" w:cs="Courier New" w:eastAsia="Courier New" w:hAnsi="Courier New"/>
          <w:sz w:val="15"/>
          <w:szCs w:val="15"/>
          <w:color w:val="auto"/>
        </w:rPr>
        <w:t>upon the subsequent termination of Employee's employment with Employer for any reason, either voluntarily or involuntarily, within six (6) months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7, Employee's employment shall be terminated by written notice</w:t>
      </w:r>
    </w:p>
    <w:p>
      <w:pPr>
        <w:spacing w:after="0" w:line="167"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8 of 20</w:t>
      </w:r>
    </w:p>
    <w:p>
      <w:pPr>
        <w:sectPr>
          <w:pgSz w:w="11900" w:h="16838" w:orient="portrait"/>
          <w:cols w:equalWidth="0" w:num="1">
            <w:col w:w="9355"/>
          </w:cols>
          <w:pgMar w:left="1104" w:top="624" w:right="1440" w:bottom="1440" w:gutter="0" w:footer="0" w:header="0"/>
        </w:sectPr>
      </w:pPr>
    </w:p>
    <w:bookmarkStart w:id="115" w:name="page116"/>
    <w:bookmarkEnd w:id="115"/>
    <w:p>
      <w:pPr>
        <w:ind w:left="796" w:right="3319"/>
        <w:spacing w:after="0" w:line="236" w:lineRule="auto"/>
        <w:rPr>
          <w:sz w:val="20"/>
          <w:szCs w:val="20"/>
          <w:color w:val="auto"/>
        </w:rPr>
      </w:pPr>
      <w:r>
        <w:rPr>
          <w:rFonts w:ascii="Courier New" w:cs="Courier New" w:eastAsia="Courier New" w:hAnsi="Courier New"/>
          <w:sz w:val="15"/>
          <w:szCs w:val="15"/>
          <w:color w:val="auto"/>
        </w:rPr>
        <w:t>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77" w:lineRule="exact"/>
        <w:rPr>
          <w:sz w:val="20"/>
          <w:szCs w:val="20"/>
          <w:color w:val="auto"/>
        </w:rPr>
      </w:pPr>
    </w:p>
    <w:p>
      <w:pPr>
        <w:ind w:left="796" w:hanging="796"/>
        <w:spacing w:after="0"/>
        <w:tabs>
          <w:tab w:leader="none" w:pos="79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Benefits upon Termination. If, after a Change in</w:t>
      </w:r>
    </w:p>
    <w:p>
      <w:pPr>
        <w:spacing w:after="0" w:line="4" w:lineRule="exact"/>
        <w:rPr>
          <w:rFonts w:ascii="Courier New" w:cs="Courier New" w:eastAsia="Courier New" w:hAnsi="Courier New"/>
          <w:sz w:val="14"/>
          <w:szCs w:val="14"/>
          <w:color w:val="auto"/>
        </w:rPr>
      </w:pPr>
    </w:p>
    <w:p>
      <w:pPr>
        <w:ind w:left="79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796"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Control has occurred, Employee's employment with Employer is terminated in accordance with Section 7(b) above, then Employer shall pay to Employee and provide Employee, his or her beneficiaries and estate, the following:</w:t>
      </w:r>
    </w:p>
    <w:p>
      <w:pPr>
        <w:spacing w:after="0" w:line="175" w:lineRule="exact"/>
        <w:rPr>
          <w:rFonts w:ascii="Courier New" w:cs="Courier New" w:eastAsia="Courier New" w:hAnsi="Courier New"/>
          <w:sz w:val="14"/>
          <w:szCs w:val="14"/>
          <w:color w:val="auto"/>
        </w:rPr>
      </w:pPr>
    </w:p>
    <w:p>
      <w:pPr>
        <w:ind w:left="1316" w:right="3399" w:hanging="529"/>
        <w:spacing w:after="0" w:line="254" w:lineRule="auto"/>
        <w:tabs>
          <w:tab w:leader="none" w:pos="1316"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shall pay to Employee a single cash payment equal to the amount described in Section 2(d) above (without giving effect to any accelerated vesting which may have occurred as a result of the Change in Control).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w:t>
      </w:r>
    </w:p>
    <w:p>
      <w:pPr>
        <w:ind w:left="131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five (5) business days of the date of such notice;</w:t>
      </w:r>
    </w:p>
    <w:p>
      <w:pPr>
        <w:spacing w:after="0" w:line="173" w:lineRule="exact"/>
        <w:rPr>
          <w:rFonts w:ascii="Courier New" w:cs="Courier New" w:eastAsia="Courier New" w:hAnsi="Courier New"/>
          <w:sz w:val="14"/>
          <w:szCs w:val="14"/>
          <w:color w:val="auto"/>
        </w:rPr>
      </w:pPr>
    </w:p>
    <w:p>
      <w:pPr>
        <w:ind w:left="1316" w:right="3399" w:hanging="529"/>
        <w:spacing w:after="0" w:line="234" w:lineRule="auto"/>
        <w:tabs>
          <w:tab w:leader="none" w:pos="131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Full Benefits for one (1) year following the Termination Date;</w:t>
      </w:r>
    </w:p>
    <w:p>
      <w:pPr>
        <w:spacing w:after="0" w:line="173" w:lineRule="exact"/>
        <w:rPr>
          <w:rFonts w:ascii="Courier New" w:cs="Courier New" w:eastAsia="Courier New" w:hAnsi="Courier New"/>
          <w:sz w:val="15"/>
          <w:szCs w:val="15"/>
          <w:color w:val="auto"/>
        </w:rPr>
      </w:pPr>
    </w:p>
    <w:p>
      <w:pPr>
        <w:ind w:left="1316" w:right="3319" w:hanging="529"/>
        <w:spacing w:after="0" w:line="255" w:lineRule="auto"/>
        <w:tabs>
          <w:tab w:leader="none" w:pos="1316"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one (1) year following the Termination Date;</w:t>
      </w:r>
    </w:p>
    <w:p>
      <w:pPr>
        <w:spacing w:after="0" w:line="157" w:lineRule="exact"/>
        <w:rPr>
          <w:rFonts w:ascii="Courier New" w:cs="Courier New" w:eastAsia="Courier New" w:hAnsi="Courier New"/>
          <w:sz w:val="14"/>
          <w:szCs w:val="14"/>
          <w:color w:val="auto"/>
        </w:rPr>
      </w:pPr>
    </w:p>
    <w:p>
      <w:pPr>
        <w:ind w:left="1316" w:hanging="529"/>
        <w:spacing w:after="0"/>
        <w:tabs>
          <w:tab w:leader="none" w:pos="131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7(c),</w:t>
      </w:r>
    </w:p>
    <w:p>
      <w:pPr>
        <w:spacing w:after="0" w:line="4" w:lineRule="exact"/>
        <w:rPr>
          <w:rFonts w:ascii="Courier New" w:cs="Courier New" w:eastAsia="Courier New" w:hAnsi="Courier New"/>
          <w:sz w:val="15"/>
          <w:szCs w:val="15"/>
          <w:color w:val="auto"/>
        </w:rPr>
      </w:pPr>
    </w:p>
    <w:p>
      <w:pPr>
        <w:ind w:left="1316"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Employee's right to receive officer perquisites, allowances and accommodations of employment is intended to include (A) Employee's right to have Employer provide Employee for a period not to exceed six (6) months from Employee's Termination Date with a telephone number assigned to Employee at Employer's offices, telephone mail and a secretary to answer the telephone; provided, however, such benefits described in this Section 7(c)(iv)(A) shall not include an office or physical access to Employer's offices and will cease upon the commencement by Employee of employment with another employer, and (B) Employee's right to have Employer make available</w:t>
      </w:r>
    </w:p>
    <w:p>
      <w:pPr>
        <w:spacing w:after="0" w:line="4" w:lineRule="exact"/>
        <w:rPr>
          <w:rFonts w:ascii="Courier New" w:cs="Courier New" w:eastAsia="Courier New" w:hAnsi="Courier New"/>
          <w:sz w:val="15"/>
          <w:szCs w:val="15"/>
          <w:color w:val="auto"/>
        </w:rPr>
      </w:pPr>
    </w:p>
    <w:p>
      <w:pPr>
        <w:ind w:left="1316"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Employer's expense to Employee at Employee's option the services of an employment search/outplacement agency selected by Employee for a period not to exceed six (6) months.</w:t>
      </w:r>
    </w:p>
    <w:p>
      <w:pPr>
        <w:spacing w:after="0" w:line="169"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9 of 20</w:t>
      </w:r>
    </w:p>
    <w:p>
      <w:pPr>
        <w:sectPr>
          <w:pgSz w:w="11900" w:h="16838" w:orient="portrait"/>
          <w:cols w:equalWidth="0" w:num="1">
            <w:col w:w="9355"/>
          </w:cols>
          <w:pgMar w:left="1104" w:top="623" w:right="1440" w:bottom="1440" w:gutter="0" w:footer="0" w:header="0"/>
        </w:sectPr>
      </w:pPr>
    </w:p>
    <w:bookmarkStart w:id="116" w:name="page117"/>
    <w:bookmarkEnd w:id="116"/>
    <w:p>
      <w:pPr>
        <w:ind w:left="1316" w:right="3239" w:hanging="529"/>
        <w:spacing w:after="0" w:line="236" w:lineRule="auto"/>
        <w:tabs>
          <w:tab w:leader="none" w:pos="1316"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in Control, all restrictions on the receipt of any option to acquire or grant of Voting Securities to 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72"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1316" w:right="3319" w:hanging="529"/>
        <w:spacing w:after="0" w:line="254" w:lineRule="auto"/>
        <w:tabs>
          <w:tab w:leader="none" w:pos="1316"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subsection (ii) below, Employer shall within five (5) business days of receipt of written notice from Employee given at any time after the occurrence of a Change in Control but prior to the latest stated expiration date of any option held by Employee on the date of the Change in Control, redeem any Voting Securities held by Employee (whether acquired by exercise of any such option or grant or otherwise), at a price equal to the average closing price of Voting Securities as quoted on</w:t>
      </w:r>
    </w:p>
    <w:p>
      <w:pPr>
        <w:spacing w:after="0" w:line="3" w:lineRule="exact"/>
        <w:rPr>
          <w:rFonts w:ascii="Courier New" w:cs="Courier New" w:eastAsia="Courier New" w:hAnsi="Courier New"/>
          <w:sz w:val="14"/>
          <w:szCs w:val="14"/>
          <w:color w:val="auto"/>
        </w:rPr>
      </w:pPr>
    </w:p>
    <w:p>
      <w:pPr>
        <w:ind w:left="1316" w:right="357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New York Stock Exchange, or if such Voting Securities are not listed thereon, then the average of the closing "bid" and "ask" prices per share in the over-the-counter securities market for the fifteen (15) trading days prior to the date of such notice;</w:t>
      </w:r>
    </w:p>
    <w:p>
      <w:pPr>
        <w:spacing w:after="0" w:line="175" w:lineRule="exact"/>
        <w:rPr>
          <w:sz w:val="20"/>
          <w:szCs w:val="20"/>
          <w:color w:val="auto"/>
        </w:rPr>
      </w:pPr>
    </w:p>
    <w:p>
      <w:pPr>
        <w:ind w:left="1316" w:right="3239" w:hanging="529"/>
        <w:spacing w:after="0" w:line="237" w:lineRule="auto"/>
        <w:tabs>
          <w:tab w:leader="none" w:pos="131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(A) Employee shall designate in a written notice to Employer an appraiser to appraise the value of the Voting Securities to be redeemed; (B) within ten (10) business days of receipt of such notice Employer shall designate an appraiser to appraise the value of the Voting Securities to be redeemed, (C) such designated appraisers shall together designate, within ten (10) business days</w:t>
      </w:r>
    </w:p>
    <w:p>
      <w:pPr>
        <w:spacing w:after="0" w:line="5" w:lineRule="exact"/>
        <w:rPr>
          <w:rFonts w:ascii="Courier New" w:cs="Courier New" w:eastAsia="Courier New" w:hAnsi="Courier New"/>
          <w:sz w:val="15"/>
          <w:szCs w:val="15"/>
          <w:color w:val="auto"/>
        </w:rPr>
      </w:pPr>
    </w:p>
    <w:p>
      <w:pPr>
        <w:ind w:left="1316"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date the appraiser is designated by Employer, a third appraiser to appraise the value of such Voting Securities, (D) each appraiser shall value such Voting Securities within twenty (20) business days of the designation of the third appraiser using generally accepted appraisal methods for valuing such securities based upon the value of all of Employer's assets less all of its liabilities without giving effect for any costs of liquidation or distress sale, if otherwise applicable, and (E)</w:t>
      </w:r>
    </w:p>
    <w:p>
      <w:pPr>
        <w:spacing w:after="0" w:line="11" w:lineRule="exact"/>
        <w:rPr>
          <w:rFonts w:ascii="Courier New" w:cs="Courier New" w:eastAsia="Courier New" w:hAnsi="Courier New"/>
          <w:sz w:val="15"/>
          <w:szCs w:val="15"/>
          <w:color w:val="auto"/>
        </w:rPr>
      </w:pPr>
    </w:p>
    <w:p>
      <w:pPr>
        <w:ind w:left="1316"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average of the three (3) values determined by the three (3) appraisers shall constitute the price at which Employer must redeem the Voting Securities covered by Employee's written notice within five (5) business days of the completion of this appraisal process. All costs and expenses associated with any appraisal prepared pursuant to this Section 7(d)(ii) shall be borne entirely by Employer.</w:t>
      </w:r>
    </w:p>
    <w:p>
      <w:pPr>
        <w:spacing w:after="0" w:line="159"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10 of 20</w:t>
      </w:r>
    </w:p>
    <w:p>
      <w:pPr>
        <w:sectPr>
          <w:pgSz w:w="11900" w:h="16838" w:orient="portrait"/>
          <w:cols w:equalWidth="0" w:num="1">
            <w:col w:w="9355"/>
          </w:cols>
          <w:pgMar w:left="1104" w:top="624" w:right="1440" w:bottom="1440" w:gutter="0" w:footer="0" w:header="0"/>
        </w:sectPr>
      </w:pPr>
    </w:p>
    <w:bookmarkStart w:id="117" w:name="page118"/>
    <w:bookmarkEnd w:id="117"/>
    <w:p>
      <w:pPr>
        <w:ind w:left="796" w:hanging="796"/>
        <w:spacing w:after="0"/>
        <w:tabs>
          <w:tab w:leader="none" w:pos="79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 Payments.</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1316" w:right="3319" w:hanging="529"/>
        <w:spacing w:after="0" w:line="237" w:lineRule="auto"/>
        <w:tabs>
          <w:tab w:leader="none" w:pos="1316"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payment or benefit (within the meaning of Section 280G(b)(2) of the Code) that is provided for hereunder (other than the payment provided for in this Section 7(e)(i)) to be paid to or for the benefit of Employee (including, without limitation, the payments or benefits provided for under any provision of this Section 7)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w:t>
      </w:r>
    </w:p>
    <w:p>
      <w:pPr>
        <w:spacing w:after="0" w:line="6" w:lineRule="exact"/>
        <w:rPr>
          <w:rFonts w:ascii="Courier New" w:cs="Courier New" w:eastAsia="Courier New" w:hAnsi="Courier New"/>
          <w:sz w:val="15"/>
          <w:szCs w:val="15"/>
          <w:color w:val="auto"/>
        </w:rPr>
      </w:pPr>
    </w:p>
    <w:p>
      <w:pPr>
        <w:ind w:left="1316"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173" w:lineRule="exact"/>
        <w:rPr>
          <w:rFonts w:ascii="Courier New" w:cs="Courier New" w:eastAsia="Courier New" w:hAnsi="Courier New"/>
          <w:sz w:val="15"/>
          <w:szCs w:val="15"/>
          <w:color w:val="auto"/>
        </w:rPr>
      </w:pPr>
    </w:p>
    <w:p>
      <w:pPr>
        <w:ind w:left="1316" w:right="3239" w:hanging="529"/>
        <w:spacing w:after="0" w:line="255" w:lineRule="auto"/>
        <w:tabs>
          <w:tab w:leader="none" w:pos="1316"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mathematical determinations, and all determinations as to whether any of the Total Payments are "parachute payments" (within the meaning of Section 280G of the Code), that are required to be made under this Section 7(e),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 (10) days following the Termination Date, if applicable,</w:t>
      </w:r>
    </w:p>
    <w:p>
      <w:pPr>
        <w:spacing w:after="0" w:line="163" w:lineRule="exact"/>
        <w:rPr>
          <w:rFonts w:ascii="Courier New" w:cs="Courier New" w:eastAsia="Courier New" w:hAnsi="Courier New"/>
          <w:sz w:val="14"/>
          <w:szCs w:val="14"/>
          <w:color w:val="auto"/>
        </w:rPr>
      </w:pPr>
    </w:p>
    <w:p>
      <w:pPr>
        <w:ind w:left="1316"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such earlier time as is requested by Employer or the Employee (if the Employee reasonably believes that any of the Payments may be subject to the Excise Tax). If the Accounting Firm determines that no Excise</w:t>
      </w:r>
    </w:p>
    <w:p>
      <w:pPr>
        <w:spacing w:after="0" w:line="1" w:lineRule="exact"/>
        <w:rPr>
          <w:rFonts w:ascii="Courier New" w:cs="Courier New" w:eastAsia="Courier New" w:hAnsi="Courier New"/>
          <w:sz w:val="14"/>
          <w:szCs w:val="14"/>
          <w:color w:val="auto"/>
        </w:rPr>
      </w:pPr>
    </w:p>
    <w:p>
      <w:pPr>
        <w:ind w:left="1316" w:right="34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w:t>
      </w:r>
    </w:p>
    <w:p>
      <w:pPr>
        <w:spacing w:after="0" w:line="2" w:lineRule="exact"/>
        <w:rPr>
          <w:sz w:val="20"/>
          <w:szCs w:val="20"/>
          <w:color w:val="auto"/>
        </w:rPr>
      </w:pPr>
    </w:p>
    <w:p>
      <w:pPr>
        <w:ind w:left="1316" w:right="3239"/>
        <w:spacing w:after="0" w:line="236" w:lineRule="auto"/>
        <w:rPr>
          <w:sz w:val="20"/>
          <w:szCs w:val="20"/>
          <w:color w:val="auto"/>
        </w:rPr>
      </w:pPr>
      <w:r>
        <w:rPr>
          <w:rFonts w:ascii="Courier New" w:cs="Courier New" w:eastAsia="Courier New" w:hAnsi="Courier New"/>
          <w:sz w:val="15"/>
          <w:szCs w:val="15"/>
          <w:color w:val="auto"/>
        </w:rPr>
        <w:t>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any determination by the Accounting Firm shall be binding upon Employer and the Employee, absent manifest error. Without</w:t>
      </w:r>
    </w:p>
    <w:p>
      <w:pPr>
        <w:spacing w:after="0" w:line="173"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11 of 20</w:t>
      </w:r>
    </w:p>
    <w:p>
      <w:pPr>
        <w:sectPr>
          <w:pgSz w:w="11900" w:h="16838" w:orient="portrait"/>
          <w:cols w:equalWidth="0" w:num="1">
            <w:col w:w="9355"/>
          </w:cols>
          <w:pgMar w:left="1104" w:top="617" w:right="1440" w:bottom="1440" w:gutter="0" w:footer="0" w:header="0"/>
        </w:sectPr>
      </w:pPr>
    </w:p>
    <w:bookmarkStart w:id="118" w:name="page119"/>
    <w:bookmarkEnd w:id="118"/>
    <w:p>
      <w:pPr>
        <w:ind w:left="980" w:right="3399"/>
        <w:spacing w:after="0" w:line="255" w:lineRule="auto"/>
        <w:rPr>
          <w:sz w:val="20"/>
          <w:szCs w:val="20"/>
          <w:color w:val="auto"/>
        </w:rPr>
      </w:pPr>
      <w:r>
        <w:rPr>
          <w:rFonts w:ascii="Courier New" w:cs="Courier New" w:eastAsia="Courier New" w:hAnsi="Courier New"/>
          <w:sz w:val="14"/>
          <w:szCs w:val="14"/>
          <w:color w:val="auto"/>
        </w:rPr>
        <w:t>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provided, however,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326" w:lineRule="exact"/>
        <w:rPr>
          <w:sz w:val="20"/>
          <w:szCs w:val="20"/>
          <w:color w:val="auto"/>
        </w:rPr>
      </w:pPr>
    </w:p>
    <w:p>
      <w:pPr>
        <w:ind w:left="980" w:hanging="529"/>
        <w:spacing w:after="0"/>
        <w:tabs>
          <w:tab w:leader="none" w:pos="9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uncertainty in the application</w:t>
      </w:r>
    </w:p>
    <w:p>
      <w:pPr>
        <w:spacing w:after="0" w:line="4" w:lineRule="exact"/>
        <w:rPr>
          <w:rFonts w:ascii="Courier New" w:cs="Courier New" w:eastAsia="Courier New" w:hAnsi="Courier New"/>
          <w:sz w:val="15"/>
          <w:szCs w:val="15"/>
          <w:color w:val="auto"/>
        </w:rPr>
      </w:pPr>
    </w:p>
    <w:p>
      <w:pPr>
        <w:ind w:left="98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w:t>
      </w:r>
    </w:p>
    <w:p>
      <w:pPr>
        <w:spacing w:after="0" w:line="3" w:lineRule="exact"/>
        <w:rPr>
          <w:rFonts w:ascii="Courier New" w:cs="Courier New" w:eastAsia="Courier New" w:hAnsi="Courier New"/>
          <w:sz w:val="15"/>
          <w:szCs w:val="15"/>
          <w:color w:val="auto"/>
        </w:rPr>
      </w:pPr>
    </w:p>
    <w:p>
      <w:pPr>
        <w:jc w:val="both"/>
        <w:ind w:left="980" w:right="357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respect of Employee's current taxable year or in respect of any prior taxable year) may be increased by reason of the imposition of the Excise Tax on</w:t>
      </w:r>
    </w:p>
    <w:p>
      <w:pPr>
        <w:spacing w:after="0" w:line="1" w:lineRule="exact"/>
        <w:rPr>
          <w:rFonts w:ascii="Courier New" w:cs="Courier New" w:eastAsia="Courier New" w:hAnsi="Courier New"/>
          <w:sz w:val="15"/>
          <w:szCs w:val="15"/>
          <w:color w:val="auto"/>
        </w:rPr>
      </w:pPr>
    </w:p>
    <w:p>
      <w:pPr>
        <w:ind w:left="980" w:right="33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 promptly notify Employer and Employer shall promptly, but in any event, at least five (5) days prior to the date on which the applicable governmental taxing authority has requested payment, pay to Employee an additional Gross-Up Payment equal to the amount of the Underpayment plus any interest and penalties</w:t>
      </w:r>
    </w:p>
    <w:p>
      <w:pPr>
        <w:spacing w:after="0" w:line="6" w:lineRule="exact"/>
        <w:rPr>
          <w:rFonts w:ascii="Courier New" w:cs="Courier New" w:eastAsia="Courier New" w:hAnsi="Courier New"/>
          <w:sz w:val="15"/>
          <w:szCs w:val="15"/>
          <w:color w:val="auto"/>
        </w:rPr>
      </w:pPr>
    </w:p>
    <w:p>
      <w:pPr>
        <w:ind w:left="9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w:t>
      </w:r>
    </w:p>
    <w:p>
      <w:pPr>
        <w:spacing w:after="0" w:line="4" w:lineRule="exact"/>
        <w:rPr>
          <w:rFonts w:ascii="Courier New" w:cs="Courier New" w:eastAsia="Courier New" w:hAnsi="Courier New"/>
          <w:sz w:val="15"/>
          <w:szCs w:val="15"/>
          <w:color w:val="auto"/>
        </w:rPr>
      </w:pPr>
    </w:p>
    <w:p>
      <w:pPr>
        <w:ind w:left="980"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w:t>
      </w:r>
    </w:p>
    <w:p>
      <w:pPr>
        <w:spacing w:after="0" w:line="3" w:lineRule="exact"/>
        <w:rPr>
          <w:rFonts w:ascii="Courier New" w:cs="Courier New" w:eastAsia="Courier New" w:hAnsi="Courier New"/>
          <w:sz w:val="15"/>
          <w:szCs w:val="15"/>
          <w:color w:val="auto"/>
        </w:rPr>
      </w:pPr>
    </w:p>
    <w:p>
      <w:pPr>
        <w:ind w:left="9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been taken and finally resolved or the time for all appeals has expired or (y) the statute of limitations with respect to Employee's applicable tax</w:t>
      </w:r>
    </w:p>
    <w:p>
      <w:pPr>
        <w:spacing w:after="0" w:line="15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12 of 20</w:t>
      </w:r>
    </w:p>
    <w:p>
      <w:pPr>
        <w:sectPr>
          <w:pgSz w:w="11900" w:h="16838" w:orient="portrait"/>
          <w:cols w:equalWidth="0" w:num="1">
            <w:col w:w="9019"/>
          </w:cols>
          <w:pgMar w:left="1440" w:top="624" w:right="1440" w:bottom="1440" w:gutter="0" w:footer="0" w:header="0"/>
        </w:sectPr>
      </w:pPr>
    </w:p>
    <w:bookmarkStart w:id="119" w:name="page120"/>
    <w:bookmarkEnd w:id="119"/>
    <w:p>
      <w:pPr>
        <w:ind w:left="1316"/>
        <w:spacing w:after="0"/>
        <w:rPr>
          <w:sz w:val="20"/>
          <w:szCs w:val="20"/>
          <w:color w:val="auto"/>
        </w:rPr>
      </w:pPr>
      <w:r>
        <w:rPr>
          <w:rFonts w:ascii="Courier New" w:cs="Courier New" w:eastAsia="Courier New" w:hAnsi="Courier New"/>
          <w:sz w:val="15"/>
          <w:szCs w:val="15"/>
          <w:color w:val="auto"/>
        </w:rPr>
        <w:t>return has expired. If an Excess Payment is</w:t>
      </w:r>
    </w:p>
    <w:p>
      <w:pPr>
        <w:ind w:left="1316"/>
        <w:spacing w:after="0" w:line="237" w:lineRule="auto"/>
        <w:rPr>
          <w:sz w:val="20"/>
          <w:szCs w:val="20"/>
          <w:color w:val="auto"/>
        </w:rPr>
      </w:pPr>
      <w:r>
        <w:rPr>
          <w:rFonts w:ascii="Courier New" w:cs="Courier New" w:eastAsia="Courier New" w:hAnsi="Courier New"/>
          <w:sz w:val="15"/>
          <w:szCs w:val="15"/>
          <w:color w:val="auto"/>
        </w:rPr>
        <w:t>determined to have been made, the amount of the</w:t>
      </w:r>
    </w:p>
    <w:p>
      <w:pPr>
        <w:ind w:left="1316"/>
        <w:spacing w:after="0" w:line="238" w:lineRule="auto"/>
        <w:rPr>
          <w:sz w:val="20"/>
          <w:szCs w:val="20"/>
          <w:color w:val="auto"/>
        </w:rPr>
      </w:pPr>
      <w:r>
        <w:rPr>
          <w:rFonts w:ascii="Courier New" w:cs="Courier New" w:eastAsia="Courier New" w:hAnsi="Courier New"/>
          <w:sz w:val="15"/>
          <w:szCs w:val="15"/>
          <w:color w:val="auto"/>
        </w:rPr>
        <w:t>Excess Payment shall be treated as a loan by Employer</w:t>
      </w:r>
    </w:p>
    <w:p>
      <w:pPr>
        <w:ind w:left="1316"/>
        <w:spacing w:after="0" w:line="237" w:lineRule="auto"/>
        <w:rPr>
          <w:sz w:val="20"/>
          <w:szCs w:val="20"/>
          <w:color w:val="auto"/>
        </w:rPr>
      </w:pPr>
      <w:r>
        <w:rPr>
          <w:rFonts w:ascii="Courier New" w:cs="Courier New" w:eastAsia="Courier New" w:hAnsi="Courier New"/>
          <w:sz w:val="15"/>
          <w:szCs w:val="15"/>
          <w:color w:val="auto"/>
        </w:rPr>
        <w:t>to Employee and Employee shall pay to Employer on</w:t>
      </w:r>
    </w:p>
    <w:p>
      <w:pPr>
        <w:ind w:left="1316"/>
        <w:spacing w:after="0" w:line="238" w:lineRule="auto"/>
        <w:rPr>
          <w:sz w:val="20"/>
          <w:szCs w:val="20"/>
          <w:color w:val="auto"/>
        </w:rPr>
      </w:pPr>
      <w:r>
        <w:rPr>
          <w:rFonts w:ascii="Courier New" w:cs="Courier New" w:eastAsia="Courier New" w:hAnsi="Courier New"/>
          <w:sz w:val="15"/>
          <w:szCs w:val="15"/>
          <w:color w:val="auto"/>
        </w:rPr>
        <w:t>demand (but not less than ten (10) days after the</w:t>
      </w:r>
    </w:p>
    <w:p>
      <w:pPr>
        <w:ind w:left="1316"/>
        <w:spacing w:after="0" w:line="237" w:lineRule="auto"/>
        <w:rPr>
          <w:sz w:val="20"/>
          <w:szCs w:val="20"/>
          <w:color w:val="auto"/>
        </w:rPr>
      </w:pPr>
      <w:r>
        <w:rPr>
          <w:rFonts w:ascii="Courier New" w:cs="Courier New" w:eastAsia="Courier New" w:hAnsi="Courier New"/>
          <w:sz w:val="15"/>
          <w:szCs w:val="15"/>
          <w:color w:val="auto"/>
        </w:rPr>
        <w:t>determination of such Excess Payment and written</w:t>
      </w:r>
    </w:p>
    <w:p>
      <w:pPr>
        <w:ind w:left="1316"/>
        <w:spacing w:after="0" w:line="238" w:lineRule="auto"/>
        <w:rPr>
          <w:sz w:val="20"/>
          <w:szCs w:val="20"/>
          <w:color w:val="auto"/>
        </w:rPr>
      </w:pPr>
      <w:r>
        <w:rPr>
          <w:rFonts w:ascii="Courier New" w:cs="Courier New" w:eastAsia="Courier New" w:hAnsi="Courier New"/>
          <w:sz w:val="15"/>
          <w:szCs w:val="15"/>
          <w:color w:val="auto"/>
        </w:rPr>
        <w:t>notice has been delivered to Employee) the amount of</w:t>
      </w:r>
    </w:p>
    <w:p>
      <w:pPr>
        <w:ind w:left="1316"/>
        <w:spacing w:after="0" w:line="237" w:lineRule="auto"/>
        <w:rPr>
          <w:sz w:val="20"/>
          <w:szCs w:val="20"/>
          <w:color w:val="auto"/>
        </w:rPr>
      </w:pPr>
      <w:r>
        <w:rPr>
          <w:rFonts w:ascii="Courier New" w:cs="Courier New" w:eastAsia="Courier New" w:hAnsi="Courier New"/>
          <w:sz w:val="15"/>
          <w:szCs w:val="15"/>
          <w:color w:val="auto"/>
        </w:rPr>
        <w:t>the Excess Payment plus interest at an annual rate</w:t>
      </w:r>
    </w:p>
    <w:p>
      <w:pPr>
        <w:ind w:left="1316"/>
        <w:spacing w:after="0" w:line="238" w:lineRule="auto"/>
        <w:rPr>
          <w:sz w:val="20"/>
          <w:szCs w:val="20"/>
          <w:color w:val="auto"/>
        </w:rPr>
      </w:pPr>
      <w:r>
        <w:rPr>
          <w:rFonts w:ascii="Courier New" w:cs="Courier New" w:eastAsia="Courier New" w:hAnsi="Courier New"/>
          <w:sz w:val="15"/>
          <w:szCs w:val="15"/>
          <w:color w:val="auto"/>
        </w:rPr>
        <w:t>equal to the Applicable Federal Rate provided for</w:t>
      </w:r>
    </w:p>
    <w:p>
      <w:pPr>
        <w:ind w:left="1316"/>
        <w:spacing w:after="0"/>
        <w:tabs>
          <w:tab w:leader="none" w:pos="2335" w:val="left"/>
        </w:tabs>
        <w:rPr>
          <w:sz w:val="20"/>
          <w:szCs w:val="20"/>
          <w:color w:val="auto"/>
        </w:rPr>
      </w:pPr>
      <w:r>
        <w:rPr>
          <w:rFonts w:ascii="Courier New" w:cs="Courier New" w:eastAsia="Courier New" w:hAnsi="Courier New"/>
          <w:sz w:val="15"/>
          <w:szCs w:val="15"/>
          <w:color w:val="auto"/>
        </w:rPr>
        <w:t>in Section</w:t>
      </w:r>
      <w:r>
        <w:rPr>
          <w:sz w:val="20"/>
          <w:szCs w:val="20"/>
          <w:color w:val="auto"/>
        </w:rPr>
        <w:tab/>
      </w:r>
      <w:r>
        <w:rPr>
          <w:rFonts w:ascii="Courier New" w:cs="Courier New" w:eastAsia="Courier New" w:hAnsi="Courier New"/>
          <w:sz w:val="14"/>
          <w:szCs w:val="14"/>
          <w:color w:val="auto"/>
        </w:rPr>
        <w:t>1274(d) of the Code from the date the</w:t>
      </w:r>
    </w:p>
    <w:p>
      <w:pPr>
        <w:ind w:left="1316"/>
        <w:spacing w:after="0" w:line="237" w:lineRule="auto"/>
        <w:rPr>
          <w:sz w:val="20"/>
          <w:szCs w:val="20"/>
          <w:color w:val="auto"/>
        </w:rPr>
      </w:pPr>
      <w:r>
        <w:rPr>
          <w:rFonts w:ascii="Courier New" w:cs="Courier New" w:eastAsia="Courier New" w:hAnsi="Courier New"/>
          <w:sz w:val="15"/>
          <w:szCs w:val="15"/>
          <w:color w:val="auto"/>
        </w:rPr>
        <w:t>Gross-Up Payment (to which the Excess Payment</w:t>
      </w:r>
    </w:p>
    <w:p>
      <w:pPr>
        <w:ind w:left="1316"/>
        <w:spacing w:after="0" w:line="238" w:lineRule="auto"/>
        <w:rPr>
          <w:sz w:val="20"/>
          <w:szCs w:val="20"/>
          <w:color w:val="auto"/>
        </w:rPr>
      </w:pPr>
      <w:r>
        <w:rPr>
          <w:rFonts w:ascii="Courier New" w:cs="Courier New" w:eastAsia="Courier New" w:hAnsi="Courier New"/>
          <w:sz w:val="15"/>
          <w:szCs w:val="15"/>
          <w:color w:val="auto"/>
        </w:rPr>
        <w:t>relates) was paid to Employee until date of repayment</w:t>
      </w:r>
    </w:p>
    <w:p>
      <w:pPr>
        <w:ind w:left="1316"/>
        <w:spacing w:after="0" w:line="237" w:lineRule="auto"/>
        <w:rPr>
          <w:sz w:val="20"/>
          <w:szCs w:val="20"/>
          <w:color w:val="auto"/>
        </w:rPr>
      </w:pPr>
      <w:r>
        <w:rPr>
          <w:rFonts w:ascii="Courier New" w:cs="Courier New" w:eastAsia="Courier New" w:hAnsi="Courier New"/>
          <w:sz w:val="15"/>
          <w:szCs w:val="15"/>
          <w:color w:val="auto"/>
        </w:rPr>
        <w:t>of the Excess Payment to Employer.</w:t>
      </w:r>
    </w:p>
    <w:p>
      <w:pPr>
        <w:spacing w:after="0" w:line="174" w:lineRule="exact"/>
        <w:rPr>
          <w:sz w:val="20"/>
          <w:szCs w:val="20"/>
          <w:color w:val="auto"/>
        </w:rPr>
      </w:pPr>
    </w:p>
    <w:p>
      <w:pPr>
        <w:ind w:left="1316" w:right="3399" w:hanging="529"/>
        <w:spacing w:after="0" w:line="236" w:lineRule="auto"/>
        <w:tabs>
          <w:tab w:leader="none" w:pos="1316"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Section 7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77"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Set-Off. After a Change in Control, Employer shall have no</w:t>
      </w:r>
    </w:p>
    <w:p>
      <w:pPr>
        <w:spacing w:after="0" w:line="4" w:lineRule="exact"/>
        <w:rPr>
          <w:rFonts w:ascii="Courier New" w:cs="Courier New" w:eastAsia="Courier New" w:hAnsi="Courier New"/>
          <w:sz w:val="14"/>
          <w:szCs w:val="14"/>
          <w:color w:val="auto"/>
        </w:rPr>
      </w:pPr>
    </w:p>
    <w:p>
      <w:pPr>
        <w:ind w:left="796"/>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796"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right of set-off, reduction or counterclaim in respect of any debt or other obligation of Employee to Employer against any payment, benefit or other Employer obligation to Employee provided for in this Section 7 or pursuant to any other plan, agreement or policy.</w:t>
      </w:r>
    </w:p>
    <w:p>
      <w:pPr>
        <w:spacing w:after="0" w:line="167" w:lineRule="exact"/>
        <w:rPr>
          <w:rFonts w:ascii="Courier New" w:cs="Courier New" w:eastAsia="Courier New" w:hAnsi="Courier New"/>
          <w:sz w:val="14"/>
          <w:szCs w:val="14"/>
          <w:color w:val="auto"/>
        </w:rPr>
      </w:pPr>
    </w:p>
    <w:p>
      <w:pPr>
        <w:ind w:left="796" w:hanging="796"/>
        <w:spacing w:after="0"/>
        <w:tabs>
          <w:tab w:leader="none" w:pos="79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Amounts Payable.  After a Change of Control, if</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4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amounts which are required or determined to be paid or payable or reimbursed or reimbursable to Employee under this Section 7 (or under any other plan, agreement, policy or arrangement with Employer) are not so paid promptly at the times provided herein or therein,</w:t>
      </w:r>
    </w:p>
    <w:p>
      <w:pPr>
        <w:spacing w:after="0" w:line="1" w:lineRule="exact"/>
        <w:rPr>
          <w:rFonts w:ascii="Courier New" w:cs="Courier New" w:eastAsia="Courier New" w:hAnsi="Courier New"/>
          <w:sz w:val="15"/>
          <w:szCs w:val="15"/>
          <w:color w:val="auto"/>
        </w:rPr>
      </w:pPr>
    </w:p>
    <w:p>
      <w:pPr>
        <w:ind w:left="796"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provided, however, that in no event shall</w:t>
      </w:r>
    </w:p>
    <w:p>
      <w:pPr>
        <w:spacing w:after="0" w:line="10" w:lineRule="exact"/>
        <w:rPr>
          <w:rFonts w:ascii="Courier New" w:cs="Courier New" w:eastAsia="Courier New" w:hAnsi="Courier New"/>
          <w:sz w:val="15"/>
          <w:szCs w:val="15"/>
          <w:color w:val="auto"/>
        </w:rPr>
      </w:pPr>
    </w:p>
    <w:p>
      <w:pPr>
        <w:ind w:left="796"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interest contracted for, charged or received hereunder exceed the maximum non-usurious amount of interest allowed by applicable law.</w:t>
      </w:r>
    </w:p>
    <w:p>
      <w:pPr>
        <w:spacing w:after="0" w:line="167"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Payment of Expenses.  At any time after a Change</w:t>
      </w:r>
    </w:p>
    <w:p>
      <w:pPr>
        <w:ind w:left="79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796"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Control, all costs and expenses (including legal, accounting and other advisory fees and expenses of investigation) incurred by Employee in connection with (i) any dispute as to the validity, interpretation or application of any term or condition of this Section 7,</w:t>
      </w:r>
    </w:p>
    <w:p>
      <w:pPr>
        <w:spacing w:after="0" w:line="5" w:lineRule="exact"/>
        <w:rPr>
          <w:rFonts w:ascii="Courier New" w:cs="Courier New" w:eastAsia="Courier New" w:hAnsi="Courier New"/>
          <w:sz w:val="15"/>
          <w:szCs w:val="15"/>
          <w:color w:val="auto"/>
        </w:rPr>
      </w:pPr>
    </w:p>
    <w:p>
      <w:pPr>
        <w:ind w:left="796" w:right="3499" w:hanging="9"/>
        <w:spacing w:after="0" w:line="255" w:lineRule="auto"/>
        <w:tabs>
          <w:tab w:leader="none" w:pos="1233"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determination in any tax year of the tax consequences to Employee of any amounts payable (or reimbursable) under this Section 7, or (iii) 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w:t>
      </w:r>
    </w:p>
    <w:p>
      <w:pPr>
        <w:spacing w:after="0" w:line="159" w:lineRule="exact"/>
        <w:rPr>
          <w:sz w:val="20"/>
          <w:szCs w:val="20"/>
          <w:color w:val="auto"/>
        </w:rPr>
      </w:pPr>
    </w:p>
    <w:p>
      <w:pPr>
        <w:ind w:left="2276"/>
        <w:spacing w:after="0"/>
        <w:rPr>
          <w:sz w:val="20"/>
          <w:szCs w:val="20"/>
          <w:color w:val="auto"/>
        </w:rPr>
      </w:pPr>
      <w:r>
        <w:rPr>
          <w:rFonts w:ascii="Courier New" w:cs="Courier New" w:eastAsia="Courier New" w:hAnsi="Courier New"/>
          <w:sz w:val="15"/>
          <w:szCs w:val="15"/>
          <w:color w:val="auto"/>
        </w:rPr>
        <w:t>13 of 20</w:t>
      </w:r>
    </w:p>
    <w:p>
      <w:pPr>
        <w:sectPr>
          <w:pgSz w:w="11900" w:h="16838" w:orient="portrait"/>
          <w:cols w:equalWidth="0" w:num="1">
            <w:col w:w="9355"/>
          </w:cols>
          <w:pgMar w:left="1104" w:top="617" w:right="1440" w:bottom="1440" w:gutter="0" w:footer="0" w:header="0"/>
        </w:sectPr>
      </w:pPr>
    </w:p>
    <w:bookmarkStart w:id="120" w:name="page121"/>
    <w:bookmarkEnd w:id="120"/>
    <w:p>
      <w:pPr>
        <w:ind w:left="1233"/>
        <w:spacing w:after="0"/>
        <w:rPr>
          <w:sz w:val="20"/>
          <w:szCs w:val="20"/>
          <w:color w:val="auto"/>
        </w:rPr>
      </w:pPr>
      <w:r>
        <w:rPr>
          <w:rFonts w:ascii="Courier New" w:cs="Courier New" w:eastAsia="Courier New" w:hAnsi="Courier New"/>
          <w:sz w:val="15"/>
          <w:szCs w:val="15"/>
          <w:color w:val="auto"/>
        </w:rPr>
        <w:t>Internal Revenue Service of Employer's</w:t>
      </w:r>
    </w:p>
    <w:p>
      <w:pPr>
        <w:spacing w:after="0" w:line="5" w:lineRule="exact"/>
        <w:rPr>
          <w:sz w:val="20"/>
          <w:szCs w:val="20"/>
          <w:color w:val="auto"/>
        </w:rPr>
      </w:pPr>
    </w:p>
    <w:p>
      <w:pPr>
        <w:ind w:left="1233" w:right="3679"/>
        <w:spacing w:after="0" w:line="255" w:lineRule="auto"/>
        <w:rPr>
          <w:sz w:val="20"/>
          <w:szCs w:val="20"/>
          <w:color w:val="auto"/>
        </w:rPr>
      </w:pPr>
      <w:r>
        <w:rPr>
          <w:rFonts w:ascii="Courier New" w:cs="Courier New" w:eastAsia="Courier New" w:hAnsi="Courier New"/>
          <w:sz w:val="14"/>
          <w:szCs w:val="14"/>
          <w:color w:val="auto"/>
        </w:rPr>
        <w:t>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59" w:lineRule="exact"/>
        <w:rPr>
          <w:sz w:val="20"/>
          <w:szCs w:val="20"/>
          <w:color w:val="auto"/>
        </w:rPr>
      </w:pPr>
    </w:p>
    <w:p>
      <w:pPr>
        <w:ind w:left="433" w:hanging="433"/>
        <w:spacing w:after="0"/>
        <w:tabs>
          <w:tab w:leader="none" w:pos="43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 Employer's Obligations.  Unless Employee and</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3" w:right="34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Employer mutually agree on appropriate language for such purposes, in the event that Employee's employment is Terminated Without Cause pursuant to Section 2 above, With Cause pursuant to Section 4(a) above, or under circumstances described in Section 7,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64"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Employee's Obligations.  Employee acknowledges and</w:t>
      </w:r>
    </w:p>
    <w:p>
      <w:pPr>
        <w:spacing w:after="0" w:line="4" w:lineRule="exact"/>
        <w:rPr>
          <w:rFonts w:ascii="Courier New" w:cs="Courier New" w:eastAsia="Courier New" w:hAnsi="Courier New"/>
          <w:sz w:val="14"/>
          <w:szCs w:val="14"/>
          <w:color w:val="auto"/>
        </w:rPr>
      </w:pPr>
    </w:p>
    <w:p>
      <w:pPr>
        <w:ind w:left="43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433" w:right="37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reaffirms that Employee will comply with the terms of the confidentiality letter executed by Employee upon commencement of Employee's employment with Employer.</w:t>
      </w:r>
    </w:p>
    <w:p>
      <w:pPr>
        <w:spacing w:after="0" w:line="167"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In the event of the termination of Employee's employment</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33"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circumstances described in Section 7, the severance payment made pursuant to that section shall be made as a lump sum payment. In the event of Employee's voluntary resignation other than under circumstances described in Section 7,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165"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Employer may withhold from any benefits payable under</w:t>
      </w:r>
    </w:p>
    <w:p>
      <w:pPr>
        <w:spacing w:after="0" w:line="4" w:lineRule="exact"/>
        <w:rPr>
          <w:rFonts w:ascii="Courier New" w:cs="Courier New" w:eastAsia="Courier New" w:hAnsi="Courier New"/>
          <w:sz w:val="14"/>
          <w:szCs w:val="14"/>
          <w:color w:val="auto"/>
        </w:rPr>
      </w:pPr>
    </w:p>
    <w:p>
      <w:pPr>
        <w:ind w:left="43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433"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Severance Agreement, and pay over to the appropriate authority, all federal, state, county, city or other taxes (other than any excise tax imposed under Section 4999 of the Code or any similar tax to which the indemnity provisions of Section 7(e) of this Severance Agreement shall apply) as shall be required pursuant to any law or governmental regulation or ruling.</w:t>
      </w:r>
    </w:p>
    <w:p>
      <w:pPr>
        <w:spacing w:after="0" w:line="168"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873" w:right="3579" w:hanging="436"/>
        <w:spacing w:after="0" w:line="255" w:lineRule="auto"/>
        <w:tabs>
          <w:tab w:leader="none" w:pos="873"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w:t>
      </w:r>
    </w:p>
    <w:p>
      <w:pPr>
        <w:spacing w:after="0" w:line="160" w:lineRule="exact"/>
        <w:rPr>
          <w:sz w:val="20"/>
          <w:szCs w:val="20"/>
          <w:color w:val="auto"/>
        </w:rPr>
      </w:pPr>
    </w:p>
    <w:p>
      <w:pPr>
        <w:ind w:left="2713"/>
        <w:spacing w:after="0"/>
        <w:rPr>
          <w:sz w:val="20"/>
          <w:szCs w:val="20"/>
          <w:color w:val="auto"/>
        </w:rPr>
      </w:pPr>
      <w:r>
        <w:rPr>
          <w:rFonts w:ascii="Courier New" w:cs="Courier New" w:eastAsia="Courier New" w:hAnsi="Courier New"/>
          <w:sz w:val="15"/>
          <w:szCs w:val="15"/>
          <w:color w:val="auto"/>
        </w:rPr>
        <w:t>14 of 20</w:t>
      </w:r>
    </w:p>
    <w:p>
      <w:pPr>
        <w:sectPr>
          <w:pgSz w:w="11900" w:h="16838" w:orient="portrait"/>
          <w:cols w:equalWidth="0" w:num="1">
            <w:col w:w="9792"/>
          </w:cols>
          <w:pgMar w:left="667" w:top="617" w:right="1440" w:bottom="1440" w:gutter="0" w:footer="0" w:header="0"/>
        </w:sectPr>
      </w:pPr>
    </w:p>
    <w:bookmarkStart w:id="121" w:name="page122"/>
    <w:bookmarkEnd w:id="121"/>
    <w:p>
      <w:pPr>
        <w:ind w:left="873"/>
        <w:spacing w:after="0"/>
        <w:rPr>
          <w:sz w:val="20"/>
          <w:szCs w:val="20"/>
          <w:color w:val="auto"/>
        </w:rPr>
      </w:pPr>
      <w:r>
        <w:rPr>
          <w:rFonts w:ascii="Courier New" w:cs="Courier New" w:eastAsia="Courier New" w:hAnsi="Courier New"/>
          <w:sz w:val="15"/>
          <w:szCs w:val="15"/>
          <w:color w:val="auto"/>
        </w:rPr>
        <w:t>to the jurisdiction</w:t>
      </w:r>
    </w:p>
    <w:p>
      <w:pPr>
        <w:spacing w:after="0" w:line="5" w:lineRule="exact"/>
        <w:rPr>
          <w:sz w:val="20"/>
          <w:szCs w:val="20"/>
          <w:color w:val="auto"/>
        </w:rPr>
      </w:pPr>
    </w:p>
    <w:p>
      <w:pPr>
        <w:jc w:val="both"/>
        <w:ind w:left="873" w:right="3579"/>
        <w:spacing w:after="0" w:line="235" w:lineRule="auto"/>
        <w:rPr>
          <w:sz w:val="20"/>
          <w:szCs w:val="20"/>
          <w:color w:val="auto"/>
        </w:rPr>
      </w:pPr>
      <w:r>
        <w:rPr>
          <w:rFonts w:ascii="Courier New" w:cs="Courier New" w:eastAsia="Courier New" w:hAnsi="Courier New"/>
          <w:sz w:val="15"/>
          <w:szCs w:val="15"/>
          <w:color w:val="auto"/>
        </w:rPr>
        <w:t>of the federal and state courts located in Maryland for this purpose. Each such arbitration proceeding shall be located in Maryland.</w:t>
      </w:r>
    </w:p>
    <w:p>
      <w:pPr>
        <w:spacing w:after="0" w:line="174" w:lineRule="exact"/>
        <w:rPr>
          <w:sz w:val="20"/>
          <w:szCs w:val="20"/>
          <w:color w:val="auto"/>
        </w:rPr>
      </w:pPr>
    </w:p>
    <w:p>
      <w:pPr>
        <w:ind w:left="873" w:right="4019" w:hanging="436"/>
        <w:spacing w:after="0" w:line="254" w:lineRule="auto"/>
        <w:tabs>
          <w:tab w:leader="none" w:pos="87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may, in the course of the proceedings, order any provisional remedy or conservatory measure</w:t>
      </w:r>
    </w:p>
    <w:p>
      <w:pPr>
        <w:spacing w:after="0" w:line="1" w:lineRule="exact"/>
        <w:rPr>
          <w:sz w:val="20"/>
          <w:szCs w:val="20"/>
          <w:color w:val="auto"/>
        </w:rPr>
      </w:pPr>
    </w:p>
    <w:p>
      <w:pPr>
        <w:ind w:left="873" w:right="3679" w:hanging="86"/>
        <w:spacing w:after="0" w:line="255" w:lineRule="auto"/>
        <w:rPr>
          <w:sz w:val="20"/>
          <w:szCs w:val="20"/>
          <w:color w:val="auto"/>
        </w:rPr>
      </w:pPr>
      <w:r>
        <w:rPr>
          <w:rFonts w:ascii="Courier New" w:cs="Courier New" w:eastAsia="Courier New" w:hAnsi="Courier New"/>
          <w:sz w:val="14"/>
          <w:szCs w:val="14"/>
          <w:color w:val="auto"/>
        </w:rPr>
        <w:t>(including, without limitation, attachment, preliminary injunction or the 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64" w:lineRule="exact"/>
        <w:rPr>
          <w:sz w:val="20"/>
          <w:szCs w:val="20"/>
          <w:color w:val="auto"/>
        </w:rPr>
      </w:pPr>
    </w:p>
    <w:p>
      <w:pPr>
        <w:ind w:left="873" w:right="3579" w:hanging="436"/>
        <w:spacing w:after="0" w:line="255" w:lineRule="auto"/>
        <w:tabs>
          <w:tab w:leader="none" w:pos="873"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any remedy at law for breach of this Severance Agreement may be inadequate, and that, in the event of a breach by Employee of Sections 9 or 15,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65" w:lineRule="exact"/>
        <w:rPr>
          <w:rFonts w:ascii="Courier New" w:cs="Courier New" w:eastAsia="Courier New" w:hAnsi="Courier New"/>
          <w:sz w:val="14"/>
          <w:szCs w:val="14"/>
          <w:color w:val="auto"/>
        </w:rPr>
      </w:pPr>
    </w:p>
    <w:p>
      <w:pPr>
        <w:ind w:left="873" w:right="3579" w:hanging="436"/>
        <w:spacing w:after="0" w:line="256" w:lineRule="auto"/>
        <w:tabs>
          <w:tab w:leader="none" w:pos="873"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63" w:lineRule="exact"/>
        <w:rPr>
          <w:rFonts w:ascii="Courier New" w:cs="Courier New" w:eastAsia="Courier New" w:hAnsi="Courier New"/>
          <w:sz w:val="14"/>
          <w:szCs w:val="14"/>
          <w:color w:val="auto"/>
        </w:rPr>
      </w:pPr>
    </w:p>
    <w:p>
      <w:pPr>
        <w:ind w:left="873" w:right="3839" w:hanging="436"/>
        <w:spacing w:after="0" w:line="261" w:lineRule="auto"/>
        <w:tabs>
          <w:tab w:leader="none" w:pos="873"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results of any such arbitration proceeding shall be conclusive and binding upon them.</w:t>
      </w:r>
    </w:p>
    <w:p>
      <w:pPr>
        <w:spacing w:after="0" w:line="159"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Severance Agreement shall not confer upon</w:t>
      </w:r>
    </w:p>
    <w:p>
      <w:pPr>
        <w:spacing w:after="0" w:line="4" w:lineRule="exact"/>
        <w:rPr>
          <w:rFonts w:ascii="Courier New" w:cs="Courier New" w:eastAsia="Courier New" w:hAnsi="Courier New"/>
          <w:sz w:val="14"/>
          <w:szCs w:val="14"/>
          <w:color w:val="auto"/>
        </w:rPr>
      </w:pPr>
    </w:p>
    <w:p>
      <w:pPr>
        <w:ind w:left="43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433"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Employee any right with respect to continuance of employment by Employer; provided, however, that Employer shall not, prior to February 15, 2001, (i) terminate Employee's employment other than with Cause (as "Cause" is defined in Section 4 hereof); or (ii) do any of the things described in Section 2(b)(i) or 2(b)(iii) which would entitle Employee to resign and receive a severance payment pursuant to Section 2(d) of this Agreement.</w:t>
      </w:r>
    </w:p>
    <w:p>
      <w:pPr>
        <w:spacing w:after="0" w:line="175"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Employee shall not be required to mitigate the amount of</w:t>
      </w:r>
    </w:p>
    <w:p>
      <w:pPr>
        <w:spacing w:after="0" w:line="4" w:lineRule="exact"/>
        <w:rPr>
          <w:rFonts w:ascii="Courier New" w:cs="Courier New" w:eastAsia="Courier New" w:hAnsi="Courier New"/>
          <w:sz w:val="14"/>
          <w:szCs w:val="14"/>
          <w:color w:val="auto"/>
        </w:rPr>
      </w:pPr>
    </w:p>
    <w:p>
      <w:pPr>
        <w:ind w:left="43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433"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67" w:lineRule="exact"/>
        <w:rPr>
          <w:sz w:val="20"/>
          <w:szCs w:val="20"/>
          <w:color w:val="auto"/>
        </w:rPr>
      </w:pPr>
    </w:p>
    <w:p>
      <w:pPr>
        <w:ind w:left="2633"/>
        <w:spacing w:after="0"/>
        <w:rPr>
          <w:sz w:val="20"/>
          <w:szCs w:val="20"/>
          <w:color w:val="auto"/>
        </w:rPr>
      </w:pPr>
      <w:r>
        <w:rPr>
          <w:rFonts w:ascii="Courier New" w:cs="Courier New" w:eastAsia="Courier New" w:hAnsi="Courier New"/>
          <w:sz w:val="15"/>
          <w:szCs w:val="15"/>
          <w:color w:val="auto"/>
        </w:rPr>
        <w:t>15 of 20</w:t>
      </w:r>
    </w:p>
    <w:p>
      <w:pPr>
        <w:sectPr>
          <w:pgSz w:w="11900" w:h="16838" w:orient="portrait"/>
          <w:cols w:equalWidth="0" w:num="1">
            <w:col w:w="9792"/>
          </w:cols>
          <w:pgMar w:left="667" w:top="617"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1.5 Restrictions on Competition; Solicitation; Hiring.</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060" w:right="3319" w:hanging="700"/>
        <w:spacing w:after="0" w:line="255" w:lineRule="auto"/>
        <w:tabs>
          <w:tab w:leader="none" w:pos="10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164" w:lineRule="exact"/>
        <w:rPr>
          <w:rFonts w:ascii="Courier New" w:cs="Courier New" w:eastAsia="Courier New" w:hAnsi="Courier New"/>
          <w:sz w:val="14"/>
          <w:szCs w:val="14"/>
          <w:color w:val="auto"/>
        </w:rPr>
      </w:pPr>
    </w:p>
    <w:p>
      <w:pPr>
        <w:ind w:left="1060" w:right="3399" w:hanging="700"/>
        <w:spacing w:after="0" w:line="256" w:lineRule="auto"/>
        <w:tabs>
          <w:tab w:leader="none" w:pos="10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164" w:lineRule="exact"/>
        <w:rPr>
          <w:rFonts w:ascii="Courier New" w:cs="Courier New" w:eastAsia="Courier New" w:hAnsi="Courier New"/>
          <w:sz w:val="14"/>
          <w:szCs w:val="14"/>
          <w:color w:val="auto"/>
        </w:rPr>
      </w:pPr>
    </w:p>
    <w:p>
      <w:pPr>
        <w:ind w:left="1760" w:right="3399" w:hanging="701"/>
        <w:spacing w:after="0" w:line="236" w:lineRule="auto"/>
        <w:tabs>
          <w:tab w:leader="none" w:pos="176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179" w:lineRule="exact"/>
        <w:rPr>
          <w:rFonts w:ascii="Courier New" w:cs="Courier New" w:eastAsia="Courier New" w:hAnsi="Courier New"/>
          <w:sz w:val="15"/>
          <w:szCs w:val="15"/>
          <w:color w:val="auto"/>
        </w:rPr>
      </w:pPr>
    </w:p>
    <w:p>
      <w:pPr>
        <w:ind w:left="1760" w:right="3319" w:hanging="701"/>
        <w:spacing w:after="0" w:line="237" w:lineRule="auto"/>
        <w:tabs>
          <w:tab w:leader="none" w:pos="176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(i.e. ,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175" w:lineRule="exact"/>
        <w:rPr>
          <w:rFonts w:ascii="Courier New" w:cs="Courier New" w:eastAsia="Courier New" w:hAnsi="Courier New"/>
          <w:sz w:val="15"/>
          <w:szCs w:val="15"/>
          <w:color w:val="auto"/>
        </w:rPr>
      </w:pPr>
    </w:p>
    <w:p>
      <w:pPr>
        <w:ind w:left="1760" w:right="3399" w:hanging="701"/>
        <w:spacing w:after="0" w:line="255" w:lineRule="auto"/>
        <w:tabs>
          <w:tab w:leader="none" w:pos="176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w:t>
      </w:r>
    </w:p>
    <w:p>
      <w:pPr>
        <w:spacing w:after="0" w:line="1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16 of 20</w:t>
      </w:r>
    </w:p>
    <w:p>
      <w:pPr>
        <w:sectPr>
          <w:pgSz w:w="11900" w:h="16838" w:orient="portrait"/>
          <w:cols w:equalWidth="0" w:num="1">
            <w:col w:w="10239"/>
          </w:cols>
          <w:pgMar w:left="220" w:top="617" w:right="1440" w:bottom="1440" w:gutter="0" w:footer="0" w:header="0"/>
        </w:sectPr>
      </w:pPr>
    </w:p>
    <w:bookmarkStart w:id="123" w:name="page124"/>
    <w:bookmarkEnd w:id="123"/>
    <w:p>
      <w:pPr>
        <w:ind w:left="1400" w:right="3499"/>
        <w:spacing w:after="0" w:line="235" w:lineRule="auto"/>
        <w:rPr>
          <w:sz w:val="20"/>
          <w:szCs w:val="20"/>
          <w:color w:val="auto"/>
        </w:rPr>
      </w:pPr>
      <w:r>
        <w:rPr>
          <w:rFonts w:ascii="Courier New" w:cs="Courier New" w:eastAsia="Courier New" w:hAnsi="Courier New"/>
          <w:sz w:val="15"/>
          <w:szCs w:val="15"/>
          <w:color w:val="auto"/>
        </w:rPr>
        <w:t>Employer or its affiliates or (B) in any way interfering with the relationship between such Person and Employer or its affiliates.</w:t>
      </w:r>
    </w:p>
    <w:p>
      <w:pPr>
        <w:spacing w:after="0" w:line="174" w:lineRule="exact"/>
        <w:rPr>
          <w:sz w:val="20"/>
          <w:szCs w:val="20"/>
          <w:color w:val="auto"/>
        </w:rPr>
      </w:pPr>
    </w:p>
    <w:p>
      <w:pPr>
        <w:ind w:left="700" w:right="3319" w:hanging="700"/>
        <w:spacing w:after="0" w:line="236"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notwithstanding, the restrictions contained in subsections (a) and (b) above shall not apply to Employee in the Post-Termination Period in the event that Employee has ceased to be employed by Employer under circumstances described in Section 7 of this Severance Agreement.</w:t>
      </w:r>
    </w:p>
    <w:p>
      <w:pPr>
        <w:spacing w:after="0" w:line="173" w:lineRule="exact"/>
        <w:rPr>
          <w:rFonts w:ascii="Courier New" w:cs="Courier New" w:eastAsia="Courier New" w:hAnsi="Courier New"/>
          <w:sz w:val="15"/>
          <w:szCs w:val="15"/>
          <w:color w:val="auto"/>
        </w:rPr>
      </w:pPr>
    </w:p>
    <w:p>
      <w:pPr>
        <w:ind w:left="700" w:right="3319" w:hanging="700"/>
        <w:spacing w:after="0" w:line="237"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 injunctions and/or restraining orders. If Employer is involved in court or other legal proceedings to enforce the covenants contained in this Section 15, then in the event Employer prevails in such proceedings, Employee shall be liable for the payment of reasonable attorneys' fees, costs and ancillary expenses incurred by Employer in enforcing its rights hereunder.</w:t>
      </w:r>
    </w:p>
    <w:p>
      <w:pPr>
        <w:spacing w:after="0" w:line="174" w:lineRule="exact"/>
        <w:rPr>
          <w:rFonts w:ascii="Courier New" w:cs="Courier New" w:eastAsia="Courier New" w:hAnsi="Courier New"/>
          <w:sz w:val="15"/>
          <w:szCs w:val="15"/>
          <w:color w:val="auto"/>
        </w:rPr>
      </w:pPr>
    </w:p>
    <w:p>
      <w:pPr>
        <w:ind w:left="700" w:right="3319" w:hanging="700"/>
        <w:spacing w:after="0" w:line="236"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by the parties that the covenants contained in this Section 15 impose a fair and reasonable restraint on Employee in light of the activities and business of Employer on the date of the execution of this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177" w:lineRule="exact"/>
        <w:rPr>
          <w:rFonts w:ascii="Courier New" w:cs="Courier New" w:eastAsia="Courier New" w:hAnsi="Courier New"/>
          <w:sz w:val="15"/>
          <w:szCs w:val="15"/>
          <w:color w:val="auto"/>
        </w:rPr>
      </w:pPr>
    </w:p>
    <w:p>
      <w:pPr>
        <w:ind w:left="700" w:right="3319" w:hanging="700"/>
        <w:spacing w:after="0" w:line="255" w:lineRule="auto"/>
        <w:tabs>
          <w:tab w:leader="none" w:pos="7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further agreed by the parties hereto that, in the event that Employee shall cease to be employed hereunder, and enters into a business or pursues other activities that, at such time,are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15 or any of Employee's obligations under this Section 15, Employee shall not be chargeable with a violation of this Section 15 if Employer or its affiliates subsequently enter the same (or a similar) competitive business, course of activities or location, as applicable.</w:t>
      </w:r>
    </w:p>
    <w:p>
      <w:pPr>
        <w:spacing w:after="0" w:line="164" w:lineRule="exact"/>
        <w:rPr>
          <w:rFonts w:ascii="Courier New" w:cs="Courier New" w:eastAsia="Courier New" w:hAnsi="Courier New"/>
          <w:sz w:val="14"/>
          <w:szCs w:val="14"/>
          <w:color w:val="auto"/>
        </w:rPr>
      </w:pPr>
    </w:p>
    <w:p>
      <w:pPr>
        <w:ind w:left="700" w:right="3319" w:hanging="700"/>
        <w:spacing w:after="0" w:line="255" w:lineRule="auto"/>
        <w:tabs>
          <w:tab w:leader="none" w:pos="7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covenants in this Section 15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15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17 of 20</w:t>
      </w:r>
    </w:p>
    <w:p>
      <w:pPr>
        <w:sectPr>
          <w:pgSz w:w="11900" w:h="16838" w:orient="portrait"/>
          <w:cols w:equalWidth="0" w:num="1">
            <w:col w:w="9880"/>
          </w:cols>
          <w:pgMar w:left="580" w:top="624" w:right="1440" w:bottom="1440" w:gutter="0" w:footer="0" w:header="0"/>
        </w:sectPr>
      </w:pPr>
    </w:p>
    <w:bookmarkStart w:id="124" w:name="page125"/>
    <w:bookmarkEnd w:id="124"/>
    <w:p>
      <w:pPr>
        <w:ind w:left="1050" w:right="3319" w:hanging="700"/>
        <w:spacing w:after="0" w:line="255" w:lineRule="auto"/>
        <w:tabs>
          <w:tab w:leader="none" w:pos="105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covenants in this Section 15 shall be construed as an agreement independent of any other provision in this Agreement, and the existence of any claim or cause of action of Employee against Employer whether predicated on this Agreement or otherwise shall not constitute a defense to the enforcement by Employer of such covenants. It is specifically agreed that the Post Termination Period, during which the agreements and covenants of Employee made in this Section 15 shall be effective, shall be computed by excluding from such computation any time during which Employee is in violation of any provision of this Section 15.</w:t>
      </w:r>
    </w:p>
    <w:p>
      <w:pPr>
        <w:spacing w:after="0" w:line="165" w:lineRule="exact"/>
        <w:rPr>
          <w:rFonts w:ascii="Courier New" w:cs="Courier New" w:eastAsia="Courier New" w:hAnsi="Courier New"/>
          <w:sz w:val="14"/>
          <w:szCs w:val="14"/>
          <w:color w:val="auto"/>
        </w:rPr>
      </w:pPr>
    </w:p>
    <w:p>
      <w:pPr>
        <w:ind w:left="1050" w:right="3399" w:hanging="700"/>
        <w:spacing w:after="0" w:line="236" w:lineRule="auto"/>
        <w:tabs>
          <w:tab w:leader="none" w:pos="105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if any applicable law, judicial ruling or order shall reduce the time period during which Employee shall be prohibited from engaging in any competitive activity described in Section 15 hereof, the period of time for which Employee shall be prohibited pursuant to Section 15 hereof shall be the maximum time permitted by law.</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Assignment. Neither this Severance Agreement nor any right, remedy,</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or liability arising hereunder or by reason hereof shall be assignable by either Employer or Employee without the prior written consent of the other party; provided, however,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provided, further, that in connection with a voluntary transfer, the Employer may assign this Severance Agreement (and its rights, remedies, 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 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77"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Severance Agreement may be terminated, amended, modified or</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supplemented only by a written instrument executed by Employee and Employer.</w:t>
      </w:r>
    </w:p>
    <w:p>
      <w:pPr>
        <w:spacing w:after="0" w:line="17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Either party hereto may by written notice to the other: (i) extend</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4"/>
          <w:szCs w:val="14"/>
          <w:color w:val="auto"/>
        </w:rPr>
      </w:pPr>
    </w:p>
    <w:p>
      <w:pPr>
        <w:ind w:left="35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w:t>
      </w:r>
    </w:p>
    <w:p>
      <w:pPr>
        <w:spacing w:after="0" w:line="171" w:lineRule="exact"/>
        <w:rPr>
          <w:sz w:val="20"/>
          <w:szCs w:val="20"/>
          <w:color w:val="auto"/>
        </w:rPr>
      </w:pPr>
    </w:p>
    <w:p>
      <w:pPr>
        <w:ind w:left="3070"/>
        <w:spacing w:after="0"/>
        <w:rPr>
          <w:sz w:val="20"/>
          <w:szCs w:val="20"/>
          <w:color w:val="auto"/>
        </w:rPr>
      </w:pPr>
      <w:r>
        <w:rPr>
          <w:rFonts w:ascii="Courier New" w:cs="Courier New" w:eastAsia="Courier New" w:hAnsi="Courier New"/>
          <w:sz w:val="15"/>
          <w:szCs w:val="15"/>
          <w:color w:val="auto"/>
        </w:rPr>
        <w:t>18 of 20</w:t>
      </w:r>
    </w:p>
    <w:p>
      <w:pPr>
        <w:sectPr>
          <w:pgSz w:w="11900" w:h="16838" w:orient="portrait"/>
          <w:cols w:equalWidth="0" w:num="1">
            <w:col w:w="10229"/>
          </w:cols>
          <w:pgMar w:left="230" w:top="623" w:right="1440" w:bottom="1440" w:gutter="0" w:footer="0" w:header="0"/>
        </w:sectPr>
      </w:pPr>
    </w:p>
    <w:bookmarkStart w:id="125" w:name="page126"/>
    <w:bookmarkEnd w:id="125"/>
    <w:p>
      <w:pPr>
        <w:ind w:left="350" w:right="3399"/>
        <w:spacing w:after="0" w:line="255" w:lineRule="auto"/>
        <w:rPr>
          <w:sz w:val="20"/>
          <w:szCs w:val="20"/>
          <w:color w:val="auto"/>
        </w:rPr>
      </w:pPr>
      <w:r>
        <w:rPr>
          <w:rFonts w:ascii="Courier New" w:cs="Courier New" w:eastAsia="Courier New" w:hAnsi="Courier New"/>
          <w:sz w:val="14"/>
          <w:szCs w:val="14"/>
          <w:color w:val="auto"/>
        </w:rPr>
        <w:t>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66" w:lineRule="exact"/>
        <w:rPr>
          <w:sz w:val="20"/>
          <w:szCs w:val="20"/>
          <w:color w:val="auto"/>
        </w:rPr>
      </w:pPr>
    </w:p>
    <w:p>
      <w:pPr>
        <w:ind w:left="350" w:hanging="350"/>
        <w:spacing w:after="0"/>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 this Severance</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350" w:right="3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shall, for any reason, be held or found by determination of the arbitrator(s) pursuant to an arbitration held in accordance with Section 12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34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Severance Agreement has been executed and delivered in</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350" w:right="35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Maryland and its validity, interpretation, performance and enforcement shall be governed by the laws of said State; provided, however, that any arbitration under Section 12 hereof shall be conducted in accordance with the Federal Arbitration Act as then in force.</w:t>
      </w:r>
    </w:p>
    <w:p>
      <w:pPr>
        <w:spacing w:after="0" w:line="15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Attachment. Except as required by law, no right to receive payments</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63"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 Severance Agreement</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jc w:val="both"/>
        <w:ind w:left="350"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shall be paid in cash from the general funds of Employer, and no special or separate fund shall be established and no other segregation of assets shall be made to assure payment.</w:t>
      </w:r>
    </w:p>
    <w:p>
      <w:pPr>
        <w:spacing w:after="0" w:line="16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and other headings contained in this Severance</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are for reference purposes only and shall not affect the meaning or interpretation of this Severance Agreement.</w:t>
      </w:r>
    </w:p>
    <w:p>
      <w:pPr>
        <w:spacing w:after="0" w:line="173"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 this Severance</w:t>
      </w:r>
    </w:p>
    <w:p>
      <w:pPr>
        <w:spacing w:after="0" w:line="4" w:lineRule="exact"/>
        <w:rPr>
          <w:rFonts w:ascii="Courier New" w:cs="Courier New" w:eastAsia="Courier New" w:hAnsi="Courier New"/>
          <w:sz w:val="14"/>
          <w:szCs w:val="14"/>
          <w:color w:val="auto"/>
        </w:rPr>
      </w:pPr>
    </w:p>
    <w:p>
      <w:pPr>
        <w:ind w:left="35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350" w:right="34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shall be in writing and shall be deemed to have been given when delivered in person or when deposited in the U.S. mail, registered or certified, postage prepaid, and mailed to Employee's addresses set forth herein and the business address of Employer, unless a</w:t>
      </w:r>
    </w:p>
    <w:p>
      <w:pPr>
        <w:spacing w:after="0" w:line="158" w:lineRule="exact"/>
        <w:rPr>
          <w:sz w:val="20"/>
          <w:szCs w:val="20"/>
          <w:color w:val="auto"/>
        </w:rPr>
      </w:pPr>
    </w:p>
    <w:p>
      <w:pPr>
        <w:ind w:left="3070"/>
        <w:spacing w:after="0"/>
        <w:rPr>
          <w:sz w:val="20"/>
          <w:szCs w:val="20"/>
          <w:color w:val="auto"/>
        </w:rPr>
      </w:pPr>
      <w:r>
        <w:rPr>
          <w:rFonts w:ascii="Courier New" w:cs="Courier New" w:eastAsia="Courier New" w:hAnsi="Courier New"/>
          <w:sz w:val="15"/>
          <w:szCs w:val="15"/>
          <w:color w:val="auto"/>
        </w:rPr>
        <w:t>19 of 20</w:t>
      </w:r>
    </w:p>
    <w:p>
      <w:pPr>
        <w:sectPr>
          <w:pgSz w:w="11900" w:h="16838" w:orient="portrait"/>
          <w:cols w:equalWidth="0" w:num="1">
            <w:col w:w="10229"/>
          </w:cols>
          <w:pgMar w:left="230" w:top="624" w:right="1440" w:bottom="1440" w:gutter="0" w:footer="0" w:header="0"/>
        </w:sectPr>
      </w:pPr>
    </w:p>
    <w:bookmarkStart w:id="126" w:name="page127"/>
    <w:bookmarkEnd w:id="126"/>
    <w:p>
      <w:pPr>
        <w:ind w:left="360" w:right="3579"/>
        <w:spacing w:after="0" w:line="235" w:lineRule="auto"/>
        <w:rPr>
          <w:sz w:val="20"/>
          <w:szCs w:val="20"/>
          <w:color w:val="auto"/>
        </w:rPr>
      </w:pPr>
      <w:r>
        <w:rPr>
          <w:rFonts w:ascii="Courier New" w:cs="Courier New" w:eastAsia="Courier New" w:hAnsi="Courier New"/>
          <w:sz w:val="15"/>
          <w:szCs w:val="15"/>
          <w:color w:val="auto"/>
        </w:rPr>
        <w:t>party changes its address for receiving notices by giving notice in accordance with this Section, in which case, to the address specified in such notice.</w:t>
      </w:r>
    </w:p>
    <w:p>
      <w:pPr>
        <w:spacing w:after="0" w:line="167" w:lineRule="exact"/>
        <w:rPr>
          <w:sz w:val="20"/>
          <w:szCs w:val="20"/>
          <w:color w:val="auto"/>
        </w:rPr>
      </w:pPr>
    </w:p>
    <w:p>
      <w:pPr>
        <w:ind w:left="360" w:hanging="350"/>
        <w:spacing w:after="0"/>
        <w:tabs>
          <w:tab w:leader="none" w:pos="36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Severance Agreement may be executed in multiple</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with the same effect as if each of the signing parties had signed the same document. All counterparts shall be construed together and constitute the same instrument.</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Except as may otherwise be provided herein, this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Agreement supersedes any and all prior written agreements existing between Employer and Employee with regard to the subject matter hereof.</w:t>
      </w:r>
    </w:p>
    <w:p>
      <w:pPr>
        <w:spacing w:after="0" w:line="174"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IN WITNESS WHEREOF, the parties have executed and delivered this Severance Agreement to be effective as of the day and year indicated above.</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Employee's Signature</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Employee's Permanent Address:</w:t>
      </w:r>
    </w:p>
    <w:p>
      <w:pPr>
        <w:ind w:left="3500"/>
        <w:spacing w:after="0" w:line="237" w:lineRule="auto"/>
        <w:rPr>
          <w:sz w:val="20"/>
          <w:szCs w:val="20"/>
          <w:color w:val="auto"/>
        </w:rPr>
      </w:pPr>
      <w:r>
        <w:rPr>
          <w:rFonts w:ascii="Courier New" w:cs="Courier New" w:eastAsia="Courier New" w:hAnsi="Courier New"/>
          <w:sz w:val="15"/>
          <w:szCs w:val="15"/>
          <w:color w:val="auto"/>
        </w:rPr>
        <w:t>2930 28th Street, N.W.</w:t>
      </w:r>
    </w:p>
    <w:p>
      <w:pPr>
        <w:ind w:left="3500"/>
        <w:spacing w:after="0" w:line="238" w:lineRule="auto"/>
        <w:rPr>
          <w:sz w:val="20"/>
          <w:szCs w:val="20"/>
          <w:color w:val="auto"/>
        </w:rPr>
      </w:pPr>
      <w:r>
        <w:rPr>
          <w:rFonts w:ascii="Courier New" w:cs="Courier New" w:eastAsia="Courier New" w:hAnsi="Courier New"/>
          <w:sz w:val="15"/>
          <w:szCs w:val="15"/>
          <w:color w:val="auto"/>
        </w:rPr>
        <w:t>Washington, DC 20008</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Name: ________________________________</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Title:________________________________</w:t>
      </w:r>
    </w:p>
    <w:p>
      <w:pPr>
        <w:spacing w:after="0" w:line="166" w:lineRule="exact"/>
        <w:rPr>
          <w:sz w:val="20"/>
          <w:szCs w:val="20"/>
          <w:color w:val="auto"/>
        </w:rPr>
      </w:pPr>
    </w:p>
    <w:p>
      <w:pPr>
        <w:jc w:val="both"/>
        <w:ind w:left="3500"/>
        <w:spacing w:after="0"/>
        <w:tabs>
          <w:tab w:leader="none" w:pos="4620"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1626 East Jefferson Street</w:t>
      </w:r>
    </w:p>
    <w:p>
      <w:pPr>
        <w:jc w:val="right"/>
        <w:ind w:right="3319"/>
        <w:spacing w:after="0"/>
        <w:tabs>
          <w:tab w:leader="none" w:pos="42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20 of 20</w:t>
      </w:r>
    </w:p>
    <w:p>
      <w:pPr>
        <w:sectPr>
          <w:pgSz w:w="11900" w:h="16838" w:orient="portrait"/>
          <w:cols w:equalWidth="0" w:num="1">
            <w:col w:w="10239"/>
          </w:cols>
          <w:pgMar w:left="220" w:top="62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March 1, 2002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Ron D. Kaplan</w:t>
      </w:r>
    </w:p>
    <w:p>
      <w:pPr>
        <w:spacing w:after="0" w:line="237" w:lineRule="auto"/>
        <w:rPr>
          <w:sz w:val="20"/>
          <w:szCs w:val="20"/>
          <w:color w:val="auto"/>
        </w:rPr>
      </w:pPr>
      <w:r>
        <w:rPr>
          <w:rFonts w:ascii="Courier New" w:cs="Courier New" w:eastAsia="Courier New" w:hAnsi="Courier New"/>
          <w:sz w:val="15"/>
          <w:szCs w:val="15"/>
          <w:color w:val="auto"/>
        </w:rPr>
        <w:t>7909 Greentree Road</w:t>
      </w:r>
    </w:p>
    <w:p>
      <w:pPr>
        <w:spacing w:after="0" w:line="238" w:lineRule="auto"/>
        <w:rPr>
          <w:sz w:val="20"/>
          <w:szCs w:val="20"/>
          <w:color w:val="auto"/>
        </w:rPr>
      </w:pPr>
      <w:r>
        <w:rPr>
          <w:rFonts w:ascii="Courier New" w:cs="Courier New" w:eastAsia="Courier New" w:hAnsi="Courier New"/>
          <w:sz w:val="15"/>
          <w:szCs w:val="15"/>
          <w:color w:val="auto"/>
        </w:rPr>
        <w:t>Bethesda, Maryland 20817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Ron:</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This letter agreement will set forth the terms of the termination of your employment with Federal Realty Investment Trust (the "Trust"):</w:t>
      </w:r>
    </w:p>
    <w:p>
      <w:pPr>
        <w:spacing w:after="0" w:line="173" w:lineRule="exact"/>
        <w:rPr>
          <w:sz w:val="20"/>
          <w:szCs w:val="20"/>
          <w:color w:val="auto"/>
        </w:rPr>
      </w:pPr>
    </w:p>
    <w:p>
      <w:pPr>
        <w:ind w:right="3239" w:firstLine="797"/>
        <w:spacing w:after="0" w:line="255" w:lineRule="auto"/>
        <w:tabs>
          <w:tab w:leader="none" w:pos="113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employment was terminated without cause pursuant to the Amended and Restated Severance Agreement dated March 6, 1998 between you and the Trust (the "Severance Agreement") effective March 1, 2002 (the "Termination Date"). You and the Trust acknowledge that you have been paid through the Termination Date and that the Trust owes you payment for all accrued unused vacation as of the Termination Date, plus an additional eleven vacation days.</w:t>
      </w:r>
    </w:p>
    <w:p>
      <w:pPr>
        <w:spacing w:after="0" w:line="159"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will make a severance payment to you in the amount of</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$1,035,400 pursuant to Section 3(d) of your Severance Agreement. You agree that the above amount is the correct amount payable under that section of your Severance Agreement. Your severance payment will be payable in a lump sum on the date on which this letter agreement becomes effective and enforceable (i.e., the day after the expiration of the revocation period referred to in paragraph 15 below without your having revoked this letter agreement). You will also be entitled to all benefits and balances under your 401-K and Non-Qualified Deferred Compensation plans.</w:t>
      </w:r>
    </w:p>
    <w:p>
      <w:pPr>
        <w:spacing w:after="0" w:line="177" w:lineRule="exact"/>
        <w:rPr>
          <w:sz w:val="20"/>
          <w:szCs w:val="20"/>
          <w:color w:val="auto"/>
        </w:rPr>
      </w:pPr>
    </w:p>
    <w:p>
      <w:pPr>
        <w:ind w:right="3239" w:firstLine="797"/>
        <w:spacing w:after="0" w:line="235"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receive Full Benefits as described in Section 3(e) of the Severance Agreement for the periods specified in Section 3(e) plus an additional period of seven (7) months.</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receive outplacement services as described in Section 3(h) for a period not to exceed six (6) months and beginning on any date elected by you in writing during the sixteen (16) month period commencing on the Termination Date.</w:t>
      </w:r>
    </w:p>
    <w:p>
      <w:pPr>
        <w:spacing w:after="0" w:line="175" w:lineRule="exact"/>
        <w:rPr>
          <w:rFonts w:ascii="Courier New" w:cs="Courier New" w:eastAsia="Courier New" w:hAnsi="Courier New"/>
          <w:sz w:val="15"/>
          <w:szCs w:val="15"/>
          <w:color w:val="auto"/>
        </w:rPr>
      </w:pPr>
    </w:p>
    <w:p>
      <w:pPr>
        <w:ind w:right="3399" w:firstLine="797"/>
        <w:spacing w:after="0" w:line="234"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receive the perquisites described in Section 3(i) of the Severance Agreement beginning September 30, 2002.</w:t>
      </w:r>
    </w:p>
    <w:p>
      <w:pPr>
        <w:spacing w:after="0" w:line="173" w:lineRule="exact"/>
        <w:rPr>
          <w:rFonts w:ascii="Courier New" w:cs="Courier New" w:eastAsia="Courier New" w:hAnsi="Courier New"/>
          <w:sz w:val="15"/>
          <w:szCs w:val="15"/>
          <w:color w:val="auto"/>
        </w:rPr>
      </w:pPr>
    </w:p>
    <w:p>
      <w:pPr>
        <w:ind w:right="3939" w:firstLine="797"/>
        <w:spacing w:after="0" w:line="234" w:lineRule="auto"/>
        <w:tabs>
          <w:tab w:leader="none" w:pos="113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Termination Date, you will receive loan forgiveness described</w:t>
      </w:r>
    </w:p>
    <w:p>
      <w:pPr>
        <w:sectPr>
          <w:pgSz w:w="11900" w:h="16838" w:orient="portrait"/>
          <w:cols w:equalWidth="0" w:num="1">
            <w:col w:w="10239"/>
          </w:cols>
          <w:pgMar w:left="220" w:top="785" w:right="1440" w:bottom="1440" w:gutter="0" w:footer="0" w:header="0"/>
        </w:sectPr>
      </w:pPr>
    </w:p>
    <w:bookmarkStart w:id="128" w:name="page129"/>
    <w:bookmarkEnd w:id="128"/>
    <w:p>
      <w:pPr>
        <w:ind w:right="3319"/>
        <w:spacing w:after="0" w:line="236" w:lineRule="auto"/>
        <w:rPr>
          <w:sz w:val="20"/>
          <w:szCs w:val="20"/>
          <w:color w:val="auto"/>
        </w:rPr>
      </w:pPr>
      <w:r>
        <w:rPr>
          <w:rFonts w:ascii="Courier New" w:cs="Courier New" w:eastAsia="Courier New" w:hAnsi="Courier New"/>
          <w:sz w:val="15"/>
          <w:szCs w:val="15"/>
          <w:color w:val="auto"/>
        </w:rPr>
        <w:t>in Section 3(f) of the Severance Agreement as well as loan forgiveness provided for upon termination of your employment without cause under the performance share award, restricted share award, share purchase plan and option agreements between you and the Trust. It is hereby acknowledged and agreed that the balance of your outstanding indebtedness to the Trust as of the Termination Date, after giving effect to the debt forgiveness triggered by your Termination Without Cause, is $1,729,988.50 ("Total Outstanding Debt") and this amount, and the debt forgiveness, is itemized on Exhibit A.</w:t>
      </w:r>
    </w:p>
    <w:p>
      <w:pPr>
        <w:spacing w:after="0" w:line="177" w:lineRule="exact"/>
        <w:rPr>
          <w:sz w:val="20"/>
          <w:szCs w:val="20"/>
          <w:color w:val="auto"/>
        </w:rPr>
      </w:pPr>
    </w:p>
    <w:p>
      <w:pPr>
        <w:ind w:right="3239" w:firstLine="797"/>
        <w:spacing w:after="0" w:line="254" w:lineRule="auto"/>
        <w:tabs>
          <w:tab w:leader="none" w:pos="113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agreed to modify and extend the terms of your obligation to repay the Total Outstanding Debt as follows: the Total Outstanding Debt will bear interest at a fixed annual rate of 5.85% and will have a maturity date of September 30, 2007, unless earlier forgiven or prepaid and will require interest-only quarterly payments of $25,301.08, which shall be due and payable on each January 15th, April 15th, July 15th and October 15th during the Term; the obligation will be recourse to you and you shall maintain collateral in the form of unencumbered Federal Realty stock or cash or any cash equivalent having a then current market value of not less than 110% of the outstanding loan balance. The sufficiency of Collateral will be evaluated as of March 1 of each year during the term of the loan. In the event that the value of the Collateral is less than 100% of the outstanding loan balance as of March 1, you will post additional Collateral as required in order to satisfy this requirement. In the event that the value of the Collateral exceeds 110% of the outstanding loan balance as of March 1, excess Collateral will be released at your request. If the Trust contemplates a change in control (as that term is defined in the Trust's 2001 Long-Term Incentive Plan) prior to September 30, 2007, the Trust may, but shall have no obligation to, engage you in connection with such transaction, and, if the Trust does so engage you pursuant to a written agreement signed by you and Steve Guttman or any Executive Officer on behalf of the Trust, the outstanding principal balance of the Total Outstanding Debt will be forgiven in full in the event that the change in control transaction is completed on or before September 30, 2007. In consideration for the modifications and extension provided herein and the cancellation of all existing promissory notes which previously evidenced the Total Outstanding Debt, you will execute, concurrently herewith, the Full Recourse Secured Promissory Note and Share Pledge Agreement in the forms attached hereto as Exhibit B, evidencing and securing your obligation with respect to the Total Outstanding Debt.</w:t>
      </w:r>
    </w:p>
    <w:p>
      <w:pPr>
        <w:spacing w:after="0" w:line="34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the Termination Date, you will receive the accelerated vesting of stock options, performance shares and restricted shares, pursuant to Section 3(g) of your Severance Agreement and other agreements between you and the Trust, as itemized in Exhibit C hereto (and the options may be exercised for a period of seven months commencing on the date first set forth above, plus the period specified in such agreements).</w:t>
      </w:r>
    </w:p>
    <w:p>
      <w:pPr>
        <w:spacing w:after="0" w:line="174"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acknowledged and agreed that the Split Dollar Life Insurance Agreement between you, the Trust and the Ronald D. Kaplan Family Trust shall remain in full force and effect in accordance with the Split Dollar Life Insurance Agreement.</w:t>
      </w:r>
    </w:p>
    <w:p>
      <w:pPr>
        <w:spacing w:after="0" w:line="175"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may withhold from any amounts payable under this letter agreement, and pay over to the appropriate authority, all federal, state, county, city or other taxes as shall be required pursuant to any law or governmental regulation or ruling.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129" w:name="page130"/>
    <w:bookmarkEnd w:id="129"/>
    <w:p>
      <w:pPr>
        <w:ind w:right="3239" w:firstLine="797"/>
        <w:spacing w:after="0" w:line="236" w:lineRule="auto"/>
        <w:tabs>
          <w:tab w:leader="none" w:pos="113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and acknowledge that the payments provided for in this letter agreement are the only payments to which you will be entitled and that they exceed the payments and benefits to which you were otherwise entitled. In consideration of these payments, you agree that you will not be entitled to collect unemployment compensation. You acknowledge and recognize that in agreeing to provide you with the payments provided under this letter agreement, the Trust in no way admits any wrongdoing or liability to you arising out of any basis, including but not limited to your employment and/or ending of employment with the Trust.</w:t>
      </w:r>
    </w:p>
    <w:p>
      <w:pPr>
        <w:spacing w:after="0" w:line="178" w:lineRule="exact"/>
        <w:rPr>
          <w:rFonts w:ascii="Courier New" w:cs="Courier New" w:eastAsia="Courier New" w:hAnsi="Courier New"/>
          <w:sz w:val="15"/>
          <w:szCs w:val="15"/>
          <w:color w:val="auto"/>
        </w:rPr>
      </w:pPr>
    </w:p>
    <w:p>
      <w:pPr>
        <w:ind w:right="3239" w:firstLine="709"/>
        <w:spacing w:after="0" w:line="255" w:lineRule="auto"/>
        <w:tabs>
          <w:tab w:leader="none" w:pos="113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acknowledge that the Trust's business reputation in the real estate industry and the morale of its employees are of great value to the Trust. Thus, in consideration of the payments provided under this letter agreement, you agree that (a) you will not disparage the Trust, its affiliates or its and their officers, directors, trustees or employees, and (b) you will comply with all the terms and conditions of the confidentiality letter you executed as a condition of employment with the Trust (a copy of which is attached to this letter agreement as Attachment A) and you will not divulge and will keep confidential all proprietary and private information regarding the Trust which was made known to you during your employment, other than any disclosure required by any law or regulation, court of competent jurisdiction, recognized subpoena power, or governmental agency or authority, or to the extent necessary for Kaplan to enforce Federal's obligations hereunder.</w:t>
      </w:r>
    </w:p>
    <w:p>
      <w:pPr>
        <w:spacing w:after="0" w:line="16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Trust acknowledges your reputation and its great value to you. The Trust agrees that neither it nor its officers, directors, trustees, or agents will disparage your work performance or ethic or your integrity, or otherwise comment upon you unfavorably; and that neither it nor its officers, directors, trustees, or agents will make or publish, without your express prior written consent, any disparaging written or oral statement concerning you or your work performance or ethic or your integrity.</w:t>
      </w:r>
    </w:p>
    <w:p>
      <w:pPr>
        <w:spacing w:after="0" w:line="176" w:lineRule="exact"/>
        <w:rPr>
          <w:sz w:val="20"/>
          <w:szCs w:val="20"/>
          <w:color w:val="auto"/>
        </w:rPr>
      </w:pPr>
    </w:p>
    <w:p>
      <w:pPr>
        <w:ind w:right="3239" w:firstLine="797"/>
        <w:spacing w:after="0" w:line="236" w:lineRule="auto"/>
        <w:tabs>
          <w:tab w:leader="none" w:pos="113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return to the Trust all items containing proprietary information or trade secrets and any other property belonging to the Trust on or before the last day of the Term of the Consulting Agreement between you and the Trust. Notwithstanding the foregoing, you may retain, as your personal property, the Compaq Armada M300 laptop computer and docking station that the Trust provided for your use ("Computer"), provided that you must present the Computer to Lisa Denson on or before the last day of the Term of the Consulting Agreement so that she may delete any proprietary or confidential information stored thereon.</w:t>
      </w:r>
    </w:p>
    <w:p>
      <w:pPr>
        <w:spacing w:after="0" w:line="178"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the mutual promises of the parties and of the payments and other benefits promised herein by the Trust, you agree to release the Trust, all affiliated companies, and all employees, representatives, officers, trustees and directors of those entities of any and all claims or causes of action which you could assert arising, directly or indirectly, out of, or in any way connected with, based upon, or related to your employment by the Trust or your retirement under all statutes, laws, and regulations, whether, federal, state or local by executing a Release (in the form attached to this letter agreement as Attachment A) simultaneously with the execution of this letter agreement, and the Release shall be attached to and form a part of this letter agreement.</w:t>
      </w:r>
    </w:p>
    <w:p>
      <w:pPr>
        <w:spacing w:after="0" w:line="180"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acknowledge that you have been given at least twenty-one (21) days to consider this letter agreement, that you have seven (7) days from the date you sign this letter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130" w:name="page131"/>
    <w:bookmarkEnd w:id="130"/>
    <w:p>
      <w:pPr>
        <w:ind w:right="3399"/>
        <w:spacing w:after="0" w:line="256" w:lineRule="auto"/>
        <w:rPr>
          <w:sz w:val="20"/>
          <w:szCs w:val="20"/>
          <w:color w:val="auto"/>
        </w:rPr>
      </w:pPr>
      <w:r>
        <w:rPr>
          <w:rFonts w:ascii="Courier New" w:cs="Courier New" w:eastAsia="Courier New" w:hAnsi="Courier New"/>
          <w:sz w:val="14"/>
          <w:szCs w:val="14"/>
          <w:color w:val="auto"/>
        </w:rPr>
        <w:t>agreement in which to revoke it, and that this letter agreement will not be effective or enforceable until after the seven-day revocation period ends without your revocation of it. Revocation can be made by delivery of a written notice of revocation to Nancy Herman, Senior Vice President - General Counsel, on or before the seventh calendar day after you sign this letter agreement.</w:t>
      </w:r>
    </w:p>
    <w:p>
      <w:pPr>
        <w:spacing w:after="0" w:line="163" w:lineRule="exact"/>
        <w:rPr>
          <w:sz w:val="20"/>
          <w:szCs w:val="20"/>
          <w:color w:val="auto"/>
        </w:rPr>
      </w:pPr>
    </w:p>
    <w:p>
      <w:pPr>
        <w:ind w:right="3239" w:firstLine="797"/>
        <w:spacing w:after="0" w:line="236" w:lineRule="auto"/>
        <w:tabs>
          <w:tab w:leader="none" w:pos="11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(i) supersedes all other agreements between you and the Trust with regard to the subject matter hereof, (ii) will be governed by and interpreted under the laws of Maryland, and (iii) will become final and binding on both parties only upon full execution by both parties, your execution of the Release and the passage of the seven-day revocation period without your revocation.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It has been an honor and a pleasure working with you, Ron. On behalf of myself, the other officers and employees of the Trust, and the Board of Trustees, I want to thank you for your many years of devoted and very professional service to the Trust. We wish you all the best in your future endeavors.</w:t>
      </w:r>
    </w:p>
    <w:p>
      <w:pPr>
        <w:sectPr>
          <w:pgSz w:w="11900" w:h="16838" w:orient="portrait"/>
          <w:cols w:equalWidth="0" w:num="1">
            <w:col w:w="10239"/>
          </w:cols>
          <w:pgMar w:left="220" w:top="62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ectPr>
          <w:pgSz w:w="11900" w:h="16838" w:orient="portrait"/>
          <w:cols w:equalWidth="0" w:num="2">
            <w:col w:w="2440" w:space="720"/>
            <w:col w:w="7079"/>
          </w:cols>
          <w:pgMar w:left="220" w:top="62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______________________________________</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Nancy J. Herman</w:t>
      </w:r>
    </w:p>
    <w:p>
      <w:pPr>
        <w:ind w:left="340"/>
        <w:spacing w:after="0" w:line="237" w:lineRule="auto"/>
        <w:rPr>
          <w:sz w:val="20"/>
          <w:szCs w:val="20"/>
          <w:color w:val="auto"/>
        </w:rPr>
      </w:pPr>
      <w:r>
        <w:rPr>
          <w:rFonts w:ascii="Courier New" w:cs="Courier New" w:eastAsia="Courier New" w:hAnsi="Courier New"/>
          <w:sz w:val="15"/>
          <w:szCs w:val="15"/>
          <w:color w:val="auto"/>
        </w:rPr>
        <w:t>Senior Vice President-General Counsel</w:t>
      </w:r>
    </w:p>
    <w:p>
      <w:pPr>
        <w:ind w:left="340"/>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73" w:lineRule="exact"/>
        <w:rPr>
          <w:sz w:val="20"/>
          <w:szCs w:val="20"/>
          <w:color w:val="auto"/>
        </w:rPr>
      </w:pPr>
    </w:p>
    <w:p>
      <w:pPr>
        <w:sectPr>
          <w:pgSz w:w="11900" w:h="16838" w:orient="portrait"/>
          <w:cols w:equalWidth="0" w:num="2">
            <w:col w:w="2640" w:space="520"/>
            <w:col w:w="7079"/>
          </w:cols>
          <w:pgMar w:left="220" w:top="62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623" w:right="1440" w:bottom="1440" w:gutter="0" w:footer="0" w:header="0"/>
          <w:type w:val="continuous"/>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D. Kaplan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Signature: ___________________</w:t>
      </w:r>
    </w:p>
    <w:p>
      <w:pPr>
        <w:spacing w:after="0" w:line="200" w:lineRule="exact"/>
        <w:rPr>
          <w:sz w:val="20"/>
          <w:szCs w:val="20"/>
          <w:color w:val="auto"/>
        </w:rPr>
      </w:pPr>
    </w:p>
    <w:p>
      <w:pPr>
        <w:sectPr>
          <w:pgSz w:w="11900" w:h="16838" w:orient="portrait"/>
          <w:cols w:equalWidth="0" w:num="2">
            <w:col w:w="2780" w:space="720"/>
            <w:col w:w="6739"/>
          </w:cols>
          <w:pgMar w:left="220" w:top="623" w:right="1440" w:bottom="1440" w:gutter="0" w:footer="0" w:header="0"/>
          <w:type w:val="continuous"/>
        </w:sectPr>
      </w:pPr>
    </w:p>
    <w:p>
      <w:pPr>
        <w:spacing w:after="0" w:line="14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623" w:right="1440" w:bottom="1440" w:gutter="0" w:footer="0" w:header="0"/>
          <w:type w:val="continuous"/>
        </w:sectPr>
      </w:pPr>
    </w:p>
    <w:bookmarkStart w:id="131" w:name="page132"/>
    <w:bookmarkEnd w:id="131"/>
    <w:p>
      <w:pPr>
        <w:jc w:val="right"/>
        <w:ind w:right="3239"/>
        <w:spacing w:after="0"/>
        <w:rPr>
          <w:sz w:val="20"/>
          <w:szCs w:val="20"/>
          <w:color w:val="auto"/>
        </w:rPr>
      </w:pPr>
      <w:r>
        <w:rPr>
          <w:rFonts w:ascii="Courier New" w:cs="Courier New" w:eastAsia="Courier New" w:hAnsi="Courier New"/>
          <w:sz w:val="15"/>
          <w:szCs w:val="15"/>
          <w:color w:val="auto"/>
        </w:rPr>
        <w:t>ATTACHMENT A</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RELEASE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Release, entered into and effective for all purposes as of this ____ day of</w:t>
      </w:r>
    </w:p>
    <w:p>
      <w:pPr>
        <w:spacing w:after="0" w:line="10"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March, 2002, between Ron D. Kaplan ("Employee") and Federal Realty Investment Trust ("Employer"),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KNOW ALL MEN BY THESE PRESENTS THAT:</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 In consideration of Employer's agreement to make the payments and to provide other benefits to Employee as set forth in a letter agreement dated March 1, 2002, the receipt and sufficiency of which are hereby acknowledged, Employee hereby irrevocably and unconditionally releases, remits, acquits, and discharges Employer and any affiliate of Employer and its present and former officers, Trustees, agents, employees, contractors, successors and assigns (separately and collectively "releasees"), jointly and individually, from any and all claims, known or unknown, which Employee, her heirs, successors or assigns have or may have against releasees and any and all liability which the releasees may have to her whether called claims, demands, causes of action, obligations, damages or liabilities arising from any and all basis, however called, including but not limited to claims of discrimination under any federal, state or local law, rule or regulation.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Release. Employee specifically acknowledges that this release is applicable to any claim under the CIVIL RIGHTS ACT OF 1964, as amended, the AGE DISCRIMINATION IN EMPLOYMENT ACT, as amended, and/or the AMERICANS WITH DISABILITIES ACT. This release is for any relief, no matter how called, including but not limited to reinstatement, wages, back pay, front pay, severance pay, compensatory damages, punitive damages or damages for pain or suffering, or attorney fees.</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B. Subject to Paragraph D. below, Employer and its successors and assigns hereby irrevocably and unconditionally release, remit, acquit, and discharge Employee from any and all claims, known or unknown, which Employer has or may have against Employee and any and all liability which Employee may have to it whether called claims, demands, causes of action, obligations, damages or liabilities arising from any and all basis, however called.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relate to events occurring after the date of this Mutual Release. This release is for any relief, no matter how called, including but not limited to compensatory damages, punitive damages or damages for pain or suffering, or attorney fees.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132" w:name="page133"/>
    <w:bookmarkEnd w:id="132"/>
    <w:p>
      <w:pPr>
        <w:ind w:right="3399" w:firstLine="797"/>
        <w:spacing w:after="0" w:line="258" w:lineRule="auto"/>
        <w:tabs>
          <w:tab w:leader="none" w:pos="113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represents that he has not filed any administrative or judicial claim or complaint against releasees. Employer represents that it has filed no administrative or judicial claim or complaint against Employee.</w:t>
      </w:r>
    </w:p>
    <w:p>
      <w:pPr>
        <w:spacing w:after="0" w:line="161"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Release shall be and remain in effect despite any alleged breach of the letter agreement or the discovery or existence of any new or additional fact or any fact different from that which Employee or Employer or their counsel now know or believe to be true. Notwithstanding the foregoing, nothing in this Release shall be construed as or constitute a release of Employee's or Employer's rights to enforce the terms of the letter agreement, or to seek relief, including but not limited to any damages, for any breach of the letter agreement.</w:t>
      </w:r>
    </w:p>
    <w:p>
      <w:pPr>
        <w:spacing w:after="0" w:line="177" w:lineRule="exact"/>
        <w:rPr>
          <w:rFonts w:ascii="Courier New" w:cs="Courier New" w:eastAsia="Courier New" w:hAnsi="Courier New"/>
          <w:sz w:val="15"/>
          <w:szCs w:val="15"/>
          <w:color w:val="auto"/>
        </w:rPr>
      </w:pPr>
    </w:p>
    <w:p>
      <w:pPr>
        <w:ind w:right="3399" w:firstLine="797"/>
        <w:spacing w:after="0" w:line="255" w:lineRule="auto"/>
        <w:tabs>
          <w:tab w:leader="none" w:pos="104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acknowledges that he has read the foregoing Release; that he has had a right to consult an attorney, and has been encouraged by the Employer to review this Release with an attorney; that he has been given a period of not less than 21 days in which to consider this Release; that he understands it; and that he accepts and agrees to all the provisions contained herein. Employee understands that this Release sets forth the entire understanding of the parties, and he acknowledges that he has not relied upon any other representations or promises in entering into this Release.</w:t>
      </w:r>
    </w:p>
    <w:p>
      <w:pPr>
        <w:spacing w:after="0" w:line="166"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Employee may revoke this Release at any time during the seven days immediately following his execution of the Release, after which time the Release shall be irrevocable and enforceable in any court of competent jurisdiction.</w:t>
      </w:r>
    </w:p>
    <w:p>
      <w:pPr>
        <w:spacing w:after="0" w:line="161"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Release as of the date first above written.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______________________________________</w:t>
      </w:r>
    </w:p>
    <w:p>
      <w:pPr>
        <w:ind w:left="3500"/>
        <w:spacing w:after="0" w:line="237" w:lineRule="auto"/>
        <w:rPr>
          <w:sz w:val="20"/>
          <w:szCs w:val="20"/>
          <w:color w:val="auto"/>
        </w:rPr>
      </w:pPr>
      <w:r>
        <w:rPr>
          <w:rFonts w:ascii="Courier New" w:cs="Courier New" w:eastAsia="Courier New" w:hAnsi="Courier New"/>
          <w:sz w:val="15"/>
          <w:szCs w:val="15"/>
          <w:color w:val="auto"/>
        </w:rPr>
        <w:t>Ron D. Kaplan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By: ___________________________________</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33" w:name="page134"/>
    <w:bookmarkEnd w:id="133"/>
    <w:p>
      <w:pPr>
        <w:ind w:left="3160"/>
        <w:spacing w:after="0"/>
        <w:rPr>
          <w:sz w:val="20"/>
          <w:szCs w:val="20"/>
          <w:color w:val="auto"/>
        </w:rPr>
      </w:pPr>
      <w:r>
        <w:rPr>
          <w:rFonts w:ascii="Courier New" w:cs="Courier New" w:eastAsia="Courier New" w:hAnsi="Courier New"/>
          <w:sz w:val="15"/>
          <w:szCs w:val="15"/>
          <w:color w:val="auto"/>
        </w:rPr>
        <w:t>EXHIBIT A</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8" w:lineRule="auto"/>
        <w:rPr>
          <w:sz w:val="20"/>
          <w:szCs w:val="20"/>
          <w:color w:val="auto"/>
        </w:rPr>
      </w:pPr>
      <w:r>
        <w:rPr>
          <w:rFonts w:ascii="Courier New" w:cs="Courier New" w:eastAsia="Courier New" w:hAnsi="Courier New"/>
          <w:sz w:val="15"/>
          <w:szCs w:val="15"/>
          <w:color w:val="auto"/>
        </w:rPr>
        <w:t>TOTAL OUTSTANDING DEBT</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8"/>
              </w:rPr>
              <w:t>Debt Forgiven On</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Outstanding</w:t>
            </w:r>
          </w:p>
        </w:tc>
      </w:tr>
      <w:tr>
        <w:trPr>
          <w:trHeight w:val="168"/>
        </w:trPr>
        <w:tc>
          <w:tcPr>
            <w:tcW w:w="264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Existing Debt</w:t>
            </w:r>
          </w:p>
        </w:tc>
        <w:tc>
          <w:tcPr>
            <w:tcW w:w="34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TWOC/1/</w:t>
            </w:r>
          </w:p>
        </w:tc>
        <w:tc>
          <w:tcPr>
            <w:tcW w:w="58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Debt</w:t>
            </w:r>
          </w:p>
        </w:tc>
      </w:tr>
      <w:tr>
        <w:trPr>
          <w:trHeight w:val="168"/>
        </w:trPr>
        <w:tc>
          <w:tcPr>
            <w:tcW w:w="2640" w:type="dxa"/>
            <w:vAlign w:val="bottom"/>
          </w:tcPr>
          <w:p>
            <w:pPr>
              <w:spacing w:after="0"/>
              <w:rPr>
                <w:sz w:val="14"/>
                <w:szCs w:val="14"/>
                <w:color w:val="auto"/>
              </w:rPr>
            </w:pPr>
          </w:p>
        </w:tc>
        <w:tc>
          <w:tcPr>
            <w:tcW w:w="1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Stock Option Loans</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$1,104,988.50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$1,104,988.50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Purchase Loans and</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Associated Tax Loans</w:t>
            </w:r>
          </w:p>
        </w:tc>
        <w:tc>
          <w:tcPr>
            <w:tcW w:w="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750,000.00</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$125,000.00</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625,000.00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Tax Loans on Restricted Shares</w:t>
            </w:r>
          </w:p>
        </w:tc>
        <w:tc>
          <w:tcPr>
            <w:tcW w:w="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333,377.19</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$333,377.19</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Loans on Performance</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398,656.25</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$398,656.25</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640" w:type="dxa"/>
            <w:vAlign w:val="bottom"/>
          </w:tcPr>
          <w:p>
            <w:pPr>
              <w:spacing w:after="0"/>
              <w:rPr>
                <w:sz w:val="14"/>
                <w:szCs w:val="14"/>
                <w:color w:val="auto"/>
              </w:rPr>
            </w:pPr>
          </w:p>
        </w:tc>
        <w:tc>
          <w:tcPr>
            <w:tcW w:w="1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$2,587,021.94</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$857,033.44</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$1,729,988.50</w:t>
            </w:r>
          </w:p>
        </w:tc>
      </w:tr>
      <w:tr>
        <w:trPr>
          <w:trHeight w:val="168"/>
        </w:trPr>
        <w:tc>
          <w:tcPr>
            <w:tcW w:w="2640" w:type="dxa"/>
            <w:vAlign w:val="bottom"/>
          </w:tcPr>
          <w:p>
            <w:pPr>
              <w:spacing w:after="0"/>
              <w:rPr>
                <w:sz w:val="14"/>
                <w:szCs w:val="14"/>
                <w:color w:val="auto"/>
              </w:rPr>
            </w:pPr>
          </w:p>
        </w:tc>
        <w:tc>
          <w:tcPr>
            <w:tcW w:w="1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4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rPr>
              <w:t>Newly Created Debt</w:t>
            </w:r>
          </w:p>
        </w:tc>
        <w:tc>
          <w:tcPr>
            <w:tcW w:w="3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Debt Forgiven</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as a Result of TWOC</w:t>
            </w:r>
          </w:p>
        </w:tc>
        <w:tc>
          <w:tcPr>
            <w:tcW w:w="3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on TWOC</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Tax Loans on Restricted</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393,251</w:t>
            </w:r>
          </w:p>
        </w:tc>
        <w:tc>
          <w:tcPr>
            <w:tcW w:w="3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$393,251</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Loans on Performance</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314,500</w:t>
            </w:r>
          </w:p>
        </w:tc>
        <w:tc>
          <w:tcPr>
            <w:tcW w:w="3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$314,500</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707,751</w:t>
            </w:r>
          </w:p>
        </w:tc>
        <w:tc>
          <w:tcPr>
            <w:tcW w:w="3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$707,751</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 "TWOC" refers to Termination Without Cause, as defined in Section 3 of Ron Kaplan's Amended and Restated Severance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34" w:name="page135"/>
    <w:bookmarkEnd w:id="134"/>
    <w:p>
      <w:pPr>
        <w:jc w:val="center"/>
        <w:ind w:right="4279"/>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FORM OF FULL RECOURSE SECURED PROMISSORY NOTE AND STOCK</w:t>
      </w:r>
    </w:p>
    <w:p>
      <w:pPr>
        <w:spacing w:after="0" w:line="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99"/>
          </w:cols>
          <w:pgMar w:left="1360" w:top="617" w:right="1440" w:bottom="1440" w:gutter="0" w:footer="0" w:header="0"/>
        </w:sectPr>
      </w:pPr>
    </w:p>
    <w:bookmarkStart w:id="135" w:name="page136"/>
    <w:bookmarkEnd w:id="135"/>
    <w:p>
      <w:pPr>
        <w:jc w:val="center"/>
        <w:ind w:right="3139"/>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ACCELERATED VESTING</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 OF AWARD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20" w:space="440"/>
            <w:col w:w="5679"/>
          </w:cols>
          <w:pgMar w:left="220" w:top="617"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 Award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Accelerated vesting of remaining 25,000 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4120" w:space="440"/>
            <w:col w:w="56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Restricted Share Award Agreements</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(Service Awards)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Share Award Agreements (Bonus)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right="959"/>
        <w:spacing w:after="0" w:line="236" w:lineRule="auto"/>
        <w:rPr>
          <w:sz w:val="20"/>
          <w:szCs w:val="20"/>
          <w:color w:val="auto"/>
        </w:rPr>
      </w:pPr>
      <w:r>
        <w:rPr>
          <w:rFonts w:ascii="Courier New" w:cs="Courier New" w:eastAsia="Courier New" w:hAnsi="Courier New"/>
          <w:sz w:val="15"/>
          <w:szCs w:val="15"/>
          <w:color w:val="auto"/>
        </w:rPr>
        <w:t>Accelerated vesting of remaining 29,950 shares ---------------------------------------------------- Accelerated vesting of 4,805 shares ---------------------------------------------------- Accelerated vesting of 69,999 options; vested options are exercisable for 12 months ----------------------------------------------------</w:t>
      </w:r>
    </w:p>
    <w:p>
      <w:pPr>
        <w:spacing w:after="0" w:line="200" w:lineRule="exact"/>
        <w:rPr>
          <w:sz w:val="20"/>
          <w:szCs w:val="20"/>
          <w:color w:val="auto"/>
        </w:rPr>
      </w:pPr>
    </w:p>
    <w:p>
      <w:pPr>
        <w:sectPr>
          <w:pgSz w:w="11900" w:h="16838" w:orient="portrait"/>
          <w:cols w:equalWidth="0" w:num="2">
            <w:col w:w="4120" w:space="440"/>
            <w:col w:w="5679"/>
          </w:cols>
          <w:pgMar w:left="220" w:top="617" w:right="1440" w:bottom="1440" w:gutter="0" w:footer="0" w:header="0"/>
          <w:type w:val="continuous"/>
        </w:sect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617" w:right="1440" w:bottom="1440" w:gutter="0" w:footer="0" w:header="0"/>
          <w:type w:val="continuous"/>
        </w:sectPr>
      </w:pPr>
    </w:p>
    <w:bookmarkStart w:id="136" w:name="page137"/>
    <w:bookmarkEnd w:id="136"/>
    <w:p>
      <w:pPr>
        <w:ind w:left="2640"/>
        <w:spacing w:after="0"/>
        <w:rPr>
          <w:sz w:val="20"/>
          <w:szCs w:val="20"/>
          <w:color w:val="auto"/>
        </w:rPr>
      </w:pPr>
      <w:r>
        <w:rPr>
          <w:rFonts w:ascii="Courier New" w:cs="Courier New" w:eastAsia="Courier New" w:hAnsi="Courier New"/>
          <w:sz w:val="15"/>
          <w:szCs w:val="15"/>
          <w:color w:val="auto"/>
        </w:rPr>
        <w:t>CONSULTING AGREEMENT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CONSULTING AGREEMENT (this "Agreement") is made as of the _1st___ day of March, 2002, by and between Federal Realty Investment Trust, with an address of 1626 East Jefferson Street, Rockville, MD 20852 ("Federal") and Ron D. Kaplan, an individual with an address of 7909 Greentree Road, Bethesda, Maryland 20817 ("Kaplan ").</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WHEREAS Federal desires to engage Kaplan to serve as a consultant to Federal and Kaplan desires to so serve as a consultant to Federal.</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promises and for other good and valuable consideration, the receipt and sufficiency of which is hereby acknowledged, the parties hereby agree as follows:</w:t>
      </w:r>
    </w:p>
    <w:p>
      <w:pPr>
        <w:spacing w:after="0" w:line="167" w:lineRule="exact"/>
        <w:rPr>
          <w:sz w:val="20"/>
          <w:szCs w:val="20"/>
          <w:color w:val="auto"/>
        </w:rPr>
      </w:pPr>
    </w:p>
    <w:p>
      <w:pPr>
        <w:ind w:left="1060" w:hanging="263"/>
        <w:spacing w:after="0"/>
        <w:tabs>
          <w:tab w:leader="none" w:pos="10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as Independent Consultant. Federal agrees to engage</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Kaplan as an independent consultant, for the purposes set forth in Paragraph 3 of this Agreement (the "Services"). The parties acknowledge and agree that Kaplan's employment with Federal was terminated effective March 1, 2002 and that nothing in this Agreement shall constitute or be construed as constituting, creating or extending an agency, partnership, master-servant or employer-employee relationship between Federal and Kaplan. Federal shall not be liable for any act or omission of Kaplan or for any obligation or debt incurred by Kaplan, unless the same shall have been authorized by any Executive Officer of Federal.</w:t>
      </w:r>
    </w:p>
    <w:p>
      <w:pPr>
        <w:spacing w:after="0" w:line="172" w:lineRule="exact"/>
        <w:rPr>
          <w:sz w:val="20"/>
          <w:szCs w:val="20"/>
          <w:color w:val="auto"/>
        </w:rPr>
      </w:pPr>
    </w:p>
    <w:p>
      <w:pPr>
        <w:ind w:left="1060" w:hanging="263"/>
        <w:spacing w:after="0"/>
        <w:tabs>
          <w:tab w:leader="none" w:pos="10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this Agreement shall commence on March 1, 2002,</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shall continue through September 30, 2002 or the Termination Date ("Term"). Kaplan shall return to Federal any and all records, reports, documents and other materials relating to the Services that are in his possession or control, by overnight courier within twenty-four (24) hours after the first to occur of: (i) a request by Federal, or (ii) the Termination Date, or (iii) September 30, 2002. Federal shall promptly reimburse Kaplan for actual charges incurred to deliver such materials.</w:t>
      </w:r>
    </w:p>
    <w:p>
      <w:pPr>
        <w:spacing w:after="0" w:line="176" w:lineRule="exact"/>
        <w:rPr>
          <w:sz w:val="20"/>
          <w:szCs w:val="20"/>
          <w:color w:val="auto"/>
        </w:rPr>
      </w:pPr>
    </w:p>
    <w:p>
      <w:pPr>
        <w:ind w:left="1060" w:hanging="263"/>
        <w:spacing w:after="0"/>
        <w:tabs>
          <w:tab w:leader="none" w:pos="10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Kaplan agrees to use reasonable best efforts to complete</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and all of the following Services, to the reasonable satisfaction of Steven Guttman (or such other Federal designee as may be appointed by the Chief Executive Officer of Federal) on or before September 30, 2002. Kaplan shall devote the time required as determined in his reasonable discretion to complete the Services.</w:t>
      </w:r>
    </w:p>
    <w:p>
      <w:pPr>
        <w:spacing w:after="0" w:line="174" w:lineRule="exact"/>
        <w:rPr>
          <w:sz w:val="20"/>
          <w:szCs w:val="20"/>
          <w:color w:val="auto"/>
        </w:rPr>
      </w:pPr>
    </w:p>
    <w:p>
      <w:pPr>
        <w:ind w:left="1400" w:right="3939" w:hanging="341"/>
        <w:spacing w:after="0" w:line="235" w:lineRule="auto"/>
        <w:tabs>
          <w:tab w:leader="none" w:pos="140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all matters, projects and other business for which Kaplan was responsible during the term of his employment with Federal to Don Wood and Larry Finger and other designated employees.</w:t>
      </w:r>
    </w:p>
    <w:p>
      <w:pPr>
        <w:spacing w:after="0" w:line="175" w:lineRule="exact"/>
        <w:rPr>
          <w:rFonts w:ascii="Courier New" w:cs="Courier New" w:eastAsia="Courier New" w:hAnsi="Courier New"/>
          <w:sz w:val="15"/>
          <w:szCs w:val="15"/>
          <w:color w:val="auto"/>
        </w:rPr>
      </w:pPr>
    </w:p>
    <w:p>
      <w:pPr>
        <w:ind w:left="1400" w:right="4099" w:hanging="341"/>
        <w:spacing w:after="0" w:line="234" w:lineRule="auto"/>
        <w:tabs>
          <w:tab w:leader="none" w:pos="1400"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Renegotiate the Santana Row construction loan on terms acceptable to Federal.</w:t>
      </w:r>
    </w:p>
    <w:p>
      <w:pPr>
        <w:spacing w:after="0" w:line="166" w:lineRule="exact"/>
        <w:rPr>
          <w:rFonts w:ascii="Courier New" w:cs="Courier New" w:eastAsia="Courier New" w:hAnsi="Courier New"/>
          <w:sz w:val="15"/>
          <w:szCs w:val="15"/>
          <w:color w:val="auto"/>
        </w:rPr>
      </w:pPr>
    </w:p>
    <w:p>
      <w:pPr>
        <w:ind w:left="1140" w:hanging="256"/>
        <w:spacing w:after="0"/>
        <w:tabs>
          <w:tab w:leader="none" w:pos="11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Fees, Expenses and Support.</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1400" w:right="3579" w:hanging="341"/>
        <w:spacing w:after="0" w:line="234" w:lineRule="auto"/>
        <w:tabs>
          <w:tab w:leader="none" w:pos="140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agrees to pay Kaplan a consulting fee of $27,100 per month for each</w:t>
      </w:r>
    </w:p>
    <w:p>
      <w:pPr>
        <w:sectPr>
          <w:pgSz w:w="11900" w:h="16838" w:orient="portrait"/>
          <w:cols w:equalWidth="0" w:num="1">
            <w:col w:w="10239"/>
          </w:cols>
          <w:pgMar w:left="220" w:top="617" w:right="1440" w:bottom="1440" w:gutter="0" w:footer="0" w:header="0"/>
        </w:sectPr>
      </w:pPr>
    </w:p>
    <w:bookmarkStart w:id="137" w:name="page138"/>
    <w:bookmarkEnd w:id="137"/>
    <w:p>
      <w:pPr>
        <w:ind w:left="516" w:right="3319"/>
        <w:spacing w:after="0" w:line="235" w:lineRule="auto"/>
        <w:rPr>
          <w:sz w:val="20"/>
          <w:szCs w:val="20"/>
          <w:color w:val="auto"/>
        </w:rPr>
      </w:pPr>
      <w:r>
        <w:rPr>
          <w:rFonts w:ascii="Courier New" w:cs="Courier New" w:eastAsia="Courier New" w:hAnsi="Courier New"/>
          <w:sz w:val="15"/>
          <w:szCs w:val="15"/>
          <w:color w:val="auto"/>
        </w:rPr>
        <w:t>month of the Term, payable in equal installments on the 1st and 15th of each month in arrears, with the first payment due on March 15, 2002 ("Consulting Fee").</w:t>
      </w:r>
    </w:p>
    <w:p>
      <w:pPr>
        <w:spacing w:after="0" w:line="174" w:lineRule="exact"/>
        <w:rPr>
          <w:sz w:val="20"/>
          <w:szCs w:val="20"/>
          <w:color w:val="auto"/>
        </w:rPr>
      </w:pPr>
    </w:p>
    <w:p>
      <w:pPr>
        <w:ind w:left="516" w:right="3399" w:hanging="341"/>
        <w:spacing w:after="0" w:line="236" w:lineRule="auto"/>
        <w:tabs>
          <w:tab w:leader="none" w:pos="516"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Kaplan will be eligible to receive a success fee ("Success Fee"), the target amount of which shall be $500,000, payable promptly after Kaplan procures on behalf of the Trust a restructured Santana Row construction loan on terms acceptable to the Trust, provided that Steve Guttman (or, in the event he is incapacitated his successor) recommends and the Compensation Committee approves the payment of the Success Fee.</w:t>
      </w:r>
    </w:p>
    <w:p>
      <w:pPr>
        <w:spacing w:after="0" w:line="177" w:lineRule="exact"/>
        <w:rPr>
          <w:rFonts w:ascii="Courier New" w:cs="Courier New" w:eastAsia="Courier New" w:hAnsi="Courier New"/>
          <w:sz w:val="15"/>
          <w:szCs w:val="15"/>
          <w:color w:val="auto"/>
        </w:rPr>
      </w:pPr>
    </w:p>
    <w:p>
      <w:pPr>
        <w:ind w:left="516" w:right="3239" w:hanging="341"/>
        <w:spacing w:after="0" w:line="255" w:lineRule="auto"/>
        <w:tabs>
          <w:tab w:leader="none" w:pos="516"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Federal will provide Kaplan with his current office space in Federal's Rockville, Maryland office, as well as administrative support (which may be shared), computer services (with a connection to Federal's network), a phone, fax and other items and services that Kaplan had available to him prior to February 28, 2002 and necessary to enable Kaplan to perform the Services. Notwithstanding anything to the contrary in the preceding sentence, Federal will not terminate Kaplan's existing administrative assistant, Karen Fox ("Fox") without cause prior to June 1, 2002, and she will continue to support Kaplan through June 1, 2002 (or earlier if she elects to terminate her employment or is terminated with cause). Federal agrees that in the event that Federal terminates Fox effective June 1, 2002, she will be notified of the termination on or about April 15, 2002 and will receive a severance payment equal to four (4) weeks' base salary in exchange for a release of claims.</w:t>
      </w:r>
    </w:p>
    <w:p>
      <w:pPr>
        <w:spacing w:after="0" w:line="331" w:lineRule="exact"/>
        <w:rPr>
          <w:rFonts w:ascii="Courier New" w:cs="Courier New" w:eastAsia="Courier New" w:hAnsi="Courier New"/>
          <w:sz w:val="14"/>
          <w:szCs w:val="14"/>
          <w:color w:val="auto"/>
        </w:rPr>
      </w:pPr>
    </w:p>
    <w:p>
      <w:pPr>
        <w:ind w:left="516" w:right="3239" w:hanging="341"/>
        <w:spacing w:after="0" w:line="255" w:lineRule="auto"/>
        <w:tabs>
          <w:tab w:leader="none" w:pos="516"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will reimburse Kaplan or pay directly in accordance with Federal's Travel and Entertainment Policy, all reasonable costs and expenses necessary in connection with the performance of the Services hereunder, such as out of town travel and related expenses, provided that any expenditures in excess of $5,000 per month must be expressly authorized by Federal in advance.</w:t>
      </w:r>
    </w:p>
    <w:p>
      <w:pPr>
        <w:spacing w:after="0" w:line="159" w:lineRule="exact"/>
        <w:rPr>
          <w:rFonts w:ascii="Courier New" w:cs="Courier New" w:eastAsia="Courier New" w:hAnsi="Courier New"/>
          <w:sz w:val="14"/>
          <w:szCs w:val="14"/>
          <w:color w:val="auto"/>
        </w:rPr>
      </w:pPr>
    </w:p>
    <w:p>
      <w:pPr>
        <w:ind w:left="256" w:hanging="256"/>
        <w:spacing w:after="0"/>
        <w:tabs>
          <w:tab w:leader="none" w:pos="25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and Nondisclosure.</w:t>
      </w:r>
    </w:p>
    <w:p>
      <w:pPr>
        <w:ind w:left="25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516" w:right="3239" w:hanging="341"/>
        <w:spacing w:after="0" w:line="237" w:lineRule="auto"/>
        <w:tabs>
          <w:tab w:leader="none" w:pos="51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performance of the Services, Kaplan acknowledges that he may have access to Federal's confidential information and other secret or confidential matters relating to the business of Federal or its affiliates. "Confidential Information" means any information, oral or written, that is not generally known outside of Federal and/or its affiliates. It is understood that all such information shall have been received by Kaplan in confidence and Kaplan specifically agrees to retain all such information in strict confidence, disclosing it to no third party (other than Federal) and making no use of that information for Kaplan's own benefit or for any purpose whatsoever (other than as contemplated herein), without express written authorization from Federal, other than any disclosure required by any law or regulation, court of competent jurisdiction, recognized subpoena power, or governmental agency or authority, or to the extent necessary for Kaplan to enforce Federal's obligations hereunder.</w:t>
      </w:r>
    </w:p>
    <w:p>
      <w:pPr>
        <w:spacing w:after="0" w:line="175" w:lineRule="exact"/>
        <w:rPr>
          <w:rFonts w:ascii="Courier New" w:cs="Courier New" w:eastAsia="Courier New" w:hAnsi="Courier New"/>
          <w:sz w:val="15"/>
          <w:szCs w:val="15"/>
          <w:color w:val="auto"/>
        </w:rPr>
      </w:pPr>
    </w:p>
    <w:p>
      <w:pPr>
        <w:ind w:left="516" w:right="3499" w:hanging="341"/>
        <w:spacing w:after="0" w:line="235" w:lineRule="auto"/>
        <w:tabs>
          <w:tab w:leader="none" w:pos="516"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Confidentiality and Nondisclosure agreement shall survive the termination of Kaplan's association with Federal, regardless of the manner of such</w:t>
      </w:r>
    </w:p>
    <w:p>
      <w:pPr>
        <w:sectPr>
          <w:pgSz w:w="11900" w:h="16838" w:orient="portrait"/>
          <w:cols w:equalWidth="0" w:num="1">
            <w:col w:w="9355"/>
          </w:cols>
          <w:pgMar w:left="1104" w:top="623" w:right="1440" w:bottom="1440" w:gutter="0" w:footer="0" w:header="0"/>
        </w:sectPr>
      </w:pPr>
    </w:p>
    <w:bookmarkStart w:id="138" w:name="page139"/>
    <w:bookmarkEnd w:id="138"/>
    <w:p>
      <w:pPr>
        <w:ind w:left="1400"/>
        <w:spacing w:after="0"/>
        <w:rPr>
          <w:sz w:val="20"/>
          <w:szCs w:val="20"/>
          <w:color w:val="auto"/>
        </w:rPr>
      </w:pPr>
      <w:r>
        <w:rPr>
          <w:rFonts w:ascii="Courier New" w:cs="Courier New" w:eastAsia="Courier New" w:hAnsi="Courier New"/>
          <w:sz w:val="15"/>
          <w:szCs w:val="15"/>
          <w:color w:val="auto"/>
        </w:rPr>
        <w:t>termination.</w:t>
      </w:r>
    </w:p>
    <w:p>
      <w:pPr>
        <w:spacing w:after="0" w:line="166" w:lineRule="exact"/>
        <w:rPr>
          <w:sz w:val="20"/>
          <w:szCs w:val="20"/>
          <w:color w:val="auto"/>
        </w:rPr>
      </w:pPr>
    </w:p>
    <w:p>
      <w:pPr>
        <w:ind w:left="1060" w:hanging="263"/>
        <w:spacing w:after="0"/>
        <w:tabs>
          <w:tab w:leader="none" w:pos="10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Intellectual Property. Kaplan shall perform the</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Services solely for the benefit of Federal and it is the parties' intent that Federal shall own all title in all material and works created by Kaplan under this Agreement (the "Works"). Kaplan hereby assignees to Federal all of Kaplan's right, title and interest, including copyright, throughout the world, in and to all such Works, including the rights to bring suit or make any claim in Federal's name for prior or future infringement of rights in the Works. Kaplan further agrees, at the request and expense of Federal or its successor in interest, to do all lawful acts which may be required for obtaining and enforcing copyright rights in the Works and otherwise to aid Federal or its successor in enforcing rights in the Works.</w:t>
      </w:r>
    </w:p>
    <w:p>
      <w:pPr>
        <w:spacing w:after="0" w:line="179" w:lineRule="exact"/>
        <w:rPr>
          <w:sz w:val="20"/>
          <w:szCs w:val="20"/>
          <w:color w:val="auto"/>
        </w:rPr>
      </w:pPr>
    </w:p>
    <w:p>
      <w:pPr>
        <w:ind w:left="1060" w:hanging="263"/>
        <w:spacing w:after="0"/>
        <w:tabs>
          <w:tab w:leader="none" w:pos="10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Any controversy or claim arising out of or relating</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to this Agreement, or the breach thereof, shall be governed by the laws of Maryland.</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 Assignability. It is understood that the Services provided hereunder</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are personal to Kaplan. Therefore, Kaplan may not assign, transfer or sell his rights under this Agreement, or delegate his duties hereunder unless as expressly provided herein or otherwise with the prior written consent of Federal. Any attempted assignments or delegation without such consent shall be void and without effect.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9. Termination. Federal may terminate this Agreement by written notice</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Kaplan in the event that Kaplan engages in willful misconduct, bad faith or gross negligence in the performance of the Services which conduct results in actual injury to Federal, in which event Federal's obligation to pay, and Kaplan's right to receive, the Consulting Fee and the Success Fee shall terminate as of the date of termination. Kaplan may terminate this Agreement by written notice to Federal in the event that Federal engages in willful misconduct, bad faith or gross negligence in connection with this Agreement, which conduct results in actual injury to Kaplan, in which event Kaplan's obligation to provide the Services shall terminate and Federal shall promptly pay to Kaplan the balance of the Consulting Fee and the Success Fee. Kaplan may terminate this Agreement by written notice to Federal for any other reason, in which event Kaplan's obligation to provide the Services shall terminate and Federal's obligation to pay Kaplan the balance of the Consulting Fee and the Success Fee shall also terminate. The effective date of any termination pursuant to this provision shall herein be referred to as the "Termination Date". These rights shall be in addition to and not in lieu of any other right or remedy otherwise available for any breach of this Agreement.</w:t>
      </w:r>
    </w:p>
    <w:p>
      <w:pPr>
        <w:spacing w:after="0" w:line="331" w:lineRule="exact"/>
        <w:rPr>
          <w:sz w:val="20"/>
          <w:szCs w:val="20"/>
          <w:color w:val="auto"/>
        </w:rPr>
      </w:pPr>
    </w:p>
    <w:p>
      <w:pPr>
        <w:ind w:left="1140" w:hanging="343"/>
        <w:spacing w:after="0"/>
        <w:tabs>
          <w:tab w:leader="none" w:pos="11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Federal hereby agrees to indemnify and hold Kaplan</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harmless from and against all claims, liabilities, losses, damages and expenses incurred or arising out of Kaplan's performance of the Services pursuant to this Agreement to the fullest extent permitted under Maryland law, except for any claim, liability, loss, damage or expense that relates to or arises from any action or failure to act by Kaplan constituting willful misconduct, bad faith or gross negligence.</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 Limited Liability. The parties hereto agree that the obligations of</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Federal under</w:t>
      </w:r>
    </w:p>
    <w:p>
      <w:pPr>
        <w:sectPr>
          <w:pgSz w:w="11900" w:h="16838" w:orient="portrait"/>
          <w:cols w:equalWidth="0" w:num="1">
            <w:col w:w="10239"/>
          </w:cols>
          <w:pgMar w:left="220" w:top="617" w:right="1440" w:bottom="1440" w:gutter="0" w:footer="0" w:header="0"/>
        </w:sectPr>
      </w:pPr>
    </w:p>
    <w:bookmarkStart w:id="139" w:name="page140"/>
    <w:bookmarkEnd w:id="139"/>
    <w:p>
      <w:pPr>
        <w:ind w:right="3399"/>
        <w:spacing w:after="0" w:line="256" w:lineRule="auto"/>
        <w:rPr>
          <w:sz w:val="20"/>
          <w:szCs w:val="20"/>
          <w:color w:val="auto"/>
        </w:rPr>
      </w:pPr>
      <w:r>
        <w:rPr>
          <w:rFonts w:ascii="Courier New" w:cs="Courier New" w:eastAsia="Courier New" w:hAnsi="Courier New"/>
          <w:sz w:val="14"/>
          <w:szCs w:val="14"/>
          <w:color w:val="auto"/>
        </w:rPr>
        <w:t>this Agreement are not binding upon any of the trustees, officers or shareholders of Federal individually. The parties to this Agreement agree that no trustee, officer or shareholder of Federal may be held personally liable or responsible for any obligations of Federal arising out of this Agreement.</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12. Entire Agreement. This Agreement represents the entire agreement</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between the parties hereto with regard to the subject matter hereof. Any modifications, amendments or waivers of any of the provisions, herein shall be effective only if made in writing and duly signed by each party.</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on the day and year first above written.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Nancy J. Herman</w:t>
      </w:r>
    </w:p>
    <w:p>
      <w:pPr>
        <w:spacing w:after="0" w:line="5" w:lineRule="exact"/>
        <w:rPr>
          <w:sz w:val="20"/>
          <w:szCs w:val="20"/>
          <w:color w:val="auto"/>
        </w:rPr>
      </w:pPr>
    </w:p>
    <w:p>
      <w:pPr>
        <w:ind w:left="3240"/>
        <w:spacing w:after="0"/>
        <w:tabs>
          <w:tab w:leader="none" w:pos="3760" w:val="left"/>
        </w:tabs>
        <w:rPr>
          <w:sz w:val="20"/>
          <w:szCs w:val="20"/>
          <w:color w:val="auto"/>
        </w:rPr>
      </w:pPr>
      <w:r>
        <w:rPr>
          <w:rFonts w:ascii="Courier New" w:cs="Courier New" w:eastAsia="Courier New" w:hAnsi="Courier New"/>
          <w:sz w:val="14"/>
          <w:szCs w:val="14"/>
          <w:color w:val="auto"/>
        </w:rPr>
        <w:t>Its:</w:t>
        <w:tab/>
        <w:t>Senior Vice President-General Counsel</w:t>
      </w:r>
    </w:p>
    <w:p>
      <w:pPr>
        <w:spacing w:after="0" w:line="3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Ron D. Kaplan</w:t>
      </w:r>
    </w:p>
    <w:p>
      <w:pPr>
        <w:sectPr>
          <w:pgSz w:w="11900" w:h="16838" w:orient="portrait"/>
          <w:cols w:equalWidth="0" w:num="1">
            <w:col w:w="10239"/>
          </w:cols>
          <w:pgMar w:left="220" w:top="623"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Courier New" w:cs="Courier New" w:eastAsia="Courier New" w:hAnsi="Courier New"/>
                <w:sz w:val="15"/>
                <w:szCs w:val="15"/>
                <w:color w:val="auto"/>
              </w:rPr>
              <w:t>FULL RECOURSE SECURED PROMISSORY NOTE</w:t>
            </w:r>
          </w:p>
        </w:tc>
      </w:tr>
      <w:tr>
        <w:trPr>
          <w:trHeight w:val="168"/>
        </w:trPr>
        <w:tc>
          <w:tcPr>
            <w:tcW w:w="1540" w:type="dxa"/>
            <w:vAlign w:val="bottom"/>
          </w:tcPr>
          <w:p>
            <w:pPr>
              <w:spacing w:after="0"/>
              <w:rPr>
                <w:sz w:val="14"/>
                <w:szCs w:val="14"/>
                <w:color w:val="auto"/>
              </w:rPr>
            </w:pPr>
          </w:p>
        </w:tc>
        <w:tc>
          <w:tcPr>
            <w:tcW w:w="5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$1,729,988.50</w:t>
            </w:r>
          </w:p>
        </w:tc>
        <w:tc>
          <w:tcPr>
            <w:tcW w:w="5300" w:type="dxa"/>
            <w:vAlign w:val="bottom"/>
          </w:tcPr>
          <w:p>
            <w:pPr>
              <w:ind w:left="4060"/>
              <w:spacing w:after="0"/>
              <w:rPr>
                <w:sz w:val="20"/>
                <w:szCs w:val="20"/>
                <w:color w:val="auto"/>
              </w:rPr>
            </w:pPr>
            <w:r>
              <w:rPr>
                <w:rFonts w:ascii="Courier New" w:cs="Courier New" w:eastAsia="Courier New" w:hAnsi="Courier New"/>
                <w:sz w:val="15"/>
                <w:szCs w:val="15"/>
                <w:color w:val="auto"/>
                <w:w w:val="96"/>
              </w:rPr>
              <w:t>March 14, 2002</w:t>
            </w:r>
          </w:p>
        </w:tc>
      </w:tr>
    </w:tbl>
    <w:p>
      <w:pPr>
        <w:spacing w:after="0" w:line="34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VALUE RECEIVED, the undersigned, Ron D. Kaplan (the "Maker"), promises to pay to the order of Federal Realty Investment Trust, a Maryland real estate investment trust (the "Trust"), on the Maturity Date (as defined herein), the aggregate principal sum of One Million Seven Hundred Twenty-nine Thousand Nine Hundred Eighty-eight Dollars and Fifty Cents ($1,729,988.50).</w:t>
      </w:r>
    </w:p>
    <w:p>
      <w:pPr>
        <w:spacing w:after="0" w:line="174" w:lineRule="exact"/>
        <w:rPr>
          <w:sz w:val="20"/>
          <w:szCs w:val="20"/>
          <w:color w:val="auto"/>
        </w:rPr>
      </w:pPr>
    </w:p>
    <w:p>
      <w:pPr>
        <w:ind w:left="1580" w:hanging="783"/>
        <w:spacing w:after="0"/>
        <w:tabs>
          <w:tab w:leader="none" w:pos="15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Agreement. This Note is the promissory note referred to</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in section 7 of the certain letter agreement dated as of March 1, 2002 by and between Maker and the Trust (the "Letter Agreement"). Maker is executing and delivering this Note as required pursuant to the terms of the Letter Agreement.</w:t>
      </w:r>
    </w:p>
    <w:p>
      <w:pPr>
        <w:spacing w:after="0" w:line="161" w:lineRule="exact"/>
        <w:rPr>
          <w:sz w:val="20"/>
          <w:szCs w:val="20"/>
          <w:color w:val="auto"/>
        </w:rPr>
      </w:pPr>
    </w:p>
    <w:p>
      <w:pPr>
        <w:ind w:left="1580" w:hanging="783"/>
        <w:spacing w:after="0"/>
        <w:tabs>
          <w:tab w:leader="none" w:pos="15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Interest on the outstanding principal amount of this</w:t>
      </w:r>
    </w:p>
    <w:p>
      <w:pPr>
        <w:spacing w:after="0" w:line="4" w:lineRule="exact"/>
        <w:rPr>
          <w:rFonts w:ascii="Courier New" w:cs="Courier New" w:eastAsia="Courier New" w:hAnsi="Courier New"/>
          <w:sz w:val="14"/>
          <w:szCs w:val="14"/>
          <w:color w:val="auto"/>
        </w:rPr>
      </w:pP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Note shall be payable at the rate of 5.85% per annum. Interest shall be due and payable quarterly in arrears on January 15, April 15, July 15 and October 15 of each year for so long as any principal amount remains outstanding. All payments under this Note shall be made to the order of the Trust at the address listed in Section 9, or such other address as the Trust may designate in writing to the Maker.</w:t>
      </w:r>
    </w:p>
    <w:p>
      <w:pPr>
        <w:spacing w:after="0" w:line="168" w:lineRule="exact"/>
        <w:rPr>
          <w:sz w:val="20"/>
          <w:szCs w:val="20"/>
          <w:color w:val="auto"/>
        </w:rPr>
      </w:pPr>
    </w:p>
    <w:p>
      <w:pPr>
        <w:ind w:left="1580" w:hanging="783"/>
        <w:spacing w:after="0"/>
        <w:tabs>
          <w:tab w:leader="none" w:pos="15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Date. The principal balance of and all accrued and</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unpaid interest on this Note shall be paid in full on the earliest of: (a) September 30, 2007 or (b) the occurrence of any Event of Default (as defined herein) (the "Maturity Date").</w:t>
      </w:r>
    </w:p>
    <w:p>
      <w:pPr>
        <w:spacing w:after="0" w:line="174" w:lineRule="exact"/>
        <w:rPr>
          <w:sz w:val="20"/>
          <w:szCs w:val="20"/>
          <w:color w:val="auto"/>
        </w:rPr>
      </w:pPr>
    </w:p>
    <w:p>
      <w:pPr>
        <w:ind w:left="1580" w:hanging="783"/>
        <w:spacing w:after="0"/>
        <w:tabs>
          <w:tab w:leader="none" w:pos="15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This Note, as well as any accrued interest hereunder,</w:t>
      </w:r>
    </w:p>
    <w:p>
      <w:pPr>
        <w:spacing w:after="0" w:line="4" w:lineRule="exact"/>
        <w:rPr>
          <w:rFonts w:ascii="Courier New" w:cs="Courier New" w:eastAsia="Courier New" w:hAnsi="Courier New"/>
          <w:sz w:val="14"/>
          <w:szCs w:val="14"/>
          <w:color w:val="auto"/>
        </w:rPr>
      </w:pP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may be prepaid at any time in full or from time to time in part, without premium or penalty. In the event of any prepayment, such prepayment shall be applied first toward accrued and unpaid interest hereon, and any balance shall then be applied to the unpaid principal balance hereof. In the event of any partial prepayment, the Trust shall prepare and attach a schedule to this Note which reflects the adjusted balance of the principal and accrued interest on this Note. Except as set forth in Section 5 of this Note, all payments of principal and interest on this Note shall be paid in the legal currency of the United States. The Maker, or his successors and assigns, waives diligence, presentment for payment, demand, protest, and notice of protest, dishonor and nonpayment of this Note and expressly agrees that this Note, or any payment hereunder, may be extended from time to time and that the holder hereof may accept security for this Note or release security for this Note, all without in any way affecting the liability of the Maker hereunder.</w:t>
      </w:r>
    </w:p>
    <w:p>
      <w:pPr>
        <w:spacing w:after="0" w:line="332"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This Note will be forgiven in full, pursuant to section 7 of the Letter Agreement if the Trust engages the Maker pursuant to a written agreement signed by the Maker and Steve Guttman or any Executive Officer on behalf of the Trust in connection with a contemplated change in control (as that term is defined in the Trust's 2001 Long-Term Incentive Plan) prior to September 30, 2007 and the change in control transaction is completed on or before September 30, 2007.</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785" w:right="1440" w:bottom="1440" w:gutter="0" w:footer="0" w:header="0"/>
        </w:sectPr>
      </w:pPr>
    </w:p>
    <w:bookmarkStart w:id="141" w:name="page142"/>
    <w:bookmarkEnd w:id="141"/>
    <w:p>
      <w:pPr>
        <w:ind w:left="1580" w:hanging="783"/>
        <w:spacing w:after="0"/>
        <w:tabs>
          <w:tab w:leader="none" w:pos="15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in Common Shares. In addition to payment pursuant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 paragraph 4 above, this Note may also be paid in full or in part by the Maker at any time or from time to time by either (a) the surrender to the Trust for cancellation of a certificate or certificates registered in the name of the Maker (or his successors or assigns) representing the Trust's common shares of beneficial interest, par value $.01 per share ("Common Shares"), or (b) the delivery by the Maker to the Trust of a written instrument notifying the Trust of the Maker's intent to surrender for cancellation of a specified number of the Pledged Shares (as defined below) then held by the Trust pursuant to the terms of the Pledge Agreement (as defined below) for the purpose of making such payment. In either case, the aggregate amount of the accrued but unpaid interest and principal, if any, to be paid shall be calculated based on the aggregate Value (as defined below) of the Common Shares surrendered or to be surrendered for cancellation by the Trust. For purposes of this Note, "Value" shall mean the product of the number of Common Shares so delivered, multiplied by the Fair Market Value of a Common Share. "Fair Market Value" shall mean 100% of the closing sale price of the Trust's common shares of beneficial interest (as reported on The New York Stock Exchange's Composite Transactions Tape) for the trading day immediately preceding the day on which the Trust has taken delivery of the Common Shares or the Maker's written request for the application of Pledged Shares for such purpose, as the case may be, in connection with such payment.</w:t>
      </w:r>
    </w:p>
    <w:p>
      <w:pPr>
        <w:spacing w:after="0" w:line="170" w:lineRule="exact"/>
        <w:rPr>
          <w:sz w:val="20"/>
          <w:szCs w:val="20"/>
          <w:color w:val="auto"/>
        </w:rPr>
      </w:pPr>
    </w:p>
    <w:p>
      <w:pPr>
        <w:ind w:left="1580" w:hanging="783"/>
        <w:spacing w:after="0"/>
        <w:tabs>
          <w:tab w:leader="none" w:pos="15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Payment of this Note shall be secured by a Share</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Pledge Agreement, in substantially the form attached hereto as Exhibit A (the</w:t>
      </w:r>
    </w:p>
    <w:p>
      <w:pPr>
        <w:spacing w:after="0" w:line="237" w:lineRule="auto"/>
        <w:rPr>
          <w:sz w:val="20"/>
          <w:szCs w:val="20"/>
          <w:color w:val="auto"/>
        </w:rPr>
      </w:pPr>
      <w:r>
        <w:rPr>
          <w:rFonts w:ascii="Courier New" w:cs="Courier New" w:eastAsia="Courier New" w:hAnsi="Courier New"/>
          <w:sz w:val="15"/>
          <w:szCs w:val="15"/>
          <w:color w:val="auto"/>
        </w:rPr>
        <w:t>"Pledge Agreement"), to be executed and delivered by the Maker and providing,</w:t>
      </w:r>
    </w:p>
    <w:p>
      <w:pPr>
        <w:spacing w:after="0" w:line="238" w:lineRule="auto"/>
        <w:rPr>
          <w:sz w:val="20"/>
          <w:szCs w:val="20"/>
          <w:color w:val="auto"/>
        </w:rPr>
      </w:pPr>
      <w:r>
        <w:rPr>
          <w:rFonts w:ascii="Courier New" w:cs="Courier New" w:eastAsia="Courier New" w:hAnsi="Courier New"/>
          <w:sz w:val="15"/>
          <w:szCs w:val="15"/>
          <w:color w:val="auto"/>
        </w:rPr>
        <w:t>among other things, for the pledge by the Maker of Common Shares having an</w:t>
      </w:r>
    </w:p>
    <w:p>
      <w:pPr>
        <w:spacing w:after="0" w:line="237" w:lineRule="auto"/>
        <w:rPr>
          <w:sz w:val="20"/>
          <w:szCs w:val="20"/>
          <w:color w:val="auto"/>
        </w:rPr>
      </w:pPr>
      <w:r>
        <w:rPr>
          <w:rFonts w:ascii="Courier New" w:cs="Courier New" w:eastAsia="Courier New" w:hAnsi="Courier New"/>
          <w:sz w:val="15"/>
          <w:szCs w:val="15"/>
          <w:color w:val="auto"/>
        </w:rPr>
        <w:t>aggregate Value (calculated as of March 1, 2002) of at least One Million Nine</w:t>
      </w:r>
    </w:p>
    <w:p>
      <w:pPr>
        <w:spacing w:after="0" w:line="238" w:lineRule="auto"/>
        <w:rPr>
          <w:sz w:val="20"/>
          <w:szCs w:val="20"/>
          <w:color w:val="auto"/>
        </w:rPr>
      </w:pPr>
      <w:r>
        <w:rPr>
          <w:rFonts w:ascii="Courier New" w:cs="Courier New" w:eastAsia="Courier New" w:hAnsi="Courier New"/>
          <w:sz w:val="15"/>
          <w:szCs w:val="15"/>
          <w:color w:val="auto"/>
        </w:rPr>
        <w:t>Hundred Two Thousand Nine Hundred Eighty-seven Dollars and Thirty-five Cents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($1,902,987.35) (such Common Shares, the "Pledged Shares"). Notwithstanding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foregoing, this Note is a "recourse" Note and the right of the Trust under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Pledge Agreement to foreclose upon and dispose of the Pledged Shares shall be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to, and shall not in any way limit, hinder or affect, any other rights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remedies that may be available to the Trust under applicable law.</w:t>
      </w:r>
    </w:p>
    <w:p>
      <w:pPr>
        <w:spacing w:after="0" w:line="166" w:lineRule="exact"/>
        <w:rPr>
          <w:sz w:val="20"/>
          <w:szCs w:val="20"/>
          <w:color w:val="auto"/>
        </w:rPr>
      </w:pPr>
    </w:p>
    <w:p>
      <w:pPr>
        <w:ind w:left="1580" w:hanging="783"/>
        <w:spacing w:after="0"/>
        <w:tabs>
          <w:tab w:leader="none" w:pos="15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The occurrence of any of the following shall</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constitute an "Event of Default" under this Note:</w:t>
      </w:r>
    </w:p>
    <w:p>
      <w:pPr>
        <w:spacing w:after="0" w:line="173" w:lineRule="exact"/>
        <w:rPr>
          <w:sz w:val="20"/>
          <w:szCs w:val="20"/>
          <w:color w:val="auto"/>
        </w:rPr>
      </w:pPr>
    </w:p>
    <w:p>
      <w:pPr>
        <w:ind w:right="3239" w:firstLine="1584"/>
        <w:spacing w:after="0" w:line="235" w:lineRule="auto"/>
        <w:tabs>
          <w:tab w:leader="none" w:pos="22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installment of principal and/or interest on this Note when due and the continuation of such default for more than ten (10) days;</w:t>
      </w:r>
    </w:p>
    <w:p>
      <w:pPr>
        <w:spacing w:after="0" w:line="341" w:lineRule="exact"/>
        <w:rPr>
          <w:rFonts w:ascii="Courier New" w:cs="Courier New" w:eastAsia="Courier New" w:hAnsi="Courier New"/>
          <w:sz w:val="15"/>
          <w:szCs w:val="15"/>
          <w:color w:val="auto"/>
        </w:rPr>
      </w:pPr>
    </w:p>
    <w:p>
      <w:pPr>
        <w:ind w:right="3759" w:firstLine="1584"/>
        <w:spacing w:after="0" w:line="234" w:lineRule="auto"/>
        <w:tabs>
          <w:tab w:leader="none" w:pos="227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event of default under the Pledge Agreement securing this Note.</w:t>
      </w:r>
    </w:p>
    <w:p>
      <w:pPr>
        <w:spacing w:after="0" w:line="173" w:lineRule="exact"/>
        <w:rPr>
          <w:sz w:val="20"/>
          <w:szCs w:val="20"/>
          <w:color w:val="auto"/>
        </w:rPr>
      </w:pPr>
    </w:p>
    <w:p>
      <w:pPr>
        <w:ind w:right="3399" w:firstLine="1574"/>
        <w:spacing w:after="0" w:line="255" w:lineRule="auto"/>
        <w:rPr>
          <w:sz w:val="20"/>
          <w:szCs w:val="20"/>
          <w:color w:val="auto"/>
        </w:rPr>
      </w:pPr>
      <w:r>
        <w:rPr>
          <w:rFonts w:ascii="Courier New" w:cs="Courier New" w:eastAsia="Courier New" w:hAnsi="Courier New"/>
          <w:sz w:val="14"/>
          <w:szCs w:val="14"/>
          <w:color w:val="auto"/>
        </w:rPr>
        <w:t>Upon the occurrence of any such Event of Default, the entire unpaid balance of principal on this Note, together with all accrued interest thereon, shall be due and payable either immediately or at any time during the continuance of such Event of Default, at the option of the Trust. Failure to exercise this option upon or during an Event of Default shall not constitute a waiver of the right to exercise the same upon the occurrence of any subsequent Event of Default. No delay or omission on the part of the Trust in exercising any rights hereunder shall operate as a waiver of such rights or of any other right under this Note. Without limiting the</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617" w:right="1440" w:bottom="1440" w:gutter="0" w:footer="0" w:header="0"/>
        </w:sectPr>
      </w:pPr>
    </w:p>
    <w:bookmarkStart w:id="142" w:name="page143"/>
    <w:bookmarkEnd w:id="142"/>
    <w:p>
      <w:pPr>
        <w:ind w:right="3239"/>
        <w:spacing w:after="0" w:line="235" w:lineRule="auto"/>
        <w:rPr>
          <w:sz w:val="20"/>
          <w:szCs w:val="20"/>
          <w:color w:val="auto"/>
        </w:rPr>
      </w:pPr>
      <w:r>
        <w:rPr>
          <w:rFonts w:ascii="Courier New" w:cs="Courier New" w:eastAsia="Courier New" w:hAnsi="Courier New"/>
          <w:sz w:val="15"/>
          <w:szCs w:val="15"/>
          <w:color w:val="auto"/>
        </w:rPr>
        <w:t>generality of the foregoing, upon the occurrence of an Event of Default the rate at which interest shall accrue on the outstanding principal balance and other amounts due hereunder shall increase to 10% per annum until all such amounts have been paid in full.</w:t>
      </w:r>
    </w:p>
    <w:p>
      <w:pPr>
        <w:spacing w:after="0" w:line="169" w:lineRule="exact"/>
        <w:rPr>
          <w:sz w:val="20"/>
          <w:szCs w:val="20"/>
          <w:color w:val="auto"/>
        </w:rPr>
      </w:pPr>
    </w:p>
    <w:p>
      <w:pPr>
        <w:ind w:left="1580" w:hanging="783"/>
        <w:spacing w:after="0"/>
        <w:tabs>
          <w:tab w:leader="none" w:pos="15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If the Maker fails to pay any amounts due</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under this Note when due, the Maker shall pay to the holder hereof, in addition to such amounts due, all costs of collection, including reasonable attorneys' fees.</w:t>
      </w:r>
    </w:p>
    <w:p>
      <w:pPr>
        <w:spacing w:after="0" w:line="167" w:lineRule="exact"/>
        <w:rPr>
          <w:sz w:val="20"/>
          <w:szCs w:val="20"/>
          <w:color w:val="auto"/>
        </w:rPr>
      </w:pPr>
    </w:p>
    <w:p>
      <w:pPr>
        <w:ind w:left="1580" w:hanging="783"/>
        <w:spacing w:after="0"/>
        <w:tabs>
          <w:tab w:leader="none" w:pos="15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demand, claim, or other</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communication under this Note shall be in writing and shall be either personally delivered, sent by facsimile or sent by reputable overnight courier service (charges prepaid) to the recipient at the following address: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Trust:</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Federal Realty Investment Trust</w:t>
      </w:r>
    </w:p>
    <w:p>
      <w:pPr>
        <w:ind w:left="158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1580"/>
        <w:spacing w:after="0" w:line="238" w:lineRule="auto"/>
        <w:rPr>
          <w:sz w:val="20"/>
          <w:szCs w:val="20"/>
          <w:color w:val="auto"/>
        </w:rPr>
      </w:pPr>
      <w:r>
        <w:rPr>
          <w:rFonts w:ascii="Courier New" w:cs="Courier New" w:eastAsia="Courier New" w:hAnsi="Courier New"/>
          <w:sz w:val="15"/>
          <w:szCs w:val="15"/>
          <w:color w:val="auto"/>
        </w:rPr>
        <w:t>Rockville, MD 20852</w:t>
      </w:r>
    </w:p>
    <w:p>
      <w:pPr>
        <w:ind w:left="1580"/>
        <w:spacing w:after="0" w:line="237" w:lineRule="auto"/>
        <w:rPr>
          <w:sz w:val="20"/>
          <w:szCs w:val="20"/>
          <w:color w:val="auto"/>
        </w:rPr>
      </w:pPr>
      <w:r>
        <w:rPr>
          <w:rFonts w:ascii="Courier New" w:cs="Courier New" w:eastAsia="Courier New" w:hAnsi="Courier New"/>
          <w:sz w:val="15"/>
          <w:szCs w:val="15"/>
          <w:color w:val="auto"/>
        </w:rPr>
        <w:t>Attn: Legal Department</w:t>
      </w:r>
    </w:p>
    <w:p>
      <w:pPr>
        <w:ind w:left="1580"/>
        <w:spacing w:after="0" w:line="238" w:lineRule="auto"/>
        <w:rPr>
          <w:sz w:val="20"/>
          <w:szCs w:val="20"/>
          <w:color w:val="auto"/>
        </w:rPr>
      </w:pPr>
      <w:r>
        <w:rPr>
          <w:rFonts w:ascii="Courier New" w:cs="Courier New" w:eastAsia="Courier New" w:hAnsi="Courier New"/>
          <w:sz w:val="15"/>
          <w:szCs w:val="15"/>
          <w:color w:val="auto"/>
        </w:rPr>
        <w:t>Tel: (301) 998-8100</w:t>
      </w:r>
    </w:p>
    <w:p>
      <w:pPr>
        <w:ind w:left="1580"/>
        <w:spacing w:after="0" w:line="237" w:lineRule="auto"/>
        <w:rPr>
          <w:sz w:val="20"/>
          <w:szCs w:val="20"/>
          <w:color w:val="auto"/>
        </w:rPr>
      </w:pPr>
      <w:r>
        <w:rPr>
          <w:rFonts w:ascii="Courier New" w:cs="Courier New" w:eastAsia="Courier New" w:hAnsi="Courier New"/>
          <w:sz w:val="15"/>
          <w:szCs w:val="15"/>
          <w:color w:val="auto"/>
        </w:rPr>
        <w:t>Fax: (301) 998-3814</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Maker:</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Ron D. Kaplan</w:t>
      </w:r>
    </w:p>
    <w:p>
      <w:pPr>
        <w:ind w:left="1580"/>
        <w:spacing w:after="0" w:line="237" w:lineRule="auto"/>
        <w:rPr>
          <w:sz w:val="20"/>
          <w:szCs w:val="20"/>
          <w:color w:val="auto"/>
        </w:rPr>
      </w:pPr>
      <w:r>
        <w:rPr>
          <w:rFonts w:ascii="Courier New" w:cs="Courier New" w:eastAsia="Courier New" w:hAnsi="Courier New"/>
          <w:sz w:val="15"/>
          <w:szCs w:val="15"/>
          <w:color w:val="auto"/>
        </w:rPr>
        <w:t>7909 Greentree Road</w:t>
      </w:r>
    </w:p>
    <w:p>
      <w:pPr>
        <w:ind w:left="1580"/>
        <w:spacing w:after="0" w:line="238" w:lineRule="auto"/>
        <w:rPr>
          <w:sz w:val="20"/>
          <w:szCs w:val="20"/>
          <w:color w:val="auto"/>
        </w:rPr>
      </w:pPr>
      <w:r>
        <w:rPr>
          <w:rFonts w:ascii="Courier New" w:cs="Courier New" w:eastAsia="Courier New" w:hAnsi="Courier New"/>
          <w:sz w:val="15"/>
          <w:szCs w:val="15"/>
          <w:color w:val="auto"/>
        </w:rPr>
        <w:t>Bethesda, MD 20817</w:t>
      </w:r>
    </w:p>
    <w:p>
      <w:pPr>
        <w:ind w:left="1580"/>
        <w:spacing w:after="0" w:line="237" w:lineRule="auto"/>
        <w:rPr>
          <w:sz w:val="20"/>
          <w:szCs w:val="20"/>
          <w:color w:val="auto"/>
        </w:rPr>
      </w:pPr>
      <w:r>
        <w:rPr>
          <w:rFonts w:ascii="Courier New" w:cs="Courier New" w:eastAsia="Courier New" w:hAnsi="Courier New"/>
          <w:sz w:val="15"/>
          <w:szCs w:val="15"/>
          <w:color w:val="auto"/>
        </w:rPr>
        <w:t>Tel: (301) 469-7834</w:t>
      </w:r>
    </w:p>
    <w:p>
      <w:pPr>
        <w:ind w:left="1580"/>
        <w:spacing w:after="0" w:line="238" w:lineRule="auto"/>
        <w:rPr>
          <w:sz w:val="20"/>
          <w:szCs w:val="20"/>
          <w:color w:val="auto"/>
        </w:rPr>
      </w:pPr>
      <w:r>
        <w:rPr>
          <w:rFonts w:ascii="Courier New" w:cs="Courier New" w:eastAsia="Courier New" w:hAnsi="Courier New"/>
          <w:sz w:val="15"/>
          <w:szCs w:val="15"/>
          <w:color w:val="auto"/>
        </w:rPr>
        <w:t>Fax: (301) 469-6256</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or such other address or to the attention of such other person as the recipient party shall have specified by prior written notice to the sending party. Any notice under this Agreement will be deemed to have been given hereunder when delivered personally or sent by facsimile, and one day after deposit with a respectable overnight courier service.</w:t>
      </w:r>
    </w:p>
    <w:p>
      <w:pPr>
        <w:spacing w:after="0" w:line="167" w:lineRule="exact"/>
        <w:rPr>
          <w:sz w:val="20"/>
          <w:szCs w:val="20"/>
          <w:color w:val="auto"/>
        </w:rPr>
      </w:pPr>
    </w:p>
    <w:p>
      <w:pPr>
        <w:ind w:left="1580" w:hanging="783"/>
        <w:spacing w:after="0"/>
        <w:tabs>
          <w:tab w:leader="none" w:pos="15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All issues concerning this Agreement shall be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governed by and construed in accordance with the laws of the State of MARYLAND, without giving effect to any choice of law or conflict of law provision or rule (whether of the State of MARYLAND or any other jurisdiction) that would cause the application of the law of any jurisdiction other than the State of MARYLAND.</w:t>
      </w:r>
    </w:p>
    <w:p>
      <w:pPr>
        <w:spacing w:after="0" w:line="164" w:lineRule="exact"/>
        <w:rPr>
          <w:sz w:val="20"/>
          <w:szCs w:val="20"/>
          <w:color w:val="auto"/>
        </w:rPr>
      </w:pPr>
    </w:p>
    <w:p>
      <w:pPr>
        <w:ind w:left="1580" w:hanging="783"/>
        <w:spacing w:after="0"/>
        <w:tabs>
          <w:tab w:leader="none" w:pos="15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  Venue;  Jury Trial.  The Maker hereby consents</w:t>
      </w:r>
    </w:p>
    <w:p>
      <w:pPr>
        <w:spacing w:after="0" w:line="4" w:lineRule="exact"/>
        <w:rPr>
          <w:rFonts w:ascii="Courier New" w:cs="Courier New" w:eastAsia="Courier New" w:hAnsi="Courier New"/>
          <w:sz w:val="14"/>
          <w:szCs w:val="14"/>
          <w:color w:val="auto"/>
        </w:rPr>
      </w:pP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to the exclusive jurisdiction of the federal and state courts located in THE State of MARYLAND, and waives any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623" w:right="1440" w:bottom="1440" w:gutter="0" w:footer="0" w:header="0"/>
        </w:sectPr>
      </w:pPr>
    </w:p>
    <w:bookmarkStart w:id="143" w:name="page144"/>
    <w:bookmarkEnd w:id="143"/>
    <w:p>
      <w:pPr>
        <w:ind w:right="3319"/>
        <w:spacing w:after="0" w:line="236" w:lineRule="auto"/>
        <w:rPr>
          <w:sz w:val="20"/>
          <w:szCs w:val="20"/>
          <w:color w:val="auto"/>
        </w:rPr>
      </w:pPr>
      <w:r>
        <w:rPr>
          <w:rFonts w:ascii="Courier New" w:cs="Courier New" w:eastAsia="Courier New" w:hAnsi="Courier New"/>
          <w:sz w:val="15"/>
          <w:szCs w:val="15"/>
          <w:color w:val="auto"/>
        </w:rPr>
        <w:t>objections of improper venue and forum of such courts, in connection with any action hereunder. The Maker further consents to personal jurisdiction in the State of MARYLAND and agrees that service of process by certified mail, return receipt requested, shall constitute good and valid service (in addition to any other proper service). The Maker hereby waives any right to a jury trial in any such action.</w:t>
      </w:r>
    </w:p>
    <w:p>
      <w:pPr>
        <w:spacing w:after="0" w:line="168" w:lineRule="exact"/>
        <w:rPr>
          <w:sz w:val="20"/>
          <w:szCs w:val="20"/>
          <w:color w:val="auto"/>
        </w:rPr>
      </w:pPr>
    </w:p>
    <w:p>
      <w:pPr>
        <w:ind w:left="1940" w:hanging="356"/>
        <w:spacing w:after="0"/>
        <w:tabs>
          <w:tab w:leader="none" w:pos="19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If any one or more of the provisions of</w:t>
      </w: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Note is determined to be unenforceable, in whole or in part, for any reason, the remaining provisions shall remain fully operative. No renewal or extension of this Note, delay in enforcing any right of the Trust under this Note, or assignment by the Trust of this Note shall affect the liability of the Maker. All rights of the Trust under this Note are cumulative and may be exercised concurrently or consecutively at the Trust's option.</w:t>
      </w:r>
    </w:p>
    <w:p>
      <w:pPr>
        <w:spacing w:after="0" w:line="16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 Page Follows]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624" w:right="1440" w:bottom="1440" w:gutter="0" w:footer="0" w:header="0"/>
        </w:sectPr>
      </w:pPr>
    </w:p>
    <w:bookmarkStart w:id="144" w:name="page145"/>
    <w:bookmarkEnd w:id="144"/>
    <w:p>
      <w:pPr>
        <w:ind w:left="800"/>
        <w:spacing w:after="0"/>
        <w:rPr>
          <w:sz w:val="20"/>
          <w:szCs w:val="20"/>
          <w:color w:val="auto"/>
        </w:rPr>
      </w:pPr>
      <w:r>
        <w:rPr>
          <w:rFonts w:ascii="Courier New" w:cs="Courier New" w:eastAsia="Courier New" w:hAnsi="Courier New"/>
          <w:sz w:val="15"/>
          <w:szCs w:val="15"/>
          <w:color w:val="auto"/>
        </w:rPr>
        <w:t>IN WITNESS WHEREOF, the Maker has caused this Secured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Promissory Note to be executed on its behalf as of the date first above written.</w:t>
      </w: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THE MAKER:</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line="237" w:lineRule="auto"/>
        <w:rPr>
          <w:sz w:val="20"/>
          <w:szCs w:val="20"/>
          <w:color w:val="auto"/>
        </w:rPr>
      </w:pPr>
      <w:r>
        <w:rPr>
          <w:rFonts w:ascii="Courier New" w:cs="Courier New" w:eastAsia="Courier New" w:hAnsi="Courier New"/>
          <w:sz w:val="15"/>
          <w:szCs w:val="15"/>
          <w:color w:val="auto"/>
        </w:rPr>
        <w:t>Ron D. Kaplan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39"/>
          </w:cols>
          <w:pgMar w:left="220" w:top="617" w:right="1440" w:bottom="1440" w:gutter="0" w:footer="0" w:header="0"/>
        </w:sectPr>
      </w:pPr>
    </w:p>
    <w:bookmarkStart w:id="145" w:name="page146"/>
    <w:bookmarkEnd w:id="145"/>
    <w:p>
      <w:pPr>
        <w:ind w:left="880"/>
        <w:spacing w:after="0"/>
        <w:rPr>
          <w:sz w:val="20"/>
          <w:szCs w:val="20"/>
          <w:color w:val="auto"/>
        </w:rPr>
      </w:pPr>
      <w:r>
        <w:rPr>
          <w:rFonts w:ascii="Courier New" w:cs="Courier New" w:eastAsia="Courier New" w:hAnsi="Courier New"/>
          <w:sz w:val="14"/>
          <w:szCs w:val="14"/>
          <w:color w:val="auto"/>
        </w:rPr>
        <w:t>Exhibit A: Share Pledge Agreement</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24" w:right="1440" w:bottom="1440" w:gutter="0" w:footer="0" w:header="0"/>
        </w:sectPr>
      </w:pPr>
    </w:p>
    <w:bookmarkStart w:id="146" w:name="page147"/>
    <w:bookmarkEnd w:id="146"/>
    <w:p>
      <w:pPr>
        <w:ind w:left="2540"/>
        <w:spacing w:after="0"/>
        <w:rPr>
          <w:sz w:val="20"/>
          <w:szCs w:val="20"/>
          <w:color w:val="auto"/>
        </w:rPr>
      </w:pPr>
      <w:r>
        <w:rPr>
          <w:rFonts w:ascii="Courier New" w:cs="Courier New" w:eastAsia="Courier New" w:hAnsi="Courier New"/>
          <w:sz w:val="15"/>
          <w:szCs w:val="15"/>
          <w:color w:val="auto"/>
        </w:rPr>
        <w:t>SHARE PLEDGE AGREEMENT</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THIS SHARE PLEDGE AGREEMENT (this "Agreement") is entered into as of March _14_, 2002, by and between Ron D. Kaplan, an individual having his principal residence in the State of Maryland ("Pledgor") and Federal Realty Investment Trust, a Maryland real estate investment trust (together with its successors and assigns, "Secured Party").</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WHEREAS, Secured Party and Pledgor have entered into that certain letter agreement dated as of March 1, 2002 (the "Letter Agreement"), pursuant to which Secured Party has agreed to modify and extend the terms of Pledgor's obligation to repay Pledgor's outstanding indebtedness to Secured Party in aggregate principal amount of One Million Seven Hundred Twenty-nine Thousand Nine Hundred Eighty-eight Dollars and Fifty Cents ($1,729,988.50) (the "Total Outstanding Indebtedness"), upon the terms and subject to the conditions set forth in the Letter Agreement;</w:t>
      </w:r>
    </w:p>
    <w:p>
      <w:pPr>
        <w:spacing w:after="0" w:line="177" w:lineRule="exact"/>
        <w:rPr>
          <w:sz w:val="20"/>
          <w:szCs w:val="20"/>
          <w:color w:val="auto"/>
        </w:rPr>
      </w:pPr>
    </w:p>
    <w:p>
      <w:pPr>
        <w:ind w:right="3239" w:firstLine="1574"/>
        <w:spacing w:after="0" w:line="256" w:lineRule="auto"/>
        <w:rPr>
          <w:sz w:val="20"/>
          <w:szCs w:val="20"/>
          <w:color w:val="auto"/>
        </w:rPr>
      </w:pPr>
      <w:r>
        <w:rPr>
          <w:rFonts w:ascii="Courier New" w:cs="Courier New" w:eastAsia="Courier New" w:hAnsi="Courier New"/>
          <w:sz w:val="14"/>
          <w:szCs w:val="14"/>
          <w:color w:val="auto"/>
        </w:rPr>
        <w:t>WHEREAS, pursuant to the Letter Agreement and in consideration of the cancellation of all promissory notes which previously evidenced the Total Outstanding Indebtedness, Pledgor has executed and delivered a Note of even date herewith (the "Note") evidencing and setting forth the terms and conditions governing Pledgor's obligations to repay the Total Outstanding Indebtedness;</w:t>
      </w:r>
    </w:p>
    <w:p>
      <w:pPr>
        <w:spacing w:after="0" w:line="16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WHEREAS, in accordance with the Letter Agreement and the Note, Pledgor is required to execute and deliver this Agreement and to pledge hereunder the Collateral (as hereinafter defined) as security for Pledgor's obligations under the Note; and</w:t>
      </w:r>
    </w:p>
    <w:p>
      <w:pPr>
        <w:spacing w:after="0" w:line="175" w:lineRule="exact"/>
        <w:rPr>
          <w:sz w:val="20"/>
          <w:szCs w:val="20"/>
          <w:color w:val="auto"/>
        </w:rPr>
      </w:pPr>
    </w:p>
    <w:p>
      <w:pPr>
        <w:ind w:right="3759" w:firstLine="1574"/>
        <w:spacing w:after="0" w:line="261" w:lineRule="auto"/>
        <w:rPr>
          <w:sz w:val="20"/>
          <w:szCs w:val="20"/>
          <w:color w:val="auto"/>
        </w:rPr>
      </w:pPr>
      <w:r>
        <w:rPr>
          <w:rFonts w:ascii="Courier New" w:cs="Courier New" w:eastAsia="Courier New" w:hAnsi="Courier New"/>
          <w:sz w:val="14"/>
          <w:szCs w:val="14"/>
          <w:color w:val="auto"/>
        </w:rPr>
        <w:t>WHEREAS, all capitalized terms used herein which are not herein defined shall have the meanings ascribed to them in the Note;</w:t>
      </w:r>
    </w:p>
    <w:p>
      <w:pPr>
        <w:spacing w:after="0" w:line="160"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of the mutual covenants and agreements hereinafter set forth,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left="620" w:hanging="610"/>
        <w:spacing w:after="0"/>
        <w:tabs>
          <w:tab w:leader="none" w:pos="6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the purposes of this Agreement:</w:t>
      </w:r>
    </w:p>
    <w:p>
      <w:pPr>
        <w:spacing w:after="0" w:line="173" w:lineRule="exact"/>
        <w:rPr>
          <w:sz w:val="20"/>
          <w:szCs w:val="20"/>
          <w:color w:val="auto"/>
        </w:rPr>
      </w:pPr>
    </w:p>
    <w:p>
      <w:pPr>
        <w:ind w:right="3499" w:firstLine="1584"/>
        <w:spacing w:after="0" w:line="261" w:lineRule="auto"/>
        <w:tabs>
          <w:tab w:leader="none" w:pos="201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means a day (other than a Saturday or a Sunday) on which banks generally are open for business in Washington, D.C.</w:t>
      </w:r>
    </w:p>
    <w:p>
      <w:pPr>
        <w:spacing w:after="0" w:line="159" w:lineRule="exact"/>
        <w:rPr>
          <w:rFonts w:ascii="Courier New" w:cs="Courier New" w:eastAsia="Courier New" w:hAnsi="Courier New"/>
          <w:sz w:val="14"/>
          <w:szCs w:val="14"/>
          <w:color w:val="auto"/>
        </w:rPr>
      </w:pPr>
    </w:p>
    <w:p>
      <w:pPr>
        <w:ind w:right="3499" w:firstLine="1584"/>
        <w:spacing w:after="0" w:line="235" w:lineRule="auto"/>
        <w:tabs>
          <w:tab w:leader="none" w:pos="201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Date" means, prior to the Maturity Date, each March 1 on which principal or accrued interest remains outstanding under the Note. If March 1 is not a Business Day, the Calculation Date shall be the next succeeding Business Day.</w:t>
      </w:r>
    </w:p>
    <w:p>
      <w:pPr>
        <w:spacing w:after="0" w:line="175" w:lineRule="exact"/>
        <w:rPr>
          <w:rFonts w:ascii="Courier New" w:cs="Courier New" w:eastAsia="Courier New" w:hAnsi="Courier New"/>
          <w:sz w:val="15"/>
          <w:szCs w:val="15"/>
          <w:color w:val="auto"/>
        </w:rPr>
      </w:pPr>
    </w:p>
    <w:p>
      <w:pPr>
        <w:ind w:right="3399" w:firstLine="1584"/>
        <w:spacing w:after="0" w:line="235" w:lineRule="auto"/>
        <w:tabs>
          <w:tab w:leader="none" w:pos="201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means (i) 85,000 Common Shares, owned by Pledgor on the date hereof (and the certificates, copies of which are attached hereto, representing such Common</w:t>
      </w:r>
    </w:p>
    <w:p>
      <w:pPr>
        <w:sectPr>
          <w:pgSz w:w="11900" w:h="16838" w:orient="portrait"/>
          <w:cols w:equalWidth="0" w:num="1">
            <w:col w:w="10239"/>
          </w:cols>
          <w:pgMar w:left="220" w:top="785" w:right="1440" w:bottom="1440" w:gutter="0" w:footer="0" w:header="0"/>
        </w:sectPr>
      </w:pPr>
    </w:p>
    <w:bookmarkStart w:id="147" w:name="page148"/>
    <w:bookmarkEnd w:id="147"/>
    <w:p>
      <w:pPr>
        <w:ind w:right="3239"/>
        <w:spacing w:after="0" w:line="237" w:lineRule="auto"/>
        <w:rPr>
          <w:sz w:val="20"/>
          <w:szCs w:val="20"/>
          <w:color w:val="auto"/>
        </w:rPr>
      </w:pPr>
      <w:r>
        <w:rPr>
          <w:rFonts w:ascii="Courier New" w:cs="Courier New" w:eastAsia="Courier New" w:hAnsi="Courier New"/>
          <w:sz w:val="15"/>
          <w:szCs w:val="15"/>
          <w:color w:val="auto"/>
        </w:rPr>
        <w:t>Shares); (ii) if the aggregate Value of the Collateral pledged pursuant to this Section 1(c) is less than the Minimum Collateral Level as calculated on any Calculation Date, that number of additional Common Shares that are required to raise the aggregate Value of the Collateral to the Required Collateral Level as calculated on such Calculation Date (and the certificates representing such shares), and (iii) any dividends, distributions in property, returns of capital or other distributions made on or with respect to any of the foregoing shares to the extent provided in Section 3(b) hereof. Notwithstanding the foregoing, Collateral shall not include that number of Common Shares that are required to lower the aggregate Value of the Collateral to the Required Collateral Level as calculated on any Calculation Date (and the certificates representing such shares) if the aggregate Value of the Collateral pledged pursuant to this Section 1(c) is more than the Required Collateral Level as calculated on any Calculation Date.</w:t>
      </w:r>
    </w:p>
    <w:p>
      <w:pPr>
        <w:spacing w:after="0" w:line="174" w:lineRule="exact"/>
        <w:rPr>
          <w:sz w:val="20"/>
          <w:szCs w:val="20"/>
          <w:color w:val="auto"/>
        </w:rPr>
      </w:pPr>
    </w:p>
    <w:p>
      <w:pPr>
        <w:ind w:right="3239" w:firstLine="1584"/>
        <w:spacing w:after="0" w:line="235" w:lineRule="auto"/>
        <w:tabs>
          <w:tab w:leader="none" w:pos="201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Default" means: (i) the occurrence of any Event of Default under the Note and the continuance thereof beyond any applicable period of cure provided therein; or (ii) any breach by Pledgor of any covenant contained in Section 2 of this Agreement.</w:t>
      </w:r>
    </w:p>
    <w:p>
      <w:pPr>
        <w:spacing w:after="0" w:line="175" w:lineRule="exact"/>
        <w:rPr>
          <w:rFonts w:ascii="Courier New" w:cs="Courier New" w:eastAsia="Courier New" w:hAnsi="Courier New"/>
          <w:sz w:val="15"/>
          <w:szCs w:val="15"/>
          <w:color w:val="auto"/>
        </w:rPr>
      </w:pPr>
    </w:p>
    <w:p>
      <w:pPr>
        <w:jc w:val="both"/>
        <w:ind w:right="3319" w:firstLine="1584"/>
        <w:spacing w:after="0" w:line="235" w:lineRule="auto"/>
        <w:tabs>
          <w:tab w:leader="none" w:pos="201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Collateral Level" means 100% of the outstanding principal balance, together with accrued but unpaid interest thereon, under the Note.</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201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Collateral Level" means 110% of the outstanding principal balance, together with accrued but unpaid interest thereon, under the Note.</w:t>
      </w:r>
    </w:p>
    <w:p>
      <w:pPr>
        <w:spacing w:after="0" w:line="167"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OF COLLATERAL</w:t>
      </w:r>
    </w:p>
    <w:p>
      <w:pPr>
        <w:spacing w:after="0" w:line="172" w:lineRule="exact"/>
        <w:rPr>
          <w:rFonts w:ascii="Courier New" w:cs="Courier New" w:eastAsia="Courier New" w:hAnsi="Courier New"/>
          <w:sz w:val="15"/>
          <w:szCs w:val="15"/>
          <w:color w:val="auto"/>
        </w:rPr>
      </w:pPr>
    </w:p>
    <w:p>
      <w:pPr>
        <w:ind w:right="3499" w:firstLine="1584"/>
        <w:spacing w:after="0" w:line="236" w:lineRule="auto"/>
        <w:tabs>
          <w:tab w:leader="none" w:pos="201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security for the due and punctual payment and performance by Pledgor of all of his obligations under the Note (the "Secured Obligations"), Pledgor hereby pledges and assigns to Secured Party all of the Collateral, and grants to Secured Party a first priority security interest in the Collateral and the proceeds thereof.</w:t>
      </w:r>
    </w:p>
    <w:p>
      <w:pPr>
        <w:spacing w:after="0" w:line="173" w:lineRule="exact"/>
        <w:rPr>
          <w:rFonts w:ascii="Courier New" w:cs="Courier New" w:eastAsia="Courier New" w:hAnsi="Courier New"/>
          <w:sz w:val="15"/>
          <w:szCs w:val="15"/>
          <w:color w:val="auto"/>
        </w:rPr>
      </w:pPr>
    </w:p>
    <w:p>
      <w:pPr>
        <w:ind w:right="3239" w:firstLine="1584"/>
        <w:spacing w:after="0" w:line="237" w:lineRule="auto"/>
        <w:tabs>
          <w:tab w:leader="none" w:pos="201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execution of this Agreement, Pledgor shall deliver to Secured Party certificates representing the Collateral described in Section 1(c)(i) hereof, and will deliver to Secured Party the certificates for the shares of Collateral described in Section 1(c)(iii) hereof within five (5) days after Pledgor's acquisition of such shares. Pledgor further agrees that, if it is determined following any calculation performed on a Calculation Date that the aggregate Value of the Collateral pledged on such Calculation Date (the "Calculation Date Value") is less than the Minimum Collateral Level, he shall deliver to Secured Party within ten (10) business days following such Calculation Date a certificate or certificates representing that number of Common Shares having an aggregate Value equal to the difference between (x) the Required Collateral Level, less (y) such Calculation Date Value. Each such certificate shall be registered in the name of Pledgor, duly endorsed in blank or accompanied by a stock power duly executed by Pledgor in blank, in form and substance satisfactory to the Secured Party, with any documentary tax stamps and any other documents necessary to cause Secured Party to have a good, valid and perfected first pledge of, lien on and security interest in the Collateral, free and clear of any mortgage, pledge, lien, security interest, hypothecation, assignment, charge, right, encumbrance or restriction (individually, "Encumbrance" and collectively, "Encumbrances"). At any time following an Event of Default, any or all of the Collateral held by Secured Party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148" w:name="page149"/>
    <w:bookmarkEnd w:id="148"/>
    <w:p>
      <w:pPr>
        <w:ind w:right="3239"/>
        <w:spacing w:after="0" w:line="236" w:lineRule="auto"/>
        <w:rPr>
          <w:sz w:val="20"/>
          <w:szCs w:val="20"/>
          <w:color w:val="auto"/>
        </w:rPr>
      </w:pPr>
      <w:r>
        <w:rPr>
          <w:rFonts w:ascii="Courier New" w:cs="Courier New" w:eastAsia="Courier New" w:hAnsi="Courier New"/>
          <w:sz w:val="15"/>
          <w:szCs w:val="15"/>
          <w:color w:val="auto"/>
        </w:rPr>
        <w:t>hereunder and having a value up to the Required Collateral Level as of that date may, at the option of Secured Party exercised in accordance with Section 3(d) hereof, be registered in the name of Secured Party or in the name of its nominee, and Pledgor hereby covenants that, upon demand therefor by Secured Party, Pledgor shall effect such registration.</w:t>
      </w:r>
    </w:p>
    <w:p>
      <w:pPr>
        <w:spacing w:after="0" w:line="174" w:lineRule="exact"/>
        <w:rPr>
          <w:sz w:val="20"/>
          <w:szCs w:val="20"/>
          <w:color w:val="auto"/>
        </w:rPr>
      </w:pPr>
    </w:p>
    <w:p>
      <w:pPr>
        <w:ind w:right="3239" w:firstLine="1584"/>
        <w:spacing w:after="0" w:line="258" w:lineRule="auto"/>
        <w:tabs>
          <w:tab w:leader="none" w:pos="2012"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Secured Party hereby confirms receipt of the certificates representing the Collateral described in Section 1(c)(i) hereof and agrees to hold the Collateral in accordance with the terms of this Agreement.</w:t>
      </w:r>
    </w:p>
    <w:p>
      <w:pPr>
        <w:spacing w:after="0" w:line="154" w:lineRule="exact"/>
        <w:rPr>
          <w:rFonts w:ascii="Courier New" w:cs="Courier New" w:eastAsia="Courier New" w:hAnsi="Courier New"/>
          <w:sz w:val="14"/>
          <w:szCs w:val="14"/>
          <w:color w:val="auto"/>
        </w:rPr>
      </w:pPr>
    </w:p>
    <w:p>
      <w:pPr>
        <w:ind w:left="620" w:hanging="610"/>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DIVIDENDS AND DISTRIBUTIONS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So long as no Event of Default shall have occurred:</w:t>
      </w:r>
    </w:p>
    <w:p>
      <w:pPr>
        <w:spacing w:after="0" w:line="173" w:lineRule="exact"/>
        <w:rPr>
          <w:sz w:val="20"/>
          <w:szCs w:val="20"/>
          <w:color w:val="auto"/>
        </w:rPr>
      </w:pPr>
    </w:p>
    <w:p>
      <w:pPr>
        <w:jc w:val="both"/>
        <w:ind w:right="3319" w:firstLine="1584"/>
        <w:spacing w:after="0" w:line="235" w:lineRule="auto"/>
        <w:tabs>
          <w:tab w:leader="none" w:pos="201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shall be entitled to exercise any and all voting and/or consensual rights and powers relating or pertaining to the Collateral or any part thereof, subject to the terms hereof.</w:t>
      </w:r>
    </w:p>
    <w:p>
      <w:pPr>
        <w:spacing w:after="0" w:line="173" w:lineRule="exact"/>
        <w:rPr>
          <w:rFonts w:ascii="Courier New" w:cs="Courier New" w:eastAsia="Courier New" w:hAnsi="Courier New"/>
          <w:sz w:val="15"/>
          <w:szCs w:val="15"/>
          <w:color w:val="auto"/>
        </w:rPr>
      </w:pPr>
    </w:p>
    <w:p>
      <w:pPr>
        <w:ind w:right="3239" w:firstLine="1584"/>
        <w:spacing w:after="0" w:line="254" w:lineRule="auto"/>
        <w:tabs>
          <w:tab w:leader="none" w:pos="2012"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Pledgor shall be entitled to receive and retain cash dividends payable on the Collateral; provided, however, that all other dividends</w:t>
      </w:r>
    </w:p>
    <w:p>
      <w:pPr>
        <w:ind w:left="3240"/>
        <w:spacing w:after="0"/>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(including, without limitation, stock and liquidating dividends), distributions in property, returns of capital and other distributions made on or in respect of the Collateral, whether resulting from a subdivision, combination or reclassification of the outstanding capital stock of Secured Party or received in exchange for the Collateral or any part thereof or as a result of any merger, consolidation, acquisition or other exchange of assets to which Secured Party may be a party or otherwise, and any and all cash and other property received in exchange for or redemption of any of the Collateral, shall be retained by Secured Party, or, if delivered to Pledgor, shall be held in trust for the benefit of Secured Party and forthwith delivered to Secured Party and shall be considered as part of the Collateral for all purposes of this Agreement. Notwithstanding the above, if any dividend is retained by the Secured Party, it shall be deemed, at the option of either the Pledgor or Secured Party, to be a Calculation Date and any Collateral in excess of the Required Collateral Level shall be released to Pledgor and any deficiency in the Collateral below the Required Collateral Level shall be cured by Pledgor's delivery of additional Collateral pursuant to paragraph 2 (b) hereof.</w:t>
      </w:r>
    </w:p>
    <w:p>
      <w:pPr>
        <w:spacing w:after="0" w:line="331" w:lineRule="exact"/>
        <w:rPr>
          <w:sz w:val="20"/>
          <w:szCs w:val="20"/>
          <w:color w:val="auto"/>
        </w:rPr>
      </w:pPr>
    </w:p>
    <w:p>
      <w:pPr>
        <w:ind w:right="3239" w:firstLine="1584"/>
        <w:spacing w:after="0" w:line="236" w:lineRule="auto"/>
        <w:tabs>
          <w:tab w:leader="none" w:pos="201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Party shall execute and deliver (or cause to be executed and delivered) to Pledgor all such proxies, powers of attorney, dividend orders, and other instruments as Pledgor may request for the purpose of enabling Pledgor to exercise the voting and/or consensual rights and powers which Pledgor is entitled to exercise pursuant to Section 3(a) above and/or to receive the dividends which Pledgor is authorized to receive and retain pursuant to Section 3(b) above; and Pledgor shall execute and deliver to Secured Party such instruments as may be required or may be requested by Secured Party to enable Secured Party to receive and retain the dividends, distributions in property, returns of capital and other distributions it is authorized to receive and retain pursuant to Section 3(b) above.</w:t>
      </w:r>
    </w:p>
    <w:p>
      <w:pPr>
        <w:spacing w:after="0" w:line="180" w:lineRule="exact"/>
        <w:rPr>
          <w:rFonts w:ascii="Courier New" w:cs="Courier New" w:eastAsia="Courier New" w:hAnsi="Courier New"/>
          <w:sz w:val="15"/>
          <w:szCs w:val="15"/>
          <w:color w:val="auto"/>
        </w:rPr>
      </w:pPr>
    </w:p>
    <w:p>
      <w:pPr>
        <w:jc w:val="both"/>
        <w:ind w:right="3239" w:firstLine="1584"/>
        <w:spacing w:after="0" w:line="235" w:lineRule="auto"/>
        <w:tabs>
          <w:tab w:leader="none" w:pos="201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 Event of Default, all rights of Pledgor to exercise the voting and/or consensual rights and powers which Pledgor is entitled to exercise pursuant to Section 3(a) above and/or to receive the dividends which Pledgor is authorized 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149" w:name="page150"/>
    <w:bookmarkEnd w:id="149"/>
    <w:p>
      <w:pPr>
        <w:ind w:right="3239"/>
        <w:spacing w:after="0" w:line="255" w:lineRule="auto"/>
        <w:rPr>
          <w:sz w:val="20"/>
          <w:szCs w:val="20"/>
          <w:color w:val="auto"/>
        </w:rPr>
      </w:pPr>
      <w:r>
        <w:rPr>
          <w:rFonts w:ascii="Courier New" w:cs="Courier New" w:eastAsia="Courier New" w:hAnsi="Courier New"/>
          <w:sz w:val="14"/>
          <w:szCs w:val="14"/>
          <w:color w:val="auto"/>
        </w:rPr>
        <w:t>receive and retain pursuant to Section 3(b) above shall cease, at the option of Secured Party, on not less than one (1) day's notice to Pledgor, and all such rights shall thereupon become vested in Secured Party. In such case Pledgor shall execute and deliver such documents as Secured Party may request. In addition, Secured Party is hereby appointed the attorney-in-fact of Pledgor, with full power of substitution, which appointment as attorney-in-fact is irrevocable and coupled with an interest, to take all such actions after the occurrence of an Event of Default, whether in the name of Secured Party or Pledgor, as Secured Party may consider necessary or desirable. Any and all money and other property paid over to or received by Secured Party pursuant to the provisions of this Section 3(d) shall be retained by Secured Party as part of the Collateral and shall be applied in accordance with the provisions hereof.</w:t>
      </w:r>
    </w:p>
    <w:p>
      <w:pPr>
        <w:spacing w:after="0" w:line="158" w:lineRule="exact"/>
        <w:rPr>
          <w:sz w:val="20"/>
          <w:szCs w:val="20"/>
          <w:color w:val="auto"/>
        </w:rPr>
      </w:pPr>
    </w:p>
    <w:p>
      <w:pPr>
        <w:ind w:left="620" w:hanging="610"/>
        <w:spacing w:after="0"/>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ON DEFAULT</w:t>
      </w:r>
    </w:p>
    <w:p>
      <w:pPr>
        <w:spacing w:after="0" w:line="172" w:lineRule="exact"/>
        <w:rPr>
          <w:rFonts w:ascii="Courier New" w:cs="Courier New" w:eastAsia="Courier New" w:hAnsi="Courier New"/>
          <w:sz w:val="15"/>
          <w:szCs w:val="15"/>
          <w:color w:val="auto"/>
        </w:rPr>
      </w:pPr>
    </w:p>
    <w:p>
      <w:pPr>
        <w:ind w:right="3399" w:firstLine="1584"/>
        <w:spacing w:after="0" w:line="236" w:lineRule="auto"/>
        <w:tabs>
          <w:tab w:leader="none" w:pos="2012"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an Event of Default shall have occurred, then, in addition to having the right to exercise any right or remedy of a secured party upon default under the Uniform Commercial Code as then in effect in the jurisdiction in which the Collateral is held by Secured Party, Secured Party may, to the extent permitted by law, without being required to give any notice to Pledgor except as provided below:</w:t>
      </w:r>
    </w:p>
    <w:p>
      <w:pPr>
        <w:spacing w:after="0" w:line="174" w:lineRule="exact"/>
        <w:rPr>
          <w:rFonts w:ascii="Courier New" w:cs="Courier New" w:eastAsia="Courier New" w:hAnsi="Courier New"/>
          <w:sz w:val="15"/>
          <w:szCs w:val="15"/>
          <w:color w:val="auto"/>
        </w:rPr>
      </w:pPr>
    </w:p>
    <w:p>
      <w:pPr>
        <w:ind w:right="3579" w:firstLine="1934"/>
        <w:spacing w:after="0" w:line="234" w:lineRule="auto"/>
        <w:tabs>
          <w:tab w:leader="none" w:pos="2361"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Apply any cash held by it hereunder in the manner provided in Section 4(h) below; and</w:t>
      </w:r>
    </w:p>
    <w:p>
      <w:pPr>
        <w:spacing w:after="0" w:line="173" w:lineRule="exact"/>
        <w:rPr>
          <w:rFonts w:ascii="Courier New" w:cs="Courier New" w:eastAsia="Courier New" w:hAnsi="Courier New"/>
          <w:sz w:val="15"/>
          <w:szCs w:val="15"/>
          <w:color w:val="auto"/>
        </w:rPr>
      </w:pPr>
    </w:p>
    <w:p>
      <w:pPr>
        <w:jc w:val="both"/>
        <w:ind w:right="3579" w:firstLine="1934"/>
        <w:spacing w:after="0" w:line="254" w:lineRule="auto"/>
        <w:tabs>
          <w:tab w:leader="none" w:pos="2449" w:val="left"/>
        </w:tabs>
        <w:numPr>
          <w:ilvl w:val="2"/>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be no such cash or if the cash so applied shall be insufficient to pay in full the items specified in Sections</w:t>
      </w: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4(h)(i) and (h)(ii) below, exercise any and all the rights, powers and remedies of any owner of the Collateral (including without limitation the right to vote the Common Shares and receive dividends and distributions with respect to such Common Shares and sell such Common Shares as described below). In the event of such default and without limiting the foregoing, Secured Party is authorized to retire or cancel (if allowable under applicable law and, if so, subject to the provisions set forth in the next succeeding two sentences) or sell, assign and deliver at its discretion, from time to time, all or any part of the Collateral upon five (5) business days prior written notice to Pledgor. Pledgor and Secured Party hereby agree and acknowledge that upon retirement or cancellation, the Secured Obligations shall be reduced by the aggregate Value of the Common Shares so retired or canceled. Secured Party further agrees that if elects to pursue the remedy of retirement or cancellation, Secured Party will retire or cancel only such number of Common Shares as have an aggregate Value equal to the sum of</w:t>
      </w:r>
    </w:p>
    <w:p>
      <w:pPr>
        <w:spacing w:after="0" w:line="4"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(x) the aggregate amount of the Secured Obligations then outstanding, with any remaining Collateral returned to Pledgor pursuant to the provisions of Section 8 hereof. Pledgor shall have no right to redeem the Collateral after any such sale, assignment, retirement or cancellation. In case of any sale or assignment of the Collateral, the proceeds shall be applied as provided in Section 4(h) below.</w:t>
      </w:r>
    </w:p>
    <w:p>
      <w:pPr>
        <w:spacing w:after="0" w:line="174" w:lineRule="exact"/>
        <w:rPr>
          <w:rFonts w:ascii="Courier New" w:cs="Courier New" w:eastAsia="Courier New" w:hAnsi="Courier New"/>
          <w:sz w:val="14"/>
          <w:szCs w:val="14"/>
          <w:color w:val="auto"/>
        </w:rPr>
      </w:pPr>
    </w:p>
    <w:p>
      <w:pPr>
        <w:ind w:right="3239" w:firstLine="1584"/>
        <w:spacing w:after="0" w:line="236" w:lineRule="auto"/>
        <w:tabs>
          <w:tab w:leader="none" w:pos="2012"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Party, instead of exercising the power of retirement, cancellation or sale of the Collateral herein conferred upon it, may proceed by a suit or suits at law or in equity to foreclose its lien or security interest arising from this Agreement and sell the Collateral, or any portion thereof, under a judgment or decree of a court or courts of competent jurisdiction.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50" w:name="page151"/>
    <w:bookmarkEnd w:id="150"/>
    <w:p>
      <w:pPr>
        <w:ind w:right="3239" w:firstLine="1584"/>
        <w:spacing w:after="0" w:line="236" w:lineRule="auto"/>
        <w:tabs>
          <w:tab w:leader="none" w:pos="20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 Event of Default, Secured Party or its nominee shall have the right, upon not less than five (5) business day's written notice to Pledgor, to exercise any and all rights of conversion, exchange, subscription or any other rights, privileges or options pertaining to any shares of the Collateral as if it were the absolute owner thereof, including, without limitation, the right to exchange, at its discretion, any or all of the Collateral upon the merger, consolidation, reorganization, recapitalization or other readjustment of Secured Party, and, in connection therewith, to deposit and deliver any and all of the Collateral with any committee, depository, transfer agent, registrar or other designated agency upon such terms and conditions as Secured Party may determine.</w:t>
      </w:r>
    </w:p>
    <w:p>
      <w:pPr>
        <w:spacing w:after="0" w:line="180" w:lineRule="exact"/>
        <w:rPr>
          <w:rFonts w:ascii="Courier New" w:cs="Courier New" w:eastAsia="Courier New" w:hAnsi="Courier New"/>
          <w:sz w:val="15"/>
          <w:szCs w:val="15"/>
          <w:color w:val="auto"/>
        </w:rPr>
      </w:pPr>
    </w:p>
    <w:p>
      <w:pPr>
        <w:ind w:right="3319" w:firstLine="1584"/>
        <w:spacing w:after="0" w:line="236" w:lineRule="auto"/>
        <w:tabs>
          <w:tab w:leader="none" w:pos="20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sale of the Collateral, Secured Party is hereby authorized to comply with any limitation or restriction in connection with such sale that it may be advised by counsel is necessary in order to avoid any violation of applicable law or in order to obtain any required approval of the purchaser or purchasers by any governmental regulatory authority or officer or court.</w:t>
      </w:r>
    </w:p>
    <w:p>
      <w:pPr>
        <w:spacing w:after="0" w:line="174" w:lineRule="exact"/>
        <w:rPr>
          <w:rFonts w:ascii="Courier New" w:cs="Courier New" w:eastAsia="Courier New" w:hAnsi="Courier New"/>
          <w:sz w:val="15"/>
          <w:szCs w:val="15"/>
          <w:color w:val="auto"/>
        </w:rPr>
      </w:pPr>
    </w:p>
    <w:p>
      <w:pPr>
        <w:ind w:right="3319" w:firstLine="1584"/>
        <w:spacing w:after="0" w:line="235" w:lineRule="auto"/>
        <w:tabs>
          <w:tab w:leader="none" w:pos="20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the foregoing procedures shall result in such sale or disposition being considered or deemed to have been made in a commercially reasonable manner.</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20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rights, powers, and remedies provided herein, or now or hereafter existing at law or in equity or by statute or otherwise, shall be cumulative and concurrent and shall be in addition to every other right, power or remedy provided for herein or therein or now or hereafter existing at law or in equity or by statute or otherwise. The exercise of any such right, power or remedy shall not preclude the simultaneous or later exercise of any or all other such rights, powers or remedies. No notice to or demand on Pledgor in any case shall entitle Pledgor to any other notice or demand in similar or other circumstances.</w:t>
      </w:r>
    </w:p>
    <w:p>
      <w:pPr>
        <w:spacing w:after="0" w:line="178" w:lineRule="exact"/>
        <w:rPr>
          <w:rFonts w:ascii="Courier New" w:cs="Courier New" w:eastAsia="Courier New" w:hAnsi="Courier New"/>
          <w:sz w:val="15"/>
          <w:szCs w:val="15"/>
          <w:color w:val="auto"/>
        </w:rPr>
      </w:pPr>
    </w:p>
    <w:p>
      <w:pPr>
        <w:ind w:right="3679" w:firstLine="1584"/>
        <w:spacing w:after="0" w:line="235" w:lineRule="auto"/>
        <w:tabs>
          <w:tab w:leader="none" w:pos="201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of any collection, recovery, receipt, appropriation, realization or sale as aforesaid shall be applied by Secured Party in the following order:</w:t>
      </w:r>
    </w:p>
    <w:p>
      <w:pPr>
        <w:spacing w:after="0" w:line="167" w:lineRule="exact"/>
        <w:rPr>
          <w:rFonts w:ascii="Courier New" w:cs="Courier New" w:eastAsia="Courier New" w:hAnsi="Courier New"/>
          <w:sz w:val="15"/>
          <w:szCs w:val="15"/>
          <w:color w:val="auto"/>
        </w:rPr>
      </w:pPr>
    </w:p>
    <w:p>
      <w:pPr>
        <w:ind w:left="2380" w:hanging="446"/>
        <w:spacing w:after="0"/>
        <w:tabs>
          <w:tab w:leader="none" w:pos="23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payment of any amounts due under the</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2360" w:val="left"/>
          <w:tab w:leader="none" w:pos="6020" w:val="left"/>
        </w:tabs>
        <w:rPr>
          <w:sz w:val="20"/>
          <w:szCs w:val="20"/>
          <w:color w:val="auto"/>
        </w:rPr>
      </w:pPr>
      <w:r>
        <w:rPr>
          <w:rFonts w:ascii="Courier New" w:cs="Courier New" w:eastAsia="Courier New" w:hAnsi="Courier New"/>
          <w:sz w:val="15"/>
          <w:szCs w:val="15"/>
          <w:color w:val="auto"/>
        </w:rPr>
        <w:t>Secured Obligations; (ii)</w:t>
        <w:tab/>
        <w:t>Second, to the payment of all reasonable</w:t>
      </w:r>
      <w:r>
        <w:rPr>
          <w:sz w:val="20"/>
          <w:szCs w:val="20"/>
          <w:color w:val="auto"/>
        </w:rPr>
        <w:tab/>
      </w:r>
      <w:r>
        <w:rPr>
          <w:rFonts w:ascii="Courier New" w:cs="Courier New" w:eastAsia="Courier New" w:hAnsi="Courier New"/>
          <w:sz w:val="14"/>
          <w:szCs w:val="14"/>
          <w:color w:val="auto"/>
        </w:rPr>
        <w:t>costs and</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expenses incurred by Secured Party as a result of any Event of Default; (iii)</w:t>
      </w:r>
    </w:p>
    <w:p>
      <w:pPr>
        <w:spacing w:after="0" w:line="237" w:lineRule="auto"/>
        <w:rPr>
          <w:sz w:val="20"/>
          <w:szCs w:val="20"/>
          <w:color w:val="auto"/>
        </w:rPr>
      </w:pPr>
      <w:r>
        <w:rPr>
          <w:rFonts w:ascii="Courier New" w:cs="Courier New" w:eastAsia="Courier New" w:hAnsi="Courier New"/>
          <w:sz w:val="15"/>
          <w:szCs w:val="15"/>
          <w:color w:val="auto"/>
        </w:rPr>
        <w:t>Finally, to the payment to Pledgor of any surplus then remaining from such</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proceeds, unless otherwise required by law or directed by a court of competent jurisdiction; provided that Pledgor shall be liable for any deficiency if such</w:t>
      </w:r>
    </w:p>
    <w:p>
      <w:pPr>
        <w:ind w:left="124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proceeds are insufficient to satisfy all of the Secured Obligations.</w:t>
      </w:r>
    </w:p>
    <w:p>
      <w:pPr>
        <w:spacing w:after="0" w:line="167" w:lineRule="exact"/>
        <w:rPr>
          <w:sz w:val="20"/>
          <w:szCs w:val="20"/>
          <w:color w:val="auto"/>
        </w:rPr>
      </w:pPr>
    </w:p>
    <w:p>
      <w:pPr>
        <w:ind w:left="620" w:hanging="610"/>
        <w:spacing w:after="0"/>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COVENANTS OF PLEDGOR</w:t>
      </w:r>
    </w:p>
    <w:p>
      <w:pPr>
        <w:spacing w:after="0" w:line="166" w:lineRule="exact"/>
        <w:rPr>
          <w:rFonts w:ascii="Courier New" w:cs="Courier New" w:eastAsia="Courier New" w:hAnsi="Courier New"/>
          <w:sz w:val="15"/>
          <w:szCs w:val="15"/>
          <w:color w:val="auto"/>
        </w:rPr>
      </w:pPr>
    </w:p>
    <w:p>
      <w:pPr>
        <w:ind w:left="2020" w:hanging="436"/>
        <w:spacing w:after="0"/>
        <w:tabs>
          <w:tab w:leader="none" w:pos="202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represents, warrants and covenants that:</w:t>
      </w:r>
    </w:p>
    <w:p>
      <w:pPr>
        <w:spacing w:after="0" w:line="166" w:lineRule="exact"/>
        <w:rPr>
          <w:rFonts w:ascii="Courier New" w:cs="Courier New" w:eastAsia="Courier New" w:hAnsi="Courier New"/>
          <w:sz w:val="15"/>
          <w:szCs w:val="15"/>
          <w:color w:val="auto"/>
        </w:rPr>
      </w:pPr>
    </w:p>
    <w:p>
      <w:pPr>
        <w:ind w:left="2380" w:hanging="446"/>
        <w:spacing w:after="0"/>
        <w:tabs>
          <w:tab w:leader="none" w:pos="2380" w:val="left"/>
        </w:tabs>
        <w:numPr>
          <w:ilvl w:val="2"/>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has all requisite capacity, power and</w:t>
      </w:r>
    </w:p>
    <w:p>
      <w:pPr>
        <w:spacing w:after="0" w:line="4" w:lineRule="exact"/>
        <w:rPr>
          <w:rFonts w:ascii="Courier New" w:cs="Courier New" w:eastAsia="Courier New" w:hAnsi="Courier New"/>
          <w:sz w:val="15"/>
          <w:szCs w:val="15"/>
          <w:color w:val="auto"/>
        </w:rPr>
      </w:pPr>
    </w:p>
    <w:p>
      <w:pPr>
        <w:ind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being under no legal restriction, limitation or disability, to own the Collateral and to execute, deliver and perform this Agreement.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51" w:name="page152"/>
    <w:bookmarkEnd w:id="151"/>
    <w:p>
      <w:pPr>
        <w:ind w:left="2540" w:hanging="606"/>
        <w:spacing w:after="0"/>
        <w:tabs>
          <w:tab w:leader="none" w:pos="25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executed and delivered</w:t>
      </w:r>
    </w:p>
    <w:p>
      <w:pPr>
        <w:spacing w:after="0" w:line="9" w:lineRule="exact"/>
        <w:rPr>
          <w:rFonts w:ascii="Courier New" w:cs="Courier New" w:eastAsia="Courier New" w:hAnsi="Courier New"/>
          <w:sz w:val="14"/>
          <w:szCs w:val="14"/>
          <w:color w:val="auto"/>
        </w:rPr>
      </w:pPr>
    </w:p>
    <w:p>
      <w:pPr>
        <w:ind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by Pledgor and constitutes a legal, valid, and binding obligation of Pledgor, enforceable in accordance with its terms.</w:t>
      </w:r>
    </w:p>
    <w:p>
      <w:pPr>
        <w:spacing w:after="0" w:line="173" w:lineRule="exact"/>
        <w:rPr>
          <w:rFonts w:ascii="Courier New" w:cs="Courier New" w:eastAsia="Courier New" w:hAnsi="Courier New"/>
          <w:sz w:val="14"/>
          <w:szCs w:val="14"/>
          <w:color w:val="auto"/>
        </w:rPr>
      </w:pPr>
    </w:p>
    <w:p>
      <w:pPr>
        <w:ind w:right="3239" w:firstLine="1934"/>
        <w:spacing w:after="0" w:line="236" w:lineRule="auto"/>
        <w:tabs>
          <w:tab w:leader="none" w:pos="253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Pledgor is or, with respect to the Collateral described in Sections 1(b)(ii) and (iii) hereof, not later than the time of delivery of certificates therefor will be, the direct record and beneficial owner of each share of the Collateral. Pledgor has and will have good, valid and marketable title thereto, free and clear of all Encumbrances other than the security interest created by this Agreement.</w:t>
      </w:r>
    </w:p>
    <w:p>
      <w:pPr>
        <w:spacing w:after="0" w:line="168" w:lineRule="exact"/>
        <w:rPr>
          <w:rFonts w:ascii="Courier New" w:cs="Courier New" w:eastAsia="Courier New" w:hAnsi="Courier New"/>
          <w:sz w:val="15"/>
          <w:szCs w:val="15"/>
          <w:color w:val="auto"/>
        </w:rPr>
      </w:pPr>
    </w:p>
    <w:p>
      <w:pPr>
        <w:ind w:left="2540" w:hanging="606"/>
        <w:spacing w:after="0"/>
        <w:tabs>
          <w:tab w:leader="none" w:pos="25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Collateral is and will be duly and validly</w:t>
      </w:r>
    </w:p>
    <w:p>
      <w:pPr>
        <w:spacing w:after="0" w:line="4"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pledged to Secured Party in accordance with law, and Secured Party has a good, valid, and perfected first priority security interest in the Collateral and the proceeds thereof, and no filing or other action will be necessary to perfect or protect such security interest.</w:t>
      </w:r>
    </w:p>
    <w:p>
      <w:pPr>
        <w:spacing w:after="0" w:line="175" w:lineRule="exact"/>
        <w:rPr>
          <w:rFonts w:ascii="Courier New" w:cs="Courier New" w:eastAsia="Courier New" w:hAnsi="Courier New"/>
          <w:sz w:val="15"/>
          <w:szCs w:val="15"/>
          <w:color w:val="auto"/>
        </w:rPr>
      </w:pPr>
    </w:p>
    <w:p>
      <w:pPr>
        <w:ind w:right="3239" w:firstLine="1934"/>
        <w:spacing w:after="0" w:line="255" w:lineRule="auto"/>
        <w:tabs>
          <w:tab w:leader="none" w:pos="2536"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Pledgor of this Agreement does not and will not: (A) conflict with or result in a breach of or constitute a default or require any consent under, or result in or require the acceleration of any of indebtedness pursuant to, any agreement, indenture or other instrument to which Pledgor is a party or by which Pledgor or any of his property may be bound or affected; or (B) conflict with or violate any judgment, decree, order, law, statute, ordinance, license or other governmental rule or regulation applicable to Pledgor.</w:t>
      </w:r>
    </w:p>
    <w:p>
      <w:pPr>
        <w:spacing w:after="0" w:line="159" w:lineRule="exact"/>
        <w:rPr>
          <w:rFonts w:ascii="Courier New" w:cs="Courier New" w:eastAsia="Courier New" w:hAnsi="Courier New"/>
          <w:sz w:val="14"/>
          <w:szCs w:val="14"/>
          <w:color w:val="auto"/>
        </w:rPr>
      </w:pPr>
    </w:p>
    <w:p>
      <w:pPr>
        <w:ind w:left="2540" w:hanging="606"/>
        <w:spacing w:after="0"/>
        <w:tabs>
          <w:tab w:leader="none" w:pos="25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approval, consent or other action by Pledgor,</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authority, or any other person or entity is or will be necessary to permit the valid execution, delivery or performance of this Agreement by Pledgor. Pledgor's spouse has waived any and all ownership, joint tenancy, community property or common law interest in, or other claim, whether in law or equity, that she may have to, the Collateral.</w:t>
      </w:r>
    </w:p>
    <w:p>
      <w:pPr>
        <w:spacing w:after="0" w:line="167" w:lineRule="exact"/>
        <w:rPr>
          <w:rFonts w:ascii="Courier New" w:cs="Courier New" w:eastAsia="Courier New" w:hAnsi="Courier New"/>
          <w:sz w:val="15"/>
          <w:szCs w:val="15"/>
          <w:color w:val="auto"/>
        </w:rPr>
      </w:pPr>
    </w:p>
    <w:p>
      <w:pPr>
        <w:ind w:left="2540" w:hanging="606"/>
        <w:spacing w:after="0"/>
        <w:tabs>
          <w:tab w:leader="none" w:pos="254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action, claim, suit, proceeding or</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investigation pending, or to the knowledge of Pledgor, threatened or reasonably anticipated, against or affecting Pledgor, this Agreement, or the transactions contemplated hereby, before or by any court, arbitrator or governmental authority which might adversely affect Pledgor's ability to perform his obligations under this Agreement or might materially adversely affect the value of the Collateral.</w:t>
      </w:r>
    </w:p>
    <w:p>
      <w:pPr>
        <w:spacing w:after="0" w:line="168" w:lineRule="exact"/>
        <w:rPr>
          <w:sz w:val="20"/>
          <w:szCs w:val="20"/>
          <w:color w:val="auto"/>
        </w:rPr>
      </w:pPr>
    </w:p>
    <w:p>
      <w:pPr>
        <w:ind w:left="2540" w:hanging="606"/>
        <w:spacing w:after="0"/>
        <w:tabs>
          <w:tab w:leader="none" w:pos="25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all Secured Obligations have been paid and</w:t>
      </w:r>
    </w:p>
    <w:p>
      <w:pPr>
        <w:spacing w:after="0" w:line="4" w:lineRule="exact"/>
        <w:rPr>
          <w:rFonts w:ascii="Courier New" w:cs="Courier New" w:eastAsia="Courier New" w:hAnsi="Courier New"/>
          <w:sz w:val="15"/>
          <w:szCs w:val="15"/>
          <w:color w:val="auto"/>
        </w:rPr>
      </w:pPr>
    </w:p>
    <w:p>
      <w:pPr>
        <w:jc w:val="both"/>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in full or until all of the Collateral is returned to Pledgor pursuant to Section 6 hereof, whichever is earlier, Pledgor hereby covenants that, unless Secured Party otherwise consents in advance in writing:</w:t>
      </w:r>
    </w:p>
    <w:p>
      <w:pPr>
        <w:spacing w:after="0" w:line="174" w:lineRule="exact"/>
        <w:rPr>
          <w:sz w:val="20"/>
          <w:szCs w:val="20"/>
          <w:color w:val="auto"/>
        </w:rPr>
      </w:pPr>
    </w:p>
    <w:p>
      <w:pPr>
        <w:ind w:left="2540" w:hanging="606"/>
        <w:spacing w:after="0"/>
        <w:tabs>
          <w:tab w:leader="none" w:pos="25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Pledgor shall: (A) at the request of Secured Party,</w:t>
      </w:r>
    </w:p>
    <w:p>
      <w:pPr>
        <w:spacing w:after="0" w:line="9"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execute, deliver, and file any and all financing statements, continuation statements, stock powers, instruments, and other documents, necessary or desirable, in Secured Party's opinion, to create, perfect, preserve, validate or otherwise protect the pledge of the Collateral to Secured Party and Secured Party's lien on and security interest in the Collateral and the first priority thereof; (B) maintain, or cause to be maintained, at all times, the pledge of the Collateral to Secured Party and Secured Party's lien on and security interest in the Collateral and the first priority thereof; and (C) defend the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52" w:name="page153"/>
    <w:bookmarkEnd w:id="152"/>
    <w:p>
      <w:pPr>
        <w:jc w:val="both"/>
        <w:ind w:right="3319"/>
        <w:spacing w:after="0" w:line="235" w:lineRule="auto"/>
        <w:rPr>
          <w:sz w:val="20"/>
          <w:szCs w:val="20"/>
          <w:color w:val="auto"/>
        </w:rPr>
      </w:pPr>
      <w:r>
        <w:rPr>
          <w:rFonts w:ascii="Courier New" w:cs="Courier New" w:eastAsia="Courier New" w:hAnsi="Courier New"/>
          <w:sz w:val="15"/>
          <w:szCs w:val="15"/>
          <w:color w:val="auto"/>
        </w:rPr>
        <w:t>Collateral and Secured Party's interest therein against all claims and demands of all persons at any time claiming the same or any interest therein adverse to Secured Party.</w:t>
      </w:r>
    </w:p>
    <w:p>
      <w:pPr>
        <w:spacing w:after="0" w:line="174" w:lineRule="exact"/>
        <w:rPr>
          <w:sz w:val="20"/>
          <w:szCs w:val="20"/>
          <w:color w:val="auto"/>
        </w:rPr>
      </w:pPr>
    </w:p>
    <w:p>
      <w:pPr>
        <w:jc w:val="both"/>
        <w:ind w:right="3319" w:firstLine="1934"/>
        <w:spacing w:after="0" w:line="256" w:lineRule="auto"/>
        <w:tabs>
          <w:tab w:leader="none" w:pos="2449" w:val="left"/>
        </w:tabs>
        <w:numPr>
          <w:ilvl w:val="2"/>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Pledgor shall not sell, transfer, pledge, assign or otherwise dispose of any of the Collateral or any interest therein, and Pledgor shall not create, incur, assume or suffer to exist any Encumbrance with respect to any of the Collateral or any interest therein (except pursuant hereto).</w:t>
      </w:r>
    </w:p>
    <w:p>
      <w:pPr>
        <w:spacing w:after="0" w:line="164" w:lineRule="exact"/>
        <w:rPr>
          <w:rFonts w:ascii="Courier New" w:cs="Courier New" w:eastAsia="Courier New" w:hAnsi="Courier New"/>
          <w:sz w:val="14"/>
          <w:szCs w:val="14"/>
          <w:color w:val="auto"/>
        </w:rPr>
      </w:pPr>
    </w:p>
    <w:p>
      <w:pPr>
        <w:ind w:left="2540" w:hanging="606"/>
        <w:spacing w:after="0"/>
        <w:tabs>
          <w:tab w:leader="none" w:pos="2540" w:val="left"/>
        </w:tabs>
        <w:numPr>
          <w:ilvl w:val="2"/>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Pledgor shall pay and discharge promptly all taxes,</w:t>
      </w:r>
    </w:p>
    <w:p>
      <w:pPr>
        <w:spacing w:after="0" w:line="9" w:lineRule="exact"/>
        <w:rPr>
          <w:rFonts w:ascii="Courier New" w:cs="Courier New" w:eastAsia="Courier New" w:hAnsi="Courier New"/>
          <w:sz w:val="14"/>
          <w:szCs w:val="14"/>
          <w:color w:val="auto"/>
        </w:rPr>
      </w:pPr>
    </w:p>
    <w:p>
      <w:pPr>
        <w:ind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assessments and governmental charges or levies imposed upon him or upon the Collateral before the same shall become past due.</w:t>
      </w:r>
    </w:p>
    <w:p>
      <w:pPr>
        <w:spacing w:after="0" w:line="173" w:lineRule="exact"/>
        <w:rPr>
          <w:rFonts w:ascii="Courier New" w:cs="Courier New" w:eastAsia="Courier New" w:hAnsi="Courier New"/>
          <w:sz w:val="14"/>
          <w:szCs w:val="14"/>
          <w:color w:val="auto"/>
        </w:rPr>
      </w:pPr>
    </w:p>
    <w:p>
      <w:pPr>
        <w:jc w:val="both"/>
        <w:ind w:right="3499" w:firstLine="1934"/>
        <w:spacing w:after="0" w:line="256" w:lineRule="auto"/>
        <w:tabs>
          <w:tab w:leader="none" w:pos="2449" w:val="left"/>
        </w:tabs>
        <w:numPr>
          <w:ilvl w:val="2"/>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Pledgor shall not take or permit to be taken any action in connection with the Collateral or otherwise which would impair the value of the interests or rights of Pledgor therein or which would impair the interests or rights of Secured Party therein or with respect thereto.</w:t>
      </w:r>
    </w:p>
    <w:p>
      <w:pPr>
        <w:spacing w:after="0" w:line="157"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COLLATERAL</w:t>
      </w:r>
    </w:p>
    <w:p>
      <w:pPr>
        <w:spacing w:after="0" w:line="172"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Note has been paid in full and provided any Event of Default has been cured, this Agreement shall terminate and the Collateral held by Secured Party shall be returned within five (5) business days to Pledgor at the address of Pledgor set forth herein or at such other address as Pledgor may direct in writing. Secured Party shall not be deemed to have made any representation or warranty with respect to any Collateral so delivered, except that such Collateral is free and clear, on the date of delivery, of any and all liens, charges and encumbrances arising from its own acts.</w:t>
      </w:r>
    </w:p>
    <w:p>
      <w:pPr>
        <w:spacing w:after="0" w:line="165" w:lineRule="exact"/>
        <w:rPr>
          <w:rFonts w:ascii="Courier New" w:cs="Courier New" w:eastAsia="Courier New" w:hAnsi="Courier New"/>
          <w:sz w:val="14"/>
          <w:szCs w:val="14"/>
          <w:color w:val="auto"/>
        </w:rPr>
      </w:pPr>
    </w:p>
    <w:p>
      <w:pPr>
        <w:ind w:right="3239" w:firstLine="1584"/>
        <w:spacing w:after="0" w:line="237" w:lineRule="auto"/>
        <w:tabs>
          <w:tab w:leader="none" w:pos="1924"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Calculation Date, the Calculation Date Value exceeds the Required Collateral Level, Secured Party shall within ten (10) business days return to Pledgor at the address of Pledgor set forth herein or at such other address as Pledgor may direct in writing a certificate or certificates representing a number of Common Shares with an aggregate Value equal to such excess over the Required Collateral Level. Notwithstanding anything to the contrary in this Agreement, provided that Pledgor is not in default of its obligations under the Note or this Agreement, Pledgor may, on no more that two (2) occasions during the term of this Agreement not counting Calculation Dates, request by written notice to the Secured Party, that Collateral in excess of the Required Collateral Level be returned to Pledgor, whereupon the Secured Party shall calculate the aggregate Value of the Collateral pledged on the date that the Secured Party receives such request and return to Pledgor a certificate or certificates representing a number of Common Shares with an aggregate Value equal to the excess over the Required Collateral Level. Secured Party shall not be deemed to have made any representation or warranty with respect to any Collateral so delivered, except that such Collateral is free and clear, on the date of delivery, of any and all liens, charges and encumbrances arising from its own acts.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153" w:name="page154"/>
    <w:bookmarkEnd w:id="153"/>
    <w:p>
      <w:pPr>
        <w:ind w:left="620" w:hanging="610"/>
        <w:spacing w:after="0"/>
        <w:tabs>
          <w:tab w:leader="none" w:pos="6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ACTIONS AND DOCUMENTS</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Pledgor hereby agrees to take or cause to be taken such further actions (including, without limitation, the delivery of certificates for all of the Collateral that may be required to be pledged following any Calculation Date), to execute, deliver and file or cause to be executed, delivered and filed such further documents and instruments, and to obtain such consents as may be necessary or desirable, in the opinion of Secured Party, in order to fully effectuate the purposes, terms and conditions of this Agreement, whether before, at or after the occurrence of an Event of Default.</w:t>
      </w:r>
    </w:p>
    <w:p>
      <w:pPr>
        <w:spacing w:after="0" w:line="159" w:lineRule="exact"/>
        <w:rPr>
          <w:sz w:val="20"/>
          <w:szCs w:val="20"/>
          <w:color w:val="auto"/>
        </w:rPr>
      </w:pPr>
    </w:p>
    <w:p>
      <w:pPr>
        <w:ind w:left="620" w:hanging="610"/>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It is the express intention and agreement of the parties hereto that all covenants, agreements, statements, representations, warranties and indemnities made by Pledgor herein shall survive the execution and delivery of this Agreement.</w:t>
      </w:r>
    </w:p>
    <w:p>
      <w:pPr>
        <w:spacing w:after="0" w:line="169" w:lineRule="exact"/>
        <w:rPr>
          <w:sz w:val="20"/>
          <w:szCs w:val="20"/>
          <w:color w:val="auto"/>
        </w:rPr>
      </w:pPr>
    </w:p>
    <w:p>
      <w:pPr>
        <w:ind w:left="620" w:hanging="610"/>
        <w:spacing w:after="0"/>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This Agreement constitutes the entire agreement between the parties hereto with respect to the subject matter hereof and supersedes all prior oral or written agreements, commitments or understandings with respect to the matters provided for herein.</w:t>
      </w:r>
    </w:p>
    <w:p>
      <w:pPr>
        <w:spacing w:after="0" w:line="169" w:lineRule="exact"/>
        <w:rPr>
          <w:sz w:val="20"/>
          <w:szCs w:val="20"/>
          <w:color w:val="auto"/>
        </w:rPr>
      </w:pPr>
    </w:p>
    <w:p>
      <w:pPr>
        <w:ind w:left="620" w:hanging="610"/>
        <w:spacing w:after="0"/>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Any notice or request hereunder shall be given to the Pledgor or to the Secured Party at their respective addresses set forth below or at such other address as such Person may hereafter specify in a notice designated as a notice given in the manner required under this Section 12. Any notice or request hereunder shall be given by (a) hand delivery, (b) registered or certified mail, return receipt requested, (c) delivery by an internationally recognized overnight courier, or (d) facsimile to the number set forth below (or such other number as may hereafter be specified in a notice given in the manner required under this Section 12) with telephone communication to Pledgor or a duly authorized officer of Secured Party, as the case may be, confirming its receipt as subsequently confirmed by registered or certified mail. Notices and requests shall be deemed to have been given (x) in the case of those by mail, five (5) Business Days after being deposited in the mail at the addresses as provided in this Section 12, (y) in the case of those by overnight courier, one (1) day after deposit with such courier, and (z) in the case of those given by facsimile, upon receipt.</w:t>
      </w:r>
    </w:p>
    <w:p>
      <w:pPr>
        <w:spacing w:after="0" w:line="168" w:lineRule="exact"/>
        <w:rPr>
          <w:sz w:val="20"/>
          <w:szCs w:val="20"/>
          <w:color w:val="auto"/>
        </w:rPr>
      </w:pPr>
    </w:p>
    <w:p>
      <w:pPr>
        <w:ind w:left="2720" w:hanging="786"/>
        <w:spacing w:after="0"/>
        <w:tabs>
          <w:tab w:leader="none" w:pos="27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Secured Party:</w:t>
      </w:r>
    </w:p>
    <w:p>
      <w:pPr>
        <w:spacing w:after="0" w:line="172" w:lineRule="exact"/>
        <w:rPr>
          <w:rFonts w:ascii="Courier New" w:cs="Courier New" w:eastAsia="Courier New" w:hAnsi="Courier New"/>
          <w:sz w:val="15"/>
          <w:szCs w:val="15"/>
          <w:color w:val="auto"/>
        </w:rPr>
      </w:pPr>
    </w:p>
    <w:p>
      <w:pPr>
        <w:ind w:left="2720" w:right="47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Realty Investment Trust 1626 East Jefferson Street Rockville, MD 20852 Attention: Legal Department Telephone: (301) 998-8100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54" w:name="page155"/>
    <w:bookmarkEnd w:id="154"/>
    <w:p>
      <w:pPr>
        <w:ind w:left="2720"/>
        <w:spacing w:after="0"/>
        <w:tabs>
          <w:tab w:leader="none" w:pos="3220" w:val="left"/>
        </w:tabs>
        <w:rPr>
          <w:sz w:val="20"/>
          <w:szCs w:val="20"/>
          <w:color w:val="auto"/>
        </w:rPr>
      </w:pPr>
      <w:r>
        <w:rPr>
          <w:rFonts w:ascii="Courier New" w:cs="Courier New" w:eastAsia="Courier New" w:hAnsi="Courier New"/>
          <w:sz w:val="15"/>
          <w:szCs w:val="15"/>
          <w:color w:val="auto"/>
        </w:rPr>
        <w:t>FAX:</w:t>
        <w:tab/>
        <w:t>(301) 998-3814</w:t>
      </w:r>
    </w:p>
    <w:p>
      <w:pPr>
        <w:spacing w:after="0" w:line="166" w:lineRule="exact"/>
        <w:rPr>
          <w:sz w:val="20"/>
          <w:szCs w:val="20"/>
          <w:color w:val="auto"/>
        </w:rPr>
      </w:pPr>
    </w:p>
    <w:p>
      <w:pPr>
        <w:ind w:left="2720" w:hanging="786"/>
        <w:spacing w:after="0"/>
        <w:tabs>
          <w:tab w:leader="none" w:pos="27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Pledgor:</w:t>
      </w:r>
    </w:p>
    <w:p>
      <w:pPr>
        <w:spacing w:after="0" w:line="166" w:lineRule="exact"/>
        <w:rPr>
          <w:rFonts w:ascii="Courier New" w:cs="Courier New" w:eastAsia="Courier New" w:hAnsi="Courier New"/>
          <w:sz w:val="15"/>
          <w:szCs w:val="15"/>
          <w:color w:val="auto"/>
        </w:rPr>
      </w:pPr>
    </w:p>
    <w:p>
      <w:pPr>
        <w:ind w:left="2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D. Kaplan</w:t>
      </w:r>
    </w:p>
    <w:p>
      <w:pPr>
        <w:spacing w:after="0" w:line="4" w:lineRule="exact"/>
        <w:rPr>
          <w:rFonts w:ascii="Courier New" w:cs="Courier New" w:eastAsia="Courier New" w:hAnsi="Courier New"/>
          <w:sz w:val="15"/>
          <w:szCs w:val="15"/>
          <w:color w:val="auto"/>
        </w:rPr>
      </w:pPr>
    </w:p>
    <w:p>
      <w:pPr>
        <w:ind w:left="2720" w:right="5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7909 Greentree Road Bethesda, MD 20817 Telephone: (301) 469-7834 FAX: (301) 469-6256</w:t>
      </w:r>
    </w:p>
    <w:p>
      <w:pPr>
        <w:spacing w:after="0" w:line="169" w:lineRule="exact"/>
        <w:rPr>
          <w:sz w:val="20"/>
          <w:szCs w:val="20"/>
          <w:color w:val="auto"/>
        </w:rPr>
      </w:pPr>
    </w:p>
    <w:p>
      <w:pPr>
        <w:ind w:left="620" w:hanging="610"/>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No amendment, modification or supplement of or to this Agreement shall be valid or binding unless set forth in writing and duly executed by the party against whom enforcement of the amendment, modification or supplement is sought.</w:t>
      </w:r>
    </w:p>
    <w:p>
      <w:pPr>
        <w:spacing w:after="0" w:line="169" w:lineRule="exact"/>
        <w:rPr>
          <w:sz w:val="20"/>
          <w:szCs w:val="20"/>
          <w:color w:val="auto"/>
        </w:rPr>
      </w:pPr>
    </w:p>
    <w:p>
      <w:pPr>
        <w:ind w:left="620" w:hanging="610"/>
        <w:spacing w:after="0"/>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AND ASSIGNMENT</w:t>
      </w:r>
    </w:p>
    <w:p>
      <w:pPr>
        <w:spacing w:after="0" w:line="172"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shall inure to the benefit of the parties hereto and their respective successors and permitted assigns. This Agreement may not be assigned by Pledgor. In the event of a sale or assignment by Secured Party of all or any part of the interests in the Note, Secured Party may assign and transfer its rights and interests under this Agreement in whole or in part to the purchaser or purchasers of such interests in the Note, whereupon such purchaser or purchasers shall become vested with all of the powers and rights given to Secured Party hereunder, and shall be deemed to be a "Secured Party" for all purposes hereunder, and the predecessor Secured Party shall thereafter be forever released and fully discharged from any liability or responsibility hereunder with respect to the rights and interests so assigned.</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No delay or failure on the part of Secured Party in exercising any right, power or privilege under this Agreement or under any other instruments given in connection with or pursuant to this Agreement shall impair any such right, power or privilege or be construed as a waiver of any default or any acquiescence therein. No single or partial exercise of any such right, power or privilege shall preclude the further exercise of such right, power or privilege, or the exercise of any other right, power or privilege. No waiver shall be valid against Secured Party unless made in writing and signed by Secured Party and then only to the extent expressly specified therein.</w:t>
      </w:r>
    </w:p>
    <w:p>
      <w:pPr>
        <w:spacing w:after="0" w:line="159" w:lineRule="exact"/>
        <w:rPr>
          <w:sz w:val="20"/>
          <w:szCs w:val="20"/>
          <w:color w:val="auto"/>
        </w:rPr>
      </w:pPr>
    </w:p>
    <w:p>
      <w:pPr>
        <w:ind w:left="620" w:hanging="610"/>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73"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If any part of any provision of this Agreement or any other agreement, document or writing given pursuant to or in connection with this Agreement shall be invalid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55" w:name="page156"/>
    <w:bookmarkEnd w:id="155"/>
    <w:p>
      <w:pPr>
        <w:ind w:right="3239"/>
        <w:spacing w:after="0" w:line="258" w:lineRule="auto"/>
        <w:rPr>
          <w:sz w:val="20"/>
          <w:szCs w:val="20"/>
          <w:color w:val="auto"/>
        </w:rPr>
      </w:pPr>
      <w:r>
        <w:rPr>
          <w:rFonts w:ascii="Courier New" w:cs="Courier New" w:eastAsia="Courier New" w:hAnsi="Courier New"/>
          <w:sz w:val="14"/>
          <w:szCs w:val="14"/>
          <w:color w:val="auto"/>
        </w:rPr>
        <w:t>unenforceable in any respect, such part shall be ineffective to the extent of such invalidity or unenforceability only, without in any way affecting the remaining parts of such provision or the remaining provisions of this Agreement.</w:t>
      </w:r>
    </w:p>
    <w:p>
      <w:pPr>
        <w:spacing w:after="0" w:line="155" w:lineRule="exact"/>
        <w:rPr>
          <w:sz w:val="20"/>
          <w:szCs w:val="20"/>
          <w:color w:val="auto"/>
        </w:rPr>
      </w:pPr>
    </w:p>
    <w:p>
      <w:pPr>
        <w:ind w:left="620" w:hanging="610"/>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Maryland without giving effect to its conflict of laws rules. Any judicial proceeding brought by or against the Pledgor with respect to any of the obligations, this Agreement or any related agreement may be brought in any federal or state court of competent jurisdiction located in the State of Maryland, and, by execution and delivery of this Agreement, Pledgor accepts for itself and in connection with its properties, generally and unconditionally the non-exclusive jurisdiction of the aforesaid courts, and irrevocably agrees to be bound by any judgment rendered thereby in connection with this Agreement. Pledgor hereby waives personal service of process and consents that service of process upon it may be made by certified or registered mail, return receipt requested, at its address specified or determined in accordance with Section 12 hereof, and service so made shall be deemed completed on the third (3rd) Business Day after mailing. Nothing herein shall affect the right to serve process in any manner permitted by law or shall limit the right of the Secured Party to bring proceedings against Pledgor in the courts of any other jurisdiction having jurisdiction over Pledgor. Pledgor waives any objection to jurisdiction and venue of any action instituted hereunder and shall not assert any defense based on lack of jurisdiction or venue or based upon forum non conveniens. Any judicial proceedings by Pledgor against the Secured Party involving, directly or indirectly, any matter or claim in any way arising out of, related to or connected with this Agreement or any related agreement, shall be brought only in a federal or state court located in the State of Maryland.</w:t>
      </w:r>
    </w:p>
    <w:p>
      <w:pPr>
        <w:spacing w:after="0" w:line="338" w:lineRule="exact"/>
        <w:rPr>
          <w:sz w:val="20"/>
          <w:szCs w:val="20"/>
          <w:color w:val="auto"/>
        </w:rPr>
      </w:pPr>
    </w:p>
    <w:p>
      <w:pPr>
        <w:ind w:left="620" w:hanging="610"/>
        <w:spacing w:after="0"/>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PRONOUNS</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All pronouns and any variations thereof in this Agreement shall be deemed to refer to the masculine, feminine, neuter, singular or plural, as the identity of the person or entity may require.</w:t>
      </w:r>
    </w:p>
    <w:p>
      <w:pPr>
        <w:spacing w:after="0" w:line="167" w:lineRule="exact"/>
        <w:rPr>
          <w:sz w:val="20"/>
          <w:szCs w:val="20"/>
          <w:color w:val="auto"/>
        </w:rPr>
      </w:pPr>
    </w:p>
    <w:p>
      <w:pPr>
        <w:ind w:left="620" w:hanging="610"/>
        <w:spacing w:after="0"/>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69" w:lineRule="exact"/>
        <w:rPr>
          <w:sz w:val="20"/>
          <w:szCs w:val="20"/>
          <w:color w:val="auto"/>
        </w:rPr>
      </w:pPr>
    </w:p>
    <w:p>
      <w:pPr>
        <w:ind w:left="620" w:hanging="610"/>
        <w:spacing w:after="0"/>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To facilitate execution, this Agreement may be executed in as many counterparts as may be required; and it shall not be necessary that the signatures of, or on behalf of, each party, or that the signatures of all persons required to bind any party, appear on each counterpart;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56" w:name="page157"/>
    <w:bookmarkEnd w:id="156"/>
    <w:p>
      <w:pPr>
        <w:ind w:right="3239"/>
        <w:spacing w:after="0" w:line="255" w:lineRule="auto"/>
        <w:rPr>
          <w:sz w:val="20"/>
          <w:szCs w:val="20"/>
          <w:color w:val="auto"/>
        </w:rPr>
      </w:pPr>
      <w:r>
        <w:rPr>
          <w:rFonts w:ascii="Courier New" w:cs="Courier New" w:eastAsia="Courier New" w:hAnsi="Courier New"/>
          <w:sz w:val="14"/>
          <w:szCs w:val="14"/>
          <w:color w:val="auto"/>
        </w:rPr>
        <w:t>but it shall be sufficient that the signature of, or on behalf of, each party, or that the signatures of the persons required to bind any party, appear on one or more of the counterparts. All counterparts shall collectively constitute a single agreement. It shall not be necessary in making proof of this Agreement to produce or account for more than that number of counterparts containing the respective signatures of, or on behalf of, all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57" w:name="page158"/>
    <w:bookmarkEnd w:id="157"/>
    <w:p>
      <w:pPr>
        <w:ind w:right="3239" w:firstLine="1574"/>
        <w:spacing w:after="0" w:line="235" w:lineRule="auto"/>
        <w:rPr>
          <w:sz w:val="20"/>
          <w:szCs w:val="20"/>
          <w:color w:val="auto"/>
        </w:rPr>
      </w:pPr>
      <w:r>
        <w:rPr>
          <w:rFonts w:ascii="Courier New" w:cs="Courier New" w:eastAsia="Courier New" w:hAnsi="Courier New"/>
          <w:sz w:val="15"/>
          <w:szCs w:val="15"/>
          <w:color w:val="auto"/>
        </w:rPr>
        <w:t>IN WITNESS WHEREOF, each of the parties hereto has duly executed this Agreement, or has caused this Agreement to be duly executed on its behalf, as of the day and year first above written.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Nancy J. Herman</w:t>
      </w:r>
    </w:p>
    <w:p>
      <w:pPr>
        <w:ind w:left="3420"/>
        <w:spacing w:after="0" w:line="238" w:lineRule="auto"/>
        <w:rPr>
          <w:sz w:val="20"/>
          <w:szCs w:val="20"/>
          <w:color w:val="auto"/>
        </w:rPr>
      </w:pPr>
      <w:r>
        <w:rPr>
          <w:rFonts w:ascii="Courier New" w:cs="Courier New" w:eastAsia="Courier New" w:hAnsi="Courier New"/>
          <w:sz w:val="15"/>
          <w:szCs w:val="15"/>
          <w:color w:val="auto"/>
        </w:rPr>
        <w:t>Senior Vice President - General</w:t>
      </w:r>
    </w:p>
    <w:p>
      <w:pPr>
        <w:ind w:left="3420"/>
        <w:spacing w:after="0" w:line="237" w:lineRule="auto"/>
        <w:rPr>
          <w:sz w:val="20"/>
          <w:szCs w:val="20"/>
          <w:color w:val="auto"/>
        </w:rPr>
      </w:pPr>
      <w:r>
        <w:rPr>
          <w:rFonts w:ascii="Courier New" w:cs="Courier New" w:eastAsia="Courier New" w:hAnsi="Courier New"/>
          <w:sz w:val="15"/>
          <w:szCs w:val="15"/>
          <w:color w:val="auto"/>
        </w:rPr>
        <w:t>Counsel and Secretary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ind w:left="3420"/>
        <w:spacing w:after="0" w:line="237" w:lineRule="auto"/>
        <w:rPr>
          <w:sz w:val="20"/>
          <w:szCs w:val="20"/>
          <w:color w:val="auto"/>
        </w:rPr>
      </w:pPr>
      <w:r>
        <w:rPr>
          <w:rFonts w:ascii="Courier New" w:cs="Courier New" w:eastAsia="Courier New" w:hAnsi="Courier New"/>
          <w:sz w:val="15"/>
          <w:szCs w:val="15"/>
          <w:color w:val="auto"/>
        </w:rPr>
        <w:t>Ron D. Kaplan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Exhibit 21</w:t>
            </w:r>
          </w:p>
        </w:tc>
        <w:tc>
          <w:tcPr>
            <w:tcW w:w="18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Subsidiaries of the Registrant</w:t>
            </w:r>
          </w:p>
        </w:tc>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180" w:type="dxa"/>
            <w:vAlign w:val="bottom"/>
          </w:tcPr>
          <w:p>
            <w:pPr>
              <w:spacing w:after="0"/>
              <w:rPr>
                <w:sz w:val="14"/>
                <w:szCs w:val="14"/>
                <w:color w:val="auto"/>
              </w:rPr>
            </w:pPr>
          </w:p>
        </w:tc>
      </w:tr>
      <w:tr>
        <w:trPr>
          <w:trHeight w:val="336"/>
        </w:trPr>
        <w:tc>
          <w:tcPr>
            <w:tcW w:w="268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STATE OF</w:t>
            </w:r>
          </w:p>
        </w:tc>
        <w:tc>
          <w:tcPr>
            <w:tcW w:w="2180" w:type="dxa"/>
            <w:vAlign w:val="bottom"/>
          </w:tcPr>
          <w:p>
            <w:pPr>
              <w:ind w:left="520"/>
              <w:spacing w:after="0"/>
              <w:rPr>
                <w:sz w:val="20"/>
                <w:szCs w:val="20"/>
                <w:color w:val="auto"/>
              </w:rPr>
            </w:pPr>
            <w:r>
              <w:rPr>
                <w:rFonts w:ascii="Courier New" w:cs="Courier New" w:eastAsia="Courier New" w:hAnsi="Courier New"/>
                <w:sz w:val="15"/>
                <w:szCs w:val="15"/>
                <w:color w:val="auto"/>
              </w:rPr>
              <w:t>DOING</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INCORPORATION</w:t>
            </w:r>
          </w:p>
        </w:tc>
        <w:tc>
          <w:tcPr>
            <w:tcW w:w="2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BUSINESS AS NAME</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Street Retail, Inc.</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Maryland</w:t>
            </w:r>
          </w:p>
        </w:tc>
        <w:tc>
          <w:tcPr>
            <w:tcW w:w="2180" w:type="dxa"/>
            <w:vAlign w:val="bottom"/>
          </w:tcPr>
          <w:p>
            <w:pPr>
              <w:ind w:left="520"/>
              <w:spacing w:after="0"/>
              <w:rPr>
                <w:sz w:val="20"/>
                <w:szCs w:val="20"/>
                <w:color w:val="auto"/>
              </w:rPr>
            </w:pPr>
            <w:r>
              <w:rPr>
                <w:rFonts w:ascii="Courier New" w:cs="Courier New" w:eastAsia="Courier New" w:hAnsi="Courier New"/>
                <w:sz w:val="15"/>
                <w:szCs w:val="15"/>
                <w:color w:val="auto"/>
                <w:w w:val="95"/>
              </w:rPr>
              <w:t>Street Retail, Inc.</w:t>
            </w:r>
          </w:p>
        </w:tc>
      </w:tr>
    </w:tbl>
    <w:p>
      <w:pPr>
        <w:sectPr>
          <w:pgSz w:w="11900" w:h="16838" w:orient="portrait"/>
          <w:cols w:equalWidth="0" w:num="1">
            <w:col w:w="10239"/>
          </w:cols>
          <w:pgMar w:left="220" w:top="471"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From 10-K, into Federal Realty Investment Trust's previously filed Registration Statements File No. 333-63619, File No. 33-63687, File No. 33-63955, File No. 33-15264 and File No. 33-55111.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237" w:lineRule="auto"/>
        <w:rPr>
          <w:sz w:val="20"/>
          <w:szCs w:val="20"/>
          <w:color w:val="auto"/>
        </w:rPr>
      </w:pPr>
      <w:r>
        <w:rPr>
          <w:rFonts w:ascii="Courier New" w:cs="Courier New" w:eastAsia="Courier New" w:hAnsi="Courier New"/>
          <w:sz w:val="15"/>
          <w:szCs w:val="15"/>
          <w:color w:val="auto"/>
        </w:rPr>
        <w:t>Vienna, Virginia</w:t>
      </w:r>
    </w:p>
    <w:p>
      <w:pPr>
        <w:spacing w:after="0" w:line="238" w:lineRule="auto"/>
        <w:rPr>
          <w:sz w:val="20"/>
          <w:szCs w:val="20"/>
          <w:color w:val="auto"/>
        </w:rPr>
      </w:pPr>
      <w:r>
        <w:rPr>
          <w:rFonts w:ascii="Courier New" w:cs="Courier New" w:eastAsia="Courier New" w:hAnsi="Courier New"/>
          <w:sz w:val="15"/>
          <w:szCs w:val="15"/>
          <w:color w:val="auto"/>
        </w:rPr>
        <w:t>March 22, 2002</w:t>
      </w:r>
    </w:p>
    <w:p>
      <w:pPr>
        <w:sectPr>
          <w:pgSz w:w="11900" w:h="16838" w:orient="portrait"/>
          <w:cols w:equalWidth="0" w:num="1">
            <w:col w:w="10239"/>
          </w:cols>
          <w:pgMar w:left="220" w:top="471" w:right="1440" w:bottom="1440" w:gutter="0" w:footer="0" w:header="0"/>
        </w:sectPr>
      </w:pPr>
    </w:p>
    <w:bookmarkStart w:id="160" w:name="page161"/>
    <w:bookmarkEnd w:id="160"/>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33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March 22,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7" w:lineRule="auto"/>
        <w:rPr>
          <w:sz w:val="20"/>
          <w:szCs w:val="20"/>
          <w:color w:val="auto"/>
        </w:rPr>
      </w:pPr>
      <w:r>
        <w:rPr>
          <w:rFonts w:ascii="Courier New" w:cs="Courier New" w:eastAsia="Courier New" w:hAnsi="Courier New"/>
          <w:sz w:val="15"/>
          <w:szCs w:val="15"/>
          <w:color w:val="auto"/>
        </w:rPr>
        <w:t>450 Fifth Street, NW</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ectPr>
          <w:pgSz w:w="11900" w:h="16838" w:orient="portrait"/>
          <w:cols w:equalWidth="0" w:num="1">
            <w:col w:w="10239"/>
          </w:cols>
          <w:pgMar w:left="220" w:top="30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on Form 10-K for the 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for Federal Realty 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w:t>
      </w:r>
    </w:p>
    <w:p>
      <w:pPr>
        <w:spacing w:after="0" w:line="166" w:lineRule="exact"/>
        <w:rPr>
          <w:sz w:val="20"/>
          <w:szCs w:val="20"/>
          <w:color w:val="auto"/>
        </w:rPr>
      </w:pPr>
    </w:p>
    <w:p>
      <w:pPr>
        <w:sectPr>
          <w:pgSz w:w="11900" w:h="16838" w:orient="portrait"/>
          <w:cols w:equalWidth="0" w:num="2">
            <w:col w:w="880" w:space="520"/>
            <w:col w:w="8839"/>
          </w:cols>
          <w:pgMar w:left="220" w:top="303" w:right="1440" w:bottom="1440" w:gutter="0" w:footer="0" w:header="0"/>
          <w:type w:val="continuous"/>
        </w:sectPr>
      </w:pPr>
    </w:p>
    <w:p>
      <w:pPr>
        <w:spacing w:after="0"/>
        <w:tabs>
          <w:tab w:leader="none" w:pos="1820" w:val="left"/>
        </w:tabs>
        <w:rPr>
          <w:sz w:val="20"/>
          <w:szCs w:val="20"/>
          <w:color w:val="auto"/>
        </w:rPr>
      </w:pPr>
      <w:r>
        <w:rPr>
          <w:rFonts w:ascii="Courier New" w:cs="Courier New" w:eastAsia="Courier New" w:hAnsi="Courier New"/>
          <w:sz w:val="15"/>
          <w:szCs w:val="15"/>
          <w:color w:val="auto"/>
        </w:rPr>
        <w:t>Commission File No.</w:t>
      </w:r>
      <w:r>
        <w:rPr>
          <w:sz w:val="20"/>
          <w:szCs w:val="20"/>
          <w:color w:val="auto"/>
        </w:rPr>
        <w:tab/>
      </w:r>
      <w:r>
        <w:rPr>
          <w:rFonts w:ascii="Courier New" w:cs="Courier New" w:eastAsia="Courier New" w:hAnsi="Courier New"/>
          <w:sz w:val="14"/>
          <w:szCs w:val="14"/>
          <w:color w:val="auto"/>
        </w:rPr>
        <w:t>52-0782497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Consistent with the Commission's release of March 18, 2002, please be advised that the Trust has obtained a letter from Arthur Andersen LLP, the Company's independent public accountants, dated March 22, 2002, containing the following representations regarding the audits performed on the Trust's consolidated balance sheets as of December 31, 2001 and 2000 and the related consolidated statements of operations, common shareholder's equity and cash flows for each of the years in the three year period ended December 31, 2001:</w:t>
      </w:r>
    </w:p>
    <w:p>
      <w:pPr>
        <w:spacing w:after="0" w:line="176" w:lineRule="exact"/>
        <w:rPr>
          <w:sz w:val="20"/>
          <w:szCs w:val="20"/>
          <w:color w:val="auto"/>
        </w:rPr>
      </w:pPr>
    </w:p>
    <w:p>
      <w:pPr>
        <w:ind w:left="880" w:right="3499" w:hanging="433"/>
        <w:spacing w:after="0" w:line="235" w:lineRule="auto"/>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audits were subject to Arthur Andersen's quality control system for the U.S. accounting and auditing practice to provide reasonable assurance that the engagement was conducted in compliance with professional standards;</w:t>
      </w:r>
    </w:p>
    <w:p>
      <w:pPr>
        <w:spacing w:after="0" w:line="175"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appropriate continuity of Arthur Andersen personnel working on the audits;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appropriate availability of national office consultation.</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Representation relating to the availability of personnel at foreign affiliates of Arthur Andersen was not relevant to these audits.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Donald C. Wood</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Donald C. Wood</w:t>
      </w:r>
    </w:p>
    <w:p>
      <w:pPr>
        <w:ind w:left="3500"/>
        <w:spacing w:after="0" w:line="237" w:lineRule="auto"/>
        <w:rPr>
          <w:sz w:val="20"/>
          <w:szCs w:val="20"/>
          <w:color w:val="auto"/>
        </w:rPr>
      </w:pPr>
      <w:r>
        <w:rPr>
          <w:rFonts w:ascii="Courier New" w:cs="Courier New" w:eastAsia="Courier New" w:hAnsi="Courier New"/>
          <w:sz w:val="15"/>
          <w:szCs w:val="15"/>
          <w:color w:val="auto"/>
        </w:rPr>
        <w:t>President and Chief Operating</w:t>
      </w:r>
    </w:p>
    <w:p>
      <w:pPr>
        <w:ind w:left="3500"/>
        <w:spacing w:after="0" w:line="238" w:lineRule="auto"/>
        <w:rPr>
          <w:sz w:val="20"/>
          <w:szCs w:val="20"/>
          <w:color w:val="auto"/>
        </w:rPr>
      </w:pPr>
      <w:r>
        <w:rPr>
          <w:rFonts w:ascii="Courier New" w:cs="Courier New" w:eastAsia="Courier New" w:hAnsi="Courier New"/>
          <w:sz w:val="15"/>
          <w:szCs w:val="15"/>
          <w:color w:val="auto"/>
        </w:rPr>
        <w:t>Officer</w:t>
      </w:r>
    </w:p>
    <w:sectPr>
      <w:pgSz w:w="11900" w:h="16838" w:orient="portrait"/>
      <w:cols w:equalWidth="0" w:num="1">
        <w:col w:w="10239"/>
      </w:cols>
      <w:pgMar w:left="220"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
      <w:numFmt w:val="bullet"/>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
      <w:numFmt w:val="bullet"/>
      <w:start w:val="1"/>
    </w:lvl>
  </w:abstractNum>
  <w:abstractNum w:abstractNumId="12">
    <w:nsid w:val="5FB8370B"/>
    <w:multiLevelType w:val="hybridMultilevel"/>
    <w:lvl w:ilvl="0">
      <w:lvlJc w:val="left"/>
      <w:lvlText w:val="."/>
      <w:numFmt w:val="bullet"/>
      <w:start w:val="1"/>
    </w:lvl>
  </w:abstractNum>
  <w:abstractNum w:abstractNumId="13">
    <w:nsid w:val="50801EE1"/>
    <w:multiLevelType w:val="hybridMultilevel"/>
    <w:lvl w:ilvl="0">
      <w:lvlJc w:val="left"/>
      <w:lvlText w:val="-"/>
      <w:numFmt w:val="bullet"/>
      <w:start w:val="1"/>
    </w:lvl>
  </w:abstractNum>
  <w:abstractNum w:abstractNumId="14">
    <w:nsid w:val="488AC1A"/>
    <w:multiLevelType w:val="hybridMultilevel"/>
    <w:lvl w:ilvl="0">
      <w:lvlJc w:val="left"/>
      <w:lvlText w:val="(%1)"/>
      <w:numFmt w:val="decimal"/>
      <w:start w:val="1"/>
    </w:lvl>
  </w:abstractNum>
  <w:abstractNum w:abstractNumId="15">
    <w:nsid w:val="5FB8011C"/>
    <w:multiLevelType w:val="hybridMultilevel"/>
    <w:lvl w:ilvl="0">
      <w:lvlJc w:val="left"/>
      <w:lvlText w:val="."/>
      <w:numFmt w:val="bullet"/>
      <w:start w:val="1"/>
    </w:lvl>
  </w:abstractNum>
  <w:abstractNum w:abstractNumId="16">
    <w:nsid w:val="6AA78F7F"/>
    <w:multiLevelType w:val="hybridMultilevel"/>
    <w:lvl w:ilvl="0">
      <w:lvlJc w:val="left"/>
      <w:lvlText w:val="."/>
      <w:numFmt w:val="bullet"/>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
      <w:numFmt w:val="bullet"/>
      <w:start w:val="1"/>
    </w:lvl>
  </w:abstractNum>
  <w:abstractNum w:abstractNumId="19">
    <w:nsid w:val="6A5F7029"/>
    <w:multiLevelType w:val="hybridMultilevel"/>
    <w:lvl w:ilvl="0">
      <w:lvlJc w:val="left"/>
      <w:lvlText w:val="."/>
      <w:numFmt w:val="bullet"/>
      <w:start w:val="1"/>
    </w:lvl>
  </w:abstractNum>
  <w:abstractNum w:abstractNumId="20">
    <w:nsid w:val="7D5E18F8"/>
    <w:multiLevelType w:val="hybridMultilevel"/>
    <w:lvl w:ilvl="0">
      <w:lvlJc w:val="left"/>
      <w:lvlText w:val="."/>
      <w:numFmt w:val="bullet"/>
      <w:start w:val="1"/>
    </w:lvl>
  </w:abstractNum>
  <w:abstractNum w:abstractNumId="21">
    <w:nsid w:val="5F3534A4"/>
    <w:multiLevelType w:val="hybridMultilevel"/>
    <w:lvl w:ilvl="0">
      <w:lvlJc w:val="left"/>
      <w:lvlText w:val="."/>
      <w:numFmt w:val="bullet"/>
      <w:start w:val="1"/>
    </w:lvl>
  </w:abstractNum>
  <w:abstractNum w:abstractNumId="22">
    <w:nsid w:val="73A1821B"/>
    <w:multiLevelType w:val="hybridMultilevel"/>
    <w:lvl w:ilvl="0">
      <w:lvlJc w:val="left"/>
      <w:lvlText w:val="."/>
      <w:numFmt w:val="bullet"/>
      <w:start w:val="1"/>
    </w:lvl>
  </w:abstractNum>
  <w:abstractNum w:abstractNumId="23">
    <w:nsid w:val="7DE67713"/>
    <w:multiLevelType w:val="hybridMultilevel"/>
    <w:lvl w:ilvl="0">
      <w:lvlJc w:val="left"/>
      <w:lvlText w:val="."/>
      <w:numFmt w:val="bullet"/>
      <w:start w:val="1"/>
    </w:lvl>
  </w:abstractNum>
  <w:abstractNum w:abstractNumId="24">
    <w:nsid w:val="555C55B5"/>
    <w:multiLevelType w:val="hybridMultilevel"/>
    <w:lvl w:ilvl="0">
      <w:lvlJc w:val="left"/>
      <w:lvlText w:val="."/>
      <w:numFmt w:val="bullet"/>
      <w:start w:val="1"/>
    </w:lvl>
  </w:abstractNum>
  <w:abstractNum w:abstractNumId="25">
    <w:nsid w:val="3FA62ACA"/>
    <w:multiLevelType w:val="hybridMultilevel"/>
    <w:lvl w:ilvl="0">
      <w:lvlJc w:val="left"/>
      <w:lvlText w:val="."/>
      <w:numFmt w:val="bullet"/>
      <w:start w:val="1"/>
    </w:lvl>
  </w:abstractNum>
  <w:abstractNum w:abstractNumId="26">
    <w:nsid w:val="14FCE74E"/>
    <w:multiLevelType w:val="hybridMultilevel"/>
    <w:lvl w:ilvl="0">
      <w:lvlJc w:val="left"/>
      <w:lvlText w:val="-"/>
      <w:numFmt w:val="bullet"/>
      <w:start w:val="1"/>
    </w:lvl>
  </w:abstractNum>
  <w:abstractNum w:abstractNumId="27">
    <w:nsid w:val="6A3DD3E8"/>
    <w:multiLevelType w:val="hybridMultilevel"/>
    <w:lvl w:ilvl="0">
      <w:lvlJc w:val="left"/>
      <w:lvlText w:val="."/>
      <w:numFmt w:val="bullet"/>
      <w:start w:val="1"/>
    </w:lvl>
  </w:abstractNum>
  <w:abstractNum w:abstractNumId="28">
    <w:nsid w:val="71C91298"/>
    <w:multiLevelType w:val="hybridMultilevel"/>
    <w:lvl w:ilvl="0">
      <w:lvlJc w:val="left"/>
      <w:lvlText w:val="."/>
      <w:numFmt w:val="bullet"/>
      <w:start w:val="1"/>
    </w:lvl>
  </w:abstractNum>
  <w:abstractNum w:abstractNumId="29">
    <w:nsid w:val="9DAF632"/>
    <w:multiLevelType w:val="hybridMultilevel"/>
    <w:lvl w:ilvl="0">
      <w:lvlJc w:val="left"/>
      <w:lvlText w:val="."/>
      <w:numFmt w:val="bullet"/>
      <w:start w:val="1"/>
    </w:lvl>
  </w:abstractNum>
  <w:abstractNum w:abstractNumId="30">
    <w:nsid w:val="53299938"/>
    <w:multiLevelType w:val="hybridMultilevel"/>
    <w:lvl w:ilvl="0">
      <w:lvlJc w:val="left"/>
      <w:lvlText w:val="."/>
      <w:numFmt w:val="bullet"/>
      <w:start w:val="1"/>
    </w:lvl>
  </w:abstractNum>
  <w:abstractNum w:abstractNumId="31">
    <w:nsid w:val="1FBFE8E0"/>
    <w:multiLevelType w:val="hybridMultilevel"/>
    <w:lvl w:ilvl="0">
      <w:lvlJc w:val="left"/>
      <w:lvlText w:val="."/>
      <w:numFmt w:val="bullet"/>
      <w:start w:val="1"/>
    </w:lvl>
  </w:abstractNum>
  <w:abstractNum w:abstractNumId="32">
    <w:nsid w:val="5092CA79"/>
    <w:multiLevelType w:val="hybridMultilevel"/>
    <w:lvl w:ilvl="0">
      <w:lvlJc w:val="left"/>
      <w:lvlText w:val="."/>
      <w:numFmt w:val="bullet"/>
      <w:start w:val="1"/>
    </w:lvl>
  </w:abstractNum>
  <w:abstractNum w:abstractNumId="33">
    <w:nsid w:val="1D545C4D"/>
    <w:multiLevelType w:val="hybridMultilevel"/>
    <w:lvl w:ilvl="0">
      <w:lvlJc w:val="left"/>
      <w:lvlText w:val="."/>
      <w:numFmt w:val="bullet"/>
      <w:start w:val="1"/>
    </w:lvl>
  </w:abstractNum>
  <w:abstractNum w:abstractNumId="34">
    <w:nsid w:val="59ADEA3D"/>
    <w:multiLevelType w:val="hybridMultilevel"/>
    <w:lvl w:ilvl="0">
      <w:lvlJc w:val="left"/>
      <w:lvlText w:val="."/>
      <w:numFmt w:val="bullet"/>
      <w:start w:val="1"/>
    </w:lvl>
  </w:abstractNum>
  <w:abstractNum w:abstractNumId="35">
    <w:nsid w:val="288F1A34"/>
    <w:multiLevelType w:val="hybridMultilevel"/>
    <w:lvl w:ilvl="0">
      <w:lvlJc w:val="left"/>
      <w:lvlText w:val="-"/>
      <w:numFmt w:val="bullet"/>
      <w:start w:val="1"/>
    </w:lvl>
  </w:abstractNum>
  <w:abstractNum w:abstractNumId="36">
    <w:nsid w:val="2A155DBC"/>
    <w:multiLevelType w:val="hybridMultilevel"/>
    <w:lvl w:ilvl="0">
      <w:lvlJc w:val="left"/>
      <w:lvlText w:val="(%1)"/>
      <w:numFmt w:val="decimal"/>
      <w:start w:val="1"/>
    </w:lvl>
  </w:abstractNum>
  <w:abstractNum w:abstractNumId="37">
    <w:nsid w:val="1D9F6E5F"/>
    <w:multiLevelType w:val="hybridMultilevel"/>
    <w:lvl w:ilvl="0">
      <w:lvlJc w:val="left"/>
      <w:lvlText w:val="-"/>
      <w:numFmt w:val="bullet"/>
      <w:start w:val="1"/>
    </w:lvl>
  </w:abstractNum>
  <w:abstractNum w:abstractNumId="38">
    <w:nsid w:val="97E1B4E"/>
    <w:multiLevelType w:val="hybridMultilevel"/>
    <w:lvl w:ilvl="0">
      <w:lvlJc w:val="left"/>
      <w:lvlText w:val="-"/>
      <w:numFmt w:val="bullet"/>
      <w:start w:val="1"/>
    </w:lvl>
  </w:abstractNum>
  <w:abstractNum w:abstractNumId="39">
    <w:nsid w:val="51088277"/>
    <w:multiLevelType w:val="hybridMultilevel"/>
    <w:lvl w:ilvl="0">
      <w:lvlJc w:val="left"/>
      <w:lvlText w:val="(%1)"/>
      <w:numFmt w:val="decimal"/>
      <w:start w:val="1"/>
    </w:lvl>
  </w:abstractNum>
  <w:abstractNum w:abstractNumId="40">
    <w:nsid w:val="1CA0C5FA"/>
    <w:multiLevelType w:val="hybridMultilevel"/>
    <w:lvl w:ilvl="0">
      <w:lvlJc w:val="left"/>
      <w:lvlText w:val="-"/>
      <w:numFmt w:val="bullet"/>
      <w:start w:val="1"/>
    </w:lvl>
  </w:abstractNum>
  <w:abstractNum w:abstractNumId="41">
    <w:nsid w:val="53584BCB"/>
    <w:multiLevelType w:val="hybridMultilevel"/>
    <w:lvl w:ilvl="0">
      <w:lvlJc w:val="left"/>
      <w:lvlText w:val="-"/>
      <w:numFmt w:val="bullet"/>
      <w:start w:val="1"/>
    </w:lvl>
  </w:abstractNum>
  <w:abstractNum w:abstractNumId="42">
    <w:nsid w:val="415E286C"/>
    <w:multiLevelType w:val="hybridMultilevel"/>
    <w:lvl w:ilvl="0">
      <w:lvlJc w:val="left"/>
      <w:lvlText w:val="-"/>
      <w:numFmt w:val="bullet"/>
      <w:start w:val="1"/>
    </w:lvl>
  </w:abstractNum>
  <w:abstractNum w:abstractNumId="43">
    <w:nsid w:val="7C58FD05"/>
    <w:multiLevelType w:val="hybridMultilevel"/>
    <w:lvl w:ilvl="0">
      <w:lvlJc w:val="left"/>
      <w:lvlText w:val="-"/>
      <w:numFmt w:val="bullet"/>
      <w:start w:val="1"/>
    </w:lvl>
  </w:abstractNum>
  <w:abstractNum w:abstractNumId="44">
    <w:nsid w:val="23D86AAC"/>
    <w:multiLevelType w:val="hybridMultilevel"/>
    <w:lvl w:ilvl="0">
      <w:lvlJc w:val="left"/>
      <w:lvlText w:val="(%1)"/>
      <w:numFmt w:val="lowerLetter"/>
      <w:start w:val="1"/>
    </w:lvl>
  </w:abstractNum>
  <w:abstractNum w:abstractNumId="45">
    <w:nsid w:val="45E6D486"/>
    <w:multiLevelType w:val="hybridMultilevel"/>
    <w:lvl w:ilvl="0">
      <w:lvlJc w:val="left"/>
      <w:lvlText w:val="(%1)"/>
      <w:numFmt w:val="lowerLetter"/>
      <w:start w:val="1"/>
    </w:lvl>
  </w:abstractNum>
  <w:abstractNum w:abstractNumId="46">
    <w:nsid w:val="5C10FE21"/>
    <w:multiLevelType w:val="hybridMultilevel"/>
    <w:lvl w:ilvl="0">
      <w:lvlJc w:val="left"/>
      <w:lvlText w:val="%1."/>
      <w:numFmt w:val="decimal"/>
      <w:start w:val="2"/>
    </w:lvl>
  </w:abstractNum>
  <w:abstractNum w:abstractNumId="47">
    <w:nsid w:val="E7FFA2B"/>
    <w:multiLevelType w:val="hybridMultilevel"/>
    <w:lvl w:ilvl="0">
      <w:lvlJc w:val="left"/>
      <w:lvlText w:val="(%1)"/>
      <w:numFmt w:val="decimal"/>
      <w:start w:val="3"/>
    </w:lvl>
    <w:lvl w:ilvl="1">
      <w:lvlJc w:val="left"/>
      <w:lvlText w:val="(%2)"/>
      <w:numFmt w:val="lowerRoman"/>
      <w:start w:val="2"/>
    </w:lvl>
  </w:abstractNum>
  <w:abstractNum w:abstractNumId="48">
    <w:nsid w:val="3C5991AA"/>
    <w:multiLevelType w:val="hybridMultilevel"/>
    <w:lvl w:ilvl="0">
      <w:lvlJc w:val="left"/>
      <w:lvlText w:val="(%1)"/>
      <w:numFmt w:val="lowerRoman"/>
      <w:start w:val="7"/>
    </w:lvl>
  </w:abstractNum>
  <w:abstractNum w:abstractNumId="49">
    <w:nsid w:val="4BD8591A"/>
    <w:multiLevelType w:val="hybridMultilevel"/>
    <w:lvl w:ilvl="0">
      <w:lvlJc w:val="left"/>
      <w:lvlText w:val="%1"/>
      <w:numFmt w:val="decimal"/>
      <w:start w:val="1"/>
    </w:lvl>
    <w:lvl w:ilvl="1">
      <w:lvlJc w:val="left"/>
      <w:lvlText w:val="(%2)"/>
      <w:numFmt w:val="lowerRoman"/>
      <w:start w:val="8"/>
    </w:lvl>
  </w:abstractNum>
  <w:abstractNum w:abstractNumId="50">
    <w:nsid w:val="78DF6A55"/>
    <w:multiLevelType w:val="hybridMultilevel"/>
    <w:lvl w:ilvl="0">
      <w:lvlJc w:val="left"/>
      <w:lvlText w:val="(%1)"/>
      <w:numFmt w:val="decimal"/>
      <w:start w:val="10"/>
    </w:lvl>
    <w:lvl w:ilvl="1">
      <w:lvlJc w:val="left"/>
      <w:lvlText w:val="(%2)"/>
      <w:numFmt w:val="lowerRoman"/>
      <w:start w:val="2"/>
    </w:lvl>
  </w:abstractNum>
  <w:abstractNum w:abstractNumId="51">
    <w:nsid w:val="39B7AAA2"/>
    <w:multiLevelType w:val="hybridMultilevel"/>
    <w:lvl w:ilvl="0">
      <w:lvlJc w:val="left"/>
      <w:lvlText w:val="%1"/>
      <w:numFmt w:val="decimal"/>
      <w:start w:val="1"/>
    </w:lvl>
    <w:lvl w:ilvl="1">
      <w:lvlJc w:val="left"/>
      <w:lvlText w:val="(%2)"/>
      <w:numFmt w:val="lowerRoman"/>
      <w:start w:val="4"/>
    </w:lvl>
  </w:abstractNum>
  <w:abstractNum w:abstractNumId="52">
    <w:nsid w:val="2B0D8DBE"/>
    <w:multiLevelType w:val="hybridMultilevel"/>
    <w:lvl w:ilvl="0">
      <w:lvlJc w:val="left"/>
      <w:lvlText w:val="%1"/>
      <w:numFmt w:val="decimal"/>
      <w:start w:val="1"/>
    </w:lvl>
    <w:lvl w:ilvl="1">
      <w:lvlJc w:val="left"/>
      <w:lvlText w:val="(%2)"/>
      <w:numFmt w:val="lowerRoman"/>
      <w:start w:val="3"/>
    </w:lvl>
  </w:abstractNum>
  <w:abstractNum w:abstractNumId="53">
    <w:nsid w:val="6C80EC70"/>
    <w:multiLevelType w:val="hybridMultilevel"/>
    <w:lvl w:ilvl="0">
      <w:lvlJc w:val="left"/>
      <w:lvlText w:val="(%1)"/>
      <w:numFmt w:val="lowerRoman"/>
      <w:start w:val="8"/>
    </w:lvl>
  </w:abstractNum>
  <w:abstractNum w:abstractNumId="54">
    <w:nsid w:val="379E21B5"/>
    <w:multiLevelType w:val="hybridMultilevel"/>
    <w:lvl w:ilvl="0">
      <w:lvlJc w:val="left"/>
      <w:lvlText w:val="(%1)"/>
      <w:numFmt w:val="lowerRoman"/>
      <w:start w:val="9"/>
    </w:lvl>
  </w:abstractNum>
  <w:abstractNum w:abstractNumId="55">
    <w:nsid w:val="69E373"/>
    <w:multiLevelType w:val="hybridMultilevel"/>
    <w:lvl w:ilvl="0">
      <w:lvlJc w:val="left"/>
      <w:lvlText w:val="(%1)"/>
      <w:numFmt w:val="lowerRoman"/>
      <w:start w:val="12"/>
    </w:lvl>
  </w:abstractNum>
  <w:abstractNum w:abstractNumId="56">
    <w:nsid w:val="2C27173B"/>
    <w:multiLevelType w:val="hybridMultilevel"/>
    <w:lvl w:ilvl="0">
      <w:lvlJc w:val="left"/>
      <w:lvlText w:val="(%1)"/>
      <w:numFmt w:val="lowerRoman"/>
      <w:start w:val="19"/>
    </w:lvl>
  </w:abstractNum>
  <w:abstractNum w:abstractNumId="57">
    <w:nsid w:val="4C9B0904"/>
    <w:multiLevelType w:val="hybridMultilevel"/>
    <w:lvl w:ilvl="0">
      <w:lvlJc w:val="left"/>
      <w:lvlText w:val="(%1)"/>
      <w:numFmt w:val="lowerRoman"/>
      <w:start w:val="21"/>
    </w:lvl>
  </w:abstractNum>
  <w:abstractNum w:abstractNumId="58">
    <w:nsid w:val="6AA7B75C"/>
    <w:multiLevelType w:val="hybridMultilevel"/>
    <w:lvl w:ilvl="0">
      <w:lvlJc w:val="left"/>
      <w:lvlText w:val="(%1)"/>
      <w:numFmt w:val="lowerRoman"/>
      <w:start w:val="22"/>
    </w:lvl>
  </w:abstractNum>
  <w:abstractNum w:abstractNumId="59">
    <w:nsid w:val="1DF029D3"/>
    <w:multiLevelType w:val="hybridMultilevel"/>
    <w:lvl w:ilvl="0">
      <w:lvlJc w:val="left"/>
      <w:lvlText w:val="(%1)"/>
      <w:numFmt w:val="lowerRoman"/>
      <w:start w:val="29"/>
    </w:lvl>
  </w:abstractNum>
  <w:abstractNum w:abstractNumId="60">
    <w:nsid w:val="5675FF36"/>
    <w:multiLevelType w:val="hybridMultilevel"/>
    <w:lvl w:ilvl="0">
      <w:lvlJc w:val="left"/>
      <w:lvlText w:val="(%1)"/>
      <w:numFmt w:val="lowerRoman"/>
      <w:start w:val="30"/>
    </w:lvl>
  </w:abstractNum>
  <w:abstractNum w:abstractNumId="61">
    <w:nsid w:val="3DD15094"/>
    <w:multiLevelType w:val="hybridMultilevel"/>
    <w:lvl w:ilvl="0">
      <w:lvlJc w:val="left"/>
      <w:lvlText w:val="(%1)"/>
      <w:numFmt w:val="lowerRoman"/>
      <w:start w:val="36"/>
    </w:lvl>
  </w:abstractNum>
  <w:abstractNum w:abstractNumId="62">
    <w:nsid w:val="3DB012B3"/>
    <w:multiLevelType w:val="hybridMultilevel"/>
    <w:lvl w:ilvl="0">
      <w:lvlJc w:val="left"/>
      <w:lvlText w:val="(%1)"/>
      <w:numFmt w:val="decimal"/>
      <w:start w:val="10"/>
    </w:lvl>
    <w:lvl w:ilvl="1">
      <w:lvlJc w:val="left"/>
      <w:lvlText w:val="(%2)"/>
      <w:numFmt w:val="lowerRoman"/>
      <w:start w:val="38"/>
    </w:lvl>
  </w:abstractNum>
  <w:abstractNum w:abstractNumId="63">
    <w:nsid w:val="2708C9AF"/>
    <w:multiLevelType w:val="hybridMultilevel"/>
    <w:lvl w:ilvl="0">
      <w:lvlJc w:val="left"/>
      <w:lvlText w:val="(%1)"/>
      <w:numFmt w:val="decimal"/>
      <w:start w:val="21"/>
    </w:lvl>
  </w:abstractNum>
  <w:abstractNum w:abstractNumId="64">
    <w:nsid w:val="5B25ACE2"/>
    <w:multiLevelType w:val="hybridMultilevel"/>
    <w:lvl w:ilvl="0">
      <w:lvlJc w:val="left"/>
      <w:lvlText w:val="(%1)"/>
      <w:numFmt w:val="decimal"/>
      <w:start w:val="23"/>
    </w:lvl>
  </w:abstractNum>
  <w:abstractNum w:abstractNumId="65">
    <w:nsid w:val="175DFCF0"/>
    <w:multiLevelType w:val="hybridMultilevel"/>
    <w:lvl w:ilvl="0">
      <w:lvlJc w:val="left"/>
      <w:lvlText w:val="(%1)"/>
      <w:numFmt w:val="decimal"/>
      <w:start w:val="99"/>
    </w:lvl>
  </w:abstractNum>
  <w:abstractNum w:abstractNumId="66">
    <w:nsid w:val="4F97E3E4"/>
    <w:multiLevelType w:val="hybridMultilevel"/>
    <w:lvl w:ilvl="0">
      <w:lvlJc w:val="left"/>
      <w:lvlText w:val="(%1)"/>
      <w:numFmt w:val="lowerLetter"/>
      <w:start w:val="2"/>
    </w:lvl>
  </w:abstractNum>
  <w:abstractNum w:abstractNumId="67">
    <w:nsid w:val="53B0A9E"/>
    <w:multiLevelType w:val="hybridMultilevel"/>
    <w:lvl w:ilvl="0">
      <w:lvlJc w:val="left"/>
      <w:lvlText w:val="*"/>
      <w:numFmt w:val="bullet"/>
      <w:start w:val="1"/>
    </w:lvl>
  </w:abstractNum>
  <w:abstractNum w:abstractNumId="68">
    <w:nsid w:val="34FD6B4F"/>
    <w:multiLevelType w:val="hybridMultilevel"/>
    <w:lvl w:ilvl="0">
      <w:lvlJc w:val="left"/>
      <w:lvlText w:val="-"/>
      <w:numFmt w:val="bullet"/>
      <w:start w:val="1"/>
    </w:lvl>
  </w:abstractNum>
  <w:abstractNum w:abstractNumId="69">
    <w:nsid w:val="5915FF32"/>
    <w:multiLevelType w:val="hybridMultilevel"/>
    <w:lvl w:ilvl="0">
      <w:lvlJc w:val="left"/>
      <w:lvlText w:val="-"/>
      <w:numFmt w:val="bullet"/>
      <w:start w:val="1"/>
    </w:lvl>
  </w:abstractNum>
  <w:abstractNum w:abstractNumId="70">
    <w:nsid w:val="56438D15"/>
    <w:multiLevelType w:val="hybridMultilevel"/>
    <w:lvl w:ilvl="0">
      <w:lvlJc w:val="left"/>
      <w:lvlText w:val="(%1)"/>
      <w:numFmt w:val="decimal"/>
      <w:start w:val="4"/>
    </w:lvl>
  </w:abstractNum>
  <w:abstractNum w:abstractNumId="71">
    <w:nsid w:val="519E3149"/>
    <w:multiLevelType w:val="hybridMultilevel"/>
    <w:lvl w:ilvl="0">
      <w:lvlJc w:val="left"/>
      <w:lvlText w:val="-"/>
      <w:numFmt w:val="bullet"/>
      <w:start w:val="1"/>
    </w:lvl>
  </w:abstractNum>
  <w:abstractNum w:abstractNumId="72">
    <w:nsid w:val="2C6E4AFD"/>
    <w:multiLevelType w:val="hybridMultilevel"/>
    <w:lvl w:ilvl="0">
      <w:lvlJc w:val="left"/>
      <w:lvlText w:val="-"/>
      <w:numFmt w:val="bullet"/>
      <w:start w:val="1"/>
    </w:lvl>
  </w:abstractNum>
  <w:abstractNum w:abstractNumId="73">
    <w:nsid w:val="17A1B582"/>
    <w:multiLevelType w:val="hybridMultilevel"/>
    <w:lvl w:ilvl="0">
      <w:lvlJc w:val="left"/>
      <w:lvlText w:val="(%1)"/>
      <w:numFmt w:val="upperLetter"/>
      <w:start w:val="1"/>
    </w:lvl>
  </w:abstractNum>
  <w:abstractNum w:abstractNumId="74">
    <w:nsid w:val="4DF72E4E"/>
    <w:multiLevelType w:val="hybridMultilevel"/>
    <w:lvl w:ilvl="0">
      <w:lvlJc w:val="left"/>
      <w:lvlText w:val="%1)"/>
      <w:numFmt w:val="decimal"/>
      <w:start w:val="1"/>
    </w:lvl>
  </w:abstractNum>
  <w:abstractNum w:abstractNumId="75">
    <w:nsid w:val="5046B5A9"/>
    <w:multiLevelType w:val="hybridMultilevel"/>
    <w:lvl w:ilvl="0">
      <w:lvlJc w:val="left"/>
      <w:lvlText w:val="%1."/>
      <w:numFmt w:val="decimal"/>
      <w:start w:val="1"/>
    </w:lvl>
    <w:lvl w:ilvl="1">
      <w:lvlJc w:val="left"/>
      <w:lvlText w:val="(%2)"/>
      <w:numFmt w:val="lowerLetter"/>
      <w:start w:val="1"/>
    </w:lvl>
  </w:abstractNum>
  <w:abstractNum w:abstractNumId="76">
    <w:nsid w:val="5D888A0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7">
    <w:nsid w:val="2A082C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5EC6AFD4"/>
    <w:multiLevelType w:val="hybridMultilevel"/>
    <w:lvl w:ilvl="0">
      <w:lvlJc w:val="left"/>
      <w:lvlText w:val="(%1)"/>
      <w:numFmt w:val="lowerLetter"/>
      <w:start w:val="2"/>
    </w:lvl>
  </w:abstractNum>
  <w:abstractNum w:abstractNumId="79">
    <w:nsid w:val="19E21BB2"/>
    <w:multiLevelType w:val="hybridMultilevel"/>
    <w:lvl w:ilvl="0">
      <w:lvlJc w:val="left"/>
      <w:lvlText w:val="%1."/>
      <w:numFmt w:val="decimal"/>
      <w:start w:val="4"/>
    </w:lvl>
  </w:abstractNum>
  <w:abstractNum w:abstractNumId="80">
    <w:nsid w:val="75E0858A"/>
    <w:multiLevelType w:val="hybridMultilevel"/>
    <w:lvl w:ilvl="0">
      <w:lvlJc w:val="left"/>
      <w:lvlText w:val="%1."/>
      <w:numFmt w:val="decimal"/>
      <w:start w:val="5"/>
    </w:lvl>
  </w:abstractNum>
  <w:abstractNum w:abstractNumId="81">
    <w:nsid w:val="57A61A29"/>
    <w:multiLevelType w:val="hybridMultilevel"/>
    <w:lvl w:ilvl="0">
      <w:lvlJc w:val="left"/>
      <w:lvlText w:val="%1."/>
      <w:numFmt w:val="decimal"/>
      <w:start w:val="6"/>
    </w:lvl>
  </w:abstractNum>
  <w:abstractNum w:abstractNumId="82">
    <w:nsid w:val="5399C654"/>
    <w:multiLevelType w:val="hybridMultilevel"/>
    <w:lvl w:ilvl="0">
      <w:lvlJc w:val="left"/>
      <w:lvlText w:val="%1."/>
      <w:numFmt w:val="decimal"/>
      <w:start w:val="7"/>
    </w:lvl>
  </w:abstractNum>
  <w:abstractNum w:abstractNumId="83">
    <w:nsid w:val="20EE1348"/>
    <w:multiLevelType w:val="hybridMultilevel"/>
    <w:lvl w:ilvl="0">
      <w:lvlJc w:val="left"/>
      <w:lvlText w:val="%1."/>
      <w:numFmt w:val="decimal"/>
      <w:start w:val="8"/>
    </w:lvl>
  </w:abstractNum>
  <w:abstractNum w:abstractNumId="84">
    <w:nsid w:val="4427069A"/>
    <w:multiLevelType w:val="hybridMultilevel"/>
    <w:lvl w:ilvl="0">
      <w:lvlJc w:val="left"/>
      <w:lvlText w:val="%1."/>
      <w:numFmt w:val="decimal"/>
      <w:start w:val="9"/>
    </w:lvl>
  </w:abstractNum>
  <w:abstractNum w:abstractNumId="85">
    <w:nsid w:val="B37E80A"/>
    <w:multiLevelType w:val="hybridMultilevel"/>
    <w:lvl w:ilvl="0">
      <w:lvlJc w:val="left"/>
      <w:lvlText w:val="%1."/>
      <w:numFmt w:val="decimal"/>
      <w:start w:val="10"/>
    </w:lvl>
  </w:abstractNum>
  <w:abstractNum w:abstractNumId="86">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
    <w:nsid w:val="704E1DD5"/>
    <w:multiLevelType w:val="hybridMultilevel"/>
    <w:lvl w:ilvl="0">
      <w:lvlJc w:val="left"/>
      <w:lvlText w:val="%1"/>
      <w:numFmt w:val="lowerLetter"/>
      <w:start w:val="1"/>
    </w:lvl>
    <w:lvl w:ilvl="1">
      <w:lvlJc w:val="left"/>
      <w:lvlText w:val="(%2)"/>
      <w:numFmt w:val="lowerRoman"/>
      <w:start w:val="2"/>
    </w:lvl>
  </w:abstractNum>
  <w:abstractNum w:abstractNumId="88">
    <w:nsid w:val="57D2F10E"/>
    <w:multiLevelType w:val="hybridMultilevel"/>
    <w:lvl w:ilvl="0">
      <w:lvlJc w:val="left"/>
      <w:lvlText w:val="(%1)"/>
      <w:numFmt w:val="lowerLetter"/>
      <w:start w:val="3"/>
    </w:lvl>
    <w:lvl w:ilvl="1">
      <w:lvlJc w:val="left"/>
      <w:lvlText w:val="%2"/>
      <w:numFmt w:val="lowerRoman"/>
      <w:start w:val="1"/>
    </w:lvl>
  </w:abstractNum>
  <w:abstractNum w:abstractNumId="89">
    <w:nsid w:val="BFFAE18"/>
    <w:multiLevelType w:val="hybridMultilevel"/>
    <w:lvl w:ilvl="0">
      <w:lvlJc w:val="left"/>
      <w:lvlText w:val="(%1)"/>
      <w:numFmt w:val="lowerLetter"/>
      <w:start w:val="6"/>
    </w:lvl>
  </w:abstractNum>
  <w:abstractNum w:abstractNumId="90">
    <w:nsid w:val="E3E47A8"/>
    <w:multiLevelType w:val="hybridMultilevel"/>
    <w:lvl w:ilvl="0">
      <w:lvlJc w:val="left"/>
      <w:lvlText w:val="%1"/>
      <w:numFmt w:val="decimal"/>
      <w:start w:val="1"/>
    </w:lvl>
    <w:lvl w:ilvl="1">
      <w:lvlJc w:val="left"/>
      <w:lvlText w:val="(%2)"/>
      <w:numFmt w:val="lowerLetter"/>
      <w:start w:val="10"/>
    </w:lvl>
  </w:abstractNum>
  <w:abstractNum w:abstractNumId="91">
    <w:nsid w:val="2E48F044"/>
    <w:multiLevelType w:val="hybridMultilevel"/>
    <w:lvl w:ilvl="0">
      <w:lvlJc w:val="left"/>
      <w:lvlText w:val="%1."/>
      <w:numFmt w:val="decimal"/>
      <w:start w:val="3"/>
    </w:lvl>
    <w:lvl w:ilvl="1">
      <w:lvlJc w:val="left"/>
      <w:lvlText w:val="(%2)"/>
      <w:numFmt w:val="lowerLetter"/>
      <w:start w:val="1"/>
    </w:lvl>
  </w:abstractNum>
  <w:abstractNum w:abstractNumId="92">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4BEE5A5B"/>
    <w:multiLevelType w:val="hybridMultilevel"/>
    <w:lvl w:ilvl="0">
      <w:lvlJc w:val="left"/>
      <w:lvlText w:val="%1."/>
      <w:numFmt w:val="decimal"/>
      <w:start w:val="5"/>
    </w:lvl>
    <w:lvl w:ilvl="1">
      <w:lvlJc w:val="left"/>
      <w:lvlText w:val="(%2)"/>
      <w:numFmt w:val="lowerLetter"/>
      <w:start w:val="26"/>
    </w:lvl>
    <w:lvl w:ilvl="2">
      <w:lvlJc w:val="left"/>
      <w:lvlText w:val="%3"/>
      <w:numFmt w:val="lowerRoman"/>
      <w:start w:val="1"/>
    </w:lvl>
  </w:abstractNum>
  <w:abstractNum w:abstractNumId="94">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24F6AB8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6">
    <w:nsid w:val="634C574C"/>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97">
    <w:nsid w:val="24E99DD7"/>
    <w:multiLevelType w:val="hybridMultilevel"/>
    <w:lvl w:ilvl="0">
      <w:lvlJc w:val="left"/>
      <w:lvlText w:val="%1"/>
      <w:numFmt w:val="lowerRoman"/>
      <w:start w:val="1"/>
    </w:lvl>
    <w:lvl w:ilvl="1">
      <w:lvlJc w:val="left"/>
      <w:lvlText w:val="(%2)"/>
      <w:numFmt w:val="upperLetter"/>
      <w:start w:val="3"/>
    </w:lvl>
  </w:abstractNum>
  <w:abstractNum w:abstractNumId="98">
    <w:nsid w:val="2A31B62D"/>
    <w:multiLevelType w:val="hybridMultilevel"/>
    <w:lvl w:ilvl="0">
      <w:lvlJc w:val="left"/>
      <w:lvlText w:val="(%1)"/>
      <w:numFmt w:val="lowerRoman"/>
      <w:start w:val="4"/>
    </w:lvl>
    <w:lvl w:ilvl="1">
      <w:lvlJc w:val="left"/>
      <w:lvlText w:val="%2"/>
      <w:numFmt w:val="upperLetter"/>
      <w:start w:val="1"/>
    </w:lvl>
  </w:abstractNum>
  <w:abstractNum w:abstractNumId="99">
    <w:nsid w:val="1849C29B"/>
    <w:multiLevelType w:val="hybridMultilevel"/>
    <w:lvl w:ilvl="0">
      <w:lvlJc w:val="left"/>
      <w:lvlText w:val="%1"/>
      <w:numFmt w:val="lowerLetter"/>
      <w:start w:val="1"/>
    </w:lvl>
    <w:lvl w:ilvl="1">
      <w:lvlJc w:val="left"/>
      <w:lvlText w:val="(%2)"/>
      <w:numFmt w:val="lowerLetter"/>
      <w:start w:val="22"/>
    </w:lvl>
  </w:abstractNum>
  <w:abstractNum w:abstractNumId="100">
    <w:nsid w:val="7DFF9D09"/>
    <w:multiLevelType w:val="hybridMultilevel"/>
    <w:lvl w:ilvl="0">
      <w:lvlJc w:val="left"/>
      <w:lvlText w:val="(%1)"/>
      <w:numFmt w:val="lowerLetter"/>
      <w:start w:val="2"/>
    </w:lvl>
    <w:lvl w:ilvl="1">
      <w:lvlJc w:val="left"/>
      <w:lvlText w:val="%2"/>
      <w:numFmt w:val="lowerLetter"/>
      <w:start w:val="1"/>
    </w:lvl>
  </w:abstractNum>
  <w:abstractNum w:abstractNumId="101">
    <w:nsid w:val="754342"/>
    <w:multiLevelType w:val="hybridMultilevel"/>
    <w:lvl w:ilvl="0">
      <w:lvlJc w:val="left"/>
      <w:lvlText w:val="(%1)"/>
      <w:numFmt w:val="lowerLetter"/>
      <w:start w:val="3"/>
    </w:lvl>
    <w:lvl w:ilvl="1">
      <w:lvlJc w:val="left"/>
      <w:lvlText w:val="(%2)"/>
      <w:numFmt w:val="lowerRoman"/>
      <w:start w:val="1"/>
    </w:lvl>
  </w:abstractNum>
  <w:abstractNum w:abstractNumId="102">
    <w:nsid w:val="69E7F3E5"/>
    <w:multiLevelType w:val="hybridMultilevel"/>
    <w:lvl w:ilvl="0">
      <w:lvlJc w:val="left"/>
      <w:lvlText w:val="%1"/>
      <w:numFmt w:val="lowerLetter"/>
      <w:start w:val="1"/>
    </w:lvl>
    <w:lvl w:ilvl="1">
      <w:lvlJc w:val="left"/>
      <w:lvlText w:val="(%2)"/>
      <w:numFmt w:val="lowerLetter"/>
      <w:start w:val="22"/>
    </w:lvl>
  </w:abstractNum>
  <w:abstractNum w:abstractNumId="103">
    <w:nsid w:val="2A6DE806"/>
    <w:multiLevelType w:val="hybridMultilevel"/>
    <w:lvl w:ilvl="0">
      <w:lvlJc w:val="left"/>
      <w:lvlText w:val="(%1)"/>
      <w:numFmt w:val="lowerLetter"/>
      <w:start w:val="4"/>
    </w:lvl>
    <w:lvl w:ilvl="1">
      <w:lvlJc w:val="left"/>
      <w:lvlText w:val="(%2)"/>
      <w:numFmt w:val="lowerLetter"/>
      <w:start w:val="9"/>
    </w:lvl>
  </w:abstractNum>
  <w:abstractNum w:abstractNumId="104">
    <w:nsid w:val="1816F8C4"/>
    <w:multiLevelType w:val="hybridMultilevel"/>
    <w:lvl w:ilvl="0">
      <w:lvlJc w:val="left"/>
      <w:lvlText w:val="(%1)"/>
      <w:numFmt w:val="lowerRoman"/>
      <w:start w:val="2"/>
    </w:lvl>
  </w:abstractNum>
  <w:abstractNum w:abstractNumId="105">
    <w:nsid w:val="37DF2233"/>
    <w:multiLevelType w:val="hybridMultilevel"/>
    <w:lvl w:ilvl="0">
      <w:lvlJc w:val="left"/>
      <w:lvlText w:val="(%1)"/>
      <w:numFmt w:val="lowerLetter"/>
      <w:start w:val="5"/>
    </w:lvl>
    <w:lvl w:ilvl="1">
      <w:lvlJc w:val="left"/>
      <w:lvlText w:val="(%2)"/>
      <w:numFmt w:val="lowerRoman"/>
      <w:start w:val="1"/>
    </w:lvl>
  </w:abstractNum>
  <w:abstractNum w:abstractNumId="106">
    <w:nsid w:val="7AB49DAF"/>
    <w:multiLevelType w:val="hybridMultilevel"/>
    <w:lvl w:ilvl="0">
      <w:lvlJc w:val="left"/>
      <w:lvlText w:val="(%1)"/>
      <w:numFmt w:val="lowerRoman"/>
      <w:start w:val="3"/>
    </w:lvl>
  </w:abstractNum>
  <w:abstractNum w:abstractNumId="107">
    <w:nsid w:val="759F82CD"/>
    <w:multiLevelType w:val="hybridMultilevel"/>
    <w:lvl w:ilvl="0">
      <w:lvlJc w:val="left"/>
      <w:lvlText w:val="%1"/>
      <w:numFmt w:val="lowerLetter"/>
      <w:start w:val="1"/>
    </w:lvl>
    <w:lvl w:ilvl="1">
      <w:lvlJc w:val="left"/>
      <w:lvlText w:val="(%2)"/>
      <w:numFmt w:val="lowerRoman"/>
      <w:start w:val="4"/>
    </w:lvl>
  </w:abstractNum>
  <w:abstractNum w:abstractNumId="108">
    <w:nsid w:val="61E74EA3"/>
    <w:multiLevelType w:val="hybridMultilevel"/>
    <w:lvl w:ilvl="0">
      <w:lvlJc w:val="left"/>
      <w:lvlText w:val="(%1)"/>
      <w:numFmt w:val="lowerLetter"/>
      <w:start w:val="6"/>
    </w:lvl>
    <w:lvl w:ilvl="1">
      <w:lvlJc w:val="left"/>
      <w:lvlText w:val="(%2)"/>
      <w:numFmt w:val="lowerRoman"/>
      <w:start w:val="2"/>
    </w:lvl>
  </w:abstractNum>
  <w:abstractNum w:abstractNumId="109">
    <w:nsid w:val="597B4D84"/>
    <w:multiLevelType w:val="hybridMultilevel"/>
    <w:lvl w:ilvl="0">
      <w:lvlJc w:val="left"/>
      <w:lvlText w:val="%1."/>
      <w:numFmt w:val="decimal"/>
      <w:start w:val="8"/>
    </w:lvl>
    <w:lvl w:ilvl="1">
      <w:lvlJc w:val="left"/>
      <w:lvlText w:val="(%2)"/>
      <w:numFmt w:val="lowerLetter"/>
      <w:start w:val="1"/>
    </w:lvl>
  </w:abstractNum>
  <w:abstractNum w:abstractNumId="110">
    <w:nsid w:val="F819E7F"/>
    <w:multiLevelType w:val="hybridMultilevel"/>
    <w:lvl w:ilvl="0">
      <w:lvlJc w:val="left"/>
      <w:lvlText w:val="(%1)"/>
      <w:numFmt w:val="lowerLetter"/>
      <w:start w:val="2"/>
    </w:lvl>
  </w:abstractNum>
  <w:abstractNum w:abstractNumId="111">
    <w:nsid w:val="57C7D42D"/>
    <w:multiLevelType w:val="hybridMultilevel"/>
    <w:lvl w:ilvl="0">
      <w:lvlJc w:val="left"/>
      <w:lvlText w:val="%1"/>
      <w:numFmt w:val="decimal"/>
      <w:start w:val="1"/>
    </w:lvl>
    <w:lvl w:ilvl="1">
      <w:lvlJc w:val="left"/>
      <w:lvlText w:val="(%2)"/>
      <w:numFmt w:val="lowerLetter"/>
      <w:start w:val="3"/>
    </w:lvl>
  </w:abstractNum>
  <w:abstractNum w:abstractNumId="112">
    <w:nsid w:val="312167AD"/>
    <w:multiLevelType w:val="hybridMultilevel"/>
    <w:lvl w:ilvl="0">
      <w:lvlJc w:val="left"/>
      <w:lvlText w:val="%1."/>
      <w:numFmt w:val="decimal"/>
      <w:start w:val="13"/>
    </w:lvl>
    <w:lvl w:ilvl="1">
      <w:lvlJc w:val="left"/>
      <w:lvlText w:val="%2"/>
      <w:numFmt w:val="lowerLetter"/>
      <w:start w:val="1"/>
    </w:lvl>
  </w:abstractNum>
  <w:abstractNum w:abstractNumId="113">
    <w:nsid w:val="631B64D4"/>
    <w:multiLevelType w:val="hybridMultilevel"/>
    <w:lvl w:ilvl="0">
      <w:lvlJc w:val="left"/>
      <w:lvlText w:val="(%1)"/>
      <w:numFmt w:val="lowerLetter"/>
      <w:start w:val="1"/>
    </w:lvl>
    <w:lvl w:ilvl="1">
      <w:lvlJc w:val="left"/>
      <w:lvlText w:val="(%2)"/>
      <w:numFmt w:val="lowerRoman"/>
      <w:start w:val="1"/>
    </w:lvl>
  </w:abstractNum>
  <w:abstractNum w:abstractNumId="114">
    <w:nsid w:val="78B5E776"/>
    <w:multiLevelType w:val="hybridMultilevel"/>
    <w:lvl w:ilvl="0">
      <w:lvlJc w:val="left"/>
      <w:lvlText w:val="(%1)"/>
      <w:numFmt w:val="lowerLetter"/>
      <w:start w:val="3"/>
    </w:lvl>
  </w:abstractNum>
  <w:abstractNum w:abstractNumId="115">
    <w:nsid w:val="75486E47"/>
    <w:multiLevelType w:val="hybridMultilevel"/>
    <w:lvl w:ilvl="0">
      <w:lvlJc w:val="left"/>
      <w:lvlText w:val="%1"/>
      <w:numFmt w:val="decimal"/>
      <w:start w:val="1"/>
    </w:lvl>
    <w:lvl w:ilvl="1">
      <w:lvlJc w:val="left"/>
      <w:lvlText w:val="(%2)"/>
      <w:numFmt w:val="lowerLetter"/>
      <w:start w:val="8"/>
    </w:lvl>
  </w:abstractNum>
  <w:abstractNum w:abstractNumId="116">
    <w:nsid w:val="6E534CDE"/>
    <w:multiLevelType w:val="hybridMultilevel"/>
    <w:lvl w:ilvl="0">
      <w:lvlJc w:val="left"/>
      <w:lvlText w:val="%1."/>
      <w:numFmt w:val="decimal"/>
      <w:start w:val="16"/>
    </w:lvl>
    <w:lvl w:ilvl="1">
      <w:lvlJc w:val="left"/>
      <w:lvlText w:val="%2"/>
      <w:numFmt w:val="lowerLetter"/>
      <w:start w:val="1"/>
    </w:lvl>
  </w:abstractNum>
  <w:abstractNum w:abstractNumId="117">
    <w:nsid w:val="1A0DDE32"/>
    <w:multiLevelType w:val="hybridMultilevel"/>
    <w:lvl w:ilvl="0">
      <w:lvlJc w:val="left"/>
      <w:lvlText w:val="%1."/>
      <w:numFmt w:val="decimal"/>
      <w:start w:val="19"/>
    </w:lvl>
  </w:abstractNum>
  <w:abstractNum w:abstractNumId="118">
    <w:nsid w:val="65968C1C"/>
    <w:multiLevelType w:val="hybridMultilevel"/>
    <w:lvl w:ilvl="0">
      <w:lvlJc w:val="left"/>
      <w:lvlText w:val="%1."/>
      <w:numFmt w:val="decimal"/>
      <w:start w:val="25"/>
    </w:lvl>
  </w:abstractNum>
  <w:abstractNum w:abstractNumId="119">
    <w:nsid w:val="46263DEC"/>
    <w:multiLevelType w:val="hybridMultilevel"/>
    <w:lvl w:ilvl="0">
      <w:lvlJc w:val="left"/>
      <w:lvlText w:val="%1."/>
      <w:numFmt w:val="decimal"/>
      <w:start w:val="1"/>
    </w:lvl>
  </w:abstractNum>
  <w:abstractNum w:abstractNumId="120">
    <w:nsid w:val="260D8C4A"/>
    <w:multiLevelType w:val="hybridMultilevel"/>
    <w:lvl w:ilvl="0">
      <w:lvlJc w:val="left"/>
      <w:lvlText w:val="%1."/>
      <w:numFmt w:val="decimal"/>
      <w:start w:val="3"/>
    </w:lvl>
  </w:abstractNum>
  <w:abstractNum w:abstractNumId="121">
    <w:nsid w:val="73D4D3C4"/>
    <w:multiLevelType w:val="hybridMultilevel"/>
    <w:lvl w:ilvl="0">
      <w:lvlJc w:val="left"/>
      <w:lvlText w:val="%1."/>
      <w:numFmt w:val="decimal"/>
      <w:start w:val="7"/>
    </w:lvl>
  </w:abstractNum>
  <w:abstractNum w:abstractNumId="122">
    <w:nsid w:val="746F2E30"/>
    <w:multiLevelType w:val="hybridMultilevel"/>
    <w:lvl w:ilvl="0">
      <w:lvlJc w:val="left"/>
      <w:lvlText w:val="%1"/>
      <w:numFmt w:val="decimal"/>
      <w:start w:val="1"/>
    </w:lvl>
    <w:lvl w:ilvl="1">
      <w:lvlJc w:val="left"/>
      <w:lvlText w:val="%2."/>
      <w:numFmt w:val="decimal"/>
      <w:start w:val="11"/>
    </w:lvl>
  </w:abstractNum>
  <w:abstractNum w:abstractNumId="123">
    <w:nsid w:val="6FDE8AF6"/>
    <w:multiLevelType w:val="hybridMultilevel"/>
    <w:lvl w:ilvl="0">
      <w:lvlJc w:val="left"/>
      <w:lvlText w:val="%1."/>
      <w:numFmt w:val="decimal"/>
      <w:start w:val="12"/>
    </w:lvl>
    <w:lvl w:ilvl="1">
      <w:lvlJc w:val="left"/>
      <w:lvlText w:val="%2"/>
      <w:numFmt w:val="decimal"/>
      <w:start w:val="1"/>
    </w:lvl>
  </w:abstractNum>
  <w:abstractNum w:abstractNumId="124">
    <w:nsid w:val="3FC32E20"/>
    <w:multiLevelType w:val="hybridMultilevel"/>
    <w:lvl w:ilvl="0">
      <w:lvlJc w:val="left"/>
      <w:lvlText w:val="%1."/>
      <w:numFmt w:val="decimal"/>
      <w:start w:val="13"/>
    </w:lvl>
  </w:abstractNum>
  <w:abstractNum w:abstractNumId="125">
    <w:nsid w:val="49C0E823"/>
    <w:multiLevelType w:val="hybridMultilevel"/>
    <w:lvl w:ilvl="0">
      <w:lvlJc w:val="left"/>
      <w:lvlText w:val="%1."/>
      <w:numFmt w:val="decimal"/>
      <w:start w:val="16"/>
    </w:lvl>
  </w:abstractNum>
  <w:abstractNum w:abstractNumId="126">
    <w:nsid w:val="14D53685"/>
    <w:multiLevelType w:val="hybridMultilevel"/>
    <w:lvl w:ilvl="0">
      <w:lvlJc w:val="left"/>
      <w:lvlText w:val="%1."/>
      <w:numFmt w:val="upperLetter"/>
      <w:start w:val="3"/>
    </w:lvl>
  </w:abstractNum>
  <w:abstractNum w:abstractNumId="127">
    <w:nsid w:val="230F856C"/>
    <w:multiLevelType w:val="hybridMultilevel"/>
    <w:lvl w:ilvl="0">
      <w:lvlJc w:val="left"/>
      <w:lvlText w:val="%1."/>
      <w:numFmt w:val="decimal"/>
      <w:start w:val="1"/>
    </w:lvl>
  </w:abstractNum>
  <w:abstractNum w:abstractNumId="128">
    <w:nsid w:val="6EAA85FB"/>
    <w:multiLevelType w:val="hybridMultilevel"/>
    <w:lvl w:ilvl="0">
      <w:lvlJc w:val="left"/>
      <w:lvlText w:val="%1."/>
      <w:numFmt w:val="decimal"/>
      <w:start w:val="2"/>
    </w:lvl>
  </w:abstractNum>
  <w:abstractNum w:abstractNumId="129">
    <w:nsid w:val="3F06ECB2"/>
    <w:multiLevelType w:val="hybridMultilevel"/>
    <w:lvl w:ilvl="0">
      <w:lvlJc w:val="left"/>
      <w:lvlText w:val="%1."/>
      <w:numFmt w:val="decimal"/>
      <w:start w:val="3"/>
    </w:lvl>
  </w:abstractNum>
  <w:abstractNum w:abstractNumId="130">
    <w:nsid w:val="3B594807"/>
    <w:multiLevelType w:val="hybridMultilevel"/>
    <w:lvl w:ilvl="0">
      <w:lvlJc w:val="left"/>
      <w:lvlText w:val="%1"/>
      <w:numFmt w:val="decimal"/>
      <w:start w:val="1"/>
    </w:lvl>
    <w:lvl w:ilvl="1">
      <w:lvlJc w:val="left"/>
      <w:lvlText w:val="%2."/>
      <w:numFmt w:val="lowerLetter"/>
      <w:start w:val="1"/>
    </w:lvl>
  </w:abstractNum>
  <w:abstractNum w:abstractNumId="131">
    <w:nsid w:val="6CAA2304"/>
    <w:multiLevelType w:val="hybridMultilevel"/>
    <w:lvl w:ilvl="0">
      <w:lvlJc w:val="left"/>
      <w:lvlText w:val="%1."/>
      <w:numFmt w:val="decimal"/>
      <w:start w:val="4"/>
    </w:lvl>
    <w:lvl w:ilvl="1">
      <w:lvlJc w:val="left"/>
      <w:lvlText w:val="%2."/>
      <w:numFmt w:val="lowerLetter"/>
      <w:start w:val="1"/>
    </w:lvl>
  </w:abstractNum>
  <w:abstractNum w:abstractNumId="132">
    <w:nsid w:val="3F7C2FF4"/>
    <w:multiLevelType w:val="hybridMultilevel"/>
    <w:lvl w:ilvl="0">
      <w:lvlJc w:val="left"/>
      <w:lvlText w:val="%1"/>
      <w:numFmt w:val="decimal"/>
      <w:start w:val="1"/>
    </w:lvl>
    <w:lvl w:ilvl="1">
      <w:lvlJc w:val="left"/>
      <w:lvlText w:val="%2."/>
      <w:numFmt w:val="lowerLetter"/>
      <w:start w:val="2"/>
    </w:lvl>
  </w:abstractNum>
  <w:abstractNum w:abstractNumId="133">
    <w:nsid w:val="25413BEC"/>
    <w:multiLevelType w:val="hybridMultilevel"/>
    <w:lvl w:ilvl="0">
      <w:lvlJc w:val="left"/>
      <w:lvlText w:val="%1."/>
      <w:numFmt w:val="decimal"/>
      <w:start w:val="5"/>
    </w:lvl>
    <w:lvl w:ilvl="1">
      <w:lvlJc w:val="left"/>
      <w:lvlText w:val="%2."/>
      <w:numFmt w:val="lowerLetter"/>
      <w:start w:val="1"/>
    </w:lvl>
  </w:abstractNum>
  <w:abstractNum w:abstractNumId="134">
    <w:nsid w:val="17180B0B"/>
    <w:multiLevelType w:val="hybridMultilevel"/>
    <w:lvl w:ilvl="0">
      <w:lvlJc w:val="left"/>
      <w:lvlText w:val="%1."/>
      <w:numFmt w:val="decimal"/>
      <w:start w:val="6"/>
    </w:lvl>
  </w:abstractNum>
  <w:abstractNum w:abstractNumId="135">
    <w:nsid w:val="579328B9"/>
    <w:multiLevelType w:val="hybridMultilevel"/>
    <w:lvl w:ilvl="0">
      <w:lvlJc w:val="left"/>
      <w:lvlText w:val="%1."/>
      <w:numFmt w:val="decimal"/>
      <w:start w:val="7"/>
    </w:lvl>
  </w:abstractNum>
  <w:abstractNum w:abstractNumId="136">
    <w:nsid w:val="5D205E20"/>
    <w:multiLevelType w:val="hybridMultilevel"/>
    <w:lvl w:ilvl="0">
      <w:lvlJc w:val="left"/>
      <w:lvlText w:val="%1."/>
      <w:numFmt w:val="decimal"/>
      <w:start w:val="10"/>
    </w:lvl>
  </w:abstractNum>
  <w:abstractNum w:abstractNumId="137">
    <w:nsid w:val="11CCA8BA"/>
    <w:multiLevelType w:val="hybridMultilevel"/>
    <w:lvl w:ilvl="0">
      <w:lvlJc w:val="left"/>
      <w:lvlText w:val="%1."/>
      <w:numFmt w:val="decimal"/>
      <w:start w:val="1"/>
    </w:lvl>
  </w:abstractNum>
  <w:abstractNum w:abstractNumId="138">
    <w:nsid w:val="4D32AB86"/>
    <w:multiLevelType w:val="hybridMultilevel"/>
    <w:lvl w:ilvl="0">
      <w:lvlJc w:val="left"/>
      <w:lvlText w:val="%1."/>
      <w:numFmt w:val="decimal"/>
      <w:start w:val="2"/>
    </w:lvl>
  </w:abstractNum>
  <w:abstractNum w:abstractNumId="139">
    <w:nsid w:val="3F07ACC3"/>
    <w:multiLevelType w:val="hybridMultilevel"/>
    <w:lvl w:ilvl="0">
      <w:lvlJc w:val="left"/>
      <w:lvlText w:val="%1."/>
      <w:numFmt w:val="decimal"/>
      <w:start w:val="3"/>
    </w:lvl>
  </w:abstractNum>
  <w:abstractNum w:abstractNumId="140">
    <w:nsid w:val="6B47F63E"/>
    <w:multiLevelType w:val="hybridMultilevel"/>
    <w:lvl w:ilvl="0">
      <w:lvlJc w:val="left"/>
      <w:lvlText w:val="%1."/>
      <w:numFmt w:val="decimal"/>
      <w:start w:val="4"/>
    </w:lvl>
  </w:abstractNum>
  <w:abstractNum w:abstractNumId="141">
    <w:nsid w:val="5CB44A05"/>
    <w:multiLevelType w:val="hybridMultilevel"/>
    <w:lvl w:ilvl="0">
      <w:lvlJc w:val="left"/>
      <w:lvlText w:val="%1."/>
      <w:numFmt w:val="decimal"/>
      <w:start w:val="5"/>
    </w:lvl>
  </w:abstractNum>
  <w:abstractNum w:abstractNumId="142">
    <w:nsid w:val="16CF80F1"/>
    <w:multiLevelType w:val="hybridMultilevel"/>
    <w:lvl w:ilvl="0">
      <w:lvlJc w:val="left"/>
      <w:lvlText w:val="%1."/>
      <w:numFmt w:val="decimal"/>
      <w:start w:val="6"/>
    </w:lvl>
  </w:abstractNum>
  <w:abstractNum w:abstractNumId="143">
    <w:nsid w:val="1C695DEC"/>
    <w:multiLevelType w:val="hybridMultilevel"/>
    <w:lvl w:ilvl="0">
      <w:lvlJc w:val="left"/>
      <w:lvlText w:val="%1."/>
      <w:numFmt w:val="decimal"/>
      <w:start w:val="7"/>
    </w:lvl>
  </w:abstractNum>
  <w:abstractNum w:abstractNumId="144">
    <w:nsid w:val="3FCFAED9"/>
    <w:multiLevelType w:val="hybridMultilevel"/>
    <w:lvl w:ilvl="0">
      <w:lvlJc w:val="left"/>
      <w:lvlText w:val="(%1)"/>
      <w:numFmt w:val="lowerLetter"/>
      <w:start w:val="1"/>
    </w:lvl>
  </w:abstractNum>
  <w:abstractNum w:abstractNumId="145">
    <w:nsid w:val="F856867"/>
    <w:multiLevelType w:val="hybridMultilevel"/>
    <w:lvl w:ilvl="0">
      <w:lvlJc w:val="left"/>
      <w:lvlText w:val="%1."/>
      <w:numFmt w:val="decimal"/>
      <w:start w:val="8"/>
    </w:lvl>
  </w:abstractNum>
  <w:abstractNum w:abstractNumId="146">
    <w:nsid w:val="11B1CC33"/>
    <w:multiLevelType w:val="hybridMultilevel"/>
    <w:lvl w:ilvl="0">
      <w:lvlJc w:val="left"/>
      <w:lvlText w:val="%1."/>
      <w:numFmt w:val="decimal"/>
      <w:start w:val="9"/>
    </w:lvl>
  </w:abstractNum>
  <w:abstractNum w:abstractNumId="147">
    <w:nsid w:val="2E22FBB7"/>
    <w:multiLevelType w:val="hybridMultilevel"/>
    <w:lvl w:ilvl="0">
      <w:lvlJc w:val="left"/>
      <w:lvlText w:val="%1."/>
      <w:numFmt w:val="decimal"/>
      <w:start w:val="10"/>
    </w:lvl>
  </w:abstractNum>
  <w:abstractNum w:abstractNumId="148">
    <w:nsid w:val="29934699"/>
    <w:multiLevelType w:val="hybridMultilevel"/>
    <w:lvl w:ilvl="0">
      <w:lvlJc w:val="left"/>
      <w:lvlText w:val="%1."/>
      <w:numFmt w:val="decimal"/>
      <w:start w:val="11"/>
    </w:lvl>
  </w:abstractNum>
  <w:abstractNum w:abstractNumId="149">
    <w:nsid w:val="77485850"/>
    <w:multiLevelType w:val="hybridMultilevel"/>
    <w:lvl w:ilvl="0">
      <w:lvlJc w:val="left"/>
      <w:lvlText w:val="%1."/>
      <w:numFmt w:val="decimal"/>
      <w:start w:val="12"/>
    </w:lvl>
  </w:abstractNum>
  <w:abstractNum w:abstractNumId="150">
    <w:nsid w:val="744939A3"/>
    <w:multiLevelType w:val="hybridMultilevel"/>
    <w:lvl w:ilvl="0">
      <w:lvlJc w:val="left"/>
      <w:lvlText w:val="%1."/>
      <w:numFmt w:val="decimal"/>
      <w:start w:val="1"/>
    </w:lvl>
  </w:abstractNum>
  <w:abstractNum w:abstractNumId="151">
    <w:nsid w:val="4FA0D2E3"/>
    <w:multiLevelType w:val="hybridMultilevel"/>
    <w:lvl w:ilvl="0">
      <w:lvlJc w:val="left"/>
      <w:lvlText w:val="(%1)"/>
      <w:numFmt w:val="lowerLetter"/>
      <w:start w:val="1"/>
    </w:lvl>
  </w:abstractNum>
  <w:abstractNum w:abstractNumId="152">
    <w:nsid w:val="6B1D2C14"/>
    <w:multiLevelType w:val="hybridMultilevel"/>
    <w:lvl w:ilvl="0">
      <w:lvlJc w:val="left"/>
      <w:lvlText w:val="%1"/>
      <w:numFmt w:val="decimal"/>
      <w:start w:val="1"/>
    </w:lvl>
    <w:lvl w:ilvl="1">
      <w:lvlJc w:val="left"/>
      <w:lvlText w:val="(%2)"/>
      <w:numFmt w:val="lowerLetter"/>
      <w:start w:val="4"/>
    </w:lvl>
  </w:abstractNum>
  <w:abstractNum w:abstractNumId="153">
    <w:nsid w:val="68B867D3"/>
    <w:multiLevelType w:val="hybridMultilevel"/>
    <w:lvl w:ilvl="0">
      <w:lvlJc w:val="left"/>
      <w:lvlText w:val="%1."/>
      <w:numFmt w:val="decimal"/>
      <w:start w:val="2"/>
    </w:lvl>
    <w:lvl w:ilvl="1">
      <w:lvlJc w:val="left"/>
      <w:lvlText w:val="(%2)"/>
      <w:numFmt w:val="lowerLetter"/>
      <w:start w:val="1"/>
    </w:lvl>
  </w:abstractNum>
  <w:abstractNum w:abstractNumId="154">
    <w:nsid w:val="3F7F5DD9"/>
    <w:multiLevelType w:val="hybridMultilevel"/>
    <w:lvl w:ilvl="0">
      <w:lvlJc w:val="left"/>
      <w:lvlText w:val="%1"/>
      <w:numFmt w:val="decimal"/>
      <w:start w:val="1"/>
    </w:lvl>
    <w:lvl w:ilvl="1">
      <w:lvlJc w:val="left"/>
      <w:lvlText w:val="(%2)"/>
      <w:numFmt w:val="lowerLetter"/>
      <w:start w:val="3"/>
    </w:lvl>
  </w:abstractNum>
  <w:abstractNum w:abstractNumId="155">
    <w:nsid w:val="2AE05A34"/>
    <w:multiLevelType w:val="hybridMultilevel"/>
    <w:lvl w:ilvl="0">
      <w:lvlJc w:val="left"/>
      <w:lvlText w:val="%1."/>
      <w:numFmt w:val="decimal"/>
      <w:start w:val="3"/>
    </w:lvl>
    <w:lvl w:ilvl="1">
      <w:lvlJc w:val="left"/>
      <w:lvlText w:val="%2"/>
      <w:numFmt w:val="lowerLetter"/>
      <w:start w:val="1"/>
    </w:lvl>
  </w:abstractNum>
  <w:abstractNum w:abstractNumId="156">
    <w:nsid w:val="32794FF7"/>
    <w:multiLevelType w:val="hybridMultilevel"/>
    <w:lvl w:ilvl="0">
      <w:lvlJc w:val="left"/>
      <w:lvlText w:val="(%1)"/>
      <w:numFmt w:val="lowerLetter"/>
      <w:start w:val="1"/>
    </w:lvl>
  </w:abstractNum>
  <w:abstractNum w:abstractNumId="157">
    <w:nsid w:val="5454945E"/>
    <w:multiLevelType w:val="hybridMultilevel"/>
    <w:lvl w:ilvl="0">
      <w:lvlJc w:val="left"/>
      <w:lvlText w:val="(%1)"/>
      <w:numFmt w:val="lowerLetter"/>
      <w:start w:val="3"/>
    </w:lvl>
  </w:abstractNum>
  <w:abstractNum w:abstractNumId="158">
    <w:nsid w:val="4DEFDFA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9">
    <w:nsid w:val="2123D5F2"/>
    <w:multiLevelType w:val="hybridMultilevel"/>
    <w:lvl w:ilvl="0">
      <w:lvlJc w:val="left"/>
      <w:lvlText w:val="(%1)"/>
      <w:numFmt w:val="lowerLetter"/>
      <w:start w:val="3"/>
    </w:lvl>
    <w:lvl w:ilvl="1">
      <w:lvlJc w:val="left"/>
      <w:lvlText w:val="(%2)"/>
      <w:numFmt w:val="lowerLetter"/>
      <w:start w:val="9"/>
    </w:lvl>
  </w:abstractNum>
  <w:abstractNum w:abstractNumId="160">
    <w:nsid w:val="135B811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61">
    <w:nsid w:val="94927A8"/>
    <w:multiLevelType w:val="hybridMultilevel"/>
    <w:lvl w:ilvl="0">
      <w:lvlJc w:val="left"/>
      <w:lvlText w:val="(%1)"/>
      <w:numFmt w:val="lowerRoman"/>
      <w:start w:val="2"/>
    </w:lvl>
  </w:abstractNum>
  <w:abstractNum w:abstractNumId="162">
    <w:nsid w:val="DCDF8F6"/>
    <w:multiLevelType w:val="hybridMultilevel"/>
    <w:lvl w:ilvl="0">
      <w:lvlJc w:val="left"/>
      <w:lvlText w:val="(%1)"/>
      <w:numFmt w:val="lowerLetter"/>
      <w:start w:val="2"/>
    </w:lvl>
  </w:abstractNum>
  <w:abstractNum w:abstractNumId="163">
    <w:nsid w:val="52D7B105"/>
    <w:multiLevelType w:val="hybridMultilevel"/>
    <w:lvl w:ilvl="0">
      <w:lvlJc w:val="left"/>
      <w:lvlText w:val="(%1)"/>
      <w:numFmt w:val="lowerRoman"/>
      <w:start w:val="1"/>
    </w:lvl>
  </w:abstractNum>
  <w:abstractNum w:abstractNumId="164">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5">
    <w:nsid w:val="24E604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6">
    <w:nsid w:val="2A6AD9BE"/>
    <w:multiLevelType w:val="hybridMultilevel"/>
    <w:lvl w:ilvl="0">
      <w:lvlJc w:val="left"/>
      <w:lvlText w:val="%1."/>
      <w:numFmt w:val="decimal"/>
      <w:start w:val="7"/>
    </w:lvl>
  </w:abstractNum>
  <w:abstractNum w:abstractNumId="167">
    <w:nsid w:val="BAAC1B4"/>
    <w:multiLevelType w:val="hybridMultilevel"/>
    <w:lvl w:ilvl="0">
      <w:lvlJc w:val="left"/>
      <w:lvlText w:val="%1."/>
      <w:numFmt w:val="decimal"/>
      <w:start w:val="8"/>
    </w:lvl>
  </w:abstractNum>
  <w:abstractNum w:abstractNumId="168">
    <w:nsid w:val="36B2ACBC"/>
    <w:multiLevelType w:val="hybridMultilevel"/>
    <w:lvl w:ilvl="0">
      <w:lvlJc w:val="left"/>
      <w:lvlText w:val="%1."/>
      <w:numFmt w:val="decimal"/>
      <w:start w:val="9"/>
    </w:lvl>
  </w:abstractNum>
  <w:abstractNum w:abstractNumId="169">
    <w:nsid w:val="779D8544"/>
    <w:multiLevelType w:val="hybridMultilevel"/>
    <w:lvl w:ilvl="0">
      <w:lvlJc w:val="left"/>
      <w:lvlText w:val="%1."/>
      <w:numFmt w:val="decimal"/>
      <w:start w:val="10"/>
    </w:lvl>
  </w:abstractNum>
  <w:abstractNum w:abstractNumId="170">
    <w:nsid w:val="4AB26E78"/>
    <w:multiLevelType w:val="hybridMultilevel"/>
    <w:lvl w:ilvl="0">
      <w:lvlJc w:val="left"/>
      <w:lvlText w:val="(%1)"/>
      <w:numFmt w:val="lowerRoman"/>
      <w:start w:val="1"/>
    </w:lvl>
  </w:abstractNum>
  <w:abstractNum w:abstractNumId="171">
    <w:nsid w:val="21FAA2FA"/>
    <w:multiLevelType w:val="hybridMultilevel"/>
    <w:lvl w:ilvl="0">
      <w:lvlJc w:val="left"/>
      <w:lvlText w:val="(%1)"/>
      <w:numFmt w:val="lowerRoman"/>
      <w:start w:val="2"/>
    </w:lvl>
  </w:abstractNum>
  <w:abstractNum w:abstractNumId="172">
    <w:nsid w:val="5451CF49"/>
    <w:multiLevelType w:val="hybridMultilevel"/>
    <w:lvl w:ilvl="0">
      <w:lvlJc w:val="left"/>
      <w:lvlText w:val="%1."/>
      <w:numFmt w:val="decimal"/>
      <w:start w:val="11"/>
    </w:lvl>
  </w:abstractNum>
  <w:abstractNum w:abstractNumId="173">
    <w:nsid w:val="6181EF69"/>
    <w:multiLevelType w:val="hybridMultilevel"/>
    <w:lvl w:ilvl="0">
      <w:lvlJc w:val="left"/>
      <w:lvlText w:val="%1."/>
      <w:numFmt w:val="decimal"/>
      <w:start w:val="12"/>
    </w:lvl>
    <w:lvl w:ilvl="1">
      <w:lvlJc w:val="left"/>
      <w:lvlText w:val="(%2)"/>
      <w:numFmt w:val="lowerLetter"/>
      <w:start w:val="1"/>
    </w:lvl>
  </w:abstractNum>
  <w:abstractNum w:abstractNumId="174">
    <w:nsid w:val="3E6400E6"/>
    <w:multiLevelType w:val="hybridMultilevel"/>
    <w:lvl w:ilvl="0">
      <w:lvlJc w:val="left"/>
      <w:lvlText w:val="%1."/>
      <w:numFmt w:val="decimal"/>
      <w:start w:val="14"/>
    </w:lvl>
  </w:abstractNum>
  <w:abstractNum w:abstractNumId="175">
    <w:nsid w:val="14217E23"/>
    <w:multiLevelType w:val="hybridMultilevel"/>
    <w:lvl w:ilvl="0">
      <w:lvlJc w:val="left"/>
      <w:lvlText w:val="%1."/>
      <w:numFmt w:val="decimal"/>
      <w:start w:val="15"/>
    </w:lvl>
  </w:abstractNum>
  <w:abstractNum w:abstractNumId="176">
    <w:nsid w:val="710757D0"/>
    <w:multiLevelType w:val="hybridMultilevel"/>
    <w:lvl w:ilvl="0">
      <w:lvlJc w:val="left"/>
      <w:lvlText w:val="%1."/>
      <w:numFmt w:val="decimal"/>
      <w:start w:val="16"/>
    </w:lvl>
  </w:abstractNum>
  <w:abstractNum w:abstractNumId="177">
    <w:nsid w:val="5015CD1A"/>
    <w:multiLevelType w:val="hybridMultilevel"/>
    <w:lvl w:ilvl="0">
      <w:lvlJc w:val="left"/>
      <w:lvlText w:val="%1."/>
      <w:numFmt w:val="decimal"/>
      <w:start w:val="17"/>
    </w:lvl>
  </w:abstractNum>
  <w:abstractNum w:abstractNumId="178">
    <w:nsid w:val="424479DA"/>
    <w:multiLevelType w:val="hybridMultilevel"/>
    <w:lvl w:ilvl="0">
      <w:lvlJc w:val="left"/>
      <w:lvlText w:val="%1."/>
      <w:numFmt w:val="decimal"/>
      <w:start w:val="18"/>
    </w:lvl>
  </w:abstractNum>
  <w:abstractNum w:abstractNumId="179">
    <w:nsid w:val="1A9A9E69"/>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2019-12-12T09:20:15Z</dcterms:created>
  <dcterms:modified xsi:type="dcterms:W3CDTF">2019-12-12T09:20:15Z</dcterms:modified>
</cp:coreProperties>
</file>