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37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Form 10-Q</w:t>
      </w:r>
    </w:p>
    <w:p>
      <w:pPr>
        <w:spacing w:after="0" w:line="34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342" w:lineRule="exact"/>
        <w:rPr>
          <w:sz w:val="24"/>
          <w:szCs w:val="24"/>
          <w:color w:val="auto"/>
        </w:rPr>
      </w:pPr>
    </w:p>
    <w:p>
      <w:pPr>
        <w:ind w:left="1580"/>
        <w:spacing w:after="0"/>
        <w:tabs>
          <w:tab w:leader="none" w:pos="3640" w:val="left"/>
        </w:tabs>
        <w:rPr>
          <w:sz w:val="20"/>
          <w:szCs w:val="20"/>
          <w:color w:val="auto"/>
        </w:rPr>
      </w:pPr>
      <w:r>
        <w:rPr>
          <w:rFonts w:ascii="Courier New" w:cs="Courier New" w:eastAsia="Courier New" w:hAnsi="Courier New"/>
          <w:sz w:val="14"/>
          <w:szCs w:val="14"/>
          <w:color w:val="auto"/>
        </w:rPr>
        <w:t>For the Quarter Ended:</w:t>
        <w:tab/>
        <w:t>September 30, 2000</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Commission File No. 17533</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42" w:lineRule="exact"/>
        <w:rPr>
          <w:sz w:val="24"/>
          <w:szCs w:val="24"/>
          <w:color w:val="auto"/>
        </w:rPr>
      </w:pPr>
    </w:p>
    <w:p>
      <w:pPr>
        <w:ind w:left="100" w:right="3899" w:firstLine="868"/>
        <w:spacing w:after="0" w:line="256" w:lineRule="auto"/>
        <w:rPr>
          <w:sz w:val="20"/>
          <w:szCs w:val="20"/>
          <w:color w:val="auto"/>
        </w:rPr>
      </w:pPr>
      <w:r>
        <w:rPr>
          <w:rFonts w:ascii="Courier New" w:cs="Courier New" w:eastAsia="Courier New" w:hAnsi="Courier New"/>
          <w:sz w:val="14"/>
          <w:szCs w:val="14"/>
          <w:color w:val="auto"/>
        </w:rPr>
        <w:t>Maryland 52-0782497 ---------------------------------------------------------------------- (State or other jurisdiction of (I.R.S. Employer incorporation or organization) Identification No.)</w:t>
      </w:r>
    </w:p>
    <w:p>
      <w:pPr>
        <w:spacing w:after="0" w:line="327" w:lineRule="exact"/>
        <w:rPr>
          <w:sz w:val="24"/>
          <w:szCs w:val="24"/>
          <w:color w:val="auto"/>
        </w:rPr>
      </w:pPr>
    </w:p>
    <w:p>
      <w:pPr>
        <w:spacing w:after="0"/>
        <w:tabs>
          <w:tab w:leader="none" w:pos="5020" w:val="left"/>
        </w:tabs>
        <w:rPr>
          <w:sz w:val="20"/>
          <w:szCs w:val="20"/>
          <w:color w:val="auto"/>
        </w:rPr>
      </w:pPr>
      <w:r>
        <w:rPr>
          <w:rFonts w:ascii="Courier New" w:cs="Courier New" w:eastAsia="Courier New" w:hAnsi="Courier New"/>
          <w:sz w:val="14"/>
          <w:szCs w:val="14"/>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180"/>
        <w:spacing w:after="0"/>
        <w:tabs>
          <w:tab w:leader="none" w:pos="50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4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(301) 998-8100</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5" w:lineRule="exact"/>
        <w:rPr>
          <w:sz w:val="24"/>
          <w:szCs w:val="24"/>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2" w:lineRule="exact"/>
        <w:rPr>
          <w:sz w:val="24"/>
          <w:szCs w:val="24"/>
          <w:color w:val="auto"/>
        </w:rPr>
      </w:pPr>
    </w:p>
    <w:p>
      <w:pPr>
        <w:ind w:left="180"/>
        <w:spacing w:after="0"/>
        <w:tabs>
          <w:tab w:leader="none" w:pos="680" w:val="left"/>
          <w:tab w:leader="none" w:pos="940" w:val="left"/>
          <w:tab w:leader="none" w:pos="1380" w:val="left"/>
        </w:tabs>
        <w:rPr>
          <w:sz w:val="20"/>
          <w:szCs w:val="20"/>
          <w:color w:val="auto"/>
        </w:rPr>
      </w:pPr>
      <w:r>
        <w:rPr>
          <w:rFonts w:ascii="Courier New" w:cs="Courier New" w:eastAsia="Courier New" w:hAnsi="Courier New"/>
          <w:sz w:val="14"/>
          <w:szCs w:val="14"/>
          <w:color w:val="auto"/>
        </w:rPr>
        <w:t>Yes</w:t>
        <w:tab/>
        <w:t>X</w:t>
        <w:tab/>
        <w:t>.</w:t>
      </w:r>
      <w:r>
        <w:rPr>
          <w:sz w:val="20"/>
          <w:szCs w:val="20"/>
          <w:color w:val="auto"/>
        </w:rPr>
        <w:tab/>
      </w:r>
      <w:r>
        <w:rPr>
          <w:rFonts w:ascii="Courier New" w:cs="Courier New" w:eastAsia="Courier New" w:hAnsi="Courier New"/>
          <w:sz w:val="14"/>
          <w:szCs w:val="14"/>
          <w:color w:val="auto"/>
        </w:rPr>
        <w:t>No_____.</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w:t>
      </w:r>
    </w:p>
    <w:p>
      <w:pPr>
        <w:sectPr>
          <w:pgSz w:w="11900" w:h="16838" w:orient="portrait"/>
          <w:cols w:equalWidth="0" w:num="1">
            <w:col w:w="10239"/>
          </w:cols>
          <w:pgMar w:left="220" w:top="564" w:right="1440" w:bottom="1440" w:gutter="0" w:footer="0" w:header="0"/>
        </w:sectPr>
      </w:pPr>
    </w:p>
    <w:p>
      <w:pPr>
        <w:spacing w:after="0" w:line="327"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Class</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4"/>
          <w:szCs w:val="14"/>
          <w:color w:val="auto"/>
        </w:rPr>
        <w:t>Outstanding at November 3, 2000</w:t>
      </w:r>
    </w:p>
    <w:p>
      <w:pPr>
        <w:spacing w:after="0" w:line="8"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39,475,138</w:t>
      </w:r>
    </w:p>
    <w:p>
      <w:pPr>
        <w:spacing w:after="0" w:line="175" w:lineRule="exact"/>
        <w:rPr>
          <w:sz w:val="24"/>
          <w:szCs w:val="24"/>
          <w:color w:val="auto"/>
        </w:rPr>
      </w:pPr>
    </w:p>
    <w:p>
      <w:pPr>
        <w:sectPr>
          <w:pgSz w:w="11900" w:h="16838" w:orient="portrait"/>
          <w:cols w:equalWidth="0" w:num="2">
            <w:col w:w="3300" w:space="440"/>
            <w:col w:w="6499"/>
          </w:cols>
          <w:pgMar w:left="220" w:top="56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This report contains 29 pages.</w:t>
      </w:r>
    </w:p>
    <w:p>
      <w:pPr>
        <w:sectPr>
          <w:pgSz w:w="11900" w:h="16838" w:orient="portrait"/>
          <w:cols w:equalWidth="0" w:num="1">
            <w:col w:w="10239"/>
          </w:cols>
          <w:pgMar w:left="220" w:top="564" w:right="1440" w:bottom="1440" w:gutter="0" w:footer="0" w:header="0"/>
          <w:type w:val="continuous"/>
        </w:sectPr>
      </w:pPr>
    </w:p>
    <w:bookmarkStart w:id="1" w:name="page2"/>
    <w:bookmarkEnd w:id="1"/>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 FORM 10-Q</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September 30, 2000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I N D E X</w:t>
            </w:r>
          </w:p>
        </w:tc>
        <w:tc>
          <w:tcPr>
            <w:tcW w:w="820" w:type="dxa"/>
            <w:vAlign w:val="bottom"/>
          </w:tcPr>
          <w:p>
            <w:pPr>
              <w:spacing w:after="0"/>
              <w:rPr>
                <w:sz w:val="14"/>
                <w:szCs w:val="14"/>
                <w:color w:val="auto"/>
              </w:rPr>
            </w:pPr>
          </w:p>
        </w:tc>
      </w:tr>
      <w:tr>
        <w:trPr>
          <w:trHeight w:val="501"/>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FINANCIAL INFORMATION</w:t>
            </w:r>
          </w:p>
        </w:tc>
        <w:tc>
          <w:tcPr>
            <w:tcW w:w="19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PAGE NO.</w:t>
            </w:r>
          </w:p>
        </w:tc>
      </w:tr>
      <w:tr>
        <w:trPr>
          <w:trHeight w:val="501"/>
        </w:trPr>
        <w:tc>
          <w:tcPr>
            <w:tcW w:w="80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Consolidated</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Balance Sheets</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43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September 30, 2000 (unaudited) and</w:t>
            </w:r>
          </w:p>
        </w:tc>
        <w:tc>
          <w:tcPr>
            <w:tcW w:w="8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December 31,</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1999 (audited)</w:t>
            </w:r>
          </w:p>
        </w:tc>
        <w:tc>
          <w:tcPr>
            <w:tcW w:w="192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r>
      <w:tr>
        <w:trPr>
          <w:trHeight w:val="334"/>
        </w:trPr>
        <w:tc>
          <w:tcPr>
            <w:tcW w:w="80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Consolidated</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of Operations (unaudited)</w:t>
            </w:r>
          </w:p>
        </w:tc>
        <w:tc>
          <w:tcPr>
            <w:tcW w:w="8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Nine months ended September</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30, 2000 and 1999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r>
      <w:tr>
        <w:trPr>
          <w:trHeight w:val="334"/>
        </w:trPr>
        <w:tc>
          <w:tcPr>
            <w:tcW w:w="80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Consolidated</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of Operations (unaudited)</w:t>
            </w:r>
          </w:p>
        </w:tc>
        <w:tc>
          <w:tcPr>
            <w:tcW w:w="8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Three months</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September 30, 2000 and 1999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334"/>
        </w:trPr>
        <w:tc>
          <w:tcPr>
            <w:tcW w:w="80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Consolidated</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Statements of</w:t>
            </w: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Common Shareholders' Equity</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(unaudited)</w:t>
            </w:r>
          </w:p>
        </w:tc>
        <w:tc>
          <w:tcPr>
            <w:tcW w:w="8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Nine months ended September</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30, 2000 and 1999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334"/>
        </w:trPr>
        <w:tc>
          <w:tcPr>
            <w:tcW w:w="80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Consolidated</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of Cash Flows (unaudited)</w:t>
            </w:r>
          </w:p>
        </w:tc>
        <w:tc>
          <w:tcPr>
            <w:tcW w:w="8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Nine months ended September</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30, 2000 and 1999</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r>
      <w:tr>
        <w:trPr>
          <w:trHeight w:val="334"/>
        </w:trPr>
        <w:tc>
          <w:tcPr>
            <w:tcW w:w="800" w:type="dxa"/>
            <w:vAlign w:val="bottom"/>
          </w:tcPr>
          <w:p>
            <w:pPr>
              <w:spacing w:after="0"/>
              <w:rPr>
                <w:sz w:val="24"/>
                <w:szCs w:val="24"/>
                <w:color w:val="auto"/>
              </w:rPr>
            </w:pPr>
          </w:p>
        </w:tc>
        <w:tc>
          <w:tcPr>
            <w:tcW w:w="43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w:t>
            </w:r>
          </w:p>
        </w:tc>
      </w:tr>
      <w:tr>
        <w:trPr>
          <w:trHeight w:val="334"/>
        </w:trPr>
        <w:tc>
          <w:tcPr>
            <w:tcW w:w="80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Management's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Discussion and</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Analysis of</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16-28</w:t>
            </w:r>
          </w:p>
        </w:tc>
      </w:tr>
      <w:tr>
        <w:trPr>
          <w:trHeight w:val="167"/>
        </w:trPr>
        <w:tc>
          <w:tcPr>
            <w:tcW w:w="800" w:type="dxa"/>
            <w:vAlign w:val="bottom"/>
          </w:tcPr>
          <w:p>
            <w:pPr>
              <w:spacing w:after="0"/>
              <w:rPr>
                <w:sz w:val="14"/>
                <w:szCs w:val="14"/>
                <w:color w:val="auto"/>
              </w:rPr>
            </w:pPr>
          </w:p>
        </w:tc>
        <w:tc>
          <w:tcPr>
            <w:tcW w:w="43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Financial Condition and Results of Operations</w:t>
            </w:r>
          </w:p>
        </w:tc>
        <w:tc>
          <w:tcPr>
            <w:tcW w:w="82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OTHER INFORMATION</w:t>
            </w:r>
          </w:p>
        </w:tc>
        <w:tc>
          <w:tcPr>
            <w:tcW w:w="1920" w:type="dxa"/>
            <w:vAlign w:val="bottom"/>
          </w:tcPr>
          <w:p>
            <w:pPr>
              <w:spacing w:after="0"/>
              <w:rPr>
                <w:sz w:val="24"/>
                <w:szCs w:val="2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r>
      <w:tr>
        <w:trPr>
          <w:trHeight w:val="334"/>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ind w:left="140"/>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 w:name="page3"/>
    <w:bookmarkEnd w:id="2"/>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 FORM 10-Q</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September 30, 2000</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5" w:lineRule="exact"/>
        <w:rPr>
          <w:sz w:val="20"/>
          <w:szCs w:val="20"/>
          <w:color w:val="auto"/>
        </w:rPr>
      </w:pPr>
    </w:p>
    <w:p>
      <w:pPr>
        <w:ind w:left="880" w:right="3459" w:firstLine="434"/>
        <w:spacing w:after="0" w:line="253" w:lineRule="auto"/>
        <w:rPr>
          <w:sz w:val="20"/>
          <w:szCs w:val="20"/>
          <w:color w:val="auto"/>
        </w:rPr>
      </w:pPr>
      <w:r>
        <w:rPr>
          <w:rFonts w:ascii="Courier New" w:cs="Courier New" w:eastAsia="Courier New" w:hAnsi="Courier New"/>
          <w:sz w:val="14"/>
          <w:szCs w:val="14"/>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1600" w:type="dxa"/>
            <w:vAlign w:val="bottom"/>
            <w:gridSpan w:val="2"/>
          </w:tcPr>
          <w:p>
            <w:pPr>
              <w:jc w:val="center"/>
              <w:ind w:right="248"/>
              <w:spacing w:after="0"/>
              <w:rPr>
                <w:sz w:val="20"/>
                <w:szCs w:val="20"/>
                <w:color w:val="auto"/>
              </w:rPr>
            </w:pPr>
            <w:r>
              <w:rPr>
                <w:rFonts w:ascii="Courier New" w:cs="Courier New" w:eastAsia="Courier New" w:hAnsi="Courier New"/>
                <w:sz w:val="14"/>
                <w:szCs w:val="14"/>
                <w:color w:val="auto"/>
              </w:rPr>
              <w:t>September 30,</w:t>
            </w:r>
          </w:p>
        </w:tc>
        <w:tc>
          <w:tcPr>
            <w:tcW w:w="14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center"/>
              <w:ind w:right="248"/>
              <w:spacing w:after="0"/>
              <w:rPr>
                <w:sz w:val="20"/>
                <w:szCs w:val="20"/>
                <w:color w:val="auto"/>
              </w:rPr>
            </w:pPr>
            <w:r>
              <w:rPr>
                <w:rFonts w:ascii="Courier New" w:cs="Courier New" w:eastAsia="Courier New" w:hAnsi="Courier New"/>
                <w:sz w:val="14"/>
                <w:szCs w:val="14"/>
                <w:color w:val="auto"/>
              </w:rPr>
              <w:t>(unaudited)</w:t>
            </w:r>
          </w:p>
        </w:tc>
        <w:tc>
          <w:tcPr>
            <w:tcW w:w="1420" w:type="dxa"/>
            <w:vAlign w:val="bottom"/>
          </w:tcPr>
          <w:p>
            <w:pPr>
              <w:spacing w:after="0"/>
              <w:rPr>
                <w:sz w:val="14"/>
                <w:szCs w:val="14"/>
                <w:color w:val="auto"/>
              </w:rPr>
            </w:pPr>
          </w:p>
        </w:tc>
      </w:tr>
      <w:tr>
        <w:trPr>
          <w:trHeight w:val="167"/>
        </w:trPr>
        <w:tc>
          <w:tcPr>
            <w:tcW w:w="6700" w:type="dxa"/>
            <w:vAlign w:val="bottom"/>
          </w:tcPr>
          <w:p>
            <w:pPr>
              <w:spacing w:after="0"/>
              <w:rPr>
                <w:sz w:val="14"/>
                <w:szCs w:val="14"/>
                <w:color w:val="auto"/>
              </w:rPr>
            </w:pPr>
          </w:p>
        </w:tc>
        <w:tc>
          <w:tcPr>
            <w:tcW w:w="1600" w:type="dxa"/>
            <w:vAlign w:val="bottom"/>
            <w:gridSpan w:val="2"/>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27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$ 1,804,186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$ 1,721,459</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30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(349,822)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(317,921)</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1,454,364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1,403,538</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46,089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53,495</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1,500,453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1,457,033</w:t>
            </w:r>
          </w:p>
        </w:tc>
      </w:tr>
      <w:tr>
        <w:trPr>
          <w:trHeight w:val="167"/>
        </w:trPr>
        <w:tc>
          <w:tcPr>
            <w:tcW w:w="67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4"/>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300" w:type="dxa"/>
            <w:vAlign w:val="bottom"/>
          </w:tcPr>
          <w:p>
            <w:pPr>
              <w:spacing w:after="0"/>
              <w:rPr>
                <w:sz w:val="24"/>
                <w:szCs w:val="2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13,726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11,738</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Accounts and notes receivable</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23,130</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assets, principally</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670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property taxes and lease commissions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38,479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36,807</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Debt issue costs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5,796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5,340</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$ 1,579,039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$ 1,534,048</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700" w:type="dxa"/>
            <w:vAlign w:val="bottom"/>
          </w:tcPr>
          <w:p>
            <w:pPr>
              <w:ind w:left="1660"/>
              <w:spacing w:after="0"/>
              <w:rPr>
                <w:sz w:val="20"/>
                <w:szCs w:val="20"/>
                <w:color w:val="auto"/>
              </w:rPr>
            </w:pPr>
            <w:r>
              <w:rPr>
                <w:rFonts w:ascii="Courier New" w:cs="Courier New" w:eastAsia="Courier New" w:hAnsi="Courier New"/>
                <w:sz w:val="14"/>
                <w:szCs w:val="14"/>
                <w:color w:val="auto"/>
              </w:rPr>
              <w:t>LIABILITIES AND SHAREHOLDERS' EQUITY</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121,719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122,026</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50,459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50,547</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330,091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162,768</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39,956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34,974</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19,863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19,431</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Security deposits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5,413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5,068</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Prepaid rents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8,468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6,788</w:t>
            </w:r>
          </w:p>
        </w:tc>
      </w:tr>
      <w:tr>
        <w:trPr>
          <w:trHeight w:val="167"/>
        </w:trPr>
        <w:tc>
          <w:tcPr>
            <w:tcW w:w="6700" w:type="dxa"/>
            <w:vAlign w:val="bottom"/>
          </w:tcPr>
          <w:p>
            <w:pPr>
              <w:spacing w:after="0"/>
              <w:rPr>
                <w:sz w:val="20"/>
                <w:szCs w:val="20"/>
                <w:color w:val="auto"/>
              </w:rPr>
            </w:pPr>
            <w:r>
              <w:rPr>
                <w:rFonts w:ascii="Courier New" w:cs="Courier New" w:eastAsia="Courier New" w:hAnsi="Courier New"/>
                <w:sz w:val="14"/>
                <w:szCs w:val="14"/>
                <w:color w:val="auto"/>
              </w:rPr>
              <w:t>Senior notes and debentures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410,000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510,000</w:t>
            </w:r>
          </w:p>
        </w:tc>
      </w:tr>
      <w:tr>
        <w:trPr>
          <w:trHeight w:val="167"/>
        </w:trPr>
        <w:tc>
          <w:tcPr>
            <w:tcW w:w="6700" w:type="dxa"/>
            <w:vAlign w:val="bottom"/>
          </w:tcPr>
          <w:p>
            <w:pPr>
              <w:spacing w:after="0"/>
              <w:rPr>
                <w:sz w:val="20"/>
                <w:szCs w:val="20"/>
                <w:color w:val="auto"/>
              </w:rPr>
            </w:pPr>
            <w:r>
              <w:rPr>
                <w:rFonts w:ascii="Courier New" w:cs="Courier New" w:eastAsia="Courier New" w:hAnsi="Courier New"/>
                <w:sz w:val="14"/>
                <w:szCs w:val="14"/>
                <w:color w:val="auto"/>
              </w:rPr>
              <w:t>5 1/4% Convertible subordinated debentures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75,289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r>
      <w:tr>
        <w:trPr>
          <w:trHeight w:val="167"/>
        </w:trPr>
        <w:tc>
          <w:tcPr>
            <w:tcW w:w="6700" w:type="dxa"/>
            <w:vAlign w:val="bottom"/>
          </w:tcPr>
          <w:p>
            <w:pPr>
              <w:spacing w:after="0"/>
              <w:rPr>
                <w:sz w:val="20"/>
                <w:szCs w:val="20"/>
                <w:color w:val="auto"/>
              </w:rPr>
            </w:pPr>
            <w:r>
              <w:rPr>
                <w:rFonts w:ascii="Courier New" w:cs="Courier New" w:eastAsia="Courier New" w:hAnsi="Courier New"/>
                <w:sz w:val="14"/>
                <w:szCs w:val="14"/>
                <w:color w:val="auto"/>
              </w:rPr>
              <w:t>Investors' interest in consolidated assets</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44,266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45,330</w:t>
            </w: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4"/>
        </w:trPr>
        <w:tc>
          <w:tcPr>
            <w:tcW w:w="670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authorized 15,000,000 shares, $.01 par 7.95% Series A</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6700" w:type="dxa"/>
            <w:vAlign w:val="bottom"/>
          </w:tcPr>
          <w:p>
            <w:pPr>
              <w:ind w:left="440"/>
              <w:spacing w:after="0"/>
              <w:rPr>
                <w:sz w:val="20"/>
                <w:szCs w:val="20"/>
                <w:color w:val="auto"/>
              </w:rPr>
            </w:pPr>
            <w:r>
              <w:rPr>
                <w:rFonts w:ascii="Courier New" w:cs="Courier New" w:eastAsia="Courier New" w:hAnsi="Courier New"/>
                <w:sz w:val="14"/>
                <w:szCs w:val="14"/>
                <w:color w:val="auto"/>
              </w:rPr>
              <w:t>Cumulative Redeemable Preferred Shares, (stated at</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6700" w:type="dxa"/>
            <w:vAlign w:val="bottom"/>
          </w:tcPr>
          <w:p>
            <w:pPr>
              <w:ind w:left="440"/>
              <w:spacing w:after="0"/>
              <w:rPr>
                <w:sz w:val="20"/>
                <w:szCs w:val="20"/>
                <w:color w:val="auto"/>
              </w:rPr>
            </w:pPr>
            <w:r>
              <w:rPr>
                <w:rFonts w:ascii="Courier New" w:cs="Courier New" w:eastAsia="Courier New" w:hAnsi="Courier New"/>
                <w:sz w:val="14"/>
                <w:szCs w:val="14"/>
                <w:color w:val="auto"/>
              </w:rPr>
              <w:t>liquidation preference $25 per share), 4,000,000 shares issued in 1997</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Common shares of beneficial interest, $.01 par, 100,000,000 shares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6700" w:type="dxa"/>
            <w:vAlign w:val="bottom"/>
          </w:tcPr>
          <w:p>
            <w:pPr>
              <w:ind w:left="440"/>
              <w:spacing w:after="0"/>
              <w:rPr>
                <w:sz w:val="20"/>
                <w:szCs w:val="20"/>
                <w:color w:val="auto"/>
              </w:rPr>
            </w:pPr>
            <w:r>
              <w:rPr>
                <w:rFonts w:ascii="Courier New" w:cs="Courier New" w:eastAsia="Courier New" w:hAnsi="Courier New"/>
                <w:sz w:val="14"/>
                <w:szCs w:val="14"/>
                <w:color w:val="auto"/>
              </w:rPr>
              <w:t>authorized, 40,867,020 and 40,418,766 issued, respectively</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 in capital</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722,214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713,354</w:t>
            </w:r>
          </w:p>
        </w:tc>
      </w:tr>
      <w:tr>
        <w:trPr>
          <w:trHeight w:val="167"/>
        </w:trPr>
        <w:tc>
          <w:tcPr>
            <w:tcW w:w="6700" w:type="dxa"/>
            <w:vAlign w:val="bottom"/>
          </w:tcPr>
          <w:p>
            <w:pPr>
              <w:ind w:left="180"/>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30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(299,621)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(286,348)</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523,002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527,410</w:t>
            </w:r>
          </w:p>
        </w:tc>
      </w:tr>
      <w:tr>
        <w:trPr>
          <w:trHeight w:val="334"/>
        </w:trPr>
        <w:tc>
          <w:tcPr>
            <w:tcW w:w="6700" w:type="dxa"/>
            <w:vAlign w:val="bottom"/>
          </w:tcPr>
          <w:p>
            <w:pPr>
              <w:spacing w:after="0"/>
              <w:rPr>
                <w:sz w:val="20"/>
                <w:szCs w:val="20"/>
                <w:color w:val="auto"/>
              </w:rPr>
            </w:pPr>
            <w:r>
              <w:rPr>
                <w:rFonts w:ascii="Courier New" w:cs="Courier New" w:eastAsia="Courier New" w:hAnsi="Courier New"/>
                <w:sz w:val="14"/>
                <w:szCs w:val="14"/>
                <w:color w:val="auto"/>
              </w:rPr>
              <w:t>Less:1,425,833 and 217,644 common shares in treasury - at cost, respectively</w:t>
            </w:r>
          </w:p>
        </w:tc>
        <w:tc>
          <w:tcPr>
            <w:tcW w:w="300" w:type="dxa"/>
            <w:vAlign w:val="bottom"/>
          </w:tcPr>
          <w:p>
            <w:pPr>
              <w:spacing w:after="0"/>
              <w:rPr>
                <w:sz w:val="24"/>
                <w:szCs w:val="2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(27,436)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(4,334)</w:t>
            </w:r>
          </w:p>
        </w:tc>
      </w:tr>
      <w:tr>
        <w:trPr>
          <w:trHeight w:val="167"/>
        </w:trPr>
        <w:tc>
          <w:tcPr>
            <w:tcW w:w="6700" w:type="dxa"/>
            <w:vAlign w:val="bottom"/>
          </w:tcPr>
          <w:p>
            <w:pPr>
              <w:ind w:left="800"/>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30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(17,359)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(15,219)</w:t>
            </w:r>
          </w:p>
        </w:tc>
      </w:tr>
      <w:tr>
        <w:trPr>
          <w:trHeight w:val="167"/>
        </w:trPr>
        <w:tc>
          <w:tcPr>
            <w:tcW w:w="6700" w:type="dxa"/>
            <w:vAlign w:val="bottom"/>
          </w:tcPr>
          <w:p>
            <w:pPr>
              <w:ind w:left="800"/>
              <w:spacing w:after="0"/>
              <w:rPr>
                <w:sz w:val="20"/>
                <w:szCs w:val="20"/>
                <w:color w:val="auto"/>
              </w:rPr>
            </w:pPr>
            <w:r>
              <w:rPr>
                <w:rFonts w:ascii="Courier New" w:cs="Courier New" w:eastAsia="Courier New" w:hAnsi="Courier New"/>
                <w:sz w:val="14"/>
                <w:szCs w:val="14"/>
                <w:color w:val="auto"/>
              </w:rPr>
              <w:t>Notes receivable from employee stock plans</w:t>
            </w:r>
          </w:p>
        </w:tc>
        <w:tc>
          <w:tcPr>
            <w:tcW w:w="30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(4,692)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(6,030)</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473,515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501,827</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$ 1,579,039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$ 1,534,048</w:t>
            </w:r>
          </w:p>
        </w:tc>
      </w:tr>
      <w:tr>
        <w:trPr>
          <w:trHeight w:val="167"/>
        </w:trPr>
        <w:tc>
          <w:tcPr>
            <w:tcW w:w="670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ind w:left="2360"/>
              <w:spacing w:after="0"/>
              <w:rPr>
                <w:sz w:val="20"/>
                <w:szCs w:val="20"/>
                <w:color w:val="auto"/>
              </w:rPr>
            </w:pPr>
            <w:r>
              <w:rPr>
                <w:rFonts w:ascii="Courier New" w:cs="Courier New" w:eastAsia="Courier New" w:hAnsi="Courier New"/>
                <w:sz w:val="14"/>
                <w:szCs w:val="14"/>
                <w:color w:val="auto"/>
              </w:rPr>
              <w:t>(unaudited)</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68"/>
        </w:trPr>
        <w:tc>
          <w:tcPr>
            <w:tcW w:w="4440" w:type="dxa"/>
            <w:vAlign w:val="bottom"/>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Nine months ended September 30,</w:t>
            </w:r>
          </w:p>
        </w:tc>
      </w:tr>
      <w:tr>
        <w:trPr>
          <w:trHeight w:val="167"/>
        </w:trPr>
        <w:tc>
          <w:tcPr>
            <w:tcW w:w="4440" w:type="dxa"/>
            <w:vAlign w:val="bottom"/>
          </w:tcPr>
          <w:p>
            <w:pPr>
              <w:spacing w:after="0"/>
              <w:rPr>
                <w:sz w:val="14"/>
                <w:szCs w:val="14"/>
                <w:color w:val="auto"/>
              </w:rPr>
            </w:pPr>
          </w:p>
        </w:tc>
        <w:tc>
          <w:tcPr>
            <w:tcW w:w="14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86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$ 192,584</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$ 181,078</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8,148</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8,176</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5,759</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5,779</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206,491</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195,033</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41,057</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39,054</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19,720</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18,344</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49,521</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45,507</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9,035</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10,888</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39,433</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37,313</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158,766</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151,106</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 share</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operations and gain (loss) on sale of real estate</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47,725</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43,927</w:t>
            </w:r>
          </w:p>
        </w:tc>
      </w:tr>
      <w:tr>
        <w:trPr>
          <w:trHeight w:val="334"/>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5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(4,772)</w:t>
            </w:r>
          </w:p>
        </w:tc>
        <w:tc>
          <w:tcPr>
            <w:tcW w:w="5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(2,322)</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56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42,953</w:t>
            </w:r>
          </w:p>
        </w:tc>
        <w:tc>
          <w:tcPr>
            <w:tcW w:w="52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41,605</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Gain (loss) on sale of real estate</w:t>
            </w:r>
          </w:p>
        </w:tc>
        <w:tc>
          <w:tcPr>
            <w:tcW w:w="56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3,681</w:t>
            </w:r>
          </w:p>
        </w:tc>
        <w:tc>
          <w:tcPr>
            <w:tcW w:w="52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(7,050)</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46,634</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34,555</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Dividends on preferred stock</w:t>
            </w:r>
          </w:p>
        </w:tc>
        <w:tc>
          <w:tcPr>
            <w:tcW w:w="5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(5,963)</w:t>
            </w:r>
          </w:p>
        </w:tc>
        <w:tc>
          <w:tcPr>
            <w:tcW w:w="5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(5,963)</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40,671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28,592</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0.90</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Gain (loss) on sale of real estate</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0.10</w:t>
            </w:r>
          </w:p>
        </w:tc>
        <w:tc>
          <w:tcPr>
            <w:tcW w:w="5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(0.18)</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ind w:left="10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38,812</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39,534</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0.89</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Gain (loss) on sale of real estate</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0.09</w:t>
            </w:r>
          </w:p>
        </w:tc>
        <w:tc>
          <w:tcPr>
            <w:tcW w:w="5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(0.17)</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ind w:left="10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5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39,949</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40,639</w:t>
            </w:r>
          </w:p>
        </w:tc>
      </w:tr>
      <w:tr>
        <w:trPr>
          <w:trHeight w:val="167"/>
        </w:trPr>
        <w:tc>
          <w:tcPr>
            <w:tcW w:w="44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2360"/>
              <w:spacing w:after="0"/>
              <w:rPr>
                <w:sz w:val="20"/>
                <w:szCs w:val="20"/>
                <w:color w:val="auto"/>
              </w:rPr>
            </w:pPr>
            <w:r>
              <w:rPr>
                <w:rFonts w:ascii="Courier New" w:cs="Courier New" w:eastAsia="Courier New" w:hAnsi="Courier New"/>
                <w:sz w:val="14"/>
                <w:szCs w:val="14"/>
                <w:color w:val="auto"/>
              </w:rPr>
              <w:t>(unaudited)</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4400" w:type="dxa"/>
            <w:vAlign w:val="bottom"/>
          </w:tcPr>
          <w:p>
            <w:pPr>
              <w:spacing w:after="0"/>
              <w:rPr>
                <w:sz w:val="24"/>
                <w:szCs w:val="2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Three months ended September 30,</w:t>
            </w:r>
          </w:p>
        </w:tc>
      </w:tr>
      <w:tr>
        <w:trPr>
          <w:trHeight w:val="167"/>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6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1999</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$ 64,101</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$ 61,971</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2,683</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3,349</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1,797</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1,935</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68,581</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67,255</w:t>
            </w:r>
          </w:p>
        </w:tc>
      </w:tr>
      <w:tr>
        <w:trPr>
          <w:trHeight w:val="668"/>
        </w:trPr>
        <w:tc>
          <w:tcPr>
            <w:tcW w:w="44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13,015</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12,950</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6,741</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6,477</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15,992</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14,989</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3,245</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5,474</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13,440</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12,381</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52,433</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52,271</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 share</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of operations</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16,148</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14,984</w:t>
            </w:r>
          </w:p>
        </w:tc>
      </w:tr>
      <w:tr>
        <w:trPr>
          <w:trHeight w:val="334"/>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42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(1,727)</w:t>
            </w:r>
          </w:p>
        </w:tc>
        <w:tc>
          <w:tcPr>
            <w:tcW w:w="6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(798)</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20" w:type="dxa"/>
            <w:vAlign w:val="bottom"/>
          </w:tcPr>
          <w:p>
            <w:pPr>
              <w:spacing w:after="0"/>
              <w:rPr>
                <w:sz w:val="24"/>
                <w:szCs w:val="2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14,421</w:t>
            </w:r>
          </w:p>
        </w:tc>
        <w:tc>
          <w:tcPr>
            <w:tcW w:w="6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14,186</w:t>
            </w:r>
          </w:p>
        </w:tc>
      </w:tr>
      <w:tr>
        <w:trPr>
          <w:trHeight w:val="167"/>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Dividends on preferred stock</w:t>
            </w: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6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(1,988)</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$ 12,433</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$ 12,198</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440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10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38,695</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39,634</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440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0.30</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10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42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39,774</w:t>
            </w:r>
          </w:p>
        </w:tc>
        <w:tc>
          <w:tcPr>
            <w:tcW w:w="6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40,701</w:t>
            </w:r>
          </w:p>
        </w:tc>
      </w:tr>
      <w:tr>
        <w:trPr>
          <w:trHeight w:val="167"/>
        </w:trPr>
        <w:tc>
          <w:tcPr>
            <w:tcW w:w="440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COMMON SHAREHOLDERS'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ind w:left="1480"/>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68"/>
        </w:trPr>
        <w:tc>
          <w:tcPr>
            <w:tcW w:w="4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00" w:type="dxa"/>
            <w:vAlign w:val="bottom"/>
            <w:gridSpan w:val="4"/>
          </w:tcPr>
          <w:p>
            <w:pPr>
              <w:jc w:val="right"/>
              <w:ind w:right="828"/>
              <w:spacing w:after="0"/>
              <w:rPr>
                <w:sz w:val="20"/>
                <w:szCs w:val="20"/>
                <w:color w:val="auto"/>
              </w:rPr>
            </w:pPr>
            <w:r>
              <w:rPr>
                <w:rFonts w:ascii="Courier New" w:cs="Courier New" w:eastAsia="Courier New" w:hAnsi="Courier New"/>
                <w:sz w:val="14"/>
                <w:szCs w:val="14"/>
                <w:color w:val="auto"/>
              </w:rPr>
              <w:t>Nine months ended September 30,</w:t>
            </w:r>
          </w:p>
        </w:tc>
        <w:tc>
          <w:tcPr>
            <w:tcW w:w="1360" w:type="dxa"/>
            <w:vAlign w:val="bottom"/>
          </w:tcPr>
          <w:p>
            <w:pPr>
              <w:spacing w:after="0"/>
              <w:rPr>
                <w:sz w:val="24"/>
                <w:szCs w:val="2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Additional</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Additional</w:t>
            </w:r>
          </w:p>
        </w:tc>
      </w:tr>
      <w:tr>
        <w:trPr>
          <w:trHeight w:val="167"/>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2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Paid-in-Capital</w:t>
            </w:r>
          </w:p>
        </w:tc>
        <w:tc>
          <w:tcPr>
            <w:tcW w:w="10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Paid-in-Capital</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period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40,418,766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$713,354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40,139,675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$707,724</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67,684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50,167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1,049</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 reinvestment plan</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113,185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119,869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2,691</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granted, net</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of Restricted Shares retired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267,385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60,654</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1,374</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period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40,867,020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$409</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$722,214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40,370,365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$712,838</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period</w:t>
            </w:r>
          </w:p>
        </w:tc>
        <w:tc>
          <w:tcPr>
            <w:tcW w:w="1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($286,348)</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($255,211)</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46,634</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34,555</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(53,945)</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(53,525)</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 shareholders</w:t>
            </w:r>
          </w:p>
        </w:tc>
        <w:tc>
          <w:tcPr>
            <w:tcW w:w="1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(5,962)</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(5,962)</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period</w:t>
            </w:r>
          </w:p>
        </w:tc>
        <w:tc>
          <w:tcPr>
            <w:tcW w:w="1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($299,621)</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($280,143)</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501"/>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 in Treasury</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Balance, beginning of period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(217,644)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($4,334)</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c>
          <w:tcPr>
            <w:tcW w:w="1360" w:type="dxa"/>
            <w:vAlign w:val="bottom"/>
          </w:tcPr>
          <w:p>
            <w:pPr>
              <w:spacing w:after="0"/>
              <w:rPr>
                <w:sz w:val="14"/>
                <w:szCs w:val="1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Performance and Restricted Shares (forfeited)</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retired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(22,789)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1360" w:type="dxa"/>
            <w:vAlign w:val="bottom"/>
          </w:tcPr>
          <w:p>
            <w:pPr>
              <w:spacing w:after="0"/>
              <w:rPr>
                <w:sz w:val="14"/>
                <w:szCs w:val="1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Purchase of treasury shares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(1,185,400)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(22,632)</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period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(1,425,833)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($27,436)</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($1,355)</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501"/>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Balance, beginning of period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(599,427)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($15,219)</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(582,910)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($14,892)</w:t>
            </w:r>
          </w:p>
        </w:tc>
        <w:tc>
          <w:tcPr>
            <w:tcW w:w="1360" w:type="dxa"/>
            <w:vAlign w:val="bottom"/>
          </w:tcPr>
          <w:p>
            <w:pPr>
              <w:spacing w:after="0"/>
              <w:rPr>
                <w:sz w:val="14"/>
                <w:szCs w:val="1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net of Forfeitures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(223,771)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(4,256)</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(910)</w:t>
            </w:r>
          </w:p>
        </w:tc>
        <w:tc>
          <w:tcPr>
            <w:tcW w:w="1360" w:type="dxa"/>
            <w:vAlign w:val="bottom"/>
          </w:tcPr>
          <w:p>
            <w:pPr>
              <w:spacing w:after="0"/>
              <w:rPr>
                <w:sz w:val="14"/>
                <w:szCs w:val="1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Vesting of Performance and Restricted Shares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82,323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2,116</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7,858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period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(740,875)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($17,359)</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(616,379)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($15,601)</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501"/>
        </w:trPr>
        <w:tc>
          <w:tcPr>
            <w:tcW w:w="4220" w:type="dxa"/>
            <w:vAlign w:val="bottom"/>
          </w:tcPr>
          <w:p>
            <w:pPr>
              <w:spacing w:after="0"/>
              <w:rPr>
                <w:sz w:val="20"/>
                <w:szCs w:val="20"/>
                <w:color w:val="auto"/>
              </w:rPr>
            </w:pPr>
            <w:r>
              <w:rPr>
                <w:rFonts w:ascii="Courier New" w:cs="Courier New" w:eastAsia="Courier New" w:hAnsi="Courier New"/>
                <w:sz w:val="14"/>
                <w:szCs w:val="14"/>
                <w:color w:val="auto"/>
              </w:rPr>
              <w:t>Subscriptions receivable from employee stock</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plans</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Balance, beginning of period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(317,606)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($6,030)</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(337,111)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($6,298)</w:t>
            </w:r>
          </w:p>
        </w:tc>
        <w:tc>
          <w:tcPr>
            <w:tcW w:w="1360" w:type="dxa"/>
            <w:vAlign w:val="bottom"/>
          </w:tcPr>
          <w:p>
            <w:pPr>
              <w:spacing w:after="0"/>
              <w:rPr>
                <w:sz w:val="14"/>
                <w:szCs w:val="1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Subscription loans issued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c>
          <w:tcPr>
            <w:tcW w:w="1360" w:type="dxa"/>
            <w:vAlign w:val="bottom"/>
          </w:tcPr>
          <w:p>
            <w:pPr>
              <w:spacing w:after="0"/>
              <w:rPr>
                <w:sz w:val="14"/>
                <w:szCs w:val="1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Subscription loans paid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70,699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1,453</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28,588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period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(252,407)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($4,692)</w:t>
            </w:r>
          </w:p>
        </w:tc>
        <w:tc>
          <w:tcPr>
            <w:tcW w:w="10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(317,606)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($6,030)</w:t>
            </w:r>
          </w:p>
        </w:tc>
        <w:tc>
          <w:tcPr>
            <w:tcW w:w="13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r>
    </w:tbl>
    <w:p>
      <w:pPr>
        <w:spacing w:after="0" w:line="338" w:lineRule="exact"/>
        <w:rPr>
          <w:sz w:val="20"/>
          <w:szCs w:val="20"/>
          <w:color w:val="auto"/>
        </w:rPr>
      </w:pPr>
    </w:p>
    <w:p>
      <w:pPr>
        <w:jc w:val="center"/>
        <w:ind w:right="460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5"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300"/>
          </w:cols>
          <w:pgMar w:left="220" w:top="620" w:right="37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ind w:left="2880"/>
              <w:spacing w:after="0"/>
              <w:rPr>
                <w:sz w:val="20"/>
                <w:szCs w:val="20"/>
                <w:color w:val="auto"/>
              </w:rPr>
            </w:pPr>
            <w:r>
              <w:rPr>
                <w:rFonts w:ascii="Courier New" w:cs="Courier New" w:eastAsia="Courier New" w:hAnsi="Courier New"/>
                <w:sz w:val="14"/>
                <w:szCs w:val="14"/>
                <w:color w:val="auto"/>
              </w:rPr>
              <w:t>(unaudited)</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596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Nine months ended September 30,</w:t>
            </w:r>
          </w:p>
        </w:tc>
      </w:tr>
      <w:tr>
        <w:trPr>
          <w:trHeight w:val="167"/>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9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46,634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34,555</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Items not requiring cash outlays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39,433</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37,313</w:t>
            </w:r>
          </w:p>
        </w:tc>
      </w:tr>
      <w:tr>
        <w:trPr>
          <w:trHeight w:val="167"/>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(Gain) loss on sale of real estate</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(3,681)</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7,050</w:t>
            </w:r>
          </w:p>
        </w:tc>
      </w:tr>
      <w:tr>
        <w:trPr>
          <w:trHeight w:val="167"/>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1,486</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1,568</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Changes in assets and liabilities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accounts receivable</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2,545</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w:t>
            </w:r>
          </w:p>
        </w:tc>
      </w:tr>
      <w:tr>
        <w:trPr>
          <w:trHeight w:val="167"/>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Decrease in prepaid expenses and other</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assets before depreciation and amortization</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(6,277)</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(3,062)</w:t>
            </w:r>
          </w:p>
        </w:tc>
      </w:tr>
      <w:tr>
        <w:trPr>
          <w:trHeight w:val="167"/>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operating accounts payable,</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security deposits and prepaid rent</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2,529</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(2,748)</w:t>
            </w:r>
          </w:p>
        </w:tc>
      </w:tr>
      <w:tr>
        <w:trPr>
          <w:trHeight w:val="167"/>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Increase in accrued expenses</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2,082</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w:t>
            </w:r>
          </w:p>
        </w:tc>
      </w:tr>
      <w:tr>
        <w:trPr>
          <w:trHeight w:val="167"/>
        </w:trPr>
        <w:tc>
          <w:tcPr>
            <w:tcW w:w="596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84,751</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74,681</w:t>
            </w:r>
          </w:p>
        </w:tc>
      </w:tr>
      <w:tr>
        <w:trPr>
          <w:trHeight w:val="501"/>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real estate</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(23,093)</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(25,337)</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(98,463)</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(64,974)</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real estate</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47,157</w:t>
            </w:r>
          </w:p>
        </w:tc>
        <w:tc>
          <w:tcPr>
            <w:tcW w:w="44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Repayment (Issuance) of mortgage notes receivable, net</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2,187</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(7,176)</w:t>
            </w:r>
          </w:p>
        </w:tc>
      </w:tr>
      <w:tr>
        <w:trPr>
          <w:trHeight w:val="167"/>
        </w:trPr>
        <w:tc>
          <w:tcPr>
            <w:tcW w:w="596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(72,212)</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(97,487)</w:t>
            </w:r>
          </w:p>
        </w:tc>
      </w:tr>
      <w:tr>
        <w:trPr>
          <w:trHeight w:val="501"/>
        </w:trPr>
        <w:tc>
          <w:tcPr>
            <w:tcW w:w="59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Borrowing of short-term debt, net</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155,700</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78,853</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Borrowing on construction loans</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12,747</w:t>
            </w:r>
          </w:p>
        </w:tc>
        <w:tc>
          <w:tcPr>
            <w:tcW w:w="44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Repayment of senior notes</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44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Issuance of common shares</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3,238</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2,030</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Common shares repurchased</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(22,632)</w:t>
            </w:r>
          </w:p>
        </w:tc>
        <w:tc>
          <w:tcPr>
            <w:tcW w:w="44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Payments on mortgages, capital leases and notes payable, including</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prepayment fees</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(1,863)</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(879)</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Dividends paid</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(57,588)</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(57,113)</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Decrease in minority interest, net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(2,225)</w:t>
            </w:r>
          </w:p>
        </w:tc>
      </w:tr>
      <w:tr>
        <w:trPr>
          <w:trHeight w:val="167"/>
        </w:trPr>
        <w:tc>
          <w:tcPr>
            <w:tcW w:w="596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(10,551)</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20,666</w:t>
            </w:r>
          </w:p>
        </w:tc>
      </w:tr>
      <w:tr>
        <w:trPr>
          <w:trHeight w:val="167"/>
        </w:trPr>
        <w:tc>
          <w:tcPr>
            <w:tcW w:w="596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(decrease) in cash</w:t>
            </w:r>
          </w:p>
        </w:tc>
        <w:tc>
          <w:tcPr>
            <w:tcW w:w="30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1,988</w:t>
            </w:r>
          </w:p>
        </w:tc>
        <w:tc>
          <w:tcPr>
            <w:tcW w:w="44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(2,140)</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at beginning of period</w:t>
            </w:r>
          </w:p>
        </w:tc>
        <w:tc>
          <w:tcPr>
            <w:tcW w:w="30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11,738</w:t>
            </w:r>
          </w:p>
        </w:tc>
        <w:tc>
          <w:tcPr>
            <w:tcW w:w="4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17,230</w:t>
            </w:r>
          </w:p>
        </w:tc>
      </w:tr>
      <w:tr>
        <w:trPr>
          <w:trHeight w:val="167"/>
        </w:trPr>
        <w:tc>
          <w:tcPr>
            <w:tcW w:w="596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Cash at end of period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13,726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15,090</w:t>
            </w:r>
          </w:p>
        </w:tc>
      </w:tr>
      <w:tr>
        <w:trPr>
          <w:trHeight w:val="167"/>
        </w:trPr>
        <w:tc>
          <w:tcPr>
            <w:tcW w:w="596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8" w:name="page9"/>
    <w:bookmarkEnd w:id="8"/>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September 30, 2000</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(unaudited)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 ACCOUNTING POLICIES AND OTHER DATA</w:t>
      </w:r>
    </w:p>
    <w:p>
      <w:pPr>
        <w:spacing w:after="0" w:line="175"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Reference should be made to the notes to financial statements included in the Annual Report to shareholders for the year ended December 31, 1999 which contain the accounting policies and other data of Federal Realty Investment Trust (the "Trust").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EPS: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Nine months ending</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ending</w:t>
            </w:r>
          </w:p>
        </w:tc>
      </w:tr>
      <w:tr>
        <w:trPr>
          <w:trHeight w:val="167"/>
        </w:trPr>
        <w:tc>
          <w:tcPr>
            <w:tcW w:w="3260" w:type="dxa"/>
            <w:vAlign w:val="bottom"/>
          </w:tcPr>
          <w:p>
            <w:pPr>
              <w:spacing w:after="0"/>
              <w:rPr>
                <w:sz w:val="14"/>
                <w:szCs w:val="14"/>
                <w:color w:val="auto"/>
              </w:rPr>
            </w:pPr>
          </w:p>
        </w:tc>
        <w:tc>
          <w:tcPr>
            <w:tcW w:w="2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September 30,</w:t>
            </w:r>
          </w:p>
        </w:tc>
        <w:tc>
          <w:tcPr>
            <w:tcW w:w="1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income available for</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common shareholders - basic</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$40,671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$28,592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$12,198</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Income attributable to</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operating partnership units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7"/>
        </w:trPr>
        <w:tc>
          <w:tcPr>
            <w:tcW w:w="32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shareholders - diluted</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$41,693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$29,144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w:t>
            </w:r>
          </w:p>
        </w:tc>
      </w:tr>
      <w:tr>
        <w:trPr>
          <w:trHeight w:val="167"/>
        </w:trPr>
        <w:tc>
          <w:tcPr>
            <w:tcW w:w="32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Denominator for basic EPS-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38,812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39,534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38,695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39,634</w:t>
            </w: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weighted average shares</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Stock options and awards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r>
      <w:tr>
        <w:trPr>
          <w:trHeight w:val="167"/>
        </w:trPr>
        <w:tc>
          <w:tcPr>
            <w:tcW w:w="3260" w:type="dxa"/>
            <w:vAlign w:val="bottom"/>
          </w:tcPr>
          <w:p>
            <w:pPr>
              <w:ind w:left="100"/>
              <w:spacing w:after="0"/>
              <w:rPr>
                <w:sz w:val="20"/>
                <w:szCs w:val="20"/>
                <w:color w:val="auto"/>
              </w:rPr>
            </w:pPr>
            <w:r>
              <w:rPr>
                <w:rFonts w:ascii="Courier New" w:cs="Courier New" w:eastAsia="Courier New" w:hAnsi="Courier New"/>
                <w:sz w:val="14"/>
                <w:szCs w:val="14"/>
                <w:color w:val="auto"/>
              </w:rPr>
              <w:t>Operating partnership units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Denominator for diluted EPS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39,949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40,639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40,701</w:t>
            </w:r>
          </w:p>
        </w:tc>
      </w:tr>
      <w:tr>
        <w:trPr>
          <w:trHeight w:val="167"/>
        </w:trPr>
        <w:tc>
          <w:tcPr>
            <w:tcW w:w="326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 - REAL ESTATE ASSETS AND ENCUMBRANCES</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On January 5, 2000, the Trust purchased the 75,000 square foot Greenlawn Plaza in Greenlawn, New York for $6.2 million, with plans to renovate and expand the center by 35,000 square feet. On February 16, 2000, control of a parcel of land for future development in Hillsboro, Oregon was acquired for $11.7 million. An additional $1.6 million will be owed if certain cash flow criteria are met during the first ten years of operations. On September 26, 2000, the Trust purchased an additional property on East Houston Street in San Antonio, Texas for $1.5 million. With this purchase, the Trust assumed a mortgage with an outstanding balance of $345,000.</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 w:name="page10"/>
    <w:bookmarkEnd w:id="9"/>
    <w:p>
      <w:pPr>
        <w:ind w:right="3379" w:firstLine="174"/>
        <w:spacing w:after="0" w:line="258" w:lineRule="auto"/>
        <w:rPr>
          <w:sz w:val="20"/>
          <w:szCs w:val="20"/>
          <w:color w:val="auto"/>
        </w:rPr>
      </w:pPr>
      <w:r>
        <w:rPr>
          <w:rFonts w:ascii="Courier New" w:cs="Courier New" w:eastAsia="Courier New" w:hAnsi="Courier New"/>
          <w:sz w:val="14"/>
          <w:szCs w:val="14"/>
          <w:color w:val="auto"/>
        </w:rPr>
        <w:t>On January 1, 2000, the Trust issued 190,000 partnership units valued at $3.6 million in exchange for the minority partner's interest in Loehmann's Plaza.</w:t>
      </w:r>
    </w:p>
    <w:p>
      <w:pPr>
        <w:spacing w:after="0" w:line="160"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On April 6, 2000, the Trust converted a note receivable of $5.8 million to a 90% interest in a partnership owning a 30,000 square foot street retail property in Santa Monica, California valued at $6.3 million. The property is currently under construction. The Trust has contributed an additional $1.1 million towards the construction of the property as of September 30, 2000.</w:t>
      </w:r>
    </w:p>
    <w:p>
      <w:pPr>
        <w:spacing w:after="0" w:line="162" w:lineRule="exact"/>
        <w:rPr>
          <w:sz w:val="20"/>
          <w:szCs w:val="20"/>
          <w:color w:val="auto"/>
        </w:rPr>
      </w:pPr>
    </w:p>
    <w:p>
      <w:pPr>
        <w:ind w:right="3279" w:firstLine="174"/>
        <w:spacing w:after="0" w:line="255" w:lineRule="auto"/>
        <w:rPr>
          <w:sz w:val="20"/>
          <w:szCs w:val="20"/>
          <w:color w:val="auto"/>
        </w:rPr>
      </w:pPr>
      <w:r>
        <w:rPr>
          <w:rFonts w:ascii="Courier New" w:cs="Courier New" w:eastAsia="Courier New" w:hAnsi="Courier New"/>
          <w:sz w:val="14"/>
          <w:szCs w:val="14"/>
          <w:color w:val="auto"/>
        </w:rPr>
        <w:t>On June 30, 2000, the Trust sold the 296,000 square foot Peninsula Shopping Center located in Palos Verdes, California for $48.6 million resulting in a gain of $3.7 million.</w:t>
      </w:r>
    </w:p>
    <w:p>
      <w:pPr>
        <w:spacing w:after="0" w:line="162"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In addition, during the first nine months of 2000, the Trust invested $3.7 million in mortgage notes receivable with an average weighted interest rate of 9.7%. A mortgage note receivable of $5.9 million, which earned interest at 10%, was paid off June 23, 2000. An additional mortgage note receivable of $305,000, which also earned interest at 10%, was paid off on October 13, 2000.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C - MORTGAGES AND NOTES PAYABLE</w:t>
      </w:r>
    </w:p>
    <w:p>
      <w:pPr>
        <w:spacing w:after="0" w:line="17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At September 30, 2000, there was $186.3 million borrowed under the Trust's syndicated credit facility. The maximum drawn during the first nine months of 2000 was $218.1 million. The weighted average interest rate on borrowings for the nine months ended September 30, 2000 was 7.0%. The facility requires fees and has various covenants including the maintenance of a minimum shareholders' equity and a maximum ratio of debt to net worth.</w:t>
      </w:r>
    </w:p>
    <w:p>
      <w:pPr>
        <w:spacing w:after="0" w:line="165" w:lineRule="exact"/>
        <w:rPr>
          <w:sz w:val="20"/>
          <w:szCs w:val="20"/>
          <w:color w:val="auto"/>
        </w:rPr>
      </w:pPr>
    </w:p>
    <w:p>
      <w:pPr>
        <w:ind w:right="3279" w:firstLine="174"/>
        <w:spacing w:after="0" w:line="255" w:lineRule="auto"/>
        <w:rPr>
          <w:sz w:val="20"/>
          <w:szCs w:val="20"/>
          <w:color w:val="auto"/>
        </w:rPr>
      </w:pPr>
      <w:r>
        <w:rPr>
          <w:rFonts w:ascii="Courier New" w:cs="Courier New" w:eastAsia="Courier New" w:hAnsi="Courier New"/>
          <w:sz w:val="14"/>
          <w:szCs w:val="14"/>
          <w:color w:val="auto"/>
        </w:rPr>
        <w:t>In June 2000, the Trust modified certain covenants and extended its syndicated credit facility and its $125 million term loan for an additional year to December 19, 2003. Fees paid for this extension totaled $1.0 million.</w:t>
      </w:r>
    </w:p>
    <w:p>
      <w:pPr>
        <w:spacing w:after="0" w:line="162"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On January 17, 2000, the Trust's $100 million of 8.875% Notes matured and were paid with borrowings on the Trust's revolving credit facilities. On February 29, 2000, the Trust obtained a construction loan for up to $24.5 million in connection with the Trust's Woodmont East development in Bethesda, Maryland. The loan, which has a floating interest rate of LIBOR plus 1.2% to 1.5%, depending on occupancy levels, matures August 29, 2002 with two, one-year extension options. At September 30, 2000, the outstanding balance on the loan was $12.7 million. The property secures the construction loan facility.</w:t>
      </w:r>
    </w:p>
    <w:p>
      <w:pPr>
        <w:spacing w:after="0" w:line="16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In connection with the land for future development in Hillsboro, Oregon, the Trust issued a $3.4 million note which was due August 14, 2000. The note has been extended until June 30, 2001. The loan bears interest at LIBOR plus 1.25%. The property secures the loan facility.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0" w:name="page11"/>
    <w:bookmarkEnd w:id="10"/>
    <w:p>
      <w:pPr>
        <w:ind w:right="3279"/>
        <w:spacing w:after="0" w:line="255" w:lineRule="auto"/>
        <w:rPr>
          <w:sz w:val="20"/>
          <w:szCs w:val="20"/>
          <w:color w:val="auto"/>
        </w:rPr>
      </w:pPr>
      <w:r>
        <w:rPr>
          <w:rFonts w:ascii="Courier New" w:cs="Courier New" w:eastAsia="Courier New" w:hAnsi="Courier New"/>
          <w:sz w:val="14"/>
          <w:szCs w:val="14"/>
          <w:color w:val="auto"/>
        </w:rPr>
        <w:t>The Trust assumed a mortgage with the purchase of the new East Houston Street property in San Antonio, Texas. The mortgage, which matures in October 2008, bears interest at 7.5% and provides for monthly principal and interest payments.</w:t>
      </w:r>
    </w:p>
    <w:p>
      <w:pPr>
        <w:spacing w:after="0" w:line="162"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In anticipation of a mortgage placement in the third quarter of 2000, the Trust purchased a Treasury Yield Hedge (notional amount of $140 million) to minimize the risk of changes in interest rates. The hedge was terminated on June 30, 2000 at a gain of $165,000 which will be recognized as a reduction of interest expense over the term of the mortgage.</w:t>
      </w:r>
    </w:p>
    <w:p>
      <w:pPr>
        <w:spacing w:after="0" w:line="162"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On October 23, 2000, the Trust obtained a $152 million mortgage loan which is secured by five shopping centers, thereby, mitigating its exposure to variable rate debt and providing funds for its development pipeline. The mortgage, which bears interest at 7.95%, matures November 1, 2015. The loan provides for interest only payments for the initial three years, then monthly principal and interest payments based on a twenty-seven year amortization schedule until the maturity date. The proceeds from the mortgage loan were used to pay down the Trust's revolving credit facility. The Trust paid a placement fee of $988,000 to obtain the mortgage loan.</w:t>
      </w:r>
    </w:p>
    <w:p>
      <w:pPr>
        <w:spacing w:after="0" w:line="164"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In July 2000, citing the Trust's pursuit of development and the resultant capital requirements, Standard and Poor's lowered the rating on the Trust's senior notes from BBB+ to BBB flat. Under the terms of the syndicated credit facility, this lowered rating results in an increase in the Trust's borrowing rate from LIBOR plus 65 basis points to LIBOR plus 80 basis points. The interest rate on the term loan increases from LIBOR plus 75 basis points to LIBOR plus 95 basis points.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 - SHAREHOLDERS' EQUITY</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During the first nine months of 2000, options for 652,500 shares at prices ranging from $18 to $22 1/16 per share, fair value at the dates of award, were awarded to certain employees and Trustees of the Trust. The options vest over three and four year terms.</w:t>
      </w:r>
    </w:p>
    <w:p>
      <w:pPr>
        <w:spacing w:after="0" w:line="163"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In December 1999, the Trustees authorized a share repurchase program of up to an aggregate of four million of the Trust's common shares. The repurchase program will end upon the earlier of December 31, 2000 or the date when the repurchase limit has been met. During the first nine months of 2000, 1,185,400 common shares at a cost of $22.6 million were repurchased bringing the total purchased under the program as of September 30,2000 to 1,325,900 common shares at a cost of $25.2 million.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NOTE E - INTEREST EXPENSE</w:t>
      </w:r>
    </w:p>
    <w:p>
      <w:pPr>
        <w:spacing w:after="0" w:line="175"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The Trust incurred interest expense totaling $58.5 million during the first nine months of 2000 and $50.3 million during the first nine months of 1999, of which $9.0 million and $4.8 million, respectively, was capitalized in connection with development projects. Interest paid was $56.7 million in the first nine months of 2000 and $52.9 million in the first nine months of 1999.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 - COMMITMENTS AND CONTINGENCIES</w:t>
      </w:r>
    </w:p>
    <w:p>
      <w:pPr>
        <w:spacing w:after="0" w:line="175"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63"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Pursuant to the provisions of the partnership agreement, in the event of the exercise of put options by another partner, the Trust would be required to purchase a 37.5% interest of Congressional Plaza at its then fair market value. Based on management's current estimate of fair market value, the Trust's estimated liability upon exercise of the put option is approximately $27 million.</w:t>
      </w:r>
    </w:p>
    <w:p>
      <w:pPr>
        <w:spacing w:after="0" w:line="329"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Under the terms of certain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shares of the Trust, at the election of the limited partners. In certain of the partnerships, if the limited partners do not redeem their interest, the Trust may choose to purchase the limited partnership interests upon the same terms.</w:t>
      </w:r>
    </w:p>
    <w:p>
      <w:pPr>
        <w:spacing w:after="0" w:line="165" w:lineRule="exact"/>
        <w:rPr>
          <w:sz w:val="20"/>
          <w:szCs w:val="20"/>
          <w:color w:val="auto"/>
        </w:rPr>
      </w:pPr>
    </w:p>
    <w:p>
      <w:pPr>
        <w:ind w:right="3279" w:firstLine="174"/>
        <w:spacing w:after="0" w:line="255" w:lineRule="auto"/>
        <w:rPr>
          <w:sz w:val="20"/>
          <w:szCs w:val="20"/>
          <w:color w:val="auto"/>
        </w:rPr>
      </w:pPr>
      <w:r>
        <w:rPr>
          <w:rFonts w:ascii="Courier New" w:cs="Courier New" w:eastAsia="Courier New" w:hAnsi="Courier New"/>
          <w:sz w:val="14"/>
          <w:szCs w:val="14"/>
          <w:color w:val="auto"/>
        </w:rPr>
        <w:t>Under the terms of other partnership agreements, the partners may redeem their 904,589 operating units for cash or exchange into the same number of common shares of the Trust, at the option of the Trust.</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NOTE G - COMPONENTS OF RENTAL INCOME</w:t>
      </w:r>
    </w:p>
    <w:p>
      <w:pPr>
        <w:spacing w:after="0" w:line="175" w:lineRule="exact"/>
        <w:rPr>
          <w:sz w:val="20"/>
          <w:szCs w:val="20"/>
          <w:color w:val="auto"/>
        </w:rPr>
      </w:pPr>
    </w:p>
    <w:p>
      <w:pPr>
        <w:ind w:right="3719" w:firstLine="174"/>
        <w:spacing w:after="0" w:line="258" w:lineRule="auto"/>
        <w:rPr>
          <w:sz w:val="20"/>
          <w:szCs w:val="20"/>
          <w:color w:val="auto"/>
        </w:rPr>
      </w:pPr>
      <w:r>
        <w:rPr>
          <w:rFonts w:ascii="Courier New" w:cs="Courier New" w:eastAsia="Courier New" w:hAnsi="Courier New"/>
          <w:sz w:val="14"/>
          <w:szCs w:val="14"/>
          <w:color w:val="auto"/>
        </w:rPr>
        <w:t>The components of rental income for the periods ended September 30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Nine Months</w:t>
            </w:r>
          </w:p>
        </w:tc>
        <w:tc>
          <w:tcPr>
            <w:tcW w:w="2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Three Months</w:t>
            </w:r>
          </w:p>
        </w:tc>
      </w:tr>
      <w:tr>
        <w:trPr>
          <w:trHeight w:val="334"/>
        </w:trPr>
        <w:tc>
          <w:tcPr>
            <w:tcW w:w="19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9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960" w:type="dxa"/>
            <w:vAlign w:val="bottom"/>
          </w:tcPr>
          <w:p>
            <w:pPr>
              <w:ind w:left="100"/>
              <w:spacing w:after="0"/>
              <w:rPr>
                <w:sz w:val="20"/>
                <w:szCs w:val="20"/>
                <w:color w:val="auto"/>
              </w:rPr>
            </w:pPr>
            <w:r>
              <w:rPr>
                <w:rFonts w:ascii="Courier New" w:cs="Courier New" w:eastAsia="Courier New" w:hAnsi="Courier New"/>
                <w:sz w:val="14"/>
                <w:szCs w:val="14"/>
                <w:color w:val="auto"/>
              </w:rPr>
              <w:t>Minimum rents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$155,181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$146,446</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$51,134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$49,728</w:t>
            </w:r>
          </w:p>
        </w:tc>
      </w:tr>
      <w:tr>
        <w:trPr>
          <w:trHeight w:val="167"/>
        </w:trPr>
        <w:tc>
          <w:tcPr>
            <w:tcW w:w="1960" w:type="dxa"/>
            <w:vAlign w:val="bottom"/>
          </w:tcPr>
          <w:p>
            <w:pPr>
              <w:ind w:left="100"/>
              <w:spacing w:after="0"/>
              <w:rPr>
                <w:sz w:val="20"/>
                <w:szCs w:val="20"/>
                <w:color w:val="auto"/>
              </w:rPr>
            </w:pPr>
            <w:r>
              <w:rPr>
                <w:rFonts w:ascii="Courier New" w:cs="Courier New" w:eastAsia="Courier New" w:hAnsi="Courier New"/>
                <w:sz w:val="14"/>
                <w:szCs w:val="14"/>
                <w:color w:val="auto"/>
              </w:rPr>
              <w:t>Cost reimbursements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31,075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28,644</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10,110</w:t>
            </w:r>
          </w:p>
        </w:tc>
      </w:tr>
      <w:tr>
        <w:trPr>
          <w:trHeight w:val="167"/>
        </w:trPr>
        <w:tc>
          <w:tcPr>
            <w:tcW w:w="1960" w:type="dxa"/>
            <w:vAlign w:val="bottom"/>
          </w:tcPr>
          <w:p>
            <w:pPr>
              <w:ind w:left="100"/>
              <w:spacing w:after="0"/>
              <w:rPr>
                <w:sz w:val="20"/>
                <w:szCs w:val="20"/>
                <w:color w:val="auto"/>
              </w:rPr>
            </w:pPr>
            <w:r>
              <w:rPr>
                <w:rFonts w:ascii="Courier New" w:cs="Courier New" w:eastAsia="Courier New" w:hAnsi="Courier New"/>
                <w:sz w:val="14"/>
                <w:szCs w:val="14"/>
                <w:color w:val="auto"/>
              </w:rPr>
              <w:t>Percentage rents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4,253</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3,986</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1,460</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2,075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7"/>
        </w:trPr>
        <w:tc>
          <w:tcPr>
            <w:tcW w:w="19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$192,584</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$181,078</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$64,101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$61,971</w:t>
            </w:r>
          </w:p>
        </w:tc>
      </w:tr>
      <w:tr>
        <w:trPr>
          <w:trHeight w:val="167"/>
        </w:trPr>
        <w:tc>
          <w:tcPr>
            <w:tcW w:w="19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13</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NOTE H - SEGMENT INFORMATION</w:t>
      </w:r>
    </w:p>
    <w:p>
      <w:pPr>
        <w:spacing w:after="0" w:line="175" w:lineRule="exact"/>
        <w:rPr>
          <w:sz w:val="20"/>
          <w:szCs w:val="20"/>
          <w:color w:val="auto"/>
        </w:rPr>
      </w:pPr>
    </w:p>
    <w:p>
      <w:pPr>
        <w:ind w:right="5360" w:firstLine="434"/>
        <w:spacing w:after="0" w:line="258" w:lineRule="auto"/>
        <w:rPr>
          <w:sz w:val="20"/>
          <w:szCs w:val="20"/>
          <w:color w:val="auto"/>
        </w:rPr>
      </w:pPr>
      <w:r>
        <w:rPr>
          <w:rFonts w:ascii="Courier New" w:cs="Courier New" w:eastAsia="Courier New" w:hAnsi="Courier New"/>
          <w:sz w:val="14"/>
          <w:szCs w:val="14"/>
          <w:color w:val="auto"/>
        </w:rPr>
        <w:t>The Trust operates its portfolio of properties in three geographic operating regions: Northeast, Mid-Atlantic and West.</w:t>
      </w:r>
    </w:p>
    <w:p>
      <w:pPr>
        <w:spacing w:after="0" w:line="160" w:lineRule="exact"/>
        <w:rPr>
          <w:sz w:val="20"/>
          <w:szCs w:val="20"/>
          <w:color w:val="auto"/>
        </w:rPr>
      </w:pPr>
    </w:p>
    <w:p>
      <w:pPr>
        <w:ind w:right="4580" w:firstLine="434"/>
        <w:spacing w:after="0" w:line="258" w:lineRule="auto"/>
        <w:rPr>
          <w:sz w:val="20"/>
          <w:szCs w:val="20"/>
          <w:color w:val="auto"/>
        </w:rPr>
      </w:pPr>
      <w:r>
        <w:rPr>
          <w:rFonts w:ascii="Courier New" w:cs="Courier New" w:eastAsia="Courier New" w:hAnsi="Courier New"/>
          <w:sz w:val="14"/>
          <w:szCs w:val="14"/>
          <w:color w:val="auto"/>
        </w:rPr>
        <w:t>A summary of the Trust's operations by geographic region is presented below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Nine months ended</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Mid-</w:t>
            </w:r>
          </w:p>
        </w:tc>
        <w:tc>
          <w:tcPr>
            <w:tcW w:w="1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September 30,</w:t>
            </w:r>
          </w:p>
        </w:tc>
        <w:tc>
          <w:tcPr>
            <w:tcW w:w="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Northeast</w:t>
            </w:r>
          </w:p>
        </w:tc>
        <w:tc>
          <w:tcPr>
            <w:tcW w:w="17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Atlantic</w:t>
            </w:r>
          </w:p>
        </w:tc>
        <w:tc>
          <w:tcPr>
            <w:tcW w:w="1920" w:type="dxa"/>
            <w:vAlign w:val="bottom"/>
          </w:tcPr>
          <w:p>
            <w:pPr>
              <w:ind w:left="560"/>
              <w:spacing w:after="0"/>
              <w:rPr>
                <w:sz w:val="20"/>
                <w:szCs w:val="20"/>
                <w:color w:val="auto"/>
              </w:rPr>
            </w:pPr>
            <w:r>
              <w:rPr>
                <w:rFonts w:ascii="Courier New" w:cs="Courier New" w:eastAsia="Courier New" w:hAnsi="Courier New"/>
                <w:sz w:val="14"/>
                <w:szCs w:val="14"/>
                <w:color w:val="auto"/>
              </w:rPr>
              <w:t>West</w:t>
            </w:r>
          </w:p>
        </w:tc>
        <w:tc>
          <w:tcPr>
            <w:tcW w:w="2340" w:type="dxa"/>
            <w:vAlign w:val="bottom"/>
          </w:tcPr>
          <w:p>
            <w:pPr>
              <w:ind w:left="980"/>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ind w:left="900"/>
              <w:spacing w:after="0"/>
              <w:rPr>
                <w:sz w:val="20"/>
                <w:szCs w:val="20"/>
                <w:color w:val="auto"/>
              </w:rPr>
            </w:pPr>
            <w:r>
              <w:rPr>
                <w:rFonts w:ascii="Courier New" w:cs="Courier New" w:eastAsia="Courier New" w:hAnsi="Courier New"/>
                <w:sz w:val="14"/>
                <w:szCs w:val="14"/>
                <w:color w:val="auto"/>
                <w:w w:val="99"/>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83,991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83,956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24,637</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192,584</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3,082</w:t>
            </w:r>
          </w:p>
        </w:tc>
        <w:tc>
          <w:tcPr>
            <w:tcW w:w="48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2,954</w:t>
            </w:r>
          </w:p>
        </w:tc>
        <w:tc>
          <w:tcPr>
            <w:tcW w:w="48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2,112</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(17,057)</w:t>
            </w:r>
          </w:p>
        </w:tc>
        <w:tc>
          <w:tcPr>
            <w:tcW w:w="48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(17,939)</w:t>
            </w:r>
          </w:p>
        </w:tc>
        <w:tc>
          <w:tcPr>
            <w:tcW w:w="48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(6,061)</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(41,057)</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(10,741)</w:t>
            </w:r>
          </w:p>
        </w:tc>
        <w:tc>
          <w:tcPr>
            <w:tcW w:w="48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(6,762)</w:t>
            </w:r>
          </w:p>
        </w:tc>
        <w:tc>
          <w:tcPr>
            <w:tcW w:w="48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(2,217)</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(19,720)</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59,275</w:t>
            </w:r>
          </w:p>
        </w:tc>
        <w:tc>
          <w:tcPr>
            <w:tcW w:w="48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62,209</w:t>
            </w:r>
          </w:p>
        </w:tc>
        <w:tc>
          <w:tcPr>
            <w:tcW w:w="48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18,471</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139,955</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5,759</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5,759</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(49,521)</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(49,521)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(9,035)</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(9,035)</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Amortization</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(18,702)</w:t>
            </w:r>
          </w:p>
        </w:tc>
        <w:tc>
          <w:tcPr>
            <w:tcW w:w="48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(16,140)</w:t>
            </w:r>
          </w:p>
        </w:tc>
        <w:tc>
          <w:tcPr>
            <w:tcW w:w="48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(3,880)</w:t>
            </w: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(711)</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(39,433)</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40,573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46,069</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14,591</w:t>
            </w: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($53,508)</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47,725</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32,706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39,322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58,910</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130,938</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748,136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699,666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356,384</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$ 1,804,186</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360" w:type="dxa"/>
            <w:vAlign w:val="bottom"/>
          </w:tcPr>
          <w:p>
            <w:pPr>
              <w:spacing w:after="0"/>
              <w:rPr>
                <w:sz w:val="20"/>
                <w:szCs w:val="20"/>
                <w:color w:val="auto"/>
              </w:rPr>
            </w:pPr>
            <w:r>
              <w:rPr>
                <w:rFonts w:ascii="Courier New" w:cs="Courier New" w:eastAsia="Courier New" w:hAnsi="Courier New"/>
                <w:sz w:val="14"/>
                <w:szCs w:val="14"/>
                <w:color w:val="auto"/>
              </w:rPr>
              <w:t>Nine months ended</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Mid-</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September 30, 1999</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Northeast</w:t>
            </w:r>
          </w:p>
        </w:tc>
        <w:tc>
          <w:tcPr>
            <w:tcW w:w="4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Atlantic</w:t>
            </w:r>
          </w:p>
        </w:tc>
        <w:tc>
          <w:tcPr>
            <w:tcW w:w="480" w:type="dxa"/>
            <w:vAlign w:val="bottom"/>
          </w:tcPr>
          <w:p>
            <w:pPr>
              <w:spacing w:after="0"/>
              <w:rPr>
                <w:sz w:val="14"/>
                <w:szCs w:val="14"/>
                <w:color w:val="auto"/>
              </w:rPr>
            </w:pPr>
          </w:p>
        </w:tc>
        <w:tc>
          <w:tcPr>
            <w:tcW w:w="1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West</w:t>
            </w:r>
          </w:p>
        </w:tc>
        <w:tc>
          <w:tcPr>
            <w:tcW w:w="78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75,596</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82,710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22,772</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181,078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60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4,419</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2,719</w:t>
            </w:r>
          </w:p>
        </w:tc>
        <w:tc>
          <w:tcPr>
            <w:tcW w:w="48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1,038</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8,176</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6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(15,217)</w:t>
            </w:r>
          </w:p>
        </w:tc>
        <w:tc>
          <w:tcPr>
            <w:tcW w:w="6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(18,160)</w:t>
            </w:r>
          </w:p>
        </w:tc>
        <w:tc>
          <w:tcPr>
            <w:tcW w:w="48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(5,677)</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(39,054)</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6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(9,538)</w:t>
            </w:r>
          </w:p>
        </w:tc>
        <w:tc>
          <w:tcPr>
            <w:tcW w:w="6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(6,744)</w:t>
            </w:r>
          </w:p>
        </w:tc>
        <w:tc>
          <w:tcPr>
            <w:tcW w:w="48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(2,062)</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(18,344)</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60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55,260</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60,525</w:t>
            </w:r>
          </w:p>
        </w:tc>
        <w:tc>
          <w:tcPr>
            <w:tcW w:w="48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16,071</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131,856</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5,779</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5,779</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(45,507)</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(45,507)</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(10,888)</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(10,888)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Amortization</w:t>
            </w:r>
          </w:p>
        </w:tc>
        <w:tc>
          <w:tcPr>
            <w:tcW w:w="6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(16,784)</w:t>
            </w:r>
          </w:p>
        </w:tc>
        <w:tc>
          <w:tcPr>
            <w:tcW w:w="6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(17,024)</w:t>
            </w:r>
          </w:p>
        </w:tc>
        <w:tc>
          <w:tcPr>
            <w:tcW w:w="48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(2,879)</w:t>
            </w: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(626)</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(37,313)</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38,476</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43,501</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13,192</w:t>
            </w:r>
          </w:p>
        </w:tc>
        <w:tc>
          <w:tcPr>
            <w:tcW w:w="78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($51,242)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43,927</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24,407</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17,401</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53,160</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94,968</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707,982</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687,134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334,058</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$ 1,729,174</w:t>
            </w:r>
          </w:p>
        </w:tc>
      </w:tr>
      <w:tr>
        <w:trPr>
          <w:trHeight w:val="167"/>
        </w:trPr>
        <w:tc>
          <w:tcPr>
            <w:tcW w:w="2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540"/>
          </w:cols>
          <w:pgMar w:left="220" w:top="620" w:right="139" w:bottom="1440" w:gutter="0" w:footer="0" w:header="0"/>
        </w:sectPr>
      </w:pPr>
    </w:p>
    <w:bookmarkStart w:id="14" w:name="page15"/>
    <w:bookmarkEnd w:id="14"/>
    <w:p>
      <w:pPr>
        <w:spacing w:after="0"/>
        <w:tabs>
          <w:tab w:leader="none" w:pos="450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Mid-</w:t>
      </w:r>
    </w:p>
    <w:p>
      <w:pPr>
        <w:spacing w:after="0" w:line="8" w:lineRule="exact"/>
        <w:rPr>
          <w:sz w:val="20"/>
          <w:szCs w:val="20"/>
          <w:color w:val="auto"/>
        </w:rPr>
      </w:pPr>
    </w:p>
    <w:p>
      <w:pPr>
        <w:ind w:left="360"/>
        <w:spacing w:after="0"/>
        <w:tabs>
          <w:tab w:leader="none" w:pos="2500" w:val="left"/>
          <w:tab w:leader="none" w:pos="4320" w:val="left"/>
          <w:tab w:leader="none" w:pos="5980" w:val="left"/>
          <w:tab w:leader="none" w:pos="7460" w:val="left"/>
          <w:tab w:leader="none" w:pos="9280" w:val="left"/>
        </w:tabs>
        <w:rPr>
          <w:sz w:val="20"/>
          <w:szCs w:val="20"/>
          <w:color w:val="auto"/>
        </w:rPr>
      </w:pPr>
      <w:r>
        <w:rPr>
          <w:rFonts w:ascii="Courier New" w:cs="Courier New" w:eastAsia="Courier New" w:hAnsi="Courier New"/>
          <w:sz w:val="14"/>
          <w:szCs w:val="14"/>
          <w:color w:val="auto"/>
        </w:rPr>
        <w:t>September 30, 2000</w:t>
      </w:r>
      <w:r>
        <w:rPr>
          <w:sz w:val="20"/>
          <w:szCs w:val="20"/>
          <w:color w:val="auto"/>
        </w:rPr>
        <w:tab/>
      </w:r>
      <w:r>
        <w:rPr>
          <w:rFonts w:ascii="Courier New" w:cs="Courier New" w:eastAsia="Courier New" w:hAnsi="Courier New"/>
          <w:sz w:val="14"/>
          <w:szCs w:val="14"/>
          <w:color w:val="auto"/>
        </w:rPr>
        <w:t>Northeast</w:t>
      </w:r>
      <w:r>
        <w:rPr>
          <w:sz w:val="20"/>
          <w:szCs w:val="20"/>
          <w:color w:val="auto"/>
        </w:rPr>
        <w:tab/>
      </w:r>
      <w:r>
        <w:rPr>
          <w:rFonts w:ascii="Courier New" w:cs="Courier New" w:eastAsia="Courier New" w:hAnsi="Courier New"/>
          <w:sz w:val="14"/>
          <w:szCs w:val="14"/>
          <w:color w:val="auto"/>
        </w:rPr>
        <w:t>Atlantic</w:t>
      </w:r>
      <w:r>
        <w:rPr>
          <w:sz w:val="20"/>
          <w:szCs w:val="20"/>
          <w:color w:val="auto"/>
        </w:rPr>
        <w:tab/>
      </w:r>
      <w:r>
        <w:rPr>
          <w:rFonts w:ascii="Courier New" w:cs="Courier New" w:eastAsia="Courier New" w:hAnsi="Courier New"/>
          <w:sz w:val="14"/>
          <w:szCs w:val="14"/>
          <w:color w:val="auto"/>
        </w:rPr>
        <w:t>West</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28,937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28,146</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7,018</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64,101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1,088</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846</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2,683</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3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(5,294)</w:t>
            </w:r>
          </w:p>
        </w:tc>
        <w:tc>
          <w:tcPr>
            <w:tcW w:w="5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(5,811)</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(1,910)</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(13,015)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3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(3,709)</w:t>
            </w:r>
          </w:p>
        </w:tc>
        <w:tc>
          <w:tcPr>
            <w:tcW w:w="5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(2,410)</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(6,741)</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21,022</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20,771</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5,235</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47,028</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1,797</w:t>
            </w:r>
          </w:p>
        </w:tc>
        <w:tc>
          <w:tcPr>
            <w:tcW w:w="6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1,797</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(15,992)</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(15,992)</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(3,245)</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(3,245)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Amortization</w:t>
            </w:r>
          </w:p>
        </w:tc>
        <w:tc>
          <w:tcPr>
            <w:tcW w:w="30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(6,440)</w:t>
            </w:r>
          </w:p>
        </w:tc>
        <w:tc>
          <w:tcPr>
            <w:tcW w:w="5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(5,485)</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(1,290)</w:t>
            </w:r>
          </w:p>
        </w:tc>
        <w:tc>
          <w:tcPr>
            <w:tcW w:w="52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(13,440)</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14,582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15,286</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3,945</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17,665)</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16,148</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7,722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17,663</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17,932</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43,317</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748,136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699,666</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356,384</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$ 1,804,186</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Mid-</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September 30, 1999</w:t>
            </w:r>
          </w:p>
        </w:tc>
        <w:tc>
          <w:tcPr>
            <w:tcW w:w="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Northeast</w:t>
            </w:r>
          </w:p>
        </w:tc>
        <w:tc>
          <w:tcPr>
            <w:tcW w:w="5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Atlantic</w:t>
            </w:r>
          </w:p>
        </w:tc>
        <w:tc>
          <w:tcPr>
            <w:tcW w:w="4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West</w:t>
            </w:r>
          </w:p>
        </w:tc>
        <w:tc>
          <w:tcPr>
            <w:tcW w:w="520" w:type="dxa"/>
            <w:vAlign w:val="bottom"/>
          </w:tcPr>
          <w:p>
            <w:pPr>
              <w:spacing w:after="0"/>
              <w:rPr>
                <w:sz w:val="14"/>
                <w:szCs w:val="14"/>
                <w:color w:val="auto"/>
              </w:rPr>
            </w:pPr>
          </w:p>
        </w:tc>
        <w:tc>
          <w:tcPr>
            <w:tcW w:w="11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25,686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28,197</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8,088</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61,971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4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1,869</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1,155</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4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(4,541)</w:t>
            </w:r>
          </w:p>
        </w:tc>
        <w:tc>
          <w:tcPr>
            <w:tcW w:w="5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(6,322)</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(2,087)</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(12,950)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4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(3,524)</w:t>
            </w:r>
          </w:p>
        </w:tc>
        <w:tc>
          <w:tcPr>
            <w:tcW w:w="5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(2,349)</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(6,477)</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4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19,490</w:t>
            </w:r>
          </w:p>
        </w:tc>
        <w:tc>
          <w:tcPr>
            <w:tcW w:w="5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20,681</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5,722</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45,893</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1,935</w:t>
            </w:r>
          </w:p>
        </w:tc>
        <w:tc>
          <w:tcPr>
            <w:tcW w:w="60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(14,989)</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(14,989)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(5,474)</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(5,474)</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amortization</w:t>
            </w:r>
          </w:p>
        </w:tc>
        <w:tc>
          <w:tcPr>
            <w:tcW w:w="4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(5,710)</w:t>
            </w:r>
          </w:p>
        </w:tc>
        <w:tc>
          <w:tcPr>
            <w:tcW w:w="5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(5,501)</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w:t>
            </w:r>
          </w:p>
        </w:tc>
        <w:tc>
          <w:tcPr>
            <w:tcW w:w="52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(177)</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(12,381)</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13,780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15,180</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4,729</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18,705)</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14,984</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11,240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5,801</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10,228</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27,269</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707,982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687,134</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334,058</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$ 1,729,174</w:t>
            </w:r>
          </w:p>
        </w:tc>
      </w:tr>
      <w:tr>
        <w:trPr>
          <w:trHeight w:val="167"/>
        </w:trPr>
        <w:tc>
          <w:tcPr>
            <w:tcW w:w="222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transactions between geographic areas.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460"/>
          </w:cols>
          <w:pgMar w:left="220" w:top="954" w:right="219" w:bottom="1440" w:gutter="0" w:footer="0" w:header="0"/>
        </w:sectPr>
      </w:pPr>
    </w:p>
    <w:bookmarkStart w:id="15" w:name="page16"/>
    <w:bookmarkEnd w:id="15"/>
    <w:p>
      <w:pPr>
        <w:jc w:val="center"/>
        <w:ind w:right="33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FORM 10-Q</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September 30, 2000</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following discussion should be read together with the Consolidated Financial Statements and Notes thereto. Certain statements made in this report contain forward-looking statements,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The Trust also expects proceeds from the sale of selected assets to provide an additional source of capital in 2000 and 2001.</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cash provided by operating activities was $84.8 million in the first nine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of 2000 and $74.7 million in the first nine months of 1999, of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$57.6 million and $57.1 million, respectively, was distributed to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 from retenanted and redeveloped properties, as more fully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below, were the primary sources of these increases.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6" w:name="page17"/>
    <w:bookmarkEnd w:id="16"/>
    <w:p>
      <w:pPr>
        <w:ind w:right="3279" w:firstLine="174"/>
        <w:spacing w:after="0" w:line="252" w:lineRule="auto"/>
        <w:rPr>
          <w:sz w:val="20"/>
          <w:szCs w:val="20"/>
          <w:color w:val="auto"/>
        </w:rPr>
      </w:pPr>
      <w:r>
        <w:rPr>
          <w:rFonts w:ascii="Courier New" w:cs="Courier New" w:eastAsia="Courier New" w:hAnsi="Courier New"/>
          <w:sz w:val="14"/>
          <w:szCs w:val="14"/>
          <w:color w:val="auto"/>
        </w:rPr>
        <w:t>Net cash used in investing activities was $72.2 million during the first nine months of 2000 and $97.5 million during the first nine months of 1999. The Trust purchased real estate totaling $26.3 million in the first nine months of 2000 and 1999, requiring cash outlays of $21.0 million and $23.7 million, respectively. In addition, the Trust purchased 100,000 operating units in the partnership that owns the Magruders and Courthouse shopping centers in Maryland from a minority partner for $2.1 million in cash during the first nine months of 2000 and 64,952 operating units in the partnership that owns the Kings Court shopping center in California from a minority partner for $1.6 million in cash during the first nine months of 1999. During these two periods, the Trust expended an additional $98.5 million and $65.0 million, respectively, in capital improvements to its properties. The Trust invested $3.7 million during the first nine months of 2000 and $7.2 million during the first nine months of 1999 in mortgage notes receivable with an average weighted interest rate of 9.7% and 10%, respectively. One mortgage note receivable of $5.9 million, which earned interest at 10%, was paid off June 23, 2000. An additional mortgage note receivable of $305,000, which also earned interest at 10%, was paid off on October 13, 2000. Cash of $47.2 million was received in June 2000 from the sale of a property.</w:t>
      </w:r>
    </w:p>
    <w:p>
      <w:pPr>
        <w:spacing w:after="0" w:line="341"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On January 5, 2000, the Trust purchased the 75,000 square foot Greenlawn Plaza in Greenlawn, New York for $6.2 million, with plans to renovate and expand the center by 35,000 square feet. On February 16, 2000, control of a parcel of land for future development in Hillsboro, Oregon was acquired for $11.7 million. An additional $1.6 million will be owed if certain cash flow criteria are met during the first ten years of operations. On September 26, 2000, the Trust purchased an additional property on East Houston Street in San Antonio, Texas for $1.5 million. With this purchase, the Trust assumed a mortgage with an outstanding balance of $345,000.</w:t>
      </w:r>
    </w:p>
    <w:p>
      <w:pPr>
        <w:spacing w:after="0" w:line="164" w:lineRule="exact"/>
        <w:rPr>
          <w:sz w:val="20"/>
          <w:szCs w:val="20"/>
          <w:color w:val="auto"/>
        </w:rPr>
      </w:pPr>
    </w:p>
    <w:p>
      <w:pPr>
        <w:ind w:right="3379" w:firstLine="174"/>
        <w:spacing w:after="0" w:line="258" w:lineRule="auto"/>
        <w:rPr>
          <w:sz w:val="20"/>
          <w:szCs w:val="20"/>
          <w:color w:val="auto"/>
        </w:rPr>
      </w:pPr>
      <w:r>
        <w:rPr>
          <w:rFonts w:ascii="Courier New" w:cs="Courier New" w:eastAsia="Courier New" w:hAnsi="Courier New"/>
          <w:sz w:val="14"/>
          <w:szCs w:val="14"/>
          <w:color w:val="auto"/>
        </w:rPr>
        <w:t>On January 1, 2000, the Trust issued 190,000 partnership units valued at $3.6 million in exchange for the minority partner's interest in Loehmann's Plaza.</w:t>
      </w:r>
    </w:p>
    <w:p>
      <w:pPr>
        <w:spacing w:after="0" w:line="160"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On April 6, 2000, the Trust converted a note receivable of $5.8 million to a 90% interest in a partnership owning a 30,000 square foot street retail property in Santa Monica, California valued at $6.3 million. The property is currently under construction. The Trust has contributed an additional $1.1 million towards the construction of the property as of September 30, 2000.</w:t>
      </w:r>
    </w:p>
    <w:p>
      <w:pPr>
        <w:spacing w:after="0" w:line="162" w:lineRule="exact"/>
        <w:rPr>
          <w:sz w:val="20"/>
          <w:szCs w:val="20"/>
          <w:color w:val="auto"/>
        </w:rPr>
      </w:pPr>
    </w:p>
    <w:p>
      <w:pPr>
        <w:ind w:right="3279" w:firstLine="174"/>
        <w:spacing w:after="0" w:line="255" w:lineRule="auto"/>
        <w:rPr>
          <w:sz w:val="20"/>
          <w:szCs w:val="20"/>
          <w:color w:val="auto"/>
        </w:rPr>
      </w:pPr>
      <w:r>
        <w:rPr>
          <w:rFonts w:ascii="Courier New" w:cs="Courier New" w:eastAsia="Courier New" w:hAnsi="Courier New"/>
          <w:sz w:val="14"/>
          <w:szCs w:val="14"/>
          <w:color w:val="auto"/>
        </w:rPr>
        <w:t>On June 30, 2000, the Trust sold the 296,000 square foot Peninsula Shopping Center located in Palos Verdes, California for $48.6 million resulting in a gain of $3.7 million.</w:t>
      </w:r>
    </w:p>
    <w:p>
      <w:pPr>
        <w:spacing w:after="0" w:line="162" w:lineRule="exact"/>
        <w:rPr>
          <w:sz w:val="20"/>
          <w:szCs w:val="20"/>
          <w:color w:val="auto"/>
        </w:rPr>
      </w:pPr>
    </w:p>
    <w:p>
      <w:pPr>
        <w:ind w:right="3639" w:firstLine="174"/>
        <w:spacing w:after="0" w:line="254" w:lineRule="auto"/>
        <w:rPr>
          <w:sz w:val="20"/>
          <w:szCs w:val="20"/>
          <w:color w:val="auto"/>
        </w:rPr>
      </w:pPr>
      <w:r>
        <w:rPr>
          <w:rFonts w:ascii="Courier New" w:cs="Courier New" w:eastAsia="Courier New" w:hAnsi="Courier New"/>
          <w:sz w:val="14"/>
          <w:szCs w:val="14"/>
          <w:color w:val="auto"/>
        </w:rPr>
        <w:t>Of the $98.5 million spent in the first nine months of 2000 on the Trust's existing real estate portfolio, approximately $53.1 million was invested in predevelopment and development projects in Bethesda, Maryland; San Jose, California; and Arlington, Virginia. The remaining $45.4 million of capital expenditures relates to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7" w:name="page18"/>
    <w:bookmarkEnd w:id="17"/>
    <w:p>
      <w:pPr>
        <w:ind w:right="3379"/>
        <w:spacing w:after="0" w:line="258" w:lineRule="auto"/>
        <w:rPr>
          <w:sz w:val="20"/>
          <w:szCs w:val="20"/>
          <w:color w:val="auto"/>
        </w:rPr>
      </w:pPr>
      <w:r>
        <w:rPr>
          <w:rFonts w:ascii="Courier New" w:cs="Courier New" w:eastAsia="Courier New" w:hAnsi="Courier New"/>
          <w:sz w:val="14"/>
          <w:szCs w:val="14"/>
          <w:color w:val="auto"/>
        </w:rPr>
        <w:t>improvements to common areas, tenant work and various redevelopments, including the renovation of Greenlawn Plaza.</w:t>
      </w:r>
    </w:p>
    <w:p>
      <w:pPr>
        <w:spacing w:after="0" w:line="160"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Net cash provided by financing activities, before dividend payments, was $47.0 million in the first nine months of 2000 and $77.8 million in the first nine months of 1999. The Trust utilized the proceeds from the sale of Peninsula Shopping Center, two unsecured borrowings and its unsecured line of credit to fund acquisitions, capital expenditures and share repurchases in 2000.</w:t>
      </w:r>
    </w:p>
    <w:p>
      <w:pPr>
        <w:spacing w:after="0" w:line="16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On February 29, 2000, the Trust obtained a construction loan for up to $24.5 million in connection with the Trust's Woodmont East development in Bethesda, Maryland. The loan, which has a floating interest rate of LIBOR plus 1.2% to 1.5%, depending on occupancy levels, matures August 29, 2002 with two one-year extension options. At September 30, 2000, the outstanding balance on the loan was $12.7 million. The property secures the construction loan facility.</w:t>
      </w:r>
    </w:p>
    <w:p>
      <w:pPr>
        <w:spacing w:after="0" w:line="16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In connection with the land for future development in Hillsboro, Oregon, the Trust issued a $3.4 million note which was due August 14, 2000. The note has been extended until June 30, 2001. The loan bears interest at LIBOR plus 1.25%. The property secures the loan facility. The Trust assumed a mortgage with the purchase of the new East Houston Street property in San Antonio, Texas. The mortgage, which matures in October 2008, bears interest at 7.5% and provides for monthly principal and interest payments.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At September 30, 2000, there was $186.3 million borrowed under the syndicated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facility. The maximum drawn during the first nine months of 2000 was</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$218.1 million.</w:t>
        <w:tab/>
        <w:t>The weighted average interest rate on borrowings for the nine</w:t>
      </w:r>
    </w:p>
    <w:p>
      <w:pPr>
        <w:spacing w:after="0" w:line="8"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4"/>
          <w:szCs w:val="14"/>
          <w:color w:val="auto"/>
        </w:rPr>
        <w:t>months ended September 30, 2000 was 7.0%.</w:t>
        <w:tab/>
        <w:t>The facility requires fees and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 covenants, including the maintenance of a minimum 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maximum ratio of debt to net worth. In June 2000, the Trust modified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 and extended its syndicated credit facility and its $125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term loan for an additional year to December 19, 2003. Fees paid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extension totaled $1.0 million.</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On October 23, 2000, the Trust obtained a $152 million mortgage loan which is secured by five shopping centers, thereby, mitigating its exposure to variable rate debt and providing funds for its development pipeline. The mortgage, which bears interest at 7.95%, matures November 1, 2015. The loan provides for interest only payments for the initial three years, then monthly principal and interest payments based on a twenty-seven year amortization schedule until the maturity date. The proceeds from the mortgage loan were used to pay down the Trust's revolving credit facility. The Trust paid a placement fee of $988,000 to obtain the mortgage loan.</w:t>
      </w:r>
    </w:p>
    <w:p>
      <w:pPr>
        <w:spacing w:after="0" w:line="164" w:lineRule="exact"/>
        <w:rPr>
          <w:sz w:val="20"/>
          <w:szCs w:val="20"/>
          <w:color w:val="auto"/>
        </w:rPr>
      </w:pPr>
    </w:p>
    <w:p>
      <w:pPr>
        <w:ind w:right="3539" w:firstLine="174"/>
        <w:spacing w:after="0" w:line="254" w:lineRule="auto"/>
        <w:rPr>
          <w:sz w:val="20"/>
          <w:szCs w:val="20"/>
          <w:color w:val="auto"/>
        </w:rPr>
      </w:pPr>
      <w:r>
        <w:rPr>
          <w:rFonts w:ascii="Courier New" w:cs="Courier New" w:eastAsia="Courier New" w:hAnsi="Courier New"/>
          <w:sz w:val="14"/>
          <w:szCs w:val="14"/>
          <w:color w:val="auto"/>
        </w:rPr>
        <w:t>In July 2000, citing the Trust's pursuit of development and the resultant capital requirements, Standard and Poor's lowered the rating on the Trust's senior notes from BBB+ to BBB flat. Under the terms of the syndicated credit facility, this lowered rating results in an increase in the Trust's borrowing rate from LIBOR plus 65 basis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8" w:name="page19"/>
    <w:bookmarkEnd w:id="18"/>
    <w:p>
      <w:pPr>
        <w:jc w:val="both"/>
        <w:ind w:right="3979"/>
        <w:spacing w:after="0" w:line="258" w:lineRule="auto"/>
        <w:rPr>
          <w:sz w:val="20"/>
          <w:szCs w:val="20"/>
          <w:color w:val="auto"/>
        </w:rPr>
      </w:pPr>
      <w:r>
        <w:rPr>
          <w:rFonts w:ascii="Courier New" w:cs="Courier New" w:eastAsia="Courier New" w:hAnsi="Courier New"/>
          <w:sz w:val="14"/>
          <w:szCs w:val="14"/>
          <w:color w:val="auto"/>
        </w:rPr>
        <w:t>points to LIBOR plus 80 basis points. The interest rate on the term loan increases from LIBOR plus 75 basis points to LIBOR plus 95 basis points.</w:t>
      </w:r>
    </w:p>
    <w:p>
      <w:pPr>
        <w:spacing w:after="0" w:line="160"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Capital requirements for the remainder of 2000 will depend on new development efforts, acquisition opportunities, the level of improvements and redevelopments on existing properties and the level of common shares that the Trust may repurchase. The Trust will fund these capital requirements with its syndicated credit facility.</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Longer term, the Trust will need additional capital in order to fund acquisitions, expansions and developments, particularly Santana Row. Sources of this funding may be additional debt, both secured and unsecured; additional equity; proceeds from the sale of properties; and joint venture relationships. The timing and choice of capital sources will depend on the cost and availability of that capital, among other things. The Trust believes, based on past experience, that access to the capital needed to execute its business plan will be available to 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w:t>
      </w:r>
    </w:p>
    <w:p>
      <w:pPr>
        <w:spacing w:after="0" w:line="175" w:lineRule="exact"/>
        <w:rPr>
          <w:sz w:val="20"/>
          <w:szCs w:val="20"/>
          <w:color w:val="auto"/>
        </w:rPr>
      </w:pPr>
    </w:p>
    <w:p>
      <w:pPr>
        <w:ind w:right="3279" w:firstLine="174"/>
        <w:spacing w:after="0" w:line="252" w:lineRule="auto"/>
        <w:rPr>
          <w:sz w:val="20"/>
          <w:szCs w:val="20"/>
          <w:color w:val="auto"/>
        </w:rPr>
      </w:pPr>
      <w:r>
        <w:rPr>
          <w:rFonts w:ascii="Courier New" w:cs="Courier New" w:eastAsia="Courier New" w:hAnsi="Courier New"/>
          <w:sz w:val="14"/>
          <w:szCs w:val="14"/>
          <w:color w:val="auto"/>
        </w:rPr>
        <w:t>In the next several years, the Trust's single largest capital need is expected to come from the development of Santana Row, a multi-phase mixed-use project to be built on 42 acres in San Jose, California in the heart of Silicon Valley. The project will consist of residential, retail and hotel properties, creating a community with the feel of an urban district. Phase 1 of the project, for which construction is just underway, includes, Santana Row, the "1,500 foot long main street" framed by nine buildings which will contain approximately 520,000 square feet of retail space, 497 residential units and a 200 room hotel, as well as the central utility plant. Phase 1 is expected to begin generating revenue in mid-2002 and be stabilized within the following year. The total cost of Phase 1, which includes the land and infrastructure for the later phases, is expected to be $475 million. As of September 30, 2000, the Trust has incurred $81 million including the purchase of the land. Site preparation has been completed and excavation was begun in early October 2000. The Trust is in discussions with several lenders to secure construction financing for Phase 1. Initial unlevered returns on Phase 1 of Santana Row are expected to modestly exceed the cost of construction financing currently estimated in the 8.75% range. There can be no assurance, however, that either the projected returns or the construction financing will be obtained.</w:t>
      </w:r>
    </w:p>
    <w:p>
      <w:pPr>
        <w:spacing w:after="0" w:line="341"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The Trust expects that the passage of time and the buildout of later phases will significantly enhance total returns on the project. Returns on later phases are expected to surpass the initial returns on Phase 1, since the land and infrastructure costs of the entire project are included in Phase 1. The ability to achieve these higher returns both on Phase 1 and on later phases, however, are dependent on many factors which cannot be assured and are not entirely within the Trust's control. These factors include among others, continued strong demand for retail and residential space at current or increasing prices, the ability to construct the later phases at reasonable prices, the availability of capital and the general economy, particularly Silicon Valley.</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63"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Pursuant to the provisions of the partnership agreement, in the event of the exercise of put options by another partner, the Trust would be required to purchase a 37.5% interest of Congressional Plaza at its then fair market value. Based on management's current estimate of fair market value, the Trust's estimated liability upon exercise of the put option is approximately $27 million.</w:t>
      </w:r>
    </w:p>
    <w:p>
      <w:pPr>
        <w:spacing w:after="0" w:line="329"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Under the terms of certain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shares of the Trust, at the election of the limited partners. In certain of the partnerships, if the limited partners do not redeem their interest, the Trust may choose to purchase the limited partnership interests upon the same terms.</w:t>
      </w:r>
    </w:p>
    <w:p>
      <w:pPr>
        <w:spacing w:after="0" w:line="165" w:lineRule="exact"/>
        <w:rPr>
          <w:sz w:val="20"/>
          <w:szCs w:val="20"/>
          <w:color w:val="auto"/>
        </w:rPr>
      </w:pPr>
    </w:p>
    <w:p>
      <w:pPr>
        <w:ind w:right="3279" w:firstLine="174"/>
        <w:spacing w:after="0" w:line="255" w:lineRule="auto"/>
        <w:rPr>
          <w:sz w:val="20"/>
          <w:szCs w:val="20"/>
          <w:color w:val="auto"/>
        </w:rPr>
      </w:pPr>
      <w:r>
        <w:rPr>
          <w:rFonts w:ascii="Courier New" w:cs="Courier New" w:eastAsia="Courier New" w:hAnsi="Courier New"/>
          <w:sz w:val="14"/>
          <w:szCs w:val="14"/>
          <w:color w:val="auto"/>
        </w:rPr>
        <w:t>Under the terms of other partnership agreements, the partners may redeem their 904,589 operating units for cash or exchange into the same number of common shares of the Trust, at the option of the Trust.</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379" w:firstLine="174"/>
        <w:spacing w:after="0" w:line="252"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redevelopment and financing activities. The Trust has historically reported its funds from operations in addition to its net income and net cash provided by operating activities. Funds from operations is a supplemental measure of real estate companies' operating performance. As of January 1, 2000, the National Association of Real Estate Investment Trusts ("NAREIT") defines funds from operations as follows: income available for common shareholders before depreciation and amortization of real estate assets and before extraordinary items less gains on sale of real estate. Prior to January 1, 2000, funds from operations also excluded significant nonrecurring events.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reconciliation of net income to funds from operations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Nine months ending</w:t>
            </w:r>
          </w:p>
        </w:tc>
        <w:tc>
          <w:tcPr>
            <w:tcW w:w="2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ending</w:t>
            </w:r>
          </w:p>
        </w:tc>
      </w:tr>
      <w:tr>
        <w:trPr>
          <w:trHeight w:val="167"/>
        </w:trPr>
        <w:tc>
          <w:tcPr>
            <w:tcW w:w="3520" w:type="dxa"/>
            <w:vAlign w:val="bottom"/>
          </w:tcPr>
          <w:p>
            <w:pPr>
              <w:spacing w:after="0"/>
              <w:rPr>
                <w:sz w:val="14"/>
                <w:szCs w:val="14"/>
                <w:color w:val="auto"/>
              </w:rPr>
            </w:pPr>
          </w:p>
        </w:tc>
        <w:tc>
          <w:tcPr>
            <w:tcW w:w="312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September 30,</w:t>
            </w:r>
          </w:p>
        </w:tc>
        <w:tc>
          <w:tcPr>
            <w:tcW w:w="88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3520" w:type="dxa"/>
            <w:vAlign w:val="bottom"/>
          </w:tcPr>
          <w:p>
            <w:pPr>
              <w:spacing w:after="0"/>
              <w:rPr>
                <w:sz w:val="14"/>
                <w:szCs w:val="14"/>
                <w:color w:val="auto"/>
              </w:rPr>
            </w:pP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520" w:type="dxa"/>
            <w:vAlign w:val="bottom"/>
          </w:tcPr>
          <w:p>
            <w:pPr>
              <w:spacing w:after="0"/>
              <w:rPr>
                <w:sz w:val="14"/>
                <w:szCs w:val="14"/>
                <w:color w:val="auto"/>
              </w:rPr>
            </w:pP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$40,671</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$28,592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$12,433</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$12,198</w:t>
            </w:r>
          </w:p>
        </w:tc>
      </w:tr>
      <w:tr>
        <w:trPr>
          <w:trHeight w:val="167"/>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shareholders - basic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(Gain) loss on sale of</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(3,681)</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7,050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real estate</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of</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35,852</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33,849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12,229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11,232</w:t>
            </w:r>
          </w:p>
        </w:tc>
      </w:tr>
      <w:tr>
        <w:trPr>
          <w:trHeight w:val="167"/>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real estate assets</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Amortization of initial direct</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2,597</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2,235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775</w:t>
            </w:r>
          </w:p>
        </w:tc>
      </w:tr>
      <w:tr>
        <w:trPr>
          <w:trHeight w:val="167"/>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costs of leases</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1,022</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7"/>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partnership units</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Funds from operations for common</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shareholders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$76,461</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$72,278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$25,837</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$24,396</w:t>
            </w:r>
          </w:p>
        </w:tc>
      </w:tr>
      <w:tr>
        <w:trPr>
          <w:trHeight w:val="167"/>
        </w:trPr>
        <w:tc>
          <w:tcPr>
            <w:tcW w:w="3520" w:type="dxa"/>
            <w:vAlign w:val="bottom"/>
          </w:tcPr>
          <w:p>
            <w:pPr>
              <w:spacing w:after="0"/>
              <w:rPr>
                <w:sz w:val="14"/>
                <w:szCs w:val="14"/>
                <w:color w:val="auto"/>
              </w:rPr>
            </w:pP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NINE MONTHS ENDED SEPTEMBER 30, 2000 and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6.4% from $181.1 million in the first nine months of 1999 to $192.6 million in the first nine months of 2000. If properties acquired, sold and developed in 2000 and 1999 are excluded, rental income increased 7.7%, due primarily to the favorable impact of redeveloped and retenanted centers.</w:t>
      </w:r>
    </w:p>
    <w:p>
      <w:pPr>
        <w:spacing w:after="0" w:line="162" w:lineRule="exact"/>
        <w:rPr>
          <w:sz w:val="20"/>
          <w:szCs w:val="20"/>
          <w:color w:val="auto"/>
        </w:rPr>
      </w:pPr>
    </w:p>
    <w:p>
      <w:pPr>
        <w:ind w:right="3279" w:firstLine="174"/>
        <w:spacing w:after="0" w:line="252" w:lineRule="auto"/>
        <w:rPr>
          <w:sz w:val="20"/>
          <w:szCs w:val="20"/>
          <w:color w:val="auto"/>
        </w:rPr>
      </w:pPr>
      <w:r>
        <w:rPr>
          <w:rFonts w:ascii="Courier New" w:cs="Courier New" w:eastAsia="Courier New" w:hAnsi="Courier New"/>
          <w:sz w:val="14"/>
          <w:szCs w:val="14"/>
          <w:color w:val="auto"/>
        </w:rPr>
        <w:t>Other property income includes items such as utility reimbursements, telephone income, merchant association dues, late fees and temporary tenant income.</w:t>
      </w:r>
    </w:p>
    <w:p>
      <w:pPr>
        <w:spacing w:after="0" w:line="1"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Other property income remained constant for the first nine months of 2000 compared to 1999. On a same center basis, other property income decreased $398,000 for the first nine months of 2000 compared to 1999.</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Rental expenses increased 5.1% from $39.1 million in the first nine months of 1999 to $41.1 million in the first nine months of 2000. If rental expenses are adjusted for properties acquired, sold and developed in 2000 and 1999, rental expenses increased 6.0% from $36.1 million in 1999 to $38.2 million in 2000, primarily due to increased snow removal and utility costs in 2000. Rental expense as a percentage of property income remained constant in both periods at 21%.</w:t>
      </w:r>
    </w:p>
    <w:p>
      <w:pPr>
        <w:spacing w:after="0" w:line="332"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Real estate taxes increased 7.5% from $18.3 million in the first nine months of 1999 to $19.7 million in the first nine months of 2000. If real estate taxes are adjusted for properties acquired, sold and developed in 2000 and 1999, real estate taxes increased 7.4% due primarily to increased taxes on recently redeveloped properties.</w:t>
      </w:r>
    </w:p>
    <w:p>
      <w:pPr>
        <w:spacing w:after="0" w:line="162"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Depreciation and amortization expenses increased 5.7% from $37.3 million in the first nine months of 1999 to $39.4 million in the first nine months of 2000 reflecting the impact of recent tenant work and property improvements.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During the first nine months of 2000, the Trust incurred interest expense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$58.5 million, of which $9.0 million was capitalized, as compared to 1999's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$50.3 million, of which $4.8 million was capitalized. The increase in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reflects the additional debt issued to fund the Trust's share repurchase</w:t>
      </w:r>
    </w:p>
    <w:p>
      <w:pPr>
        <w:spacing w:after="0" w:line="8"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4"/>
          <w:szCs w:val="14"/>
          <w:color w:val="auto"/>
        </w:rPr>
        <w:t>and capital improvement programs.</w:t>
        <w:tab/>
        <w:t>The ratio of earnings to combined fixed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and preferred dividends was 1.43x and 1.54x for the first nine months of</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2000 and 1999, respectively.</w:t>
        <w:tab/>
        <w:t>The ratio of earnings to fixed charges was 1.6x</w:t>
      </w:r>
    </w:p>
    <w:p>
      <w:pPr>
        <w:spacing w:after="0" w:line="8"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4"/>
          <w:szCs w:val="14"/>
          <w:color w:val="auto"/>
        </w:rPr>
        <w:t>and 1.7x during the first nine months of 2000 and 1999, respectively.</w:t>
        <w:tab/>
        <w:t>The ratio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funds from operations to combined fixed charges and preferred dividends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2.0x for the first nine months of 2000 and 2.2x for the first nine months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Administrative expenses decreased from $10.9 million in the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2" w:name="page23"/>
    <w:bookmarkEnd w:id="22"/>
    <w:p>
      <w:pPr>
        <w:ind w:right="3279"/>
        <w:spacing w:after="0" w:line="254" w:lineRule="auto"/>
        <w:rPr>
          <w:sz w:val="20"/>
          <w:szCs w:val="20"/>
          <w:color w:val="auto"/>
        </w:rPr>
      </w:pPr>
      <w:r>
        <w:rPr>
          <w:rFonts w:ascii="Courier New" w:cs="Courier New" w:eastAsia="Courier New" w:hAnsi="Courier New"/>
          <w:sz w:val="14"/>
          <w:szCs w:val="14"/>
          <w:color w:val="auto"/>
        </w:rPr>
        <w:t>first nine months of 1999 to $9.0 million in the first nine months of 2000. During the third quarter of 1999 the Trust recorded a $2.5 million charge related to a terminated merger transaction. The decrease in these costs was offset by increased personnel costs. The tight labor market in the Trust's operating regions resulted in higher compensation costs both to existing and new employees.</w:t>
      </w:r>
    </w:p>
    <w:p>
      <w:pPr>
        <w:spacing w:after="0" w:line="329"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On June 30, 2000, the Trust sold the 296,000 square foot Peninsula Shopping Center located in Palos Verdes, California for $48.6 million resulting in a gain of $3.7 million. During the second quarter of 1999, the Trust recorded a $7.1 million charge, representing the estimated loss on a potential sale of certain assets, principally Northeast Plaza in Atlanta, Georgia, thereby valuing the assets at their estimated fair value less estimated costs to sell. On October 18, 1999, the Trust sold Northeast Plaza for $19.6 million, realizing a loss of $6.3 million.</w:t>
      </w:r>
    </w:p>
    <w:p>
      <w:pPr>
        <w:spacing w:after="0" w:line="16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As a result of the foregoing items, net income before gain (loss) on the sale of real estate increased from $41.6 million in the first nine months of 1999 to $43.0 million in the first nine months of 2000, while net income increased from $34.6 million during the first nine months of 1999 to $46.6 million during the first nine months of 2000 and net income available for common shareholders increased from $28.6 million to $40.7 million.</w:t>
      </w:r>
    </w:p>
    <w:p>
      <w:pPr>
        <w:spacing w:after="0" w:line="165" w:lineRule="exact"/>
        <w:rPr>
          <w:sz w:val="20"/>
          <w:szCs w:val="20"/>
          <w:color w:val="auto"/>
        </w:rPr>
      </w:pPr>
    </w:p>
    <w:p>
      <w:pPr>
        <w:ind w:right="3279" w:firstLine="174"/>
        <w:spacing w:after="0" w:line="252" w:lineRule="auto"/>
        <w:rPr>
          <w:sz w:val="20"/>
          <w:szCs w:val="20"/>
          <w:color w:val="auto"/>
        </w:rPr>
      </w:pPr>
      <w:r>
        <w:rPr>
          <w:rFonts w:ascii="Courier New" w:cs="Courier New" w:eastAsia="Courier New" w:hAnsi="Courier New"/>
          <w:sz w:val="14"/>
          <w:szCs w:val="14"/>
          <w:color w:val="auto"/>
        </w:rPr>
        <w:t>The Trust expects growth in net income and funds from operations during the fourth quarter of 2000 to be consistent with that of the first three quarters. The growth in the remainder of 2000 will continue to be primarily dependent on contributions from the core portfolio. Growth of net income from the core portfolio is, in part, dependent on controlling expenses, some of which are beyond the complete control of the Trust, such as snow removal and trends in the retailing environment, such as the evolution of the Internet and demand for retail space. The Trust currently expects that demand for its retail space should remain at its current levels.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 Growth in net income and funds from operations in 2001 is expected to be slower than in 2000, due in part, to higher interest rates and higher administrative costs, which offset the positive impact of the Bethesda and Pentagon new developments.</w:t>
      </w:r>
    </w:p>
    <w:p>
      <w:pPr>
        <w:spacing w:after="0" w:line="173"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Growth in net income is also dependent on the amount of leverage and interest rates. The Trust's leverage is increasing as it finances its development pipeline. In addition, the Trust will continue to have exposure to changes in market interest rates. As interest rates increase, net income and funds from operations, as well as the ultimate cost of the Trust's development projects will be negatively impacted due to the variable interest rates on the Trust's revolving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credit facilities.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The Trust operates its portfolio of properties in three geographic operating regions: Northeast, Mid-Atlantic and West.</w:t>
      </w:r>
    </w:p>
    <w:p>
      <w:pPr>
        <w:spacing w:after="0" w:line="160" w:lineRule="exact"/>
        <w:rPr>
          <w:sz w:val="20"/>
          <w:szCs w:val="20"/>
          <w:color w:val="auto"/>
        </w:rPr>
      </w:pPr>
    </w:p>
    <w:p>
      <w:pPr>
        <w:ind w:right="4059" w:firstLine="174"/>
        <w:spacing w:after="0" w:line="258" w:lineRule="auto"/>
        <w:rPr>
          <w:sz w:val="20"/>
          <w:szCs w:val="20"/>
          <w:color w:val="auto"/>
        </w:rPr>
      </w:pPr>
      <w:r>
        <w:rPr>
          <w:rFonts w:ascii="Courier New" w:cs="Courier New" w:eastAsia="Courier New" w:hAnsi="Courier New"/>
          <w:sz w:val="14"/>
          <w:szCs w:val="14"/>
          <w:color w:val="auto"/>
        </w:rPr>
        <w:t>Historical operating results for the three regions are as follows (in thousands):</w:t>
      </w:r>
    </w:p>
    <w:p>
      <w:pPr>
        <w:spacing w:after="0" w:line="160"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For the nine months ended</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September 30,</w:t>
      </w:r>
    </w:p>
    <w:p>
      <w:pPr>
        <w:spacing w:after="0" w:line="8" w:lineRule="exact"/>
        <w:rPr>
          <w:sz w:val="20"/>
          <w:szCs w:val="20"/>
          <w:color w:val="auto"/>
        </w:rPr>
      </w:pPr>
    </w:p>
    <w:p>
      <w:pPr>
        <w:ind w:left="3740"/>
        <w:spacing w:after="0"/>
        <w:tabs>
          <w:tab w:leader="none" w:pos="59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2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Northeast</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$ 83,991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$ 75,596</w:t>
            </w: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Mid-Atlantic</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83,956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82,710</w:t>
            </w: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West</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24,637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22,772</w:t>
            </w:r>
          </w:p>
        </w:tc>
      </w:tr>
      <w:tr>
        <w:trPr>
          <w:trHeight w:val="167"/>
        </w:trPr>
        <w:tc>
          <w:tcPr>
            <w:tcW w:w="2880" w:type="dxa"/>
            <w:vAlign w:val="bottom"/>
          </w:tcPr>
          <w:p>
            <w:pPr>
              <w:spacing w:after="0"/>
              <w:rPr>
                <w:sz w:val="14"/>
                <w:szCs w:val="14"/>
                <w:color w:val="auto"/>
              </w:rPr>
            </w:pP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ind w:left="1740"/>
              <w:spacing w:after="0"/>
              <w:rPr>
                <w:sz w:val="20"/>
                <w:szCs w:val="20"/>
                <w:color w:val="auto"/>
              </w:rPr>
            </w:pPr>
            <w:r>
              <w:rPr>
                <w:rFonts w:ascii="Courier New" w:cs="Courier New" w:eastAsia="Courier New" w:hAnsi="Courier New"/>
                <w:sz w:val="14"/>
                <w:szCs w:val="14"/>
                <w:color w:val="auto"/>
              </w:rPr>
              <w:t>Total</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$192,584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$181,078</w:t>
            </w:r>
          </w:p>
        </w:tc>
      </w:tr>
      <w:tr>
        <w:trPr>
          <w:trHeight w:val="167"/>
        </w:trPr>
        <w:tc>
          <w:tcPr>
            <w:tcW w:w="2880" w:type="dxa"/>
            <w:vAlign w:val="bottom"/>
          </w:tcPr>
          <w:p>
            <w:pPr>
              <w:spacing w:after="0"/>
              <w:rPr>
                <w:sz w:val="14"/>
                <w:szCs w:val="14"/>
                <w:color w:val="auto"/>
              </w:rPr>
            </w:pP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Northeast</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$ 59,275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$ 55,260</w:t>
            </w: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Mid-Atlantic</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62,209</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60,525</w:t>
            </w: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West</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18,471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16,071</w:t>
            </w:r>
          </w:p>
        </w:tc>
      </w:tr>
      <w:tr>
        <w:trPr>
          <w:trHeight w:val="167"/>
        </w:trPr>
        <w:tc>
          <w:tcPr>
            <w:tcW w:w="2880" w:type="dxa"/>
            <w:vAlign w:val="bottom"/>
          </w:tcPr>
          <w:p>
            <w:pPr>
              <w:spacing w:after="0"/>
              <w:rPr>
                <w:sz w:val="14"/>
                <w:szCs w:val="14"/>
                <w:color w:val="auto"/>
              </w:rPr>
            </w:pP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ind w:left="1740"/>
              <w:spacing w:after="0"/>
              <w:rPr>
                <w:sz w:val="20"/>
                <w:szCs w:val="20"/>
                <w:color w:val="auto"/>
              </w:rPr>
            </w:pPr>
            <w:r>
              <w:rPr>
                <w:rFonts w:ascii="Courier New" w:cs="Courier New" w:eastAsia="Courier New" w:hAnsi="Courier New"/>
                <w:sz w:val="14"/>
                <w:szCs w:val="14"/>
                <w:color w:val="auto"/>
              </w:rPr>
              <w:t>Total</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$139,955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$131,856</w:t>
            </w:r>
          </w:p>
        </w:tc>
      </w:tr>
      <w:tr>
        <w:trPr>
          <w:trHeight w:val="167"/>
        </w:trPr>
        <w:tc>
          <w:tcPr>
            <w:tcW w:w="2880" w:type="dxa"/>
            <w:vAlign w:val="bottom"/>
          </w:tcPr>
          <w:p>
            <w:pPr>
              <w:spacing w:after="0"/>
              <w:rPr>
                <w:sz w:val="14"/>
                <w:szCs w:val="14"/>
                <w:color w:val="auto"/>
              </w:rPr>
            </w:pP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Northeast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539" w:firstLine="174"/>
        <w:spacing w:after="0" w:line="255" w:lineRule="auto"/>
        <w:rPr>
          <w:sz w:val="20"/>
          <w:szCs w:val="20"/>
          <w:color w:val="auto"/>
        </w:rPr>
      </w:pPr>
      <w:r>
        <w:rPr>
          <w:rFonts w:ascii="Courier New" w:cs="Courier New" w:eastAsia="Courier New" w:hAnsi="Courier New"/>
          <w:sz w:val="14"/>
          <w:szCs w:val="14"/>
          <w:color w:val="auto"/>
        </w:rPr>
        <w:t>The Northeast region is comprised of fifty-four assets, extending from suburban Philadelphia north through New York and its suburbs into New England and west to Illinois and Michigan.</w:t>
      </w:r>
    </w:p>
    <w:p>
      <w:pPr>
        <w:spacing w:after="0" w:line="329"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When comparing the first nine months of 2000 with 1999, rental income increased 11.1% from $75.6 million in 1999 to $84.0 million in 2000. Excluding properties acquired since January 1, 1999, on a same center basis, rental income increased 10.5%, primarily due to increases at recently redeveloped and retenanted shopping centers, such as Bala Cynwyd, Lawrence Park, Gratiot, Langhorne Square and Wynnewood.</w:t>
      </w:r>
    </w:p>
    <w:p>
      <w:pPr>
        <w:spacing w:after="0" w:line="165" w:lineRule="exact"/>
        <w:rPr>
          <w:sz w:val="20"/>
          <w:szCs w:val="20"/>
          <w:color w:val="auto"/>
        </w:rPr>
      </w:pPr>
    </w:p>
    <w:p>
      <w:pPr>
        <w:ind w:right="3719" w:firstLine="174"/>
        <w:spacing w:after="0" w:line="254" w:lineRule="auto"/>
        <w:rPr>
          <w:sz w:val="20"/>
          <w:szCs w:val="20"/>
          <w:color w:val="auto"/>
        </w:rPr>
      </w:pPr>
      <w:r>
        <w:rPr>
          <w:rFonts w:ascii="Courier New" w:cs="Courier New" w:eastAsia="Courier New" w:hAnsi="Courier New"/>
          <w:sz w:val="14"/>
          <w:szCs w:val="14"/>
          <w:color w:val="auto"/>
        </w:rPr>
        <w:t>Net operating income increased 7.3% from $55.3 million in 1999 to $59.3 million in 2000. Excluding properties acquired since January 1, 1999, net operating income increased 6.8%, primarily due to increases at the recently redeveloped and retenanted shopping centers.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Mid-Atlantic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239" w:firstLine="174"/>
        <w:spacing w:after="0" w:line="258" w:lineRule="auto"/>
        <w:rPr>
          <w:sz w:val="20"/>
          <w:szCs w:val="20"/>
          <w:color w:val="auto"/>
        </w:rPr>
      </w:pPr>
      <w:r>
        <w:rPr>
          <w:rFonts w:ascii="Courier New" w:cs="Courier New" w:eastAsia="Courier New" w:hAnsi="Courier New"/>
          <w:sz w:val="14"/>
          <w:szCs w:val="14"/>
          <w:color w:val="auto"/>
        </w:rPr>
        <w:t>The Mid-Atlantic region is comprised of thirty assets, located from Baltimore south to metropolitan Washington, D.C. and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further south through Virginia, North Carolina and Florida.</w:t>
      </w:r>
    </w:p>
    <w:p>
      <w:pPr>
        <w:spacing w:after="0" w:line="175"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When comparing the first nine months of 2000 with 1999, rental income increased 1.5% from $82.7 million in 1999 to $84.0 million in 2000. On a same center basis, excluding Northeast Plaza in Atlanta, Georgia which was sold in 1999 and the recently developed Phase 3 of the Bethesda Row project in Bethesda, Maryland, rental income increased 3.3%, due in part to new anchor leases at several centers.</w:t>
      </w:r>
    </w:p>
    <w:p>
      <w:pPr>
        <w:spacing w:after="0" w:line="329"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When comparing the first nine months of 2000 with 1999, net operating income increased 2.8% from $60.5 million in 1999 to $62.2 million in 2000. On the same center basis as above net operating income increased 4.5%, due primarily to the new anchor leases and lease termination fees.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174"/>
        <w:spacing w:after="0" w:line="258" w:lineRule="auto"/>
        <w:rPr>
          <w:sz w:val="20"/>
          <w:szCs w:val="20"/>
          <w:color w:val="auto"/>
        </w:rPr>
      </w:pPr>
      <w:r>
        <w:rPr>
          <w:rFonts w:ascii="Courier New" w:cs="Courier New" w:eastAsia="Courier New" w:hAnsi="Courier New"/>
          <w:sz w:val="14"/>
          <w:szCs w:val="14"/>
          <w:color w:val="auto"/>
        </w:rPr>
        <w:t>The Western region is comprised of thirty-eight assets, located from Texas to the West Coast.</w:t>
      </w:r>
    </w:p>
    <w:p>
      <w:pPr>
        <w:spacing w:after="0" w:line="160"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When comparing the first nine months of 2000 with 1999, rental income increased 8.2% from $22.8 million in 1999 to $24.6 million in 2000. Excluding newly developed properties, Santana Row, which is currently under development, and properties acquired and sold since January 1, 1999, rental income increased 18.5%, due primarily to recently redeveloped and retenanted properties in the Los Angeles and San Francisco, California areas.</w:t>
      </w:r>
    </w:p>
    <w:p>
      <w:pPr>
        <w:spacing w:after="0" w:line="16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When comparing the first nine months of 2000 with 1999, net operating income increased 14.9% from $16.1 million in 1999 to $18.5 million in 2000. Excluding newly developed properties, Santana Row, which is currently under development, and properties acquired and sold since January 1, 1999, net operating income increased 31.7%, due to increases from the recently redeveloped and retenanted properties as mentioned above.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RESULTS OF OPERATIONS - THREE MONTHS ENDED SEPTEMBER 30, 2000 and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539" w:firstLine="174"/>
        <w:spacing w:after="0" w:line="254"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3.4% from $62.0 million in the third quarter of 1999 to $64.1 million in the third quarter of 2000. If properties acquired, sold and developed in 2000 and 1999 are excluded, rental income increased 7.3%, due primarily to the favorable impact of redeveloped and retenanted centers.</w:t>
      </w:r>
    </w:p>
    <w:p>
      <w:pPr>
        <w:spacing w:after="0" w:line="162" w:lineRule="exact"/>
        <w:rPr>
          <w:sz w:val="20"/>
          <w:szCs w:val="20"/>
          <w:color w:val="auto"/>
        </w:rPr>
      </w:pPr>
    </w:p>
    <w:p>
      <w:pPr>
        <w:ind w:right="3279" w:firstLine="174"/>
        <w:spacing w:after="0" w:line="252" w:lineRule="auto"/>
        <w:rPr>
          <w:sz w:val="20"/>
          <w:szCs w:val="20"/>
          <w:color w:val="auto"/>
        </w:rPr>
      </w:pPr>
      <w:r>
        <w:rPr>
          <w:rFonts w:ascii="Courier New" w:cs="Courier New" w:eastAsia="Courier New" w:hAnsi="Courier New"/>
          <w:sz w:val="14"/>
          <w:szCs w:val="14"/>
          <w:color w:val="auto"/>
        </w:rPr>
        <w:t>Other property income includes items such as utility reimbursements, telephone income, merchant association dues, late fees and temporary tenant income.</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Other property income decreased 19.9% from $3.3 million in the third quarter of 1999 to $2.7 million in the third quarter of 2000 due primarily to a decrease in lease termination fees.</w:t>
      </w:r>
    </w:p>
    <w:p>
      <w:pPr>
        <w:spacing w:after="0" w:line="162" w:lineRule="exact"/>
        <w:rPr>
          <w:sz w:val="20"/>
          <w:szCs w:val="20"/>
          <w:color w:val="auto"/>
        </w:rPr>
      </w:pPr>
    </w:p>
    <w:p>
      <w:pPr>
        <w:ind w:right="3539" w:firstLine="174"/>
        <w:spacing w:after="0" w:line="254" w:lineRule="auto"/>
        <w:rPr>
          <w:sz w:val="20"/>
          <w:szCs w:val="20"/>
          <w:color w:val="auto"/>
        </w:rPr>
      </w:pPr>
      <w:r>
        <w:rPr>
          <w:rFonts w:ascii="Courier New" w:cs="Courier New" w:eastAsia="Courier New" w:hAnsi="Courier New"/>
          <w:sz w:val="14"/>
          <w:szCs w:val="14"/>
          <w:color w:val="auto"/>
        </w:rPr>
        <w:t>Rental expenses remained constant at $13.0 million in the third quarter of 1999 and 2000. If rental expenses are adjusted for properties acquired, sold and developed in 2000 and 1999, rental expenses increased 4.2% from $11.8 million in 1999 to $12.3 million in 2000. Rental expense as a percentage of property income remained constant in both periods at 20%.</w:t>
      </w:r>
    </w:p>
    <w:p>
      <w:pPr>
        <w:spacing w:after="0" w:line="162" w:lineRule="exact"/>
        <w:rPr>
          <w:sz w:val="20"/>
          <w:szCs w:val="20"/>
          <w:color w:val="auto"/>
        </w:rPr>
      </w:pPr>
    </w:p>
    <w:p>
      <w:pPr>
        <w:ind w:right="3639" w:firstLine="174"/>
        <w:spacing w:after="0" w:line="254" w:lineRule="auto"/>
        <w:rPr>
          <w:sz w:val="20"/>
          <w:szCs w:val="20"/>
          <w:color w:val="auto"/>
        </w:rPr>
      </w:pPr>
      <w:r>
        <w:rPr>
          <w:rFonts w:ascii="Courier New" w:cs="Courier New" w:eastAsia="Courier New" w:hAnsi="Courier New"/>
          <w:sz w:val="14"/>
          <w:szCs w:val="14"/>
          <w:color w:val="auto"/>
        </w:rPr>
        <w:t>Real estate taxes increased 4.1% from $6.5 million in the third quarter of 1999 to $6.7 million in the third quarter of 2000. If real estate taxes are adjusted for properties acquired, sold and developed in 2000 and 1999, real estate taxes increased 4.5% due primarily to increased taxes on recently redeveloped properties.</w:t>
      </w:r>
    </w:p>
    <w:p>
      <w:pPr>
        <w:spacing w:after="0" w:line="162" w:lineRule="exact"/>
        <w:rPr>
          <w:sz w:val="20"/>
          <w:szCs w:val="20"/>
          <w:color w:val="auto"/>
        </w:rPr>
      </w:pPr>
    </w:p>
    <w:p>
      <w:pPr>
        <w:ind w:right="3539" w:firstLine="174"/>
        <w:spacing w:after="0" w:line="255" w:lineRule="auto"/>
        <w:rPr>
          <w:sz w:val="20"/>
          <w:szCs w:val="20"/>
          <w:color w:val="auto"/>
        </w:rPr>
      </w:pPr>
      <w:r>
        <w:rPr>
          <w:rFonts w:ascii="Courier New" w:cs="Courier New" w:eastAsia="Courier New" w:hAnsi="Courier New"/>
          <w:sz w:val="14"/>
          <w:szCs w:val="14"/>
          <w:color w:val="auto"/>
        </w:rPr>
        <w:t>Depreciation and amortization expenses increased 8.6% from $12.4 million in the third quarter of 1999 to $13.4 million in the third quarter of 2000 reflecting the impact of recent tenant work and property improvements.</w:t>
      </w:r>
    </w:p>
    <w:p>
      <w:pPr>
        <w:spacing w:after="0" w:line="162" w:lineRule="exact"/>
        <w:rPr>
          <w:sz w:val="20"/>
          <w:szCs w:val="20"/>
          <w:color w:val="auto"/>
        </w:rPr>
      </w:pPr>
    </w:p>
    <w:p>
      <w:pPr>
        <w:ind w:right="3279" w:firstLine="174"/>
        <w:spacing w:after="0" w:line="254" w:lineRule="auto"/>
        <w:rPr>
          <w:sz w:val="20"/>
          <w:szCs w:val="20"/>
          <w:color w:val="auto"/>
        </w:rPr>
      </w:pPr>
      <w:r>
        <w:rPr>
          <w:rFonts w:ascii="Courier New" w:cs="Courier New" w:eastAsia="Courier New" w:hAnsi="Courier New"/>
          <w:sz w:val="14"/>
          <w:szCs w:val="14"/>
          <w:color w:val="auto"/>
        </w:rPr>
        <w:t>During the third quarter of 2000, the Trust incurred interest expense of $19.8 million, of which $3.8 million was capitalized, as compared to 1999's $17.0 million, of which $2.0 million was capitalized. The increase in interest expense reflects the additional debt issued to fund the Trust's share repurchase and capital improvement programs.</w:t>
      </w:r>
    </w:p>
    <w:p>
      <w:pPr>
        <w:spacing w:after="0" w:line="162"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Administrative expenses decreased from $5.5 million in the third quarter of 1999 to $3.2 million in the third quarter of 2000. During the third quarter of 1999, the Trust recorded a $2.5 million charge related to a terminated merger transaction. The decrease in these costs was offset by increased personnel costs. The tight labor market in the Trust's operating regions resulted in higher compensation costs both to existing and new employees.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 result of the foregoing items, net income increased from</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26" w:name="page27"/>
    <w:bookmarkEnd w:id="26"/>
    <w:p>
      <w:pPr>
        <w:ind w:right="3279"/>
        <w:spacing w:after="0" w:line="255" w:lineRule="auto"/>
        <w:rPr>
          <w:sz w:val="20"/>
          <w:szCs w:val="20"/>
          <w:color w:val="auto"/>
        </w:rPr>
      </w:pPr>
      <w:r>
        <w:rPr>
          <w:rFonts w:ascii="Courier New" w:cs="Courier New" w:eastAsia="Courier New" w:hAnsi="Courier New"/>
          <w:sz w:val="14"/>
          <w:szCs w:val="14"/>
          <w:color w:val="auto"/>
        </w:rPr>
        <w:t>$14.2 million during the third quarter of 1999 to $14.4 million during the third quarter of 2000 and net income available for common shareholders increased from $12.2 million to $12.4 million.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The Trust operates its portfolio of properties in three geographic operating regions: Northeast, Mid-Atlantic and West.</w:t>
      </w:r>
    </w:p>
    <w:p>
      <w:pPr>
        <w:spacing w:after="0" w:line="160" w:lineRule="exact"/>
        <w:rPr>
          <w:sz w:val="20"/>
          <w:szCs w:val="20"/>
          <w:color w:val="auto"/>
        </w:rPr>
      </w:pPr>
    </w:p>
    <w:p>
      <w:pPr>
        <w:ind w:right="4059" w:firstLine="174"/>
        <w:spacing w:after="0" w:line="258" w:lineRule="auto"/>
        <w:rPr>
          <w:sz w:val="20"/>
          <w:szCs w:val="20"/>
          <w:color w:val="auto"/>
        </w:rPr>
      </w:pPr>
      <w:r>
        <w:rPr>
          <w:rFonts w:ascii="Courier New" w:cs="Courier New" w:eastAsia="Courier New" w:hAnsi="Courier New"/>
          <w:sz w:val="14"/>
          <w:szCs w:val="14"/>
          <w:color w:val="auto"/>
        </w:rPr>
        <w:t>Historical operating results for the three regions are as follows (in thousands):</w:t>
      </w:r>
    </w:p>
    <w:p>
      <w:pPr>
        <w:spacing w:after="0" w:line="327"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For the three months ended</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September 30,</w:t>
      </w:r>
    </w:p>
    <w:p>
      <w:pPr>
        <w:spacing w:after="0" w:line="8" w:lineRule="exact"/>
        <w:rPr>
          <w:sz w:val="20"/>
          <w:szCs w:val="20"/>
          <w:color w:val="auto"/>
        </w:rPr>
      </w:pPr>
    </w:p>
    <w:p>
      <w:pPr>
        <w:ind w:left="4080"/>
        <w:spacing w:after="0"/>
        <w:tabs>
          <w:tab w:leader="none" w:pos="62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Northeast</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$28,937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$25,686</w:t>
            </w: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Mid-Atlantic</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28,146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28,197</w:t>
            </w: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West</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7,018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8,088</w:t>
            </w:r>
          </w:p>
        </w:tc>
      </w:tr>
      <w:tr>
        <w:trPr>
          <w:trHeight w:val="167"/>
        </w:trPr>
        <w:tc>
          <w:tcPr>
            <w:tcW w:w="3140" w:type="dxa"/>
            <w:vAlign w:val="bottom"/>
          </w:tcPr>
          <w:p>
            <w:pPr>
              <w:spacing w:after="0"/>
              <w:rPr>
                <w:sz w:val="14"/>
                <w:szCs w:val="14"/>
                <w:color w:val="auto"/>
              </w:rPr>
            </w:pP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ind w:left="1840"/>
              <w:spacing w:after="0"/>
              <w:rPr>
                <w:sz w:val="20"/>
                <w:szCs w:val="20"/>
                <w:color w:val="auto"/>
              </w:rPr>
            </w:pPr>
            <w:r>
              <w:rPr>
                <w:rFonts w:ascii="Courier New" w:cs="Courier New" w:eastAsia="Courier New" w:hAnsi="Courier New"/>
                <w:sz w:val="14"/>
                <w:szCs w:val="14"/>
                <w:color w:val="auto"/>
              </w:rPr>
              <w:t>Total</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$64,101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$61,971</w:t>
            </w:r>
          </w:p>
        </w:tc>
      </w:tr>
      <w:tr>
        <w:trPr>
          <w:trHeight w:val="167"/>
        </w:trPr>
        <w:tc>
          <w:tcPr>
            <w:tcW w:w="3140" w:type="dxa"/>
            <w:vAlign w:val="bottom"/>
          </w:tcPr>
          <w:p>
            <w:pPr>
              <w:spacing w:after="0"/>
              <w:rPr>
                <w:sz w:val="14"/>
                <w:szCs w:val="14"/>
                <w:color w:val="auto"/>
              </w:rPr>
            </w:pP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2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Northeast</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$21,022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$19,490</w:t>
            </w: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Mid-Atlantic</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20,771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20,681</w:t>
            </w:r>
          </w:p>
        </w:tc>
      </w:tr>
      <w:tr>
        <w:trPr>
          <w:trHeight w:val="167"/>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West</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5,235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5,722</w:t>
            </w:r>
          </w:p>
        </w:tc>
      </w:tr>
      <w:tr>
        <w:trPr>
          <w:trHeight w:val="167"/>
        </w:trPr>
        <w:tc>
          <w:tcPr>
            <w:tcW w:w="3140" w:type="dxa"/>
            <w:vAlign w:val="bottom"/>
          </w:tcPr>
          <w:p>
            <w:pPr>
              <w:spacing w:after="0"/>
              <w:rPr>
                <w:sz w:val="14"/>
                <w:szCs w:val="14"/>
                <w:color w:val="auto"/>
              </w:rPr>
            </w:pP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ind w:left="1840"/>
              <w:spacing w:after="0"/>
              <w:rPr>
                <w:sz w:val="20"/>
                <w:szCs w:val="20"/>
                <w:color w:val="auto"/>
              </w:rPr>
            </w:pPr>
            <w:r>
              <w:rPr>
                <w:rFonts w:ascii="Courier New" w:cs="Courier New" w:eastAsia="Courier New" w:hAnsi="Courier New"/>
                <w:sz w:val="14"/>
                <w:szCs w:val="14"/>
                <w:color w:val="auto"/>
              </w:rPr>
              <w:t>Total</w:t>
            </w: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$47,028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$45,893</w:t>
            </w:r>
          </w:p>
        </w:tc>
      </w:tr>
      <w:tr>
        <w:trPr>
          <w:trHeight w:val="167"/>
        </w:trPr>
        <w:tc>
          <w:tcPr>
            <w:tcW w:w="3140" w:type="dxa"/>
            <w:vAlign w:val="bottom"/>
          </w:tcPr>
          <w:p>
            <w:pPr>
              <w:spacing w:after="0"/>
              <w:rPr>
                <w:sz w:val="14"/>
                <w:szCs w:val="14"/>
                <w:color w:val="auto"/>
              </w:rPr>
            </w:pPr>
          </w:p>
        </w:tc>
        <w:tc>
          <w:tcPr>
            <w:tcW w:w="22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Northeast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539" w:firstLine="174"/>
        <w:spacing w:after="0" w:line="255" w:lineRule="auto"/>
        <w:rPr>
          <w:sz w:val="20"/>
          <w:szCs w:val="20"/>
          <w:color w:val="auto"/>
        </w:rPr>
      </w:pPr>
      <w:r>
        <w:rPr>
          <w:rFonts w:ascii="Courier New" w:cs="Courier New" w:eastAsia="Courier New" w:hAnsi="Courier New"/>
          <w:sz w:val="14"/>
          <w:szCs w:val="14"/>
          <w:color w:val="auto"/>
        </w:rPr>
        <w:t>The Northeast region is comprised of fifty-four assets, extending from suburban Philadelphia north through New York and its suburbs into New England and west to Illinois and Michigan.</w:t>
      </w:r>
    </w:p>
    <w:p>
      <w:pPr>
        <w:spacing w:after="0" w:line="162"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When comparing the third quarter of 2000 with 1999, rental income increased 12.7% from $25.7 million in 1999 to $28.9 million in 2000. Excluding properties acquired since January 1, 1999, on a same center basis, rental income increased 11.6%, primarily due to increases at recently redeveloped and retenanted shopping centers, such as Bala Cynwyd, Lawrence Park, Gratiot, Langhorne Square and Wynnewood.</w:t>
      </w:r>
    </w:p>
    <w:p>
      <w:pPr>
        <w:spacing w:after="0" w:line="165" w:lineRule="exact"/>
        <w:rPr>
          <w:sz w:val="20"/>
          <w:szCs w:val="20"/>
          <w:color w:val="auto"/>
        </w:rPr>
      </w:pPr>
    </w:p>
    <w:p>
      <w:pPr>
        <w:ind w:right="3719" w:firstLine="174"/>
        <w:spacing w:after="0" w:line="254" w:lineRule="auto"/>
        <w:rPr>
          <w:sz w:val="20"/>
          <w:szCs w:val="20"/>
          <w:color w:val="auto"/>
        </w:rPr>
      </w:pPr>
      <w:r>
        <w:rPr>
          <w:rFonts w:ascii="Courier New" w:cs="Courier New" w:eastAsia="Courier New" w:hAnsi="Courier New"/>
          <w:sz w:val="14"/>
          <w:szCs w:val="14"/>
          <w:color w:val="auto"/>
        </w:rPr>
        <w:t>Net operating income increased 7.9% from $19.5 million in 1999 to $21.0 million in 2000. Excluding properties acquired since January 1, 1999, net operating income increased 6.8%, primarily due to increases at the recently redeveloped and retenanted shopping centers.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The Mid-Atlantic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799" w:firstLine="174"/>
        <w:spacing w:after="0" w:line="255" w:lineRule="auto"/>
        <w:rPr>
          <w:sz w:val="20"/>
          <w:szCs w:val="20"/>
          <w:color w:val="auto"/>
        </w:rPr>
      </w:pPr>
      <w:r>
        <w:rPr>
          <w:rFonts w:ascii="Courier New" w:cs="Courier New" w:eastAsia="Courier New" w:hAnsi="Courier New"/>
          <w:sz w:val="14"/>
          <w:szCs w:val="14"/>
          <w:color w:val="auto"/>
        </w:rPr>
        <w:t>The Mid-Atlantic region is comprised of thirty assets, located from Baltimore south to metropolitan Washington, D.C. and further south through Virginia, North Carolina and Florida.</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When comparing the third quarter of 2000 with 1999, rental income remained constant at $28.2 million. On a same center basis, excluding Northeast Plaza in Atlanta, Georgia which was sold in 1999 and the recently developed Phase 3 of the Bethesda Row project in Bethesda, Maryland, rental income increased 1.6%, due in part to new anchor leases at several centers offset by vacancies at centers being renovated.</w:t>
      </w:r>
    </w:p>
    <w:p>
      <w:pPr>
        <w:spacing w:after="0" w:line="16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When comparing the third quarter of 2000 with 1999, net operating income remained constant at $20.7 million. On a same center basis as above, net operating income increased 2.4%, due primarily to the new anchor leases offset by vacancies at centers being renovated.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174"/>
        <w:spacing w:after="0" w:line="258" w:lineRule="auto"/>
        <w:rPr>
          <w:sz w:val="20"/>
          <w:szCs w:val="20"/>
          <w:color w:val="auto"/>
        </w:rPr>
      </w:pPr>
      <w:r>
        <w:rPr>
          <w:rFonts w:ascii="Courier New" w:cs="Courier New" w:eastAsia="Courier New" w:hAnsi="Courier New"/>
          <w:sz w:val="14"/>
          <w:szCs w:val="14"/>
          <w:color w:val="auto"/>
        </w:rPr>
        <w:t>The Western region is comprised of thirty-eight assets, located from Texas to the West Coast.</w:t>
      </w:r>
    </w:p>
    <w:p>
      <w:pPr>
        <w:spacing w:after="0" w:line="160" w:lineRule="exact"/>
        <w:rPr>
          <w:sz w:val="20"/>
          <w:szCs w:val="20"/>
          <w:color w:val="auto"/>
        </w:rPr>
      </w:pPr>
    </w:p>
    <w:p>
      <w:pPr>
        <w:ind w:right="3539" w:firstLine="174"/>
        <w:spacing w:after="0" w:line="252" w:lineRule="auto"/>
        <w:rPr>
          <w:sz w:val="20"/>
          <w:szCs w:val="20"/>
          <w:color w:val="auto"/>
        </w:rPr>
      </w:pPr>
      <w:r>
        <w:rPr>
          <w:rFonts w:ascii="Courier New" w:cs="Courier New" w:eastAsia="Courier New" w:hAnsi="Courier New"/>
          <w:sz w:val="14"/>
          <w:szCs w:val="14"/>
          <w:color w:val="auto"/>
        </w:rPr>
        <w:t>When comparing the third quarter of 2000 with 1999, rental income decreased 13.2% from $8.1 million in 1999 to $7.0 million in 2000. Excluding newly developed properties, Santana Row, which is currently under development, and properties acquired and sold since January 1, 1999, rental income increased</w:t>
      </w:r>
    </w:p>
    <w:p>
      <w:pPr>
        <w:spacing w:after="0" w:line="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16.0% due primarily to recently redeveloped and retenanted properties in the Los Angeles and San Francisco, California areas.</w:t>
      </w:r>
    </w:p>
    <w:p>
      <w:pPr>
        <w:spacing w:after="0" w:line="160"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When comparing the third quarter of 2000 with 1999, net operating income decreased 8.5% from $5.7 million in 1999 to $5.2 million in 2000. Excluding newly developed properties, Santana Row, which is currently under development, and properties acquired and sold since January 1, 1999, net operating income increased 24.4%, due to increases from the recently redeveloped and retenanted properties as mentioned above.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PART II - OTHER INFORMATION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Exhibits and Reports on Form 8-K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Exhibits</w:t>
      </w:r>
    </w:p>
    <w:p>
      <w:pPr>
        <w:spacing w:after="0" w:line="175" w:lineRule="exact"/>
        <w:rPr>
          <w:sz w:val="20"/>
          <w:szCs w:val="20"/>
          <w:color w:val="auto"/>
        </w:rPr>
      </w:pPr>
    </w:p>
    <w:p>
      <w:pPr>
        <w:ind w:left="360"/>
        <w:spacing w:after="0"/>
        <w:tabs>
          <w:tab w:leader="none" w:pos="5280" w:val="left"/>
        </w:tabs>
        <w:rPr>
          <w:sz w:val="20"/>
          <w:szCs w:val="20"/>
          <w:color w:val="auto"/>
        </w:rPr>
      </w:pPr>
      <w:r>
        <w:rPr>
          <w:rFonts w:ascii="Courier New" w:cs="Courier New" w:eastAsia="Courier New" w:hAnsi="Courier New"/>
          <w:sz w:val="14"/>
          <w:szCs w:val="14"/>
          <w:color w:val="auto"/>
        </w:rPr>
        <w:t>(27) Financial Data Schedules</w:t>
      </w:r>
      <w:r>
        <w:rPr>
          <w:sz w:val="20"/>
          <w:szCs w:val="20"/>
          <w:color w:val="auto"/>
        </w:rPr>
        <w:tab/>
      </w:r>
      <w:r>
        <w:rPr>
          <w:rFonts w:ascii="Courier New" w:cs="Courier New" w:eastAsia="Courier New" w:hAnsi="Courier New"/>
          <w:sz w:val="14"/>
          <w:szCs w:val="14"/>
          <w:color w:val="auto"/>
        </w:rPr>
        <w:t>Edgar filing only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Reports on Form 8-K</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A Form 8-K, dated June 30, 2000, was filed on July 26, 2000 in response to Item 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ectPr>
          <w:pgSz w:w="11900" w:h="16838" w:orient="portrait"/>
          <w:cols w:equalWidth="0" w:num="2">
            <w:col w:w="1900" w:space="720"/>
            <w:col w:w="761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 2000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A.Ward,Chief 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75" w:lineRule="exact"/>
        <w:rPr>
          <w:sz w:val="20"/>
          <w:szCs w:val="20"/>
          <w:color w:val="auto"/>
        </w:rPr>
      </w:pPr>
    </w:p>
    <w:p>
      <w:pPr>
        <w:sectPr>
          <w:pgSz w:w="11900" w:h="16838" w:orient="portrait"/>
          <w:cols w:equalWidth="0" w:num="2">
            <w:col w:w="1900" w:space="720"/>
            <w:col w:w="7619"/>
          </w:cols>
          <w:pgMar w:left="220" w:top="620"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39"/>
          </w:cols>
          <w:pgMar w:left="220" w:top="620" w:right="1440" w:bottom="1440" w:gutter="0" w:footer="0" w:header="0"/>
          <w:type w:val="continuous"/>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259"/>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THE BALANCE SHEET OF FEDERAL REALTY INVESTMENT TRUST AS OF SEPTEMBER 30, 2000 AND THE RELATED CONSOLIDATED STATEMENT OF OPERATIONS FOR THE NINE MONTHS ENDED SEPTEMBER 30, 2000 AND IS QUALIFIED IN ITS ENTIRETY BY REFERENCE TO SUCH FINANCIAL STATEMENTS.</w:t>
      </w:r>
    </w:p>
    <w:p>
      <w:pPr>
        <w:spacing w:after="0" w:line="3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9-MOS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DEC-31-2000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SEP-30-2000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13,726</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20,585</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1,804,186</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(349,822)</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1,579,039</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987,558</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100,000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722,623</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(349,108)</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1,579,039</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200,732</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60,777</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49,521</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40,671</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40,671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1.05</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1.04</w:t>
      </w:r>
    </w:p>
    <w:p>
      <w:pPr>
        <w:spacing w:after="0" w:line="342" w:lineRule="exact"/>
        <w:rPr>
          <w:sz w:val="20"/>
          <w:szCs w:val="20"/>
          <w:color w:val="auto"/>
        </w:rPr>
      </w:pPr>
    </w:p>
    <w:p>
      <w:pPr>
        <w:ind w:right="3719" w:firstLine="87"/>
        <w:spacing w:after="0" w:line="258" w:lineRule="auto"/>
        <w:rPr>
          <w:sz w:val="20"/>
          <w:szCs w:val="20"/>
          <w:color w:val="auto"/>
        </w:rPr>
      </w:pPr>
      <w:r>
        <w:rPr>
          <w:rFonts w:ascii="Courier New" w:cs="Courier New" w:eastAsia="Courier New" w:hAnsi="Courier New"/>
          <w:sz w:val="14"/>
          <w:szCs w:val="14"/>
          <w:color w:val="auto"/>
        </w:rPr>
        <w:t>Current assets and current liabilities are not listed since Federal Realty does not prepare a classified balance sheet.</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2019-12-13T00:54:27Z</dcterms:created>
  <dcterms:modified xsi:type="dcterms:W3CDTF">2019-12-13T00:54:27Z</dcterms:modified>
</cp:coreProperties>
</file>