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6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160"/>
        <w:spacing w:after="0" w:line="238"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For the Quarter Ended: September 30, 2001</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Commission File No. 1-07533</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340"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Maryland</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52-0782497</w:t>
      </w:r>
    </w:p>
    <w:p>
      <w:pPr>
        <w:ind w:left="340"/>
        <w:spacing w:after="0" w:line="237" w:lineRule="auto"/>
        <w:rPr>
          <w:sz w:val="20"/>
          <w:szCs w:val="20"/>
          <w:color w:val="auto"/>
        </w:rPr>
      </w:pPr>
      <w:r>
        <w:rPr>
          <w:rFonts w:ascii="Courier New" w:cs="Courier New" w:eastAsia="Courier New" w:hAnsi="Courier New"/>
          <w:sz w:val="15"/>
          <w:szCs w:val="15"/>
          <w:color w:val="auto"/>
        </w:rPr>
        <w:t>----------</w:t>
      </w:r>
    </w:p>
    <w:p>
      <w:pPr>
        <w:ind w:left="160"/>
        <w:spacing w:after="0" w:line="238"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3760" w:space="720"/>
            <w:col w:w="5759"/>
          </w:cols>
          <w:pgMar w:left="220" w:top="561" w:right="1440" w:bottom="1440" w:gutter="0" w:footer="0" w:header="0"/>
          <w:type w:val="continuous"/>
        </w:sectPr>
      </w:pPr>
    </w:p>
    <w:p>
      <w:pPr>
        <w:spacing w:after="0" w:line="14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1626 East Jefferson Street, Rockville, Maryland 20852-4041</w:t>
      </w:r>
    </w:p>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tabs>
          <w:tab w:leader="none" w:pos="506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(301)998-8100</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800"/>
        <w:spacing w:after="0"/>
        <w:tabs>
          <w:tab w:leader="none" w:pos="1220" w:val="left"/>
          <w:tab w:leader="none" w:pos="1480" w:val="left"/>
          <w:tab w:leader="none" w:pos="1920" w:val="left"/>
        </w:tabs>
        <w:rPr>
          <w:sz w:val="20"/>
          <w:szCs w:val="20"/>
          <w:color w:val="auto"/>
        </w:rPr>
      </w:pPr>
      <w:r>
        <w:rPr>
          <w:rFonts w:ascii="Courier New" w:cs="Courier New" w:eastAsia="Courier New" w:hAnsi="Courier New"/>
          <w:sz w:val="15"/>
          <w:szCs w:val="15"/>
          <w:color w:val="auto"/>
        </w:rPr>
        <w:t>Yes</w:t>
        <w:tab/>
        <w:t>X</w:t>
        <w:tab/>
        <w:t>.</w:t>
      </w:r>
      <w:r>
        <w:rPr>
          <w:sz w:val="20"/>
          <w:szCs w:val="20"/>
          <w:color w:val="auto"/>
        </w:rPr>
        <w:tab/>
      </w:r>
      <w:r>
        <w:rPr>
          <w:rFonts w:ascii="Courier New" w:cs="Courier New" w:eastAsia="Courier New" w:hAnsi="Courier New"/>
          <w:sz w:val="14"/>
          <w:szCs w:val="14"/>
          <w:color w:val="auto"/>
        </w:rPr>
        <w:t>No_____.</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type w:val="continuous"/>
        </w:sectPr>
      </w:pPr>
    </w:p>
    <w:p>
      <w:pPr>
        <w:spacing w:after="0" w:line="16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Class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4"/>
          <w:szCs w:val="14"/>
          <w:color w:val="auto"/>
        </w:rPr>
        <w:t>Outstanding at November 1, 2001</w:t>
      </w:r>
    </w:p>
    <w:p>
      <w:pPr>
        <w:spacing w:after="0" w:line="10"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5"/>
          <w:szCs w:val="15"/>
          <w:color w:val="auto"/>
        </w:rPr>
        <w:t>40,042,937</w:t>
      </w:r>
    </w:p>
    <w:p>
      <w:pPr>
        <w:spacing w:after="0" w:line="173" w:lineRule="exact"/>
        <w:rPr>
          <w:sz w:val="24"/>
          <w:szCs w:val="24"/>
          <w:color w:val="auto"/>
        </w:rPr>
      </w:pPr>
    </w:p>
    <w:p>
      <w:pPr>
        <w:sectPr>
          <w:pgSz w:w="11900" w:h="16838" w:orient="portrait"/>
          <w:cols w:equalWidth="0" w:num="2">
            <w:col w:w="3160" w:space="700"/>
            <w:col w:w="637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This report, including exhibits, contains 31 pages.</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0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FEDERAL REALTY INVESTMENT TRUST</w:t>
            </w:r>
          </w:p>
        </w:tc>
        <w:tc>
          <w:tcPr>
            <w:tcW w:w="104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508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S.E.C. FORM 10-Q</w:t>
            </w:r>
          </w:p>
        </w:tc>
        <w:tc>
          <w:tcPr>
            <w:tcW w:w="1040" w:type="dxa"/>
            <w:vAlign w:val="bottom"/>
          </w:tcPr>
          <w:p>
            <w:pPr>
              <w:spacing w:after="0"/>
              <w:rPr>
                <w:sz w:val="24"/>
                <w:szCs w:val="24"/>
                <w:color w:val="auto"/>
              </w:rPr>
            </w:pPr>
          </w:p>
        </w:tc>
      </w:tr>
      <w:tr>
        <w:trPr>
          <w:trHeight w:val="336"/>
        </w:trPr>
        <w:tc>
          <w:tcPr>
            <w:tcW w:w="1140" w:type="dxa"/>
            <w:vAlign w:val="bottom"/>
          </w:tcPr>
          <w:p>
            <w:pPr>
              <w:spacing w:after="0"/>
              <w:rPr>
                <w:sz w:val="24"/>
                <w:szCs w:val="24"/>
                <w:color w:val="auto"/>
              </w:rPr>
            </w:pPr>
          </w:p>
        </w:tc>
        <w:tc>
          <w:tcPr>
            <w:tcW w:w="508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September 30, 2001</w:t>
            </w:r>
          </w:p>
        </w:tc>
        <w:tc>
          <w:tcPr>
            <w:tcW w:w="1040" w:type="dxa"/>
            <w:vAlign w:val="bottom"/>
          </w:tcPr>
          <w:p>
            <w:pPr>
              <w:spacing w:after="0"/>
              <w:rPr>
                <w:sz w:val="24"/>
                <w:szCs w:val="24"/>
                <w:color w:val="auto"/>
              </w:rPr>
            </w:pPr>
          </w:p>
        </w:tc>
      </w:tr>
      <w:tr>
        <w:trPr>
          <w:trHeight w:val="336"/>
        </w:trPr>
        <w:tc>
          <w:tcPr>
            <w:tcW w:w="11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 N 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E X</w:t>
            </w:r>
          </w:p>
        </w:tc>
        <w:tc>
          <w:tcPr>
            <w:tcW w:w="1040" w:type="dxa"/>
            <w:vAlign w:val="bottom"/>
          </w:tcPr>
          <w:p>
            <w:pPr>
              <w:spacing w:after="0"/>
              <w:rPr>
                <w:sz w:val="24"/>
                <w:szCs w:val="24"/>
                <w:color w:val="auto"/>
              </w:rPr>
            </w:pPr>
          </w:p>
        </w:tc>
      </w:tr>
      <w:tr>
        <w:trPr>
          <w:trHeight w:val="6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FINANCIAL INFORMATION</w:t>
            </w:r>
          </w:p>
        </w:tc>
        <w:tc>
          <w:tcPr>
            <w:tcW w:w="2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505"/>
        </w:trPr>
        <w:tc>
          <w:tcPr>
            <w:tcW w:w="1140" w:type="dxa"/>
            <w:vAlign w:val="bottom"/>
          </w:tcPr>
          <w:p>
            <w:pPr>
              <w:spacing w:after="0"/>
              <w:rPr>
                <w:sz w:val="24"/>
                <w:szCs w:val="24"/>
                <w:color w:val="auto"/>
              </w:rPr>
            </w:pPr>
          </w:p>
        </w:tc>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Consolidated Balance Sheets</w:t>
            </w:r>
          </w:p>
        </w:tc>
        <w:tc>
          <w:tcPr>
            <w:tcW w:w="104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September 30, 2001 (unaudited) and</w:t>
            </w:r>
          </w:p>
        </w:tc>
        <w:tc>
          <w:tcPr>
            <w:tcW w:w="10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31, 2000 (audited)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1140" w:type="dxa"/>
            <w:vAlign w:val="bottom"/>
          </w:tcPr>
          <w:p>
            <w:pPr>
              <w:spacing w:after="0"/>
              <w:rPr>
                <w:sz w:val="24"/>
                <w:szCs w:val="24"/>
                <w:color w:val="auto"/>
              </w:rPr>
            </w:pPr>
          </w:p>
        </w:tc>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w w:val="98"/>
              </w:rPr>
              <w:t>Consolidated Statements</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of Operations (unaudited)</w:t>
            </w:r>
          </w:p>
        </w:tc>
        <w:tc>
          <w:tcPr>
            <w:tcW w:w="104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Nine months ended September 30, 2001 and 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1140" w:type="dxa"/>
            <w:vAlign w:val="bottom"/>
          </w:tcPr>
          <w:p>
            <w:pPr>
              <w:spacing w:after="0"/>
              <w:rPr>
                <w:sz w:val="24"/>
                <w:szCs w:val="24"/>
                <w:color w:val="auto"/>
              </w:rPr>
            </w:pPr>
          </w:p>
        </w:tc>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w w:val="98"/>
              </w:rPr>
              <w:t>Consolidated Statements</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of Operations (unaudited)</w:t>
            </w:r>
          </w:p>
        </w:tc>
        <w:tc>
          <w:tcPr>
            <w:tcW w:w="104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Three months ended September 30, 2001 and 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1140" w:type="dxa"/>
            <w:vAlign w:val="bottom"/>
          </w:tcPr>
          <w:p>
            <w:pPr>
              <w:spacing w:after="0"/>
              <w:rPr>
                <w:sz w:val="24"/>
                <w:szCs w:val="24"/>
                <w:color w:val="auto"/>
              </w:rPr>
            </w:pPr>
          </w:p>
        </w:tc>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w w:val="98"/>
              </w:rPr>
              <w:t>Consolidated Statements</w:t>
            </w:r>
          </w:p>
        </w:tc>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of Shareholders' Equity</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(unaudited)</w:t>
            </w:r>
          </w:p>
        </w:tc>
        <w:tc>
          <w:tcPr>
            <w:tcW w:w="10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Nine months ended September 30, 2001 and 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1140" w:type="dxa"/>
            <w:vAlign w:val="bottom"/>
          </w:tcPr>
          <w:p>
            <w:pPr>
              <w:spacing w:after="0"/>
              <w:rPr>
                <w:sz w:val="24"/>
                <w:szCs w:val="24"/>
                <w:color w:val="auto"/>
              </w:rPr>
            </w:pPr>
          </w:p>
        </w:tc>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w w:val="98"/>
              </w:rPr>
              <w:t>Consolidated Statements</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of Cash Flows (unaudited)</w:t>
            </w:r>
          </w:p>
        </w:tc>
        <w:tc>
          <w:tcPr>
            <w:tcW w:w="104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Nine months ended September 30, 2001 and 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336"/>
        </w:trPr>
        <w:tc>
          <w:tcPr>
            <w:tcW w:w="1140" w:type="dxa"/>
            <w:vAlign w:val="bottom"/>
          </w:tcPr>
          <w:p>
            <w:pPr>
              <w:spacing w:after="0"/>
              <w:rPr>
                <w:sz w:val="24"/>
                <w:szCs w:val="24"/>
                <w:color w:val="auto"/>
              </w:rPr>
            </w:pPr>
          </w:p>
        </w:tc>
        <w:tc>
          <w:tcPr>
            <w:tcW w:w="5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9-16</w:t>
            </w:r>
          </w:p>
        </w:tc>
      </w:tr>
      <w:tr>
        <w:trPr>
          <w:trHeight w:val="336"/>
        </w:trPr>
        <w:tc>
          <w:tcPr>
            <w:tcW w:w="1140" w:type="dxa"/>
            <w:vAlign w:val="bottom"/>
          </w:tcPr>
          <w:p>
            <w:pPr>
              <w:spacing w:after="0"/>
              <w:rPr>
                <w:sz w:val="24"/>
                <w:szCs w:val="24"/>
                <w:color w:val="auto"/>
              </w:rPr>
            </w:pPr>
          </w:p>
        </w:tc>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w w:val="98"/>
              </w:rPr>
              <w:t>Management's Discussion</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and Analysis of</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17-30</w:t>
            </w:r>
          </w:p>
        </w:tc>
      </w:tr>
      <w:tr>
        <w:trPr>
          <w:trHeight w:val="168"/>
        </w:trPr>
        <w:tc>
          <w:tcPr>
            <w:tcW w:w="1140" w:type="dxa"/>
            <w:vAlign w:val="bottom"/>
          </w:tcPr>
          <w:p>
            <w:pPr>
              <w:spacing w:after="0"/>
              <w:rPr>
                <w:sz w:val="14"/>
                <w:szCs w:val="14"/>
                <w:color w:val="auto"/>
              </w:rPr>
            </w:pPr>
          </w:p>
        </w:tc>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Financial Condition and</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104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OTHER INFORMATION</w:t>
            </w:r>
          </w:p>
        </w:tc>
        <w:tc>
          <w:tcPr>
            <w:tcW w:w="2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673"/>
        </w:trPr>
        <w:tc>
          <w:tcPr>
            <w:tcW w:w="11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 FORM 10-Q</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September 30, 2001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800" w:right="3499" w:firstLine="437"/>
        <w:spacing w:after="0" w:line="255" w:lineRule="auto"/>
        <w:rPr>
          <w:sz w:val="20"/>
          <w:szCs w:val="20"/>
          <w:color w:val="auto"/>
        </w:rPr>
      </w:pPr>
      <w:r>
        <w:rPr>
          <w:rFonts w:ascii="Courier New" w:cs="Courier New" w:eastAsia="Courier New" w:hAnsi="Courier New"/>
          <w:sz w:val="14"/>
          <w:szCs w:val="14"/>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present a fair statement of the results for the interim periods presented.</w:t>
      </w: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September 30,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(unaudited)</w:t>
            </w:r>
          </w:p>
        </w:tc>
        <w:tc>
          <w:tcPr>
            <w:tcW w:w="1360" w:type="dxa"/>
            <w:vAlign w:val="bottom"/>
          </w:tcPr>
          <w:p>
            <w:pPr>
              <w:spacing w:after="0"/>
              <w:rPr>
                <w:sz w:val="14"/>
                <w:szCs w:val="14"/>
                <w:color w:val="auto"/>
              </w:rPr>
            </w:pPr>
          </w:p>
        </w:tc>
      </w:tr>
      <w:tr>
        <w:trPr>
          <w:trHeight w:val="336"/>
        </w:trPr>
        <w:tc>
          <w:tcPr>
            <w:tcW w:w="7180" w:type="dxa"/>
            <w:vAlign w:val="bottom"/>
          </w:tcPr>
          <w:p>
            <w:pPr>
              <w:ind w:left="2020"/>
              <w:spacing w:after="0"/>
              <w:rPr>
                <w:sz w:val="20"/>
                <w:szCs w:val="20"/>
                <w:color w:val="auto"/>
              </w:rPr>
            </w:pPr>
            <w:r>
              <w:rPr>
                <w:rFonts w:ascii="Courier New" w:cs="Courier New" w:eastAsia="Courier New" w:hAnsi="Courier New"/>
                <w:sz w:val="15"/>
                <w:szCs w:val="15"/>
                <w:color w:val="auto"/>
              </w:rPr>
              <w:t>ASSETS</w:t>
            </w:r>
          </w:p>
        </w:tc>
        <w:tc>
          <w:tcPr>
            <w:tcW w:w="3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$ 1,778,561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$ 1,679,289</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286,841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175,624</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2,065,402</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1,854,913</w:t>
            </w:r>
          </w:p>
        </w:tc>
      </w:tr>
      <w:tr>
        <w:trPr>
          <w:trHeight w:val="336"/>
        </w:trPr>
        <w:tc>
          <w:tcPr>
            <w:tcW w:w="718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(386,381)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(351,258)</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1,679,021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1,503,655</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14,636</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11,357</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35,505</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47,360</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13,718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13,092</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 principally</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taxes and lease commissions</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44,747</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38,140</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 amortization</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$4,452 and $3,982, respectively</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7,323</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7,475</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$ 1,794,950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$ 1,621,079</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ind w:left="980"/>
              <w:spacing w:after="0"/>
              <w:rPr>
                <w:sz w:val="20"/>
                <w:szCs w:val="20"/>
                <w:color w:val="auto"/>
              </w:rPr>
            </w:pPr>
            <w:r>
              <w:rPr>
                <w:rFonts w:ascii="Courier New" w:cs="Courier New" w:eastAsia="Courier New" w:hAnsi="Courier New"/>
                <w:sz w:val="15"/>
                <w:szCs w:val="15"/>
                <w:color w:val="auto"/>
              </w:rPr>
              <w:t>LIABILITIES AND SHAREHOLDERS' EQUITY</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100,264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121,611</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and construction loans payable</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310,399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218,541</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295,884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209,005</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68,985</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36,810</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20,531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19,892</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5,943</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5,537</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7,910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8,819</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and debentures</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410,000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410,000</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75,289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interest in consolidated assets</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34,939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47,921</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authorized 15,000,000 shares, $.01 par</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7.95% Series A Cumulative Redeemable Preferred Shares, (stated at</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liquidation preference $25 per share), 4,000,000 shares issued in 1997</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100,000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of beneficial interest, $.01 par , 100,000,000 shares</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41,464,936 and 40,910,972 issued, respectively</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415</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734,319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723,078</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dividends in excess of Trust net income</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(317,275)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(306,287)</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517,459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517,201</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Less: 1,452,926 and 1,441,594 common shares in treasury - at cost, respectively</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(27,990)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(27,753)</w:t>
            </w:r>
          </w:p>
        </w:tc>
      </w:tr>
      <w:tr>
        <w:trPr>
          <w:trHeight w:val="168"/>
        </w:trPr>
        <w:tc>
          <w:tcPr>
            <w:tcW w:w="7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compensation on restricted shares</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(15,715)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(17,254)</w:t>
            </w:r>
          </w:p>
        </w:tc>
      </w:tr>
      <w:tr>
        <w:trPr>
          <w:trHeight w:val="168"/>
        </w:trPr>
        <w:tc>
          <w:tcPr>
            <w:tcW w:w="7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Notes receivable from employee stock  plans</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(4,194)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(4,540)</w:t>
            </w:r>
          </w:p>
        </w:tc>
      </w:tr>
      <w:tr>
        <w:trPr>
          <w:trHeight w:val="168"/>
        </w:trPr>
        <w:tc>
          <w:tcPr>
            <w:tcW w:w="7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comprehensive income (loss)</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(4,754)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464,806</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467,654</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$ 1,794,950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$ 1,621,079</w:t>
            </w:r>
          </w:p>
        </w:tc>
      </w:tr>
      <w:tr>
        <w:trPr>
          <w:trHeight w:val="168"/>
        </w:trPr>
        <w:tc>
          <w:tcPr>
            <w:tcW w:w="71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40"/>
          </w:cols>
          <w:pgMar w:left="220" w:top="617" w:right="14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ind w:left="1680"/>
              <w:spacing w:after="0"/>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68"/>
        </w:trPr>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1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$ 205,137</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$ 192,584</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5,275</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5,759</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10,213</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8,148</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220,625</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206,491</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45,632</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41,057</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20,877</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19,720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52,360</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49,521</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9,971</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9,035</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44,110</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39,433</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172,950</w:t>
            </w:r>
          </w:p>
        </w:tc>
        <w:tc>
          <w:tcPr>
            <w:tcW w:w="260" w:type="dxa"/>
            <w:vAlign w:val="bottom"/>
          </w:tcPr>
          <w:p>
            <w:pPr>
              <w:spacing w:after="0"/>
              <w:rPr>
                <w:sz w:val="24"/>
                <w:szCs w:val="2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158,766</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47,675</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47,725</w:t>
            </w:r>
          </w:p>
        </w:tc>
      </w:tr>
      <w:tr>
        <w:trPr>
          <w:trHeight w:val="336"/>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70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(3,991)</w:t>
            </w:r>
          </w:p>
        </w:tc>
        <w:tc>
          <w:tcPr>
            <w:tcW w:w="260" w:type="dxa"/>
            <w:vAlign w:val="bottom"/>
          </w:tcPr>
          <w:p>
            <w:pPr>
              <w:spacing w:after="0"/>
              <w:rPr>
                <w:sz w:val="24"/>
                <w:szCs w:val="2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(4,772)</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43,684</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42,953</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Gain on sale of real estate</w:t>
            </w:r>
          </w:p>
        </w:tc>
        <w:tc>
          <w:tcPr>
            <w:tcW w:w="7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7,898</w:t>
            </w:r>
          </w:p>
        </w:tc>
        <w:tc>
          <w:tcPr>
            <w:tcW w:w="260" w:type="dxa"/>
            <w:vAlign w:val="bottom"/>
          </w:tcPr>
          <w:p>
            <w:pPr>
              <w:spacing w:after="0"/>
              <w:rPr>
                <w:sz w:val="24"/>
                <w:szCs w:val="2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3,681</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240"/>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51,582</w:t>
            </w:r>
          </w:p>
        </w:tc>
        <w:tc>
          <w:tcPr>
            <w:tcW w:w="260" w:type="dxa"/>
            <w:vAlign w:val="bottom"/>
          </w:tcPr>
          <w:p>
            <w:pPr>
              <w:spacing w:after="0"/>
              <w:rPr>
                <w:sz w:val="24"/>
                <w:szCs w:val="2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46,634</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70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(5,963)</w:t>
            </w:r>
          </w:p>
        </w:tc>
        <w:tc>
          <w:tcPr>
            <w:tcW w:w="260" w:type="dxa"/>
            <w:vAlign w:val="bottom"/>
          </w:tcPr>
          <w:p>
            <w:pPr>
              <w:spacing w:after="0"/>
              <w:rPr>
                <w:sz w:val="24"/>
                <w:szCs w:val="2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(5,963)</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24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40,671</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 basic</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0.95</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0.20</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7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39,061</w:t>
            </w:r>
          </w:p>
        </w:tc>
        <w:tc>
          <w:tcPr>
            <w:tcW w:w="260" w:type="dxa"/>
            <w:vAlign w:val="bottom"/>
          </w:tcPr>
          <w:p>
            <w:pPr>
              <w:spacing w:after="0"/>
              <w:rPr>
                <w:sz w:val="24"/>
                <w:szCs w:val="2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38,812</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 diluted</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0.95</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0.20</w:t>
            </w:r>
          </w:p>
        </w:tc>
        <w:tc>
          <w:tcPr>
            <w:tcW w:w="26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0.09</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7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40,136</w:t>
            </w:r>
          </w:p>
        </w:tc>
        <w:tc>
          <w:tcPr>
            <w:tcW w:w="260" w:type="dxa"/>
            <w:vAlign w:val="bottom"/>
          </w:tcPr>
          <w:p>
            <w:pPr>
              <w:spacing w:after="0"/>
              <w:rPr>
                <w:sz w:val="24"/>
                <w:szCs w:val="2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39,949</w:t>
            </w:r>
          </w:p>
        </w:tc>
      </w:tr>
      <w:tr>
        <w:trPr>
          <w:trHeight w:val="168"/>
        </w:trPr>
        <w:tc>
          <w:tcPr>
            <w:tcW w:w="5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ind w:left="2540"/>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5260" w:type="dxa"/>
            <w:vAlign w:val="bottom"/>
          </w:tcPr>
          <w:p>
            <w:pPr>
              <w:spacing w:after="0"/>
              <w:rPr>
                <w:sz w:val="24"/>
                <w:szCs w:val="24"/>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September 30,</w:t>
            </w:r>
          </w:p>
        </w:tc>
      </w:tr>
      <w:tr>
        <w:trPr>
          <w:trHeight w:val="168"/>
        </w:trPr>
        <w:tc>
          <w:tcPr>
            <w:tcW w:w="5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$ 69,543</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$ 64,101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1,678</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1,797</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4,303</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2,683</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75,524</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68,581</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15,410</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13,015</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7,398</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6,741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17,680</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15,992</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3,516</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3,245</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15,153</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13,440</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59,157</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52,433</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investors' share</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operations</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16,367</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16,148</w:t>
            </w:r>
          </w:p>
        </w:tc>
      </w:tr>
      <w:tr>
        <w:trPr>
          <w:trHeight w:val="336"/>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1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(1,185)</w:t>
            </w:r>
          </w:p>
        </w:tc>
        <w:tc>
          <w:tcPr>
            <w:tcW w:w="26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(1,727)</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15,182</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14,421</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1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(1,988)</w:t>
            </w:r>
          </w:p>
        </w:tc>
        <w:tc>
          <w:tcPr>
            <w:tcW w:w="26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(1,988)</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income available for common shareholders</w:t>
            </w: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$ 13,194</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$ 12,433</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6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0.32</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Weighted average number of common shares, basic</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39,347</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38,695</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6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0.32</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Weighted average number of common shares, diluted</w:t>
            </w:r>
          </w:p>
        </w:tc>
        <w:tc>
          <w:tcPr>
            <w:tcW w:w="1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40,492</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39,774</w:t>
            </w:r>
          </w:p>
        </w:tc>
      </w:tr>
      <w:tr>
        <w:trPr>
          <w:trHeight w:val="168"/>
        </w:trPr>
        <w:tc>
          <w:tcPr>
            <w:tcW w:w="5260" w:type="dxa"/>
            <w:vAlign w:val="bottom"/>
          </w:tcPr>
          <w:p>
            <w:pPr>
              <w:spacing w:after="0"/>
              <w:rPr>
                <w:sz w:val="14"/>
                <w:szCs w:val="14"/>
                <w:color w:val="auto"/>
              </w:rPr>
            </w:pPr>
          </w:p>
        </w:tc>
        <w:tc>
          <w:tcPr>
            <w:tcW w:w="1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COMMON SHAREHOLDERS'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ind w:left="3080"/>
              <w:spacing w:after="0"/>
              <w:rPr>
                <w:sz w:val="20"/>
                <w:szCs w:val="20"/>
                <w:color w:val="auto"/>
              </w:rPr>
            </w:pPr>
            <w:r>
              <w:rPr>
                <w:rFonts w:ascii="Courier New" w:cs="Courier New" w:eastAsia="Courier New" w:hAnsi="Courier New"/>
                <w:sz w:val="15"/>
                <w:szCs w:val="15"/>
                <w:color w:val="auto"/>
              </w:rPr>
              <w:t>(unaudited)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73"/>
        </w:trPr>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6"/>
        </w:trPr>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3500" w:type="dxa"/>
            <w:vAlign w:val="bottom"/>
            <w:gridSpan w:val="4"/>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35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9"/>
              </w:rPr>
              <w:t>Shares</w:t>
            </w:r>
          </w:p>
        </w:tc>
        <w:tc>
          <w:tcPr>
            <w:tcW w:w="18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Amount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13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Additional</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Paid-in Capital</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Paid-in Capital</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40,910,972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$723,078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40,418,766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$713,354</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67,684</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1,398</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to purchase partnership interests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328,116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6,759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under dividend reinvestment plan</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122,125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2,456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113,185</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2,339</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granted, net</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4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Restricted Shares retired</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103,723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2,026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267,385</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5,123</w:t>
            </w:r>
          </w:p>
        </w:tc>
      </w:tr>
      <w:tr>
        <w:trPr>
          <w:trHeight w:val="168"/>
        </w:trPr>
        <w:tc>
          <w:tcPr>
            <w:tcW w:w="45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41,464,936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415</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$734,319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40,867,020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$722,214</w:t>
            </w:r>
          </w:p>
        </w:tc>
      </w:tr>
      <w:tr>
        <w:trPr>
          <w:trHeight w:val="168"/>
        </w:trPr>
        <w:tc>
          <w:tcPr>
            <w:tcW w:w="45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Accumulated Dividends in Excess of Trust Net Income</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($306,287)</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($286,348)</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51,582</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46,634</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common shareholders</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(56,608)</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(53,945)</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preferred shareholders</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(5,962)</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(5,962)</w:t>
            </w:r>
          </w:p>
        </w:tc>
        <w:tc>
          <w:tcPr>
            <w:tcW w:w="13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period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($317,275)</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($299,621)</w:t>
            </w:r>
          </w:p>
        </w:tc>
        <w:tc>
          <w:tcPr>
            <w:tcW w:w="13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 in Treasury</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(1,441,594)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($27,753)</w:t>
            </w: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(217,644)</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($4,334)</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forfeited</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(11,332)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(22,789)</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treasury shares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(1,185,400)</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(22,632)</w:t>
            </w:r>
          </w:p>
        </w:tc>
        <w:tc>
          <w:tcPr>
            <w:tcW w:w="13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(1,452,926)</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($27,990)</w:t>
            </w:r>
          </w:p>
        </w:tc>
        <w:tc>
          <w:tcPr>
            <w:tcW w:w="1280" w:type="dxa"/>
            <w:vAlign w:val="bottom"/>
          </w:tcPr>
          <w:p>
            <w:pPr>
              <w:spacing w:after="0"/>
              <w:rPr>
                <w:sz w:val="24"/>
                <w:szCs w:val="24"/>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(1,425,833)</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($27,436)</w:t>
            </w:r>
          </w:p>
        </w:tc>
        <w:tc>
          <w:tcPr>
            <w:tcW w:w="138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Deferred Compensation on Restricted Shares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(735,875)</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($17,254)</w:t>
            </w: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(599,427)</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($15,219)</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issued,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forfeitures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(61,369)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(1,176)</w:t>
            </w: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(223,771)</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(4,256)</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Vesting of Performance and Restricted Shares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115,202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2,715</w:t>
            </w: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82,323</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2,116</w:t>
            </w:r>
          </w:p>
        </w:tc>
        <w:tc>
          <w:tcPr>
            <w:tcW w:w="13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(682,042)</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($15,715)</w:t>
            </w:r>
          </w:p>
        </w:tc>
        <w:tc>
          <w:tcPr>
            <w:tcW w:w="1280" w:type="dxa"/>
            <w:vAlign w:val="bottom"/>
          </w:tcPr>
          <w:p>
            <w:pPr>
              <w:spacing w:after="0"/>
              <w:rPr>
                <w:sz w:val="24"/>
                <w:szCs w:val="24"/>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(740,875)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($17,359)</w:t>
            </w:r>
          </w:p>
        </w:tc>
        <w:tc>
          <w:tcPr>
            <w:tcW w:w="138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Subscriptions receivable from employee stock plans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(242,638)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($4,540)</w:t>
            </w: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(317,606)</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($6,030)</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issued</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(5,500)</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paid</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25,189</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416</w:t>
            </w: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70,699</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1,453</w:t>
            </w:r>
          </w:p>
        </w:tc>
        <w:tc>
          <w:tcPr>
            <w:tcW w:w="13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(220,782)</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($4,194)</w:t>
            </w:r>
          </w:p>
        </w:tc>
        <w:tc>
          <w:tcPr>
            <w:tcW w:w="1280" w:type="dxa"/>
            <w:vAlign w:val="bottom"/>
          </w:tcPr>
          <w:p>
            <w:pPr>
              <w:spacing w:after="0"/>
              <w:rPr>
                <w:sz w:val="24"/>
                <w:szCs w:val="24"/>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(252,407)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($4,692)</w:t>
            </w:r>
          </w:p>
        </w:tc>
        <w:tc>
          <w:tcPr>
            <w:tcW w:w="138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($4,754)</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($4,754)</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51,582</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(4,754)</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Total other comprehensive income</w:t>
            </w:r>
          </w:p>
        </w:tc>
        <w:tc>
          <w:tcPr>
            <w:tcW w:w="10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46,828</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3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40"/>
          </w:cols>
          <w:pgMar w:left="220" w:top="617" w:right="13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ind w:left="1760"/>
              <w:spacing w:after="0"/>
              <w:rPr>
                <w:sz w:val="20"/>
                <w:szCs w:val="20"/>
                <w:color w:val="auto"/>
              </w:rPr>
            </w:pPr>
            <w:r>
              <w:rPr>
                <w:rFonts w:ascii="Courier New" w:cs="Courier New" w:eastAsia="Courier New" w:hAnsi="Courier New"/>
                <w:sz w:val="15"/>
                <w:szCs w:val="15"/>
                <w:color w:val="auto"/>
              </w:rPr>
              <w:t>(unaudited)</w:t>
            </w: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6140" w:type="dxa"/>
            <w:vAlign w:val="bottom"/>
          </w:tcPr>
          <w:p>
            <w:pPr>
              <w:spacing w:after="0"/>
              <w:rPr>
                <w:sz w:val="24"/>
                <w:szCs w:val="24"/>
                <w:color w:val="auto"/>
              </w:rPr>
            </w:pPr>
          </w:p>
        </w:tc>
        <w:tc>
          <w:tcPr>
            <w:tcW w:w="322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Nine months ended Sptember 30,</w:t>
            </w:r>
          </w:p>
        </w:tc>
      </w:tr>
      <w:tr>
        <w:trPr>
          <w:trHeight w:val="336"/>
        </w:trPr>
        <w:tc>
          <w:tcPr>
            <w:tcW w:w="6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6140" w:type="dxa"/>
            <w:vAlign w:val="bottom"/>
          </w:tcPr>
          <w:p>
            <w:pPr>
              <w:spacing w:after="0"/>
              <w:rPr>
                <w:sz w:val="14"/>
                <w:szCs w:val="14"/>
                <w:color w:val="auto"/>
              </w:rPr>
            </w:pPr>
          </w:p>
        </w:tc>
        <w:tc>
          <w:tcPr>
            <w:tcW w:w="3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51,582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46,634</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Items not requiring cash outlays</w:t>
            </w: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44,110</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39,433</w:t>
            </w: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(7,898)</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(3,681)</w:t>
            </w: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net</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2,549</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1,486</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accounts receivable</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(682)</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2,545</w:t>
            </w: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prepaid expenses and other</w:t>
            </w: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(11,005)</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(6,277)</w:t>
            </w: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operating accounts payable,</w:t>
            </w: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54</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2,529</w:t>
            </w: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accrued expenses</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8,684</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2,082</w:t>
            </w:r>
          </w:p>
        </w:tc>
      </w:tr>
      <w:tr>
        <w:trPr>
          <w:trHeight w:val="168"/>
        </w:trPr>
        <w:tc>
          <w:tcPr>
            <w:tcW w:w="6140" w:type="dxa"/>
            <w:vAlign w:val="bottom"/>
          </w:tcPr>
          <w:p>
            <w:pPr>
              <w:spacing w:after="0"/>
              <w:rPr>
                <w:sz w:val="14"/>
                <w:szCs w:val="14"/>
                <w:color w:val="auto"/>
              </w:rPr>
            </w:pPr>
          </w:p>
        </w:tc>
        <w:tc>
          <w:tcPr>
            <w:tcW w:w="3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6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87,394</w:t>
            </w:r>
          </w:p>
        </w:tc>
        <w:tc>
          <w:tcPr>
            <w:tcW w:w="5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84,751</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(58,089)</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(23,093)</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 development</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(113,855)</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(49,109)</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 other</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(32,855)</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(49,354)</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real estate</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16,255</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47,157</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Repayments of mortgage notes receivable, net</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3,377</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2,187</w:t>
            </w:r>
          </w:p>
        </w:tc>
      </w:tr>
      <w:tr>
        <w:trPr>
          <w:trHeight w:val="168"/>
        </w:trPr>
        <w:tc>
          <w:tcPr>
            <w:tcW w:w="6140" w:type="dxa"/>
            <w:vAlign w:val="bottom"/>
          </w:tcPr>
          <w:p>
            <w:pPr>
              <w:spacing w:after="0"/>
              <w:rPr>
                <w:sz w:val="14"/>
                <w:szCs w:val="14"/>
                <w:color w:val="auto"/>
              </w:rPr>
            </w:pPr>
          </w:p>
        </w:tc>
        <w:tc>
          <w:tcPr>
            <w:tcW w:w="3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(185,167)</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(72,212)</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Borrowing of short-term debt, net</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87,000</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155,700</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mortgage and construction financing, net of costs</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105,667</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12,747</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Maturity of senior notes</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(100,000)</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769</w:t>
            </w: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3,238</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repurchased</w:t>
            </w:r>
          </w:p>
        </w:tc>
        <w:tc>
          <w:tcPr>
            <w:tcW w:w="6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(22,632)</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on mortgages, capital leases and notes payable</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(31,273)</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(1,863)</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(60,047)</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(57,588)</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 minority interest, net</w:t>
            </w:r>
          </w:p>
        </w:tc>
        <w:tc>
          <w:tcPr>
            <w:tcW w:w="6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(1,064)</w:t>
            </w:r>
          </w:p>
        </w:tc>
        <w:tc>
          <w:tcPr>
            <w:tcW w:w="5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6140" w:type="dxa"/>
            <w:vAlign w:val="bottom"/>
          </w:tcPr>
          <w:p>
            <w:pPr>
              <w:spacing w:after="0"/>
              <w:rPr>
                <w:sz w:val="14"/>
                <w:szCs w:val="14"/>
                <w:color w:val="auto"/>
              </w:rPr>
            </w:pPr>
          </w:p>
        </w:tc>
        <w:tc>
          <w:tcPr>
            <w:tcW w:w="3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6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101,052</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(10,551)</w:t>
            </w:r>
          </w:p>
        </w:tc>
      </w:tr>
      <w:tr>
        <w:trPr>
          <w:trHeight w:val="168"/>
        </w:trPr>
        <w:tc>
          <w:tcPr>
            <w:tcW w:w="6140" w:type="dxa"/>
            <w:vAlign w:val="bottom"/>
          </w:tcPr>
          <w:p>
            <w:pPr>
              <w:spacing w:after="0"/>
              <w:rPr>
                <w:sz w:val="14"/>
                <w:szCs w:val="14"/>
                <w:color w:val="auto"/>
              </w:rPr>
            </w:pPr>
          </w:p>
        </w:tc>
        <w:tc>
          <w:tcPr>
            <w:tcW w:w="3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Increase  in cash</w:t>
            </w:r>
          </w:p>
        </w:tc>
        <w:tc>
          <w:tcPr>
            <w:tcW w:w="6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3,279</w:t>
            </w:r>
          </w:p>
        </w:tc>
        <w:tc>
          <w:tcPr>
            <w:tcW w:w="5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1,988</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6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11,357</w:t>
            </w:r>
          </w:p>
        </w:tc>
        <w:tc>
          <w:tcPr>
            <w:tcW w:w="5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11,738</w:t>
            </w:r>
          </w:p>
        </w:tc>
      </w:tr>
      <w:tr>
        <w:trPr>
          <w:trHeight w:val="168"/>
        </w:trPr>
        <w:tc>
          <w:tcPr>
            <w:tcW w:w="6140" w:type="dxa"/>
            <w:vAlign w:val="bottom"/>
          </w:tcPr>
          <w:p>
            <w:pPr>
              <w:spacing w:after="0"/>
              <w:rPr>
                <w:sz w:val="14"/>
                <w:szCs w:val="14"/>
                <w:color w:val="auto"/>
              </w:rPr>
            </w:pPr>
          </w:p>
        </w:tc>
        <w:tc>
          <w:tcPr>
            <w:tcW w:w="3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14,636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13,726</w:t>
            </w:r>
          </w:p>
        </w:tc>
      </w:tr>
      <w:tr>
        <w:trPr>
          <w:trHeight w:val="168"/>
        </w:trPr>
        <w:tc>
          <w:tcPr>
            <w:tcW w:w="6140" w:type="dxa"/>
            <w:vAlign w:val="bottom"/>
          </w:tcPr>
          <w:p>
            <w:pPr>
              <w:spacing w:after="0"/>
              <w:rPr>
                <w:sz w:val="14"/>
                <w:szCs w:val="14"/>
                <w:color w:val="auto"/>
              </w:rPr>
            </w:pPr>
          </w:p>
        </w:tc>
        <w:tc>
          <w:tcPr>
            <w:tcW w:w="3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8" w:name="page9"/>
    <w:bookmarkEnd w:id="8"/>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September 30, 2001</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3" w:lineRule="exact"/>
        <w:rPr>
          <w:sz w:val="20"/>
          <w:szCs w:val="20"/>
          <w:color w:val="auto"/>
        </w:rPr>
      </w:pPr>
    </w:p>
    <w:p>
      <w:pPr>
        <w:ind w:right="860" w:firstLine="437"/>
        <w:spacing w:after="0" w:line="235"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2000 which contain the accounting policies and other data of Federal Realty Investment Trust (the "Trust").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reconciliation between basic and diluted</w:t>
      </w:r>
    </w:p>
    <w:p>
      <w:pPr>
        <w:spacing w:after="0" w:line="237" w:lineRule="auto"/>
        <w:rPr>
          <w:sz w:val="20"/>
          <w:szCs w:val="20"/>
          <w:color w:val="auto"/>
        </w:rPr>
      </w:pPr>
      <w:r>
        <w:rPr>
          <w:rFonts w:ascii="Courier New" w:cs="Courier New" w:eastAsia="Courier New" w:hAnsi="Courier New"/>
          <w:sz w:val="15"/>
          <w:szCs w:val="15"/>
          <w:color w:val="auto"/>
        </w:rPr>
        <w:t>EPS: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96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Nine months ending</w:t>
            </w:r>
          </w:p>
        </w:tc>
      </w:tr>
      <w:tr>
        <w:trPr>
          <w:trHeight w:val="168"/>
        </w:trPr>
        <w:tc>
          <w:tcPr>
            <w:tcW w:w="4740" w:type="dxa"/>
            <w:vAlign w:val="bottom"/>
          </w:tcPr>
          <w:p>
            <w:pPr>
              <w:spacing w:after="0"/>
              <w:rPr>
                <w:sz w:val="14"/>
                <w:szCs w:val="14"/>
                <w:color w:val="auto"/>
              </w:rPr>
            </w:pPr>
          </w:p>
        </w:tc>
        <w:tc>
          <w:tcPr>
            <w:tcW w:w="2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Numerator</w:t>
            </w:r>
          </w:p>
        </w:tc>
        <w:tc>
          <w:tcPr>
            <w:tcW w:w="192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basic</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$45,619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$40,671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 partnership</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1,022</w:t>
            </w:r>
          </w:p>
        </w:tc>
      </w:tr>
      <w:tr>
        <w:trPr>
          <w:trHeight w:val="168"/>
        </w:trPr>
        <w:tc>
          <w:tcPr>
            <w:tcW w:w="4740" w:type="dxa"/>
            <w:vAlign w:val="bottom"/>
          </w:tcPr>
          <w:p>
            <w:pPr>
              <w:spacing w:after="0"/>
              <w:rPr>
                <w:sz w:val="14"/>
                <w:szCs w:val="14"/>
                <w:color w:val="auto"/>
              </w:rPr>
            </w:pP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for common</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diluted</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$46,668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$41,693</w:t>
            </w:r>
          </w:p>
        </w:tc>
      </w:tr>
      <w:tr>
        <w:trPr>
          <w:trHeight w:val="168"/>
        </w:trPr>
        <w:tc>
          <w:tcPr>
            <w:tcW w:w="4740" w:type="dxa"/>
            <w:vAlign w:val="bottom"/>
          </w:tcPr>
          <w:p>
            <w:pPr>
              <w:spacing w:after="0"/>
              <w:rPr>
                <w:sz w:val="14"/>
                <w:szCs w:val="14"/>
                <w:color w:val="auto"/>
              </w:rPr>
            </w:pP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39,061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38,812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diluted securities</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 and awards</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4740" w:type="dxa"/>
            <w:vAlign w:val="bottom"/>
          </w:tcPr>
          <w:p>
            <w:pPr>
              <w:spacing w:after="0"/>
              <w:rPr>
                <w:sz w:val="14"/>
                <w:szCs w:val="14"/>
                <w:color w:val="auto"/>
              </w:rPr>
            </w:pP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Denominator for diluted EPS</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40,136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39,949</w:t>
            </w:r>
          </w:p>
        </w:tc>
      </w:tr>
      <w:tr>
        <w:trPr>
          <w:trHeight w:val="168"/>
        </w:trPr>
        <w:tc>
          <w:tcPr>
            <w:tcW w:w="4740" w:type="dxa"/>
            <w:vAlign w:val="bottom"/>
          </w:tcPr>
          <w:p>
            <w:pPr>
              <w:spacing w:after="0"/>
              <w:rPr>
                <w:sz w:val="14"/>
                <w:szCs w:val="14"/>
                <w:color w:val="auto"/>
              </w:rPr>
            </w:pP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700"/>
        <w:spacing w:after="0" w:line="237" w:lineRule="auto"/>
        <w:rPr>
          <w:sz w:val="20"/>
          <w:szCs w:val="20"/>
          <w:color w:val="auto"/>
        </w:rPr>
      </w:pPr>
      <w:r>
        <w:rPr>
          <w:rFonts w:ascii="Courier New" w:cs="Courier New" w:eastAsia="Courier New" w:hAnsi="Courier New"/>
          <w:sz w:val="15"/>
          <w:szCs w:val="15"/>
          <w:color w:val="auto"/>
        </w:rPr>
        <w:t>Risk Management. Upon adoption of SFAS No. 133 "Accounting for Derivative Instruments and Hedging Activities" on January 1, 2001, the Trust had no derivatives and thus there was no transition adjustment upon adoption. SFAS No. 133 requires that an entity recognize all derivatives as either assets or liabilities in the statement of financial position and measure those instruments at fair value. If certain conditions are met, a derivative may be specifically designated as a hedge of the exposure to certain risks. The Trust enters into derivative contracts, which qualify as cash flow hedges, in order to manage interest rate risk. Derivatives are not purchased for speculation. During the first nine months of 2001, the Trust entered into interest rate swaps, which fixed the interest rate at 6.22% on notional amounts totaling $125 million to hedge its exposure to increasing interest rates on its variable rate $125 million term loan. The interest rate swaps mature concurrently with the $125 million term loan on December 19, 2003. The swaps were documented as cash flow hedges and designated as effective at inception of the swap contract. Consequently, the unrealized gain or loss upon measuring the swaps at their fair value is recorded as a</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0" w:right="260" w:hanging="349"/>
        <w:spacing w:after="0" w:line="254" w:lineRule="auto"/>
        <w:rPr>
          <w:sz w:val="20"/>
          <w:szCs w:val="20"/>
          <w:color w:val="auto"/>
        </w:rPr>
      </w:pPr>
      <w:r>
        <w:rPr>
          <w:rFonts w:ascii="Courier New" w:cs="Courier New" w:eastAsia="Courier New" w:hAnsi="Courier New"/>
          <w:sz w:val="14"/>
          <w:szCs w:val="14"/>
          <w:color w:val="auto"/>
        </w:rPr>
        <w:t>Three months ending September 30,</w:t>
      </w:r>
    </w:p>
    <w:p>
      <w:pPr>
        <w:ind w:left="180"/>
        <w:spacing w:after="0" w:line="231" w:lineRule="auto"/>
        <w:tabs>
          <w:tab w:leader="none" w:pos="156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$13,194</w:t>
      </w:r>
      <w:r>
        <w:rPr>
          <w:sz w:val="20"/>
          <w:szCs w:val="20"/>
          <w:color w:val="auto"/>
        </w:rPr>
        <w:tab/>
      </w:r>
      <w:r>
        <w:rPr>
          <w:rFonts w:ascii="Courier New" w:cs="Courier New" w:eastAsia="Courier New" w:hAnsi="Courier New"/>
          <w:sz w:val="14"/>
          <w:szCs w:val="14"/>
          <w:color w:val="auto"/>
        </w:rPr>
        <w:t>$12,433</w:t>
      </w:r>
    </w:p>
    <w:p>
      <w:pPr>
        <w:spacing w:after="0" w:line="173" w:lineRule="exact"/>
        <w:rPr>
          <w:sz w:val="20"/>
          <w:szCs w:val="20"/>
          <w:color w:val="auto"/>
        </w:rPr>
      </w:pPr>
    </w:p>
    <w:p>
      <w:pPr>
        <w:ind w:left="1760" w:hanging="1404"/>
        <w:spacing w:after="0"/>
        <w:tabs>
          <w:tab w:leader="none" w:pos="17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278</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$13,483</w:t>
      </w:r>
      <w:r>
        <w:rPr>
          <w:sz w:val="20"/>
          <w:szCs w:val="20"/>
          <w:color w:val="auto"/>
        </w:rPr>
        <w:tab/>
      </w:r>
      <w:r>
        <w:rPr>
          <w:rFonts w:ascii="Courier New" w:cs="Courier New" w:eastAsia="Courier New" w:hAnsi="Courier New"/>
          <w:sz w:val="14"/>
          <w:szCs w:val="14"/>
          <w:color w:val="auto"/>
        </w:rPr>
        <w:t>$12,711</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100"/>
        <w:spacing w:after="0"/>
        <w:tabs>
          <w:tab w:leader="none" w:pos="1480" w:val="left"/>
        </w:tabs>
        <w:rPr>
          <w:sz w:val="20"/>
          <w:szCs w:val="20"/>
          <w:color w:val="auto"/>
        </w:rPr>
      </w:pPr>
      <w:r>
        <w:rPr>
          <w:rFonts w:ascii="Courier New" w:cs="Courier New" w:eastAsia="Courier New" w:hAnsi="Courier New"/>
          <w:sz w:val="14"/>
          <w:szCs w:val="14"/>
          <w:color w:val="auto"/>
        </w:rPr>
        <w:t>39,347</w:t>
      </w:r>
      <w:r>
        <w:rPr>
          <w:sz w:val="20"/>
          <w:szCs w:val="20"/>
          <w:color w:val="auto"/>
        </w:rPr>
        <w:tab/>
      </w:r>
      <w:r>
        <w:rPr>
          <w:rFonts w:ascii="Courier New" w:cs="Courier New" w:eastAsia="Courier New" w:hAnsi="Courier New"/>
          <w:sz w:val="14"/>
          <w:szCs w:val="14"/>
          <w:color w:val="auto"/>
        </w:rPr>
        <w:t>38,695</w:t>
      </w:r>
    </w:p>
    <w:p>
      <w:pPr>
        <w:spacing w:after="0" w:line="178" w:lineRule="exact"/>
        <w:rPr>
          <w:sz w:val="20"/>
          <w:szCs w:val="20"/>
          <w:color w:val="auto"/>
        </w:rPr>
      </w:pPr>
    </w:p>
    <w:p>
      <w:pPr>
        <w:ind w:left="1760" w:hanging="1404"/>
        <w:spacing w:after="0"/>
        <w:tabs>
          <w:tab w:leader="none" w:pos="17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157</w:t>
      </w:r>
    </w:p>
    <w:p>
      <w:pPr>
        <w:spacing w:after="0" w:line="9" w:lineRule="exact"/>
        <w:rPr>
          <w:rFonts w:ascii="Courier New" w:cs="Courier New" w:eastAsia="Courier New" w:hAnsi="Courier New"/>
          <w:sz w:val="14"/>
          <w:szCs w:val="14"/>
          <w:color w:val="auto"/>
        </w:rPr>
      </w:pPr>
    </w:p>
    <w:p>
      <w:pPr>
        <w:ind w:left="1760" w:hanging="1404"/>
        <w:spacing w:after="0"/>
        <w:tabs>
          <w:tab w:leader="none" w:pos="17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922</w:t>
      </w:r>
    </w:p>
    <w:p>
      <w:pPr>
        <w:spacing w:after="0" w:line="1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ind w:left="100"/>
        <w:spacing w:after="0"/>
        <w:tabs>
          <w:tab w:leader="none" w:pos="1480" w:val="left"/>
        </w:tabs>
        <w:rPr>
          <w:sz w:val="20"/>
          <w:szCs w:val="20"/>
          <w:color w:val="auto"/>
        </w:rPr>
      </w:pPr>
      <w:r>
        <w:rPr>
          <w:rFonts w:ascii="Courier New" w:cs="Courier New" w:eastAsia="Courier New" w:hAnsi="Courier New"/>
          <w:sz w:val="14"/>
          <w:szCs w:val="14"/>
          <w:color w:val="auto"/>
        </w:rPr>
        <w:t>40,492</w:t>
      </w:r>
      <w:r>
        <w:rPr>
          <w:sz w:val="20"/>
          <w:szCs w:val="20"/>
          <w:color w:val="auto"/>
        </w:rPr>
        <w:tab/>
      </w:r>
      <w:r>
        <w:rPr>
          <w:rFonts w:ascii="Courier New" w:cs="Courier New" w:eastAsia="Courier New" w:hAnsi="Courier New"/>
          <w:sz w:val="14"/>
          <w:szCs w:val="14"/>
          <w:color w:val="auto"/>
        </w:rPr>
        <w:t>39,774</w:t>
      </w:r>
    </w:p>
    <w:p>
      <w:pPr>
        <w:spacing w:after="0" w:line="1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700" w:space="700"/>
            <w:col w:w="2020"/>
          </w:cols>
          <w:pgMar w:left="220" w:top="617" w:right="1259" w:bottom="1440" w:gutter="0" w:footer="0" w:header="0"/>
        </w:sectPr>
      </w:pPr>
    </w:p>
    <w:bookmarkStart w:id="9" w:name="page10"/>
    <w:bookmarkEnd w:id="9"/>
    <w:p>
      <w:pPr>
        <w:ind w:right="3239"/>
        <w:spacing w:after="0" w:line="255" w:lineRule="auto"/>
        <w:rPr>
          <w:sz w:val="20"/>
          <w:szCs w:val="20"/>
          <w:color w:val="auto"/>
        </w:rPr>
      </w:pPr>
      <w:r>
        <w:rPr>
          <w:rFonts w:ascii="Courier New" w:cs="Courier New" w:eastAsia="Courier New" w:hAnsi="Courier New"/>
          <w:sz w:val="14"/>
          <w:szCs w:val="14"/>
          <w:color w:val="auto"/>
        </w:rPr>
        <w:t>component of other comprehensive income within stockholders' equity and either a derivative instrument asset or liability is recorded on the balance sheet. At September 30, 2001, an expense of $4,754,000, representing the difference between the current market value and the 6.22% fixed interest rate on the swap, was recorded in other comprehensive income with a corresponding derivative liability on the balance sheet. Interest expense of approximately $2,153,000 will be reclassified from other comprehensive income into current earnings over the next twelve months to bring the effective interest rate up to 6.22%.</w:t>
      </w:r>
    </w:p>
    <w:p>
      <w:pPr>
        <w:spacing w:after="0" w:line="166" w:lineRule="exact"/>
        <w:rPr>
          <w:sz w:val="20"/>
          <w:szCs w:val="20"/>
          <w:color w:val="auto"/>
        </w:rPr>
      </w:pPr>
    </w:p>
    <w:p>
      <w:pPr>
        <w:ind w:right="3579" w:firstLine="787"/>
        <w:spacing w:after="0" w:line="258" w:lineRule="auto"/>
        <w:rPr>
          <w:sz w:val="20"/>
          <w:szCs w:val="20"/>
          <w:color w:val="auto"/>
        </w:rPr>
      </w:pPr>
      <w:r>
        <w:rPr>
          <w:rFonts w:ascii="Courier New" w:cs="Courier New" w:eastAsia="Courier New" w:hAnsi="Courier New"/>
          <w:sz w:val="14"/>
          <w:szCs w:val="14"/>
          <w:color w:val="auto"/>
        </w:rPr>
        <w:t>Certain components of real estate, mortgages and construction loans payable and notes payable on the December 31, 2000 Balance Sheet have been reclassified to conform to current period reporting classifications.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REAL ESTATE ASSETS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February 16, 2001 the Trust bought the fee interest underlying the capital lease obligation of $21.4 million, thereby terminating the capital lease, on Brick Plaza in Brick, New Jersey for a purchase price of $28 million. A mortgage note receivable of $3.2 million owed to the Trust by the lessor and a $3 million security deposit on the capital lease were credited to the purchase price, resulting in a cash outlay of approximately $21.5 million.</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March 1, 2001 the limited partners in two partnerships, owning street retail properties in southern California, exercised their rights under the partnership agreements and put their interests to the Trust. The Trust purchased their interests for $18.1 million, $11.4 million in cash, which was paid at closing, and the balance in common shares of the Trust. 328,116 shares valued at $6.7 million were issued to the limited partners on June 19, 2001. The Trust estimates that an additional $1.2 million to $1.5 million will be owed to the limited partners upon completion of certain leasing transactions.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connection with the buyout of the minority partner at Santana Row in a transaction being structured as a tax-free exchange the Trust made an investment in an office building for $8.5 million. Upon consummation of the exchange, the Trust will receive the minority interest in Santana Row and $5.9 million in cash in exchange for the building.</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The proceeds from the sale were held by a qualified intermediary until the execution of a tax-free exchange for Friendship Center.</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On September 21, 2001 the Trust purchased Friendship Center, a 119,000 square foot street retail property in Washington, D.C. for $33.4 million. The purchase price was funded from the proceeds from the sale of Williamsburg Shopping Center and a $17.0 million mortgage loan.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NOTE C - MORTGAGE NOTES RECEIVABLE</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Trust made additional loans of $823,000 on properties located in Manayunk, Pennsylvania to existing borrowers with an average weighted interest rate of 10.0%. During the first nine months of 2001 $4.2 million of notes secured by properties located in Philadelphia, Pennsylvania were repaid to the Trust.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MORTGAGES AND NOTES PAYABLE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September 30, 2001 there was $165.0 million borrowed under the Trust's syndicated credit facility. The maximum drawn during the first nine months of 2001 was $183.5 million. The weighted average interest rate on borrowings for the nine months ended September 30, 2001 was 5.3%. The facility requires fees and has various covenants including the maintenance of a minimum shareholders' equity and a maximum ratio of debt to net worth. At September 30, 2001 the Trust is in compliance with all loan covenants.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September 30, 2001 there was $22.4 million borrowed under the construction loan for the Trust's Woodmont East development in Bethesda, Maryland. The loan, which has a floating interest rate of LIBOR plus 120 to 150 basis points, depending on occupancy levels, matures August 29, 2002 with two one-year extension options. No principal payments are due until maturity. The property secures the construction loan facility.</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April 12, 2001 the Trust obtained a $33 million mortgage loan secured by Brick Plaza in Brick, New Jersey. The mortgage, which bears interest at 7.415%, matures November 15, 2015. The loan provides for interest only payments for the initial 29 months, then monthly principal and interest payments based on a twenty-seven year amortization schedule until the maturity date. The proceeds from the mortgage loan were used to fund the purchase of the fee interest of Brick Plaza (see Note B).</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On April 17, 2001 the Trust closed on a $295 million construction loan for Santana Row in San Jose, California. The loan, which initially bears interest at LIBOR plus 212.5 basis points, matures April 16, 2004 with two one-year extension options, subject to obtaining certain operating targets. The interest rate will decrease to LIBOR plus 187.5 basis points and then to LIBOR plus 162.5 basis points upon the achievement of certain leasing, occupancy and net operating income hurdles. The construction loan requires fees and has various covenants including the maintenance of a minimum</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85" w:right="1440" w:bottom="1440" w:gutter="0" w:footer="0" w:header="0"/>
        </w:sectPr>
      </w:pPr>
    </w:p>
    <w:bookmarkStart w:id="11" w:name="page12"/>
    <w:bookmarkEnd w:id="11"/>
    <w:p>
      <w:pPr>
        <w:ind w:right="3319"/>
        <w:spacing w:after="0" w:line="236" w:lineRule="auto"/>
        <w:rPr>
          <w:sz w:val="20"/>
          <w:szCs w:val="20"/>
          <w:color w:val="auto"/>
        </w:rPr>
      </w:pPr>
      <w:r>
        <w:rPr>
          <w:rFonts w:ascii="Courier New" w:cs="Courier New" w:eastAsia="Courier New" w:hAnsi="Courier New"/>
          <w:sz w:val="15"/>
          <w:szCs w:val="15"/>
          <w:color w:val="auto"/>
        </w:rPr>
        <w:t>shareholders' equity and a maximum ratio of debt to gross asset value. The initial funding of the construction loan took place on August 23, 2001 when the equity and pre-leasing requirements were met. As of September 30, 2001, $23.0 million was borrowed under the loan. As of October 31, 2001, $43.0 million was borrowed under the loan.</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On May 3, 2001 the Trust refinanced the mortgage loan secured by Federal Plaza in Rockville, Maryland. The new $36.5 million mortgage loan bears interest at 6.75% and matures on June 1, 2011. The loan provides for monthly principal and interest payments of $236,700 based on a thirty year amortization schedule until the maturity date. The proceeds from the refinancing were first used to payoff the outstanding mortgage balance on the property of $26.5 million. The remaining proceeds were used to pay down on the Trust's syndicated credit facility.</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August 30, 2001 the Trust refinanced the mortgage loan secured by Tyson's Station in Falls Church, Virginia. The new $7.0 million mortgage bears interest at 7.4% and matures on September 1, 2011. The loan provides for monthly principal and interest payments of $51,300 based on a twenty-five year amortization schedule until the maturity date. The proceeds from the refinancing were first used to payoff the outstanding mortgage balance on the property of $3.9 million. The remaining proceeds were used to pay down on the Trust's syndicated credit facility.</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connection with the purchase of Friendship Center in Washington, D.C. on September 21, 2001 the Trust placed a $17.0 million mortgage on the property. The loan, which bears interest at LIBOR plus 135 basis points, matures September 22, 2003 with three one-year extension options. The loan provides for interest only payments through maturity.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SHAREHOLDERS' EQUITY</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During the first nine months of 2001, options for 417,500 shares at prices ranging from $19.60 to $19.93 per share, fair market value at the dates of award, were awarded to certain employees and Trustees of the Trust. The options vest over three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INTEREST EXPENSE</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Trust incurred interest expense totaling $65.1 million during the first nine months of 2001 and $58.5 million during the first nine months of 2000 of which $12.7 million and $9.0 million, respectively, was capitalized in connection with development projects. Interest paid was $56.8 million in the first nine months of 2001 and $56.7 million in the first nine months of 2000.</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NOTE G - COMMITMENTS AND CONTINGENCIES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Though not quantifiable until the project is completed, the combined damage claim is estimated to be in excess of $40.0 million. The original contractor 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Due to the delay and other costs associated with the change in the general contractor the estimated total cost of the project is now $87 million, with an estimated stabilized return on total cost of approximately 9%, if there is no significant recovery of damages from the original general contractor. The cost of prosecuting this lawsuit, currently estimated at $1.0 million to $1.5 million, will flow through earnings as it is incurred.</w:t>
      </w:r>
    </w:p>
    <w:p>
      <w:pPr>
        <w:spacing w:after="0" w:line="176"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Under the terms of the Congressional Plaza partnership agreement, from and after January 1, 1986, Rockville Plaza Company, an unaffiliated third party, has the right to require the Trust and the two other minority partners to purchase from half to all of Rockville Plaza Company's 37.5% interest in Congressional Plaza at the interest's then-current fair market value. Based on management's current estimate of fair market value, the Trust's estimated liability upon exercise of the put option is approximately $27 million.</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Under the terms of seven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for four of the partnerships,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Under the terms of other partnerships, the partners may exchange their 904,589 operating units for cash or exchange into the same number of common shares of the Trust, at the option of the Trust.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NOTE H - COMPONENTS OF RENTAL INCOME</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components of rental income for the periods ended September 30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Nine months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months</w:t>
            </w:r>
          </w:p>
        </w:tc>
      </w:tr>
      <w:tr>
        <w:trPr>
          <w:trHeight w:val="168"/>
        </w:trPr>
        <w:tc>
          <w:tcPr>
            <w:tcW w:w="20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0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Properties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Minimum rents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$164,924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$155,181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$ 56,135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$ 51,134</w:t>
            </w:r>
          </w:p>
        </w:tc>
      </w:tr>
      <w:tr>
        <w:trPr>
          <w:trHeight w:val="168"/>
        </w:trPr>
        <w:tc>
          <w:tcPr>
            <w:tcW w:w="2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33,857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31,075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11,692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11,112</w:t>
            </w:r>
          </w:p>
        </w:tc>
      </w:tr>
      <w:tr>
        <w:trPr>
          <w:trHeight w:val="168"/>
        </w:trPr>
        <w:tc>
          <w:tcPr>
            <w:tcW w:w="2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Percentage rents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4,149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4,253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699</w:t>
            </w:r>
          </w:p>
        </w:tc>
      </w:tr>
      <w:tr>
        <w:trPr>
          <w:trHeight w:val="168"/>
        </w:trPr>
        <w:tc>
          <w:tcPr>
            <w:tcW w:w="20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0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$205,137</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$192,584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$ 69,543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$ 64,101</w:t>
            </w:r>
          </w:p>
        </w:tc>
      </w:tr>
      <w:tr>
        <w:trPr>
          <w:trHeight w:val="168"/>
        </w:trPr>
        <w:tc>
          <w:tcPr>
            <w:tcW w:w="20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NOTE I - SEGMENT INFORMATION</w:t>
      </w:r>
    </w:p>
    <w:p>
      <w:pPr>
        <w:spacing w:after="0" w:line="173" w:lineRule="exact"/>
        <w:rPr>
          <w:sz w:val="20"/>
          <w:szCs w:val="20"/>
          <w:color w:val="auto"/>
        </w:rPr>
      </w:pPr>
    </w:p>
    <w:p>
      <w:pPr>
        <w:ind w:right="4540"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3760" w:firstLine="437"/>
        <w:spacing w:after="0" w:line="234" w:lineRule="auto"/>
        <w:rPr>
          <w:sz w:val="20"/>
          <w:szCs w:val="20"/>
          <w:color w:val="auto"/>
        </w:rPr>
      </w:pPr>
      <w:r>
        <w:rPr>
          <w:rFonts w:ascii="Courier New" w:cs="Courier New" w:eastAsia="Courier New" w:hAnsi="Courier New"/>
          <w:sz w:val="15"/>
          <w:szCs w:val="15"/>
          <w:color w:val="auto"/>
        </w:rPr>
        <w:t>A summary of the Trust's operations by geographic region is presented below (in thousands):</w:t>
      </w:r>
    </w:p>
    <w:p>
      <w:pPr>
        <w:spacing w:after="0" w:line="200" w:lineRule="exact"/>
        <w:rPr>
          <w:sz w:val="20"/>
          <w:szCs w:val="20"/>
          <w:color w:val="auto"/>
        </w:rPr>
      </w:pPr>
    </w:p>
    <w:p>
      <w:pPr>
        <w:spacing w:after="0" w:line="303"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Nine months ended</w:t>
      </w:r>
      <w:r>
        <w:rPr>
          <w:sz w:val="20"/>
          <w:szCs w:val="20"/>
          <w:color w:val="auto"/>
        </w:rPr>
        <w:tab/>
      </w:r>
      <w:r>
        <w:rPr>
          <w:rFonts w:ascii="Courier New" w:cs="Courier New" w:eastAsia="Courier New" w:hAnsi="Courier New"/>
          <w:sz w:val="15"/>
          <w:szCs w:val="15"/>
          <w:color w:val="auto"/>
        </w:rPr>
        <w:t>Mid-</w:t>
      </w:r>
    </w:p>
    <w:p>
      <w:pPr>
        <w:ind w:left="180"/>
        <w:spacing w:after="0"/>
        <w:tabs>
          <w:tab w:leader="none" w:pos="3660" w:val="left"/>
          <w:tab w:leader="none" w:pos="4980" w:val="left"/>
          <w:tab w:leader="none" w:pos="6720" w:val="left"/>
          <w:tab w:leader="none" w:pos="8120" w:val="left"/>
          <w:tab w:leader="none" w:pos="10040" w:val="left"/>
        </w:tabs>
        <w:rPr>
          <w:sz w:val="20"/>
          <w:szCs w:val="20"/>
          <w:color w:val="auto"/>
        </w:rPr>
      </w:pPr>
      <w:r>
        <w:rPr>
          <w:rFonts w:ascii="Courier New" w:cs="Courier New" w:eastAsia="Courier New" w:hAnsi="Courier New"/>
          <w:sz w:val="15"/>
          <w:szCs w:val="15"/>
          <w:color w:val="auto"/>
        </w:rPr>
        <w:t>September 30, 2001</w:t>
      </w:r>
      <w:r>
        <w:rPr>
          <w:sz w:val="20"/>
          <w:szCs w:val="20"/>
          <w:color w:val="auto"/>
        </w:rPr>
        <w:tab/>
      </w:r>
      <w:r>
        <w:rPr>
          <w:rFonts w:ascii="Courier New" w:cs="Courier New" w:eastAsia="Courier New" w:hAnsi="Courier New"/>
          <w:sz w:val="15"/>
          <w:szCs w:val="15"/>
          <w:color w:val="auto"/>
        </w:rPr>
        <w:t>Northeast</w:t>
      </w:r>
      <w:r>
        <w:rPr>
          <w:sz w:val="20"/>
          <w:szCs w:val="20"/>
          <w:color w:val="auto"/>
        </w:rPr>
        <w:tab/>
      </w: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$ 88,838</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$ 90,408</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$ 25,891</w:t>
            </w:r>
          </w:p>
        </w:tc>
        <w:tc>
          <w:tcPr>
            <w:tcW w:w="1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205,137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4,123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4,343</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1,747</w:t>
            </w: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10,213</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(18,074)</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(19,379)</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(8,179)</w:t>
            </w: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(45,632)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(11,669)</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(7,206)</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(20,877)</w:t>
            </w:r>
          </w:p>
        </w:tc>
      </w:tr>
      <w:tr>
        <w:trPr>
          <w:trHeight w:val="168"/>
        </w:trPr>
        <w:tc>
          <w:tcPr>
            <w:tcW w:w="2940" w:type="dxa"/>
            <w:vAlign w:val="bottom"/>
          </w:tcPr>
          <w:p>
            <w:pPr>
              <w:spacing w:after="0"/>
              <w:rPr>
                <w:sz w:val="14"/>
                <w:szCs w:val="14"/>
                <w:color w:val="auto"/>
              </w:rPr>
            </w:pP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63,218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68,166</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17,457</w:t>
            </w: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148,841</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5,275</w:t>
            </w:r>
          </w:p>
        </w:tc>
        <w:tc>
          <w:tcPr>
            <w:tcW w:w="6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(52,360)</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(52,360)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(9,971)</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(9,971)</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w:t>
            </w:r>
          </w:p>
        </w:tc>
        <w:tc>
          <w:tcPr>
            <w:tcW w:w="1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(20,520)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(17,586)</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(5,298)</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(706)</w:t>
            </w:r>
          </w:p>
        </w:tc>
        <w:tc>
          <w:tcPr>
            <w:tcW w:w="6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(44,110)</w:t>
            </w:r>
          </w:p>
        </w:tc>
      </w:tr>
      <w:tr>
        <w:trPr>
          <w:trHeight w:val="168"/>
        </w:trPr>
        <w:tc>
          <w:tcPr>
            <w:tcW w:w="2940" w:type="dxa"/>
            <w:vAlign w:val="bottom"/>
          </w:tcPr>
          <w:p>
            <w:pPr>
              <w:spacing w:after="0"/>
              <w:rPr>
                <w:sz w:val="14"/>
                <w:szCs w:val="14"/>
                <w:color w:val="auto"/>
              </w:rPr>
            </w:pP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100"/>
              <w:spacing w:after="0"/>
              <w:rPr>
                <w:sz w:val="20"/>
                <w:szCs w:val="20"/>
                <w:color w:val="auto"/>
              </w:rPr>
            </w:pPr>
            <w:r>
              <w:rPr>
                <w:rFonts w:ascii="Courier New" w:cs="Courier New" w:eastAsia="Courier New" w:hAnsi="Courier New"/>
                <w:sz w:val="15"/>
                <w:szCs w:val="15"/>
                <w:color w:val="auto"/>
              </w:rPr>
              <w:t>Income before investors'</w:t>
            </w: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of operations</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$ 42,698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$ 50,580</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$ 12,159</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($57,762)</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47,675</w:t>
            </w:r>
          </w:p>
        </w:tc>
      </w:tr>
      <w:tr>
        <w:trPr>
          <w:trHeight w:val="168"/>
        </w:trPr>
        <w:tc>
          <w:tcPr>
            <w:tcW w:w="2940" w:type="dxa"/>
            <w:vAlign w:val="bottom"/>
          </w:tcPr>
          <w:p>
            <w:pPr>
              <w:spacing w:after="0"/>
              <w:rPr>
                <w:sz w:val="14"/>
                <w:szCs w:val="14"/>
                <w:color w:val="auto"/>
              </w:rPr>
            </w:pP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$ 11,756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$ 76,775</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$136,155</w:t>
            </w:r>
          </w:p>
        </w:tc>
        <w:tc>
          <w:tcPr>
            <w:tcW w:w="1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224,686</w:t>
            </w:r>
          </w:p>
        </w:tc>
      </w:tr>
      <w:tr>
        <w:trPr>
          <w:trHeight w:val="168"/>
        </w:trPr>
        <w:tc>
          <w:tcPr>
            <w:tcW w:w="2940" w:type="dxa"/>
            <w:vAlign w:val="bottom"/>
          </w:tcPr>
          <w:p>
            <w:pPr>
              <w:spacing w:after="0"/>
              <w:rPr>
                <w:sz w:val="14"/>
                <w:szCs w:val="14"/>
                <w:color w:val="auto"/>
              </w:rPr>
            </w:pP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$765,507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$783,089</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$516,806</w:t>
            </w:r>
          </w:p>
        </w:tc>
        <w:tc>
          <w:tcPr>
            <w:tcW w:w="162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$2,065,402</w:t>
            </w:r>
          </w:p>
        </w:tc>
      </w:tr>
      <w:tr>
        <w:trPr>
          <w:trHeight w:val="168"/>
        </w:trPr>
        <w:tc>
          <w:tcPr>
            <w:tcW w:w="2940" w:type="dxa"/>
            <w:vAlign w:val="bottom"/>
          </w:tcPr>
          <w:p>
            <w:pPr>
              <w:spacing w:after="0"/>
              <w:rPr>
                <w:sz w:val="14"/>
                <w:szCs w:val="14"/>
                <w:color w:val="auto"/>
              </w:rPr>
            </w:pPr>
          </w:p>
        </w:tc>
        <w:tc>
          <w:tcPr>
            <w:tcW w:w="1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Nine months ended</w:t>
            </w:r>
          </w:p>
        </w:tc>
        <w:tc>
          <w:tcPr>
            <w:tcW w:w="1740" w:type="dxa"/>
            <w:vAlign w:val="bottom"/>
          </w:tcPr>
          <w:p>
            <w:pPr>
              <w:spacing w:after="0"/>
              <w:rPr>
                <w:sz w:val="24"/>
                <w:szCs w:val="2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Mid-</w:t>
            </w: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September 30, 2000</w:t>
            </w:r>
          </w:p>
        </w:tc>
        <w:tc>
          <w:tcPr>
            <w:tcW w:w="1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Northeast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Atlantic</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West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Other</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83,991</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$ 83,956</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$ 24,637</w:t>
            </w:r>
          </w:p>
        </w:tc>
        <w:tc>
          <w:tcPr>
            <w:tcW w:w="1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192,584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8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2,954</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2,112</w:t>
            </w: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8,148</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8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(17,057)</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(17,939)</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(6,061)</w:t>
            </w: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(41,057)</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8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(10,741)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(6,762)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(2,217)</w:t>
            </w: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(19,720)</w:t>
            </w:r>
          </w:p>
        </w:tc>
      </w:tr>
      <w:tr>
        <w:trPr>
          <w:trHeight w:val="168"/>
        </w:trPr>
        <w:tc>
          <w:tcPr>
            <w:tcW w:w="302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8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59,275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62,209</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18,471</w:t>
            </w: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139,955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5,759</w:t>
            </w:r>
          </w:p>
        </w:tc>
        <w:tc>
          <w:tcPr>
            <w:tcW w:w="6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5,759</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(49,521)</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(49,521)</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(9,035)</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(9,035)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8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(18,702)</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(16,140)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(3,880)</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(711)</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(39,433)</w:t>
            </w:r>
          </w:p>
        </w:tc>
      </w:tr>
      <w:tr>
        <w:trPr>
          <w:trHeight w:val="168"/>
        </w:trPr>
        <w:tc>
          <w:tcPr>
            <w:tcW w:w="302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investors' share</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40,573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$ 46,069</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$ 14,591</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($53,508)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47,725</w:t>
            </w:r>
          </w:p>
        </w:tc>
      </w:tr>
      <w:tr>
        <w:trPr>
          <w:trHeight w:val="168"/>
        </w:trPr>
        <w:tc>
          <w:tcPr>
            <w:tcW w:w="302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32,706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$ 39,322</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$ 58,910</w:t>
            </w:r>
          </w:p>
        </w:tc>
        <w:tc>
          <w:tcPr>
            <w:tcW w:w="16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130,938</w:t>
            </w:r>
          </w:p>
        </w:tc>
      </w:tr>
      <w:tr>
        <w:trPr>
          <w:trHeight w:val="168"/>
        </w:trPr>
        <w:tc>
          <w:tcPr>
            <w:tcW w:w="302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$ 748,136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$699,666</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$356,384</w:t>
            </w:r>
          </w:p>
        </w:tc>
        <w:tc>
          <w:tcPr>
            <w:tcW w:w="1660" w:type="dxa"/>
            <w:vAlign w:val="bottom"/>
          </w:tcPr>
          <w:p>
            <w:pPr>
              <w:spacing w:after="0"/>
              <w:rPr>
                <w:sz w:val="14"/>
                <w:szCs w:val="14"/>
                <w:color w:val="auto"/>
              </w:rPr>
            </w:pP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$1,804,186</w:t>
            </w:r>
          </w:p>
        </w:tc>
      </w:tr>
      <w:tr>
        <w:trPr>
          <w:trHeight w:val="168"/>
        </w:trPr>
        <w:tc>
          <w:tcPr>
            <w:tcW w:w="302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02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760"/>
          </w:cols>
          <w:pgMar w:left="220" w:top="617" w:right="919" w:bottom="1440" w:gutter="0" w:footer="0" w:header="0"/>
        </w:sectPr>
      </w:pPr>
    </w:p>
    <w:bookmarkStart w:id="15" w:name="page16"/>
    <w:bookmarkEnd w:id="15"/>
    <w:p>
      <w:pPr>
        <w:spacing w:after="0"/>
        <w:tabs>
          <w:tab w:leader="none" w:pos="568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Mid-</w:t>
      </w:r>
    </w:p>
    <w:p>
      <w:pPr>
        <w:ind w:left="180"/>
        <w:spacing w:after="0"/>
        <w:tabs>
          <w:tab w:leader="none" w:pos="3660" w:val="left"/>
          <w:tab w:leader="none" w:pos="5320" w:val="left"/>
          <w:tab w:leader="none" w:pos="7160" w:val="left"/>
          <w:tab w:leader="none" w:pos="8740" w:val="left"/>
          <w:tab w:leader="none" w:pos="10480" w:val="left"/>
        </w:tabs>
        <w:rPr>
          <w:sz w:val="20"/>
          <w:szCs w:val="20"/>
          <w:color w:val="auto"/>
        </w:rPr>
      </w:pPr>
      <w:r>
        <w:rPr>
          <w:rFonts w:ascii="Courier New" w:cs="Courier New" w:eastAsia="Courier New" w:hAnsi="Courier New"/>
          <w:sz w:val="15"/>
          <w:szCs w:val="15"/>
          <w:color w:val="auto"/>
        </w:rPr>
        <w:t>September 30, 2001</w:t>
      </w:r>
      <w:r>
        <w:rPr>
          <w:sz w:val="20"/>
          <w:szCs w:val="20"/>
          <w:color w:val="auto"/>
        </w:rPr>
        <w:tab/>
      </w:r>
      <w:r>
        <w:rPr>
          <w:rFonts w:ascii="Courier New" w:cs="Courier New" w:eastAsia="Courier New" w:hAnsi="Courier New"/>
          <w:sz w:val="15"/>
          <w:szCs w:val="15"/>
          <w:color w:val="auto"/>
        </w:rPr>
        <w:t>Northeast</w:t>
      </w:r>
      <w:r>
        <w:rPr>
          <w:sz w:val="20"/>
          <w:szCs w:val="20"/>
          <w:color w:val="auto"/>
        </w:rPr>
        <w:tab/>
      </w: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$ 30,399</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$ 30,025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9,119</w:t>
            </w:r>
          </w:p>
        </w:tc>
        <w:tc>
          <w:tcPr>
            <w:tcW w:w="1660" w:type="dxa"/>
            <w:vAlign w:val="bottom"/>
          </w:tcPr>
          <w:p>
            <w:pPr>
              <w:spacing w:after="0"/>
              <w:rPr>
                <w:sz w:val="14"/>
                <w:szCs w:val="1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69,543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1,920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1,702</w:t>
            </w:r>
          </w:p>
        </w:tc>
        <w:tc>
          <w:tcPr>
            <w:tcW w:w="4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681</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4,303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(5,651)</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(6,875)</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(2,884)</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(15,410)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(4,129)</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(2,598)</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(671)</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(7,398)</w:t>
            </w:r>
          </w:p>
        </w:tc>
      </w:tr>
      <w:tr>
        <w:trPr>
          <w:trHeight w:val="168"/>
        </w:trPr>
        <w:tc>
          <w:tcPr>
            <w:tcW w:w="316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22,539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22,254</w:t>
            </w:r>
          </w:p>
        </w:tc>
        <w:tc>
          <w:tcPr>
            <w:tcW w:w="4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6,245</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51,038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1,678</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(17,680)</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(17,680)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(3,516)</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(6,930)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(5,904)</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(2,053)</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(266)</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(15,153)</w:t>
            </w:r>
          </w:p>
        </w:tc>
      </w:tr>
      <w:tr>
        <w:trPr>
          <w:trHeight w:val="168"/>
        </w:trPr>
        <w:tc>
          <w:tcPr>
            <w:tcW w:w="316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investors' share</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$ 15,609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$ 16,350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4,192</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($19,784)</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16,367</w:t>
            </w:r>
          </w:p>
        </w:tc>
      </w:tr>
      <w:tr>
        <w:trPr>
          <w:trHeight w:val="168"/>
        </w:trPr>
        <w:tc>
          <w:tcPr>
            <w:tcW w:w="316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2,651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$ 45,690</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$ 36,242</w:t>
            </w:r>
          </w:p>
        </w:tc>
        <w:tc>
          <w:tcPr>
            <w:tcW w:w="16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84,583</w:t>
            </w:r>
          </w:p>
        </w:tc>
      </w:tr>
      <w:tr>
        <w:trPr>
          <w:trHeight w:val="168"/>
        </w:trPr>
        <w:tc>
          <w:tcPr>
            <w:tcW w:w="316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$765,507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$783,089</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$516,806</w:t>
            </w:r>
          </w:p>
        </w:tc>
        <w:tc>
          <w:tcPr>
            <w:tcW w:w="16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$2,065,402</w:t>
            </w:r>
          </w:p>
        </w:tc>
      </w:tr>
      <w:tr>
        <w:trPr>
          <w:trHeight w:val="168"/>
        </w:trPr>
        <w:tc>
          <w:tcPr>
            <w:tcW w:w="316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800" w:type="dxa"/>
            <w:vAlign w:val="bottom"/>
          </w:tcPr>
          <w:p>
            <w:pPr>
              <w:spacing w:after="0"/>
              <w:rPr>
                <w:sz w:val="24"/>
                <w:szCs w:val="24"/>
                <w:color w:val="auto"/>
              </w:rPr>
            </w:pP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Mid-</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30, 2000</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Northeast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Atlantic</w:t>
            </w:r>
          </w:p>
        </w:tc>
        <w:tc>
          <w:tcPr>
            <w:tcW w:w="4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West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28,937</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$ 28,146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7,018</w:t>
            </w:r>
          </w:p>
        </w:tc>
        <w:tc>
          <w:tcPr>
            <w:tcW w:w="1660" w:type="dxa"/>
            <w:vAlign w:val="bottom"/>
          </w:tcPr>
          <w:p>
            <w:pPr>
              <w:spacing w:after="0"/>
              <w:rPr>
                <w:sz w:val="14"/>
                <w:szCs w:val="1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64,101</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92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1,088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846</w:t>
            </w:r>
          </w:p>
        </w:tc>
        <w:tc>
          <w:tcPr>
            <w:tcW w:w="4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749</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92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(5,294)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(5,811)</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(1,910)</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(13,015)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92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(3,709)</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(2,410)</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(622)</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(6,741)</w:t>
            </w:r>
          </w:p>
        </w:tc>
      </w:tr>
      <w:tr>
        <w:trPr>
          <w:trHeight w:val="168"/>
        </w:trPr>
        <w:tc>
          <w:tcPr>
            <w:tcW w:w="3020" w:type="dxa"/>
            <w:vAlign w:val="bottom"/>
          </w:tcPr>
          <w:p>
            <w:pPr>
              <w:spacing w:after="0"/>
              <w:rPr>
                <w:sz w:val="14"/>
                <w:szCs w:val="14"/>
                <w:color w:val="auto"/>
              </w:rPr>
            </w:pPr>
          </w:p>
        </w:tc>
        <w:tc>
          <w:tcPr>
            <w:tcW w:w="19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92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21,022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20,771</w:t>
            </w:r>
          </w:p>
        </w:tc>
        <w:tc>
          <w:tcPr>
            <w:tcW w:w="4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5,235</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47,028</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1,797</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1,797</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(15,992)</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(15,992)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(3,245)</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(6,440)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(5,485)</w:t>
            </w:r>
          </w:p>
        </w:tc>
        <w:tc>
          <w:tcPr>
            <w:tcW w:w="4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(1,290)</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(13,440)</w:t>
            </w:r>
          </w:p>
        </w:tc>
      </w:tr>
      <w:tr>
        <w:trPr>
          <w:trHeight w:val="168"/>
        </w:trPr>
        <w:tc>
          <w:tcPr>
            <w:tcW w:w="3020" w:type="dxa"/>
            <w:vAlign w:val="bottom"/>
          </w:tcPr>
          <w:p>
            <w:pPr>
              <w:spacing w:after="0"/>
              <w:rPr>
                <w:sz w:val="14"/>
                <w:szCs w:val="14"/>
                <w:color w:val="auto"/>
              </w:rPr>
            </w:pPr>
          </w:p>
        </w:tc>
        <w:tc>
          <w:tcPr>
            <w:tcW w:w="19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investors' share</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14,582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$ 15,286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3,945</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($17,665)</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16,148</w:t>
            </w:r>
          </w:p>
        </w:tc>
      </w:tr>
      <w:tr>
        <w:trPr>
          <w:trHeight w:val="168"/>
        </w:trPr>
        <w:tc>
          <w:tcPr>
            <w:tcW w:w="3020" w:type="dxa"/>
            <w:vAlign w:val="bottom"/>
          </w:tcPr>
          <w:p>
            <w:pPr>
              <w:spacing w:after="0"/>
              <w:rPr>
                <w:sz w:val="14"/>
                <w:szCs w:val="14"/>
                <w:color w:val="auto"/>
              </w:rPr>
            </w:pPr>
          </w:p>
        </w:tc>
        <w:tc>
          <w:tcPr>
            <w:tcW w:w="19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7,722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$ 17,663</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$ 17,932</w:t>
            </w:r>
          </w:p>
        </w:tc>
        <w:tc>
          <w:tcPr>
            <w:tcW w:w="16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43,317</w:t>
            </w:r>
          </w:p>
        </w:tc>
      </w:tr>
      <w:tr>
        <w:trPr>
          <w:trHeight w:val="168"/>
        </w:trPr>
        <w:tc>
          <w:tcPr>
            <w:tcW w:w="3020" w:type="dxa"/>
            <w:vAlign w:val="bottom"/>
          </w:tcPr>
          <w:p>
            <w:pPr>
              <w:spacing w:after="0"/>
              <w:rPr>
                <w:sz w:val="14"/>
                <w:szCs w:val="14"/>
                <w:color w:val="auto"/>
              </w:rPr>
            </w:pPr>
          </w:p>
        </w:tc>
        <w:tc>
          <w:tcPr>
            <w:tcW w:w="19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9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$748,136</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$699,666</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$356,384</w:t>
            </w:r>
          </w:p>
        </w:tc>
        <w:tc>
          <w:tcPr>
            <w:tcW w:w="16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$1,804,186</w:t>
            </w:r>
          </w:p>
        </w:tc>
      </w:tr>
      <w:tr>
        <w:trPr>
          <w:trHeight w:val="168"/>
        </w:trPr>
        <w:tc>
          <w:tcPr>
            <w:tcW w:w="3020" w:type="dxa"/>
            <w:vAlign w:val="bottom"/>
          </w:tcPr>
          <w:p>
            <w:pPr>
              <w:spacing w:after="0"/>
              <w:rPr>
                <w:sz w:val="14"/>
                <w:szCs w:val="14"/>
                <w:color w:val="auto"/>
              </w:rPr>
            </w:pPr>
          </w:p>
        </w:tc>
        <w:tc>
          <w:tcPr>
            <w:tcW w:w="19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There are no transactions between geographic</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areas.</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3020" w:type="dxa"/>
            <w:vAlign w:val="bottom"/>
          </w:tcPr>
          <w:p>
            <w:pPr>
              <w:spacing w:after="0"/>
              <w:rPr>
                <w:sz w:val="24"/>
                <w:szCs w:val="2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040"/>
          </w:cols>
          <w:pgMar w:left="220" w:top="953" w:right="639" w:bottom="1440" w:gutter="0" w:footer="0" w:header="0"/>
        </w:sectPr>
      </w:pPr>
    </w:p>
    <w:bookmarkStart w:id="16" w:name="page17"/>
    <w:bookmarkEnd w:id="16"/>
    <w:p>
      <w:pPr>
        <w:jc w:val="center"/>
        <w:ind w:right="313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September 30, 2001</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and Notes thereto of Federal Realty Investment Trust (the "Trust"). The Trust and its representatives may from time to time make written or oral statements that are "forward-looking",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w:t>
      </w:r>
    </w:p>
    <w:p>
      <w:pPr>
        <w:spacing w:after="0" w:line="15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changes in our business strategy;</w:t>
      </w:r>
    </w:p>
    <w:p>
      <w:pPr>
        <w:spacing w:after="0" w:line="173" w:lineRule="exact"/>
        <w:rPr>
          <w:sz w:val="20"/>
          <w:szCs w:val="20"/>
          <w:color w:val="auto"/>
        </w:rPr>
      </w:pPr>
    </w:p>
    <w:p>
      <w:pPr>
        <w:ind w:left="180" w:right="3939" w:hanging="83"/>
        <w:spacing w:after="0" w:line="234" w:lineRule="auto"/>
        <w:tabs>
          <w:tab w:leader="none" w:pos="2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business conditions which will affect the credit worthiness of tenants;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financing availability and cost;</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retailing trends and rental rates;</w:t>
      </w:r>
    </w:p>
    <w:p>
      <w:pPr>
        <w:spacing w:after="0" w:line="173" w:lineRule="exact"/>
        <w:rPr>
          <w:sz w:val="20"/>
          <w:szCs w:val="20"/>
          <w:color w:val="auto"/>
        </w:rPr>
      </w:pPr>
    </w:p>
    <w:p>
      <w:pPr>
        <w:ind w:left="180" w:right="3399" w:hanging="83"/>
        <w:spacing w:after="0" w:line="235" w:lineRule="auto"/>
        <w:tabs>
          <w:tab w:leader="none" w:pos="2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of real estate development and acquisitions, including the risk that potential acquisitions or development projects may not perform in accordance with expectations;</w:t>
      </w:r>
    </w:p>
    <w:p>
      <w:pPr>
        <w:spacing w:after="0" w:line="174" w:lineRule="exact"/>
        <w:rPr>
          <w:sz w:val="20"/>
          <w:szCs w:val="20"/>
          <w:color w:val="auto"/>
        </w:rPr>
      </w:pPr>
    </w:p>
    <w:p>
      <w:pPr>
        <w:ind w:left="180" w:right="3139" w:hanging="83"/>
        <w:spacing w:after="0" w:line="235"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satisfy the complex rules in order to qualify for taxation as a REIT for federal income tax purposes and to operate effectively within the limitations imposed by these rules;</w:t>
      </w:r>
    </w:p>
    <w:p>
      <w:pPr>
        <w:spacing w:after="0" w:line="174" w:lineRule="exact"/>
        <w:rPr>
          <w:sz w:val="20"/>
          <w:szCs w:val="20"/>
          <w:color w:val="auto"/>
        </w:rPr>
      </w:pPr>
    </w:p>
    <w:p>
      <w:pPr>
        <w:ind w:left="180" w:right="3239" w:hanging="83"/>
        <w:spacing w:after="0" w:line="235" w:lineRule="auto"/>
        <w:tabs>
          <w:tab w:leader="none" w:pos="2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approvals, actions and initiatives including the need for compliance with environmental and safety requirements, and changes in laws and regulations or the interpretation thereof; and</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competition with other real estate companies and technology.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identify forward-looking statements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Federal Realty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At times, proceeds from the sale of selected assets may also provide an additional source of capital. Since 1988, the Trust has relied primarily on debt to fund these capital needs, and accordingly, debt as a percentage of total capitalization has steadily increased over that period. In the future, the Trust will look to common, preferred or joint-venture equity in addition to debt to fund longer term growth needs.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cash provided by operating activities was $87.4 million in the first nine months of 2001 and $84.8 million in the first nine months of 2000 of which $60.0 million and $57.6 million, respectively, was distributed to shareholders. Contributions from retenanted and redeveloped properties, as well as, increased lease termination fees, as more fully described below, were the primary sources of these increases.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cash used in investing activities was $185.2 million during the first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months of 2001 and $72.2 million during the first nine months of 2000. Cash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outlays for acquiring real estate totaled $58.1 million in the first nine months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2001 and $23.1 million in the first nine months of 2000. During these two</w:t>
      </w:r>
    </w:p>
    <w:p>
      <w:pPr>
        <w:spacing w:after="0" w:line="237" w:lineRule="auto"/>
        <w:rPr>
          <w:sz w:val="20"/>
          <w:szCs w:val="20"/>
          <w:color w:val="auto"/>
        </w:rPr>
      </w:pPr>
      <w:r>
        <w:rPr>
          <w:rFonts w:ascii="Courier New" w:cs="Courier New" w:eastAsia="Courier New" w:hAnsi="Courier New"/>
          <w:sz w:val="15"/>
          <w:szCs w:val="15"/>
          <w:color w:val="auto"/>
        </w:rPr>
        <w:t>periods, the Trust expended an additional $146.7 million and $98.5 million,</w:t>
      </w:r>
    </w:p>
    <w:p>
      <w:pPr>
        <w:spacing w:after="0" w:line="238" w:lineRule="auto"/>
        <w:rPr>
          <w:sz w:val="20"/>
          <w:szCs w:val="20"/>
          <w:color w:val="auto"/>
        </w:rPr>
      </w:pPr>
      <w:r>
        <w:rPr>
          <w:rFonts w:ascii="Courier New" w:cs="Courier New" w:eastAsia="Courier New" w:hAnsi="Courier New"/>
          <w:sz w:val="15"/>
          <w:szCs w:val="15"/>
          <w:color w:val="auto"/>
        </w:rPr>
        <w:t>respectively, in capital improvements to its properties. The Trust invested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$823,000 during the first nine months of 2001 and $3.7 million during the first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of 2000 in mortgage notes receivable with an average weighted</w:t>
      </w:r>
    </w:p>
    <w:p>
      <w:pPr>
        <w:spacing w:after="0" w:line="237" w:lineRule="auto"/>
        <w:rPr>
          <w:sz w:val="20"/>
          <w:szCs w:val="20"/>
          <w:color w:val="auto"/>
        </w:rPr>
      </w:pPr>
      <w:r>
        <w:rPr>
          <w:rFonts w:ascii="Courier New" w:cs="Courier New" w:eastAsia="Courier New" w:hAnsi="Courier New"/>
          <w:sz w:val="15"/>
          <w:szCs w:val="15"/>
          <w:color w:val="auto"/>
        </w:rPr>
        <w:t>interest rate of 10%. During the first nine months of 2001 and 2000,</w:t>
      </w:r>
    </w:p>
    <w:p>
      <w:pPr>
        <w:spacing w:after="0" w:line="238" w:lineRule="auto"/>
        <w:rPr>
          <w:sz w:val="20"/>
          <w:szCs w:val="20"/>
          <w:color w:val="auto"/>
        </w:rPr>
      </w:pPr>
      <w:r>
        <w:rPr>
          <w:rFonts w:ascii="Courier New" w:cs="Courier New" w:eastAsia="Courier New" w:hAnsi="Courier New"/>
          <w:sz w:val="15"/>
          <w:szCs w:val="15"/>
          <w:color w:val="auto"/>
        </w:rPr>
        <w:t>respectively, $4.2 million and $5.9 million of mortgage notes receivable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repaid. Cash of $16.3 million in the first nine months of 2001 and $47.2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first nine months of 2000 was received from the sale of properties.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16, 2001 the Trust bought the fee interest underlying the capital lease obligation of $21.4 million, thereby terminating the capital lease, on Brick Plaza in Brick, New Jersey for a purchase price of $28 million. A mortgage note receivable of $3.2 million owed to the Trust by the lessor and a $3 million security deposit on the capital lease were credited to the purchase price, resulting in a cash outlay of approximately $21.5 million.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March 1, 2001 the limited partners in two partnerships, owning street retail properties in southern California, exercised their rights under the partnership agreements and put their interests to the Trust. The Trust purchased their interests for $18.1 million, $11.4 million in cash, which was paid at closing, and the balance in common shares of the Trust. 328,116 shares valued at $6.7 million were issued to the limited partners on June 19, 2001. The Trust estimates that an additional $1.2 million to $1.5 million will be owed to the limited partners upon completion of certain leasing transactions.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8" w:name="page19"/>
    <w:bookmarkEnd w:id="18"/>
    <w:p>
      <w:pPr>
        <w:ind w:left="440"/>
        <w:spacing w:after="0"/>
        <w:rPr>
          <w:sz w:val="20"/>
          <w:szCs w:val="20"/>
          <w:color w:val="auto"/>
        </w:rPr>
      </w:pPr>
      <w:r>
        <w:rPr>
          <w:rFonts w:ascii="Courier New" w:cs="Courier New" w:eastAsia="Courier New" w:hAnsi="Courier New"/>
          <w:sz w:val="14"/>
          <w:szCs w:val="14"/>
          <w:color w:val="auto"/>
        </w:rPr>
        <w:t>In connection with the buyout of the minority partner at Santana Row in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being structured as a tax-free exchange the Trust made an equity</w:t>
      </w:r>
    </w:p>
    <w:p>
      <w:pPr>
        <w:spacing w:after="0" w:line="237" w:lineRule="auto"/>
        <w:rPr>
          <w:sz w:val="20"/>
          <w:szCs w:val="20"/>
          <w:color w:val="auto"/>
        </w:rPr>
      </w:pPr>
      <w:r>
        <w:rPr>
          <w:rFonts w:ascii="Courier New" w:cs="Courier New" w:eastAsia="Courier New" w:hAnsi="Courier New"/>
          <w:sz w:val="15"/>
          <w:szCs w:val="15"/>
          <w:color w:val="auto"/>
        </w:rPr>
        <w:t>investment of $2.6 million and a loan of $5.9 million to a partnership which</w:t>
      </w:r>
    </w:p>
    <w:p>
      <w:pPr>
        <w:spacing w:after="0" w:line="238" w:lineRule="auto"/>
        <w:rPr>
          <w:sz w:val="20"/>
          <w:szCs w:val="20"/>
          <w:color w:val="auto"/>
        </w:rPr>
      </w:pPr>
      <w:r>
        <w:rPr>
          <w:rFonts w:ascii="Courier New" w:cs="Courier New" w:eastAsia="Courier New" w:hAnsi="Courier New"/>
          <w:sz w:val="15"/>
          <w:szCs w:val="15"/>
          <w:color w:val="auto"/>
        </w:rPr>
        <w:t>purchased a building for $8.5 million. Upon consummation of the exchange, the</w:t>
      </w:r>
    </w:p>
    <w:p>
      <w:pPr>
        <w:spacing w:after="0" w:line="237" w:lineRule="auto"/>
        <w:rPr>
          <w:sz w:val="20"/>
          <w:szCs w:val="20"/>
          <w:color w:val="auto"/>
        </w:rPr>
      </w:pPr>
      <w:r>
        <w:rPr>
          <w:rFonts w:ascii="Courier New" w:cs="Courier New" w:eastAsia="Courier New" w:hAnsi="Courier New"/>
          <w:sz w:val="15"/>
          <w:szCs w:val="15"/>
          <w:color w:val="auto"/>
        </w:rPr>
        <w:t>Trust will receive the minority interest in Santana Row and repayment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 million loan in exchange for its $2.6 million investment in the building.</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The proceeds from the sale were held by a qualified intermediary until the execution of a tax-free exchange for Friendship Center.</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On September 21, 2001 the Trust purchased Friendship Center, a 119,000 square foot street retail property in Washington, D.C. for $33.4 million. The purchase price was funded from the proceeds from the sale of Williamsburg Shopping Center and a $17.0 million mortgage loan.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Of the $146.7 million spent in the first nine months of 2001 on the Trust's existing real estate portfolio, approximately $113.9 million was invested in development projects in Bethesda, Maryland; San Jose, California; and in Arlington, Virginia. The remaining $32.8 million of capital expenditures relates to improvements to common areas, tenant work and various redevelopments, including the office expansion and retenanting of Willow Lawn Shopping Center, the renovation of Brunswick Shopping Center, the redevelopment of retail buildings in San Antonio, Texas and the redevelopment and retenanting of certain of the Trust's California street retail buildings.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cash provided by financing activities, before dividend payments,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$161.1 million in the first nine months of 2001 and $47.0 million in the first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of 2000. In most cases, the Trust utilizes its unsecured line of</w:t>
      </w:r>
    </w:p>
    <w:p>
      <w:pPr>
        <w:spacing w:after="0" w:line="237" w:lineRule="auto"/>
        <w:rPr>
          <w:sz w:val="20"/>
          <w:szCs w:val="20"/>
          <w:color w:val="auto"/>
        </w:rPr>
      </w:pPr>
      <w:r>
        <w:rPr>
          <w:rFonts w:ascii="Courier New" w:cs="Courier New" w:eastAsia="Courier New" w:hAnsi="Courier New"/>
          <w:sz w:val="15"/>
          <w:szCs w:val="15"/>
          <w:color w:val="auto"/>
        </w:rPr>
        <w:t>credit to fund acquisitions and capital expenditures prior to obtaining</w:t>
      </w:r>
    </w:p>
    <w:p>
      <w:pPr>
        <w:spacing w:after="0" w:line="238" w:lineRule="auto"/>
        <w:rPr>
          <w:sz w:val="20"/>
          <w:szCs w:val="20"/>
          <w:color w:val="auto"/>
        </w:rPr>
      </w:pPr>
      <w:r>
        <w:rPr>
          <w:rFonts w:ascii="Courier New" w:cs="Courier New" w:eastAsia="Courier New" w:hAnsi="Courier New"/>
          <w:sz w:val="15"/>
          <w:szCs w:val="15"/>
          <w:color w:val="auto"/>
        </w:rPr>
        <w:t>permanent financing for these expenditures. At September 30, 2001 there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$165.0 million borrowed under this syndicated credit facility. The maximum drawn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first nine months of 2001 was $183.5 million. The weighted average</w:t>
      </w:r>
    </w:p>
    <w:p>
      <w:pPr>
        <w:spacing w:after="0" w:line="237" w:lineRule="auto"/>
        <w:rPr>
          <w:sz w:val="20"/>
          <w:szCs w:val="20"/>
          <w:color w:val="auto"/>
        </w:rPr>
      </w:pPr>
      <w:r>
        <w:rPr>
          <w:rFonts w:ascii="Courier New" w:cs="Courier New" w:eastAsia="Courier New" w:hAnsi="Courier New"/>
          <w:sz w:val="15"/>
          <w:szCs w:val="15"/>
          <w:color w:val="auto"/>
        </w:rPr>
        <w:t>interest rate on borrowings for the nine months ended September 30, 2001 was</w:t>
      </w:r>
    </w:p>
    <w:p>
      <w:pPr>
        <w:spacing w:after="0" w:line="238" w:lineRule="auto"/>
        <w:rPr>
          <w:sz w:val="20"/>
          <w:szCs w:val="20"/>
          <w:color w:val="auto"/>
        </w:rPr>
      </w:pPr>
      <w:r>
        <w:rPr>
          <w:rFonts w:ascii="Courier New" w:cs="Courier New" w:eastAsia="Courier New" w:hAnsi="Courier New"/>
          <w:sz w:val="15"/>
          <w:szCs w:val="15"/>
          <w:color w:val="auto"/>
        </w:rPr>
        <w:t>5.3%. The facility requires fees and has various covenants including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maintenance of a minimum shareholders' equity and a maximum ratio of debt to net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worth. At September 30, 2001 the Trust is in compliance with all loan covenants.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9" w:name="page20"/>
    <w:bookmarkEnd w:id="19"/>
    <w:p>
      <w:pPr>
        <w:ind w:right="3239" w:firstLine="437"/>
        <w:spacing w:after="0" w:line="255" w:lineRule="auto"/>
        <w:rPr>
          <w:sz w:val="20"/>
          <w:szCs w:val="20"/>
          <w:color w:val="auto"/>
        </w:rPr>
      </w:pPr>
      <w:r>
        <w:rPr>
          <w:rFonts w:ascii="Courier New" w:cs="Courier New" w:eastAsia="Courier New" w:hAnsi="Courier New"/>
          <w:sz w:val="14"/>
          <w:szCs w:val="14"/>
          <w:color w:val="auto"/>
        </w:rPr>
        <w:t>On April 12, 2001 the Trust obtained a $33 million mortgage loan secured by Brick Plaza in Brick, New Jersey. On May 3, 2001 the Trust refinanced the $26.5 million mortgage loan secured by Federal Plaza in Rockville, Maryland by placing a new $36.5 million mortgage loan on the property. On August 30, 2001 the Trust refinanced the $3.9 million mortgage loan secured by Tyson's Station in Falls Church, Virginia by placing a new $7.0 million mortgage on the property. In connection with the purchase of Friendship Center in Washington, D.C. on September 21, 2001 the Trust placed a $17.0 million mortgage on the property.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Capital requirements for the remainder of 2001 will depend on the rate of build-out on the Trust's current developments and the level of improvements and redevelopments on existing properties. Current requirements for the remainder of 2001 for these projects are approximately $55 million. The Trust's unsecured line of credit and the $290 million Santana Row construction loan will be available to fund these needs.</w:t>
      </w:r>
    </w:p>
    <w:p>
      <w:pPr>
        <w:spacing w:after="0" w:line="1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Longer term, the Trust will need additional capital in order to fund acquisitions, expansions and any new developments, including future phases of Santana Row, and to refinance its maturing debt. In light of the current economic climate, the Trust is assessing its development pipeline and any new development initiatives will be conservatively underwritten before any work is commenced. Sources of this future funding may be additional debt, both secured and unsecured, additional equity and joint venture relationships.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Santana Row</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 the balance of 2001 and 2002, the Trust's single largest capital use is the development of Santana Row, a multi-phase mixed-use project being built on 42 acres in San Jose, California in the heart of Silicon Valley. The project will consist of residential, retail and hotel components, creating a community with the feel of an urban district. Phase 1 of the project, includes Santana Row, the "1,500 foot long main street" and nine buildings which will contain approximately 538,000 square feet of retail space, 501 residential units, a</w:t>
      </w:r>
    </w:p>
    <w:p>
      <w:pPr>
        <w:spacing w:after="0" w:line="2"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214 room hotel and the supporting infrastructure. Eight buildings comprising 440,000 square feet of retail space, are expected to be completed during the third quarter of 2002 with the ninth being completed twelve to eighteen months later. The total cost of Phase 1 is expected to be approximately $475 million. As of September 30, 2001, the Trust has incurred costs of $202 million including the purchase of the land; the Trust estimates that it will spend approximately $36.6 million in the last three months of 2001 and most of the balance of the cost in 2002 to complete the first phase of the project.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0" w:name="page21"/>
    <w:bookmarkEnd w:id="20"/>
    <w:p>
      <w:pPr>
        <w:ind w:left="440"/>
        <w:spacing w:after="0"/>
        <w:rPr>
          <w:sz w:val="20"/>
          <w:szCs w:val="20"/>
          <w:color w:val="auto"/>
        </w:rPr>
      </w:pPr>
      <w:r>
        <w:rPr>
          <w:rFonts w:ascii="Courier New" w:cs="Courier New" w:eastAsia="Courier New" w:hAnsi="Courier New"/>
          <w:sz w:val="15"/>
          <w:szCs w:val="15"/>
          <w:color w:val="auto"/>
        </w:rPr>
        <w:t>On April 17, 2001, the Trust closed on a $295 million construction loan.</w:t>
      </w:r>
    </w:p>
    <w:p>
      <w:pPr>
        <w:spacing w:after="0" w:line="237" w:lineRule="auto"/>
        <w:rPr>
          <w:sz w:val="20"/>
          <w:szCs w:val="20"/>
          <w:color w:val="auto"/>
        </w:rPr>
      </w:pPr>
      <w:r>
        <w:rPr>
          <w:rFonts w:ascii="Courier New" w:cs="Courier New" w:eastAsia="Courier New" w:hAnsi="Courier New"/>
          <w:sz w:val="15"/>
          <w:szCs w:val="15"/>
          <w:color w:val="auto"/>
        </w:rPr>
        <w:t>The loan, which initially bears interest at LIBOR plus 212.5 basis points,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matures April 16, 2004 with two one-year extension options, subject to obtaining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operating targets. The interest rate will decrease to LIBOR plus 187.5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points then to LIBOR plus 162.5 basis points upon the achievement of</w:t>
      </w:r>
    </w:p>
    <w:p>
      <w:pPr>
        <w:spacing w:after="0" w:line="237" w:lineRule="auto"/>
        <w:rPr>
          <w:sz w:val="20"/>
          <w:szCs w:val="20"/>
          <w:color w:val="auto"/>
        </w:rPr>
      </w:pPr>
      <w:r>
        <w:rPr>
          <w:rFonts w:ascii="Courier New" w:cs="Courier New" w:eastAsia="Courier New" w:hAnsi="Courier New"/>
          <w:sz w:val="15"/>
          <w:szCs w:val="15"/>
          <w:color w:val="auto"/>
        </w:rPr>
        <w:t>certain leasing, occupancy and net operating income hurdles. The construction</w:t>
      </w:r>
    </w:p>
    <w:p>
      <w:pPr>
        <w:spacing w:after="0" w:line="238" w:lineRule="auto"/>
        <w:rPr>
          <w:sz w:val="20"/>
          <w:szCs w:val="20"/>
          <w:color w:val="auto"/>
        </w:rPr>
      </w:pPr>
      <w:r>
        <w:rPr>
          <w:rFonts w:ascii="Courier New" w:cs="Courier New" w:eastAsia="Courier New" w:hAnsi="Courier New"/>
          <w:sz w:val="15"/>
          <w:szCs w:val="15"/>
          <w:color w:val="auto"/>
        </w:rPr>
        <w:t>loan requires fees and has various covenants including the maintenance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shareholders' equity and a maximum ratio of debt to gross asset value.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initial funding of the construction loan took place on August 23, 2001 when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equity and pre-leasing requirements were met. As of September 30,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$23.0 million was borrowed under the loan. As of October 31, 2001, $43.0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borrowed under the loan.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success of Santana Row will depend on many factors which cannot be assured and are not entirely within the Trust's control. These factors include among others, the demand for retail and residential space and at what prices, the ability to construct the current and later phases at reasonable prices, the cost of operations, including utilities and insurance, the availability and cost of capital and the general economy, particularly in the Silicon Valley.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has not finalized the cost and scope for future phases of Santana Row and will not do so until the success of Phase 1 and future demand for rental space can be determined. However, as Phase 1 utilizes only part of the retail and residential entitlements of the property and as Phase 1 contains infrastructure for further phases, the Trust expects to identify and execute economically viable additional phases to the project.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Though not quantifiable until the project is completed, the combined damage claim is estimated to be in excess of $40.0 million. The original contractor 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Due to the delay and other costs associated with the change in the general contractor the estimated total cost of</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1" w:name="page22"/>
    <w:bookmarkEnd w:id="21"/>
    <w:p>
      <w:pPr>
        <w:ind w:right="3239"/>
        <w:spacing w:after="0" w:line="236" w:lineRule="auto"/>
        <w:rPr>
          <w:sz w:val="20"/>
          <w:szCs w:val="20"/>
          <w:color w:val="auto"/>
        </w:rPr>
      </w:pPr>
      <w:r>
        <w:rPr>
          <w:rFonts w:ascii="Courier New" w:cs="Courier New" w:eastAsia="Courier New" w:hAnsi="Courier New"/>
          <w:sz w:val="15"/>
          <w:szCs w:val="15"/>
          <w:color w:val="auto"/>
        </w:rPr>
        <w:t>the project is now $87 million, with an estimated stabilized return on total cost of approximately 9%, if there is no significant recovery of damages from the original general contractor. The cost of prosecuting this lawsuit, currently estimated at $1.0 million to $1.5 million, will flow through earnings as it is incurred.</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the terms of the Congressional Plaza partnership agreement, from and after January 1, 1986 Rockville Plaza Company, an unaffiliated third party, has the right to require the Trust and the two other minority partners to purchase from half to all of Rockville Plaza Company's 37.5% interest in Congressional Plaza at the interest's then-current fair market value. Based on management's current estimate of fair market value, the Trust's estimated liability upon exercise of the put option is approximately $27 million.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seven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for four of the partnerships,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166"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Under the terms of other partnerships, the partners may exchange their 904,589 operating units for cash or exchange into the same number of common shares of the Trust, at the option of the Trust.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income and funds from operations have been affected by the Trust's recent acquisition, development, redevelopment and financing activities. The Trust has historically reported its funds from operations in addition to its net income and net cash provided by operating 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2" w:name="page23"/>
    <w:bookmarkEnd w:id="22"/>
    <w:p>
      <w:pPr>
        <w:ind w:left="440"/>
        <w:spacing w:after="0"/>
        <w:rPr>
          <w:sz w:val="20"/>
          <w:szCs w:val="20"/>
          <w:color w:val="auto"/>
        </w:rPr>
      </w:pPr>
      <w:r>
        <w:rPr>
          <w:rFonts w:ascii="Courier New" w:cs="Courier New" w:eastAsia="Courier New" w:hAnsi="Courier New"/>
          <w:sz w:val="15"/>
          <w:szCs w:val="15"/>
          <w:color w:val="auto"/>
        </w:rPr>
        <w:t>The reconciliation of net income to funds from operations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Nine months ending</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ending</w:t>
            </w:r>
          </w:p>
        </w:tc>
      </w:tr>
      <w:tr>
        <w:trPr>
          <w:trHeight w:val="168"/>
        </w:trPr>
        <w:tc>
          <w:tcPr>
            <w:tcW w:w="2980" w:type="dxa"/>
            <w:vAlign w:val="bottom"/>
          </w:tcPr>
          <w:p>
            <w:pPr>
              <w:spacing w:after="0"/>
              <w:rPr>
                <w:sz w:val="14"/>
                <w:szCs w:val="14"/>
                <w:color w:val="auto"/>
              </w:rPr>
            </w:pPr>
          </w:p>
        </w:tc>
        <w:tc>
          <w:tcPr>
            <w:tcW w:w="21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September 30,</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29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9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$ 45,619</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$ 40,671</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$ 13,194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$ 12,433</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basic</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(7,898)</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(3,681)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_</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 of</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40,139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35,852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13,764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12,229</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initial direct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costs of leases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partnership units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for common</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$ 81,924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$ 76,461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$ 28,286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$ 25,837</w:t>
            </w:r>
          </w:p>
        </w:tc>
      </w:tr>
      <w:tr>
        <w:trPr>
          <w:trHeight w:val="168"/>
        </w:trPr>
        <w:tc>
          <w:tcPr>
            <w:tcW w:w="29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SEPTEMBER 30, 2001 and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6.5% from $192.6 million in the first nine months of 2000 to $205.1 million in the first nine months of 2001. On a same center basis, rental income increased 6.7%, due primarily to the favorable impact of redeveloped and retenanted centers, as well as, increases associated with lease rollovers and increased cost recoveries. Same center basis, in 2001 excludes Williamsburg Shopping Center in Williamsburg, Virginia and Peninsula Shopping Center in Palos Verdes, California, which were sold on April 27, 2001 and June 30, 2000, respectively, as well as, properties acquired and properties under development in 2000 and 2001, including Woodmont East in Bethesda, Maryland, Pentagon Row in Arlington, Virginia, 214 Wilshire Boulevard in Santa Monica, California and Town &amp; Country Shopping Center in San Jose, California.</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property income includes items, which although recurring, tend to fluctuate from period to period, such as utility reimbursements, telephone income, merchant association dues, late fees and temporary tenant income. Also included are less regularly recurring items, such as lease termination fees. Other property income increased 25.3% from $8.1 million in the first nine months of 2000 to $10.2 million in the first nine months of 2001 due primarily to increases in lease termination fees of $1.0 million and parking income. On a same center basis, other property income increased 17.7%.</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Rental expenses increased 11.1% from $41.1 million in the first nine months of 2000 to $45.6 million in the first nine months of 2001. Increased leasing and marketing costs associated with the Trust's development projects, as well as, operating costs associated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with the Woodmont East development were a major component of this overall</w:t>
      </w:r>
    </w:p>
    <w:p>
      <w:pPr>
        <w:spacing w:after="0" w:line="237" w:lineRule="auto"/>
        <w:rPr>
          <w:sz w:val="20"/>
          <w:szCs w:val="20"/>
          <w:color w:val="auto"/>
        </w:rPr>
      </w:pPr>
      <w:r>
        <w:rPr>
          <w:rFonts w:ascii="Courier New" w:cs="Courier New" w:eastAsia="Courier New" w:hAnsi="Courier New"/>
          <w:sz w:val="15"/>
          <w:szCs w:val="15"/>
          <w:color w:val="auto"/>
        </w:rPr>
        <w:t>increase. While on a same center basis, rental expenses increased 6.7%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$39.5 million in 2000 to $42.1 million in 2001, primarily due to increased snow</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removal and property management costs in 2001, rental expense as a percentage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income, rental income plus other property income, remained constant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both periods at 21%.</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Real estate taxes increased 5.9% from $19.7 million in the first nine months of 2000 to $20.9 million in the first nine months of 2001. On a same center basis, real estate taxes increased 7.8% due primarily to increased taxes on recently redeveloped properties.</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Depreciation and amortization expenses increased 11.9% from $39.4 million in the first nine months of 2000 to $44.1 million in the first nine months of 2001 reflecting the impact of recent new development, tenant work and property redevelopments.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the first nine months of 2001 the Trust incurred interest expense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$65.1 million, of which $12.7 million was capitalized, as compared to 2000's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$58.5 million, of which $9.0 million was capitalized. The increase in interest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reflects the additional debt issued to fund the Trust's acquisitions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improvement programs. To mitigate its exposure to increases in variable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rates, the Trust has entered into interest rate swaps on its $125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term loan which locks the interest rate on this loan at 6.22%. The ratio</w:t>
      </w:r>
    </w:p>
    <w:p>
      <w:pPr>
        <w:spacing w:after="0" w:line="1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earnings to combined fixed charges and preferred dividends was 1.35x and 1.43x for the first nine months of 2001 and 2000, respectively. The ratio of earnings to fixed charges was 1.5x and 1.6x during the first nine months of 2001 and 2000, respectively. The ratio of funds from operations to combined fixed charges and preferred dividends was 2.0x in both the first nine months of 2001 and 2000.</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Administrative expenses as a percentage of revenue remained fairly constant at 4.4% and 4.5% of revenue in 2000 and 2001, respectively.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In the second quarter of 2000 the Trust sold the 296,000 square foot Peninsula Shopping Center located in Palos Verdes, California for $48.6 million resulting in a gain of $3.7 million.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a result of the foregoing items, net income before gain on the sale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increased from $43.0 million in the first nine months of 2000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$43.7 million in the first nine months of 2001, while net income increased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$46.6 million during the first nine months of 2000 to $51.6 million during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nine months of 2001 and net income available for common shareholders</w:t>
      </w:r>
    </w:p>
    <w:p>
      <w:pPr>
        <w:spacing w:after="0" w:line="237" w:lineRule="auto"/>
        <w:rPr>
          <w:sz w:val="20"/>
          <w:szCs w:val="20"/>
          <w:color w:val="auto"/>
        </w:rPr>
      </w:pPr>
      <w:r>
        <w:rPr>
          <w:rFonts w:ascii="Courier New" w:cs="Courier New" w:eastAsia="Courier New" w:hAnsi="Courier New"/>
          <w:sz w:val="15"/>
          <w:szCs w:val="15"/>
          <w:color w:val="auto"/>
        </w:rPr>
        <w:t>increased from $40.7 million to $45.6 million.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4" w:name="page25"/>
    <w:bookmarkEnd w:id="24"/>
    <w:p>
      <w:pPr>
        <w:ind w:right="3399" w:firstLine="437"/>
        <w:spacing w:after="0" w:line="255" w:lineRule="auto"/>
        <w:rPr>
          <w:sz w:val="20"/>
          <w:szCs w:val="20"/>
          <w:color w:val="auto"/>
        </w:rPr>
      </w:pPr>
      <w:r>
        <w:rPr>
          <w:rFonts w:ascii="Courier New" w:cs="Courier New" w:eastAsia="Courier New" w:hAnsi="Courier New"/>
          <w:sz w:val="14"/>
          <w:szCs w:val="14"/>
          <w:color w:val="auto"/>
        </w:rPr>
        <w:t>Growth in 2002 will continue to be primarily dependent on contributions from the core portfolio. Growth of net income from the core portfolio is, in part, dependent on the financial health of the Trust's tenants and on controlling expenses, some of which are beyond the complete control of the Trust, such as snow removal, insurance and real estate tax assessments and the general economy. The current weakening of the retail and overall economic environment could adversely impact the Trust by increasing vacancies and decreasing rents. In past weak retail and real estate environments, however, the Trust has been able to replace weak and bankrupt tenants with stronger tenants; management believes that due to the quality of the Trust's properties there will continue to be demand for its space. Growth in the core portfolio however, will be offset by expenses at Santana Row. Leasing, marketing and pre-opening expenses at Santana Row prior to its opening in August 2002 and additional depreciation and interest expense as the project is phased into operations will have a dilutive effect on 2002 earnings.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Growth in net income is also dependent on the amount of leverage and interest rates. The Trust's leverage is increasing as it finances its development pipeline. In addition, to the extent variable-rate debt is unhedged, the Trust will continue to have exposure to changes in market interest rates. If interest rates increase, net income and funds from operations, as well as the ultimate cost of the Trust's development projects will be negatively impacted.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ind w:left="2980"/>
        <w:spacing w:after="0" w:line="237" w:lineRule="auto"/>
        <w:rPr>
          <w:sz w:val="20"/>
          <w:szCs w:val="20"/>
          <w:color w:val="auto"/>
        </w:rPr>
      </w:pPr>
      <w:r>
        <w:rPr>
          <w:rFonts w:ascii="Courier New" w:cs="Courier New" w:eastAsia="Courier New" w:hAnsi="Courier New"/>
          <w:sz w:val="15"/>
          <w:szCs w:val="15"/>
          <w:color w:val="auto"/>
        </w:rPr>
        <w:t>For the nine months ended September 30,</w:t>
      </w:r>
    </w:p>
    <w:p>
      <w:pPr>
        <w:ind w:left="3420"/>
        <w:spacing w:after="0" w:line="238" w:lineRule="auto"/>
        <w:tabs>
          <w:tab w:leader="none" w:pos="506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Northeast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$ 88,838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$ 83,991</w:t>
            </w: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Mid-Atlantic</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90,408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83,956</w:t>
            </w: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West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25,891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24,637</w:t>
            </w:r>
          </w:p>
        </w:tc>
      </w:tr>
      <w:tr>
        <w:trPr>
          <w:trHeight w:val="168"/>
        </w:trPr>
        <w:tc>
          <w:tcPr>
            <w:tcW w:w="250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$205,137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$192,584</w:t>
            </w:r>
          </w:p>
        </w:tc>
      </w:tr>
      <w:tr>
        <w:trPr>
          <w:trHeight w:val="168"/>
        </w:trPr>
        <w:tc>
          <w:tcPr>
            <w:tcW w:w="250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Northeast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$ 63,218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$ 59,275</w:t>
            </w: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Mid-Atlantic</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68,166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62,209</w:t>
            </w:r>
          </w:p>
        </w:tc>
      </w:tr>
      <w:tr>
        <w:trPr>
          <w:trHeight w:val="168"/>
        </w:trPr>
        <w:tc>
          <w:tcPr>
            <w:tcW w:w="2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West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17,457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18,471</w:t>
            </w:r>
          </w:p>
        </w:tc>
      </w:tr>
      <w:tr>
        <w:trPr>
          <w:trHeight w:val="168"/>
        </w:trPr>
        <w:tc>
          <w:tcPr>
            <w:tcW w:w="250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$148,841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$139,955</w:t>
            </w:r>
          </w:p>
        </w:tc>
      </w:tr>
      <w:tr>
        <w:trPr>
          <w:trHeight w:val="168"/>
        </w:trPr>
        <w:tc>
          <w:tcPr>
            <w:tcW w:w="250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4"/>
                <w:szCs w:val="24"/>
                <w:color w:val="auto"/>
              </w:rPr>
            </w:pPr>
          </w:p>
        </w:tc>
        <w:tc>
          <w:tcPr>
            <w:tcW w:w="18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25</w:t>
            </w:r>
          </w:p>
        </w:tc>
        <w:tc>
          <w:tcPr>
            <w:tcW w:w="118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The Northeast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Northeast region is comprised of fifty-four assets, extending from suburban Philadelphia north through New York and its suburbs into New England and west to Illinois and Michigan.</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When comparing the first nine months of 2001 with 2000, rental income, on an overall and same center basis, increased 5.8% from $84.0 million in 2000 to $88.8 million in 2001, primarily due to increases at recently redeveloped and retenanted shopping centers and street retail properties, such as Greenlawn, Blue Star, Brunswick, Fresh Meadows, and Austin Street.</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Net operating income increased 6.7% from $59.3 million in 2000 to $63.2 million in 2001, primarily due to increases at the recently redeveloped and retenanted shopping centers and street retail properties, as well as, increased lease termination fees of $890,000 in 2001 over 2000's $265,000.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Mid-Atlantic region is comprised of thirty-two assets, including Pentagon Row, which is currently under development, extending from Baltimore south to metropolitan Washington, D.C. and further south through Virginia and North Carolina into Florida.</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first nine months of 2001 with 2000, rental income increased 7.7% from $84.0 million in 2000 to $90.4 million in 2001 reflecting the contribution from the recently completed Woodmont East project in Bethesda, Maryland. On a same center basis, excluding Williamsburg Shopping Center in Williamsburg, Virginia which was sold on April 27, 2001, the recently developed Woodmont East project in Bethesda, Maryland, Pentagon Row in Arlington, Virginia and Friendship Center which was acquired on September 21, 2001 rental income increased 4.7%.</w:t>
      </w:r>
    </w:p>
    <w:p>
      <w:pPr>
        <w:spacing w:after="0" w:line="177"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When comparing the first nine months of 2001 with 2000, net operating income increased 9.6% from $62.2 million in 2000 to $68.2 million in 2001. On a same center basis as defined above, net operating income increased 6.1%.</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Western region is comprised of thirty-seven assets, including Santana Row, which is currently under development, extending from Texas to the West Coast.</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When comparing the first nine months of 2001 with 2000, on a same center basis, which excludes properties acquired and sold in 2001 and 2000 and Santana Row, which is currently under development, rental income increased 18.0% from $20.7 million in 2000 to $24.5 million in 2001, due primarily to increases from recently redeveloped and retenanted properties in Los Angeles, San Francisco</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6" w:name="page27"/>
    <w:bookmarkEnd w:id="26"/>
    <w:p>
      <w:pPr>
        <w:ind w:right="3239"/>
        <w:spacing w:after="0" w:line="254" w:lineRule="auto"/>
        <w:rPr>
          <w:sz w:val="20"/>
          <w:szCs w:val="20"/>
          <w:color w:val="auto"/>
        </w:rPr>
      </w:pPr>
      <w:r>
        <w:rPr>
          <w:rFonts w:ascii="Courier New" w:cs="Courier New" w:eastAsia="Courier New" w:hAnsi="Courier New"/>
          <w:sz w:val="14"/>
          <w:szCs w:val="14"/>
          <w:color w:val="auto"/>
        </w:rPr>
        <w:t>and Los Gatos, California. On an overall basis, which includes the impact of the sale of Peninsula Shopping Center on June 30, 2000, rental income increased</w:t>
      </w:r>
    </w:p>
    <w:p>
      <w:pPr>
        <w:spacing w:after="0" w:line="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5.1%, from $24.6 million in the first nine months of 2000 to $25.9 million in the first nine months of 2001.</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a same center basis as defined above, net operating income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 from $15.9 million in 2000 to $18.0 million in 2001. Overall net operating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decreased 5.5%, again reflecting the sale of Peninsula Shopping Center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marketing and leasing costs associated with the Santana Row development.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THREE MONTHS ENDED SEPTEMBER 30, 2001 and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8.5% from $64.1 million in the third quarter of 2000 to $69.5 million in the third quarter of 2001. On a same center basis, rental income increased 6.2%, due primarily to the favorable impact of redeveloped and retenanted centers, as well as, increases associated with lease rollovers and increased cost recoveries.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from period to period, such as utility reimbursements, telephone income, merchant association dues, late fees and temporary tenant income. Also included are less regularly recurring items, such as lease termination fees. Other property income increased 60.4% from $2.7 million in the third quarter of 2000 to $4.3 million in the third quarter of 2001 due primarily to increases in lease termination fees, parking income and utility reimbursements. On a same center basis, other property income increased 39.9%.</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Rental expenses increased from $13.0 million in the third quarter of 2000 or 19.5% of property income, rental income plus other property income, to $15.4 million, or 20.9% of property income, in the third quarter of 2001. Increased leasing and marketing costs associated with the Trust's development projects, as well as, operating costs associated with the Woodmont East development, contributed to this overall increase. On a same center basis, rental expenses increased 8.0% from $12.8 million in 2000 to $13.8 million in 2001 due primarily to increased maintenance, property management costs and bad debt.</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Real estate taxes increased 9.7% from $6.7 million in the third quarter of 2000 to $7.4 million in the third quarter of 2001. On a same center basis, real estate taxes increased 8.1% due primarily to increased taxes on recently redeveloped properties.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7" w:name="page28"/>
    <w:bookmarkEnd w:id="27"/>
    <w:p>
      <w:pPr>
        <w:ind w:right="3399" w:firstLine="437"/>
        <w:spacing w:after="0" w:line="235" w:lineRule="auto"/>
        <w:rPr>
          <w:sz w:val="20"/>
          <w:szCs w:val="20"/>
          <w:color w:val="auto"/>
        </w:rPr>
      </w:pPr>
      <w:r>
        <w:rPr>
          <w:rFonts w:ascii="Courier New" w:cs="Courier New" w:eastAsia="Courier New" w:hAnsi="Courier New"/>
          <w:sz w:val="15"/>
          <w:szCs w:val="15"/>
          <w:color w:val="auto"/>
        </w:rPr>
        <w:t>Depreciation and amortization expenses increased 12.7% from $13.4 million in the third quarter of 2000 to $15.2 million in the third quarter of 2001 reflecting the impact of recent new development, tenant work and property redevelopments.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the third quarter of 2001 the Trust incurred interest expense of</w:t>
      </w:r>
    </w:p>
    <w:p>
      <w:pPr>
        <w:spacing w:after="0" w:line="237" w:lineRule="auto"/>
        <w:rPr>
          <w:sz w:val="20"/>
          <w:szCs w:val="20"/>
          <w:color w:val="auto"/>
        </w:rPr>
      </w:pPr>
      <w:r>
        <w:rPr>
          <w:rFonts w:ascii="Courier New" w:cs="Courier New" w:eastAsia="Courier New" w:hAnsi="Courier New"/>
          <w:sz w:val="15"/>
          <w:szCs w:val="15"/>
          <w:color w:val="auto"/>
        </w:rPr>
        <w:t>$22.5 million, of which $4.8 million was capitalized, as compared to 2000's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 million, of which $3.8 million was capitalized. The increase in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reflects the additional debt issued to fund the Trust's capital</w:t>
      </w:r>
    </w:p>
    <w:p>
      <w:pPr>
        <w:spacing w:after="0" w:line="237" w:lineRule="auto"/>
        <w:rPr>
          <w:sz w:val="20"/>
          <w:szCs w:val="20"/>
          <w:color w:val="auto"/>
        </w:rPr>
      </w:pPr>
      <w:r>
        <w:rPr>
          <w:rFonts w:ascii="Courier New" w:cs="Courier New" w:eastAsia="Courier New" w:hAnsi="Courier New"/>
          <w:sz w:val="15"/>
          <w:szCs w:val="15"/>
          <w:color w:val="auto"/>
        </w:rPr>
        <w:t>improvement programs.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Administrative expenses increased from $3.2 million in the third quarter of</w:t>
      </w:r>
    </w:p>
    <w:p>
      <w:pPr>
        <w:spacing w:after="0" w:line="10"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2000 to $3.5 million in the third quarter of 2001 or 4.7% of revenue in both periods.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a result of the foregoing items, net income increased from $14.4 million during the third quarter of 2000 to $15.2 million during the third quarter of 2001 and net income available for common shareholders increased from $12.4 million to $13.2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For the three months ended September 30,</w:t>
      </w:r>
    </w:p>
    <w:p>
      <w:pPr>
        <w:ind w:left="3600"/>
        <w:spacing w:after="0" w:line="237" w:lineRule="auto"/>
        <w:tabs>
          <w:tab w:leader="none" w:pos="480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Northeast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$30,399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$28,937</w:t>
            </w:r>
          </w:p>
        </w:tc>
      </w:tr>
      <w:tr>
        <w:trPr>
          <w:trHeight w:val="168"/>
        </w:trPr>
        <w:tc>
          <w:tcPr>
            <w:tcW w:w="2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Mid-Atlantic</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30,025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28,146</w:t>
            </w:r>
          </w:p>
        </w:tc>
      </w:tr>
      <w:tr>
        <w:trPr>
          <w:trHeight w:val="168"/>
        </w:trPr>
        <w:tc>
          <w:tcPr>
            <w:tcW w:w="2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West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9,119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7,018</w:t>
            </w:r>
          </w:p>
        </w:tc>
      </w:tr>
      <w:tr>
        <w:trPr>
          <w:trHeight w:val="168"/>
        </w:trPr>
        <w:tc>
          <w:tcPr>
            <w:tcW w:w="2580" w:type="dxa"/>
            <w:vAlign w:val="bottom"/>
          </w:tcPr>
          <w:p>
            <w:pPr>
              <w:spacing w:after="0"/>
              <w:rPr>
                <w:sz w:val="14"/>
                <w:szCs w:val="14"/>
                <w:color w:val="auto"/>
              </w:rPr>
            </w:pP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$69,543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$64,101</w:t>
            </w:r>
          </w:p>
        </w:tc>
      </w:tr>
      <w:tr>
        <w:trPr>
          <w:trHeight w:val="168"/>
        </w:trPr>
        <w:tc>
          <w:tcPr>
            <w:tcW w:w="2580" w:type="dxa"/>
            <w:vAlign w:val="bottom"/>
          </w:tcPr>
          <w:p>
            <w:pPr>
              <w:spacing w:after="0"/>
              <w:rPr>
                <w:sz w:val="14"/>
                <w:szCs w:val="14"/>
                <w:color w:val="auto"/>
              </w:rPr>
            </w:pP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Northeast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$22,539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$21,022</w:t>
            </w:r>
          </w:p>
        </w:tc>
      </w:tr>
      <w:tr>
        <w:trPr>
          <w:trHeight w:val="168"/>
        </w:trPr>
        <w:tc>
          <w:tcPr>
            <w:tcW w:w="2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Mid-Atlantic</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22,254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20,771</w:t>
            </w:r>
          </w:p>
        </w:tc>
      </w:tr>
      <w:tr>
        <w:trPr>
          <w:trHeight w:val="168"/>
        </w:trPr>
        <w:tc>
          <w:tcPr>
            <w:tcW w:w="2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West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5,235</w:t>
            </w:r>
          </w:p>
        </w:tc>
      </w:tr>
      <w:tr>
        <w:trPr>
          <w:trHeight w:val="168"/>
        </w:trPr>
        <w:tc>
          <w:tcPr>
            <w:tcW w:w="2580" w:type="dxa"/>
            <w:vAlign w:val="bottom"/>
          </w:tcPr>
          <w:p>
            <w:pPr>
              <w:spacing w:after="0"/>
              <w:rPr>
                <w:sz w:val="14"/>
                <w:szCs w:val="14"/>
                <w:color w:val="auto"/>
              </w:rPr>
            </w:pP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$51,038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$47,028</w:t>
            </w:r>
          </w:p>
        </w:tc>
      </w:tr>
      <w:tr>
        <w:trPr>
          <w:trHeight w:val="168"/>
        </w:trPr>
        <w:tc>
          <w:tcPr>
            <w:tcW w:w="2580" w:type="dxa"/>
            <w:vAlign w:val="bottom"/>
          </w:tcPr>
          <w:p>
            <w:pPr>
              <w:spacing w:after="0"/>
              <w:rPr>
                <w:sz w:val="14"/>
                <w:szCs w:val="14"/>
                <w:color w:val="auto"/>
              </w:rPr>
            </w:pP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4"/>
                <w:szCs w:val="24"/>
                <w:color w:val="auto"/>
              </w:rPr>
            </w:pP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The Northeast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Northeast region is comprised of fifty-four assets, extending from suburban Philadelphia north through New York and its suburbs into New England and west to Illinois and Michigan.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When comparing the third quarter of 2001 with 2000, rental income, on an</w:t>
      </w:r>
    </w:p>
    <w:p>
      <w:pPr>
        <w:spacing w:after="0" w:line="237" w:lineRule="auto"/>
        <w:rPr>
          <w:sz w:val="20"/>
          <w:szCs w:val="20"/>
          <w:color w:val="auto"/>
        </w:rPr>
      </w:pPr>
      <w:r>
        <w:rPr>
          <w:rFonts w:ascii="Courier New" w:cs="Courier New" w:eastAsia="Courier New" w:hAnsi="Courier New"/>
          <w:sz w:val="15"/>
          <w:szCs w:val="15"/>
          <w:color w:val="auto"/>
        </w:rPr>
        <w:t>overall and same center basis, increased 5.0% from $28.9 million in 2000 to</w:t>
      </w:r>
    </w:p>
    <w:p>
      <w:pPr>
        <w:spacing w:after="0" w:line="238" w:lineRule="auto"/>
        <w:rPr>
          <w:sz w:val="20"/>
          <w:szCs w:val="20"/>
          <w:color w:val="auto"/>
        </w:rPr>
      </w:pPr>
      <w:r>
        <w:rPr>
          <w:rFonts w:ascii="Courier New" w:cs="Courier New" w:eastAsia="Courier New" w:hAnsi="Courier New"/>
          <w:sz w:val="15"/>
          <w:szCs w:val="15"/>
          <w:color w:val="auto"/>
        </w:rPr>
        <w:t>$30.4 million in 2001, primarily due to increases at recently redeveloped and</w:t>
      </w:r>
    </w:p>
    <w:p>
      <w:pPr>
        <w:spacing w:after="0" w:line="237" w:lineRule="auto"/>
        <w:rPr>
          <w:sz w:val="20"/>
          <w:szCs w:val="20"/>
          <w:color w:val="auto"/>
        </w:rPr>
      </w:pPr>
      <w:r>
        <w:rPr>
          <w:rFonts w:ascii="Courier New" w:cs="Courier New" w:eastAsia="Courier New" w:hAnsi="Courier New"/>
          <w:sz w:val="15"/>
          <w:szCs w:val="15"/>
          <w:color w:val="auto"/>
        </w:rPr>
        <w:t>retenanted shopping centers and street retail properties, such as Greenlawn,</w:t>
      </w:r>
    </w:p>
    <w:p>
      <w:pPr>
        <w:spacing w:after="0" w:line="238" w:lineRule="auto"/>
        <w:rPr>
          <w:sz w:val="20"/>
          <w:szCs w:val="20"/>
          <w:color w:val="auto"/>
        </w:rPr>
      </w:pPr>
      <w:r>
        <w:rPr>
          <w:rFonts w:ascii="Courier New" w:cs="Courier New" w:eastAsia="Courier New" w:hAnsi="Courier New"/>
          <w:sz w:val="15"/>
          <w:szCs w:val="15"/>
          <w:color w:val="auto"/>
        </w:rPr>
        <w:t>Blue Star, Brunswick, Fresh Meadows and Austin Street.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Net operating income increased 7.2% from $21.0 million in 2000 to $22.5 million in 2001, primarily due to increases at the recently redeveloped and retenanted shopping centers and street retail properties, as well as, increased lease termination fees of $554,000 in 2001 over 2000's $150,000.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Mid-Atlantic region is comprised of thirty-two assets, including Pentagon Row, which is currently under development, extending from Baltimore south to metropolitan Washington, D.C. and further south through Virginia and North Carolina into Florida.</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third quarter of 2001 with 2000, rental income increased 6.7% from $28.1 million in 2000 to $30.0 million in 2001 reflecting the contribution from the recently completed Woodmont East project in Bethesda, Maryland. On a same center basis, excluding Williamsburg Shopping Center in Williamsburg, Virginia which was sold on April 27, 2001, the recently developed Woodmont East project in Bethesda, Maryland, Pentagon Row in Arlington Virginia and the newly purchased Friendship Center in Washington, D.C. rental income increased 2.9%.</w:t>
      </w:r>
    </w:p>
    <w:p>
      <w:pPr>
        <w:spacing w:after="0" w:line="177" w:lineRule="exact"/>
        <w:rPr>
          <w:sz w:val="20"/>
          <w:szCs w:val="20"/>
          <w:color w:val="auto"/>
        </w:rPr>
      </w:pPr>
    </w:p>
    <w:p>
      <w:pPr>
        <w:jc w:val="both"/>
        <w:ind w:right="3499" w:firstLine="437"/>
        <w:spacing w:after="0" w:line="258" w:lineRule="auto"/>
        <w:rPr>
          <w:sz w:val="20"/>
          <w:szCs w:val="20"/>
          <w:color w:val="auto"/>
        </w:rPr>
      </w:pPr>
      <w:r>
        <w:rPr>
          <w:rFonts w:ascii="Courier New" w:cs="Courier New" w:eastAsia="Courier New" w:hAnsi="Courier New"/>
          <w:sz w:val="14"/>
          <w:szCs w:val="14"/>
          <w:color w:val="auto"/>
        </w:rPr>
        <w:t>When comparing the third quarter of 2001 with 2000, net operating income increased 7.1% from $20.8 million in 2000 to $22.3 million in 2001. On a same center basis as defined above, net operating income increased 3.2%.</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Western region is comprised of thirty-seven assets, including Santana Row, which is currently under development, extending from Texas to the West Coast.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third quarter of 2001 with 2000 on a same center basis, which excludes properties acquired and sold in 2001 and 2000 and Santana Row, which is currently under development, rental income increased $1.6 million from $7.0 million in 2000 to $8.6 million in 2001 due primarily to increases from the recently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29" w:name="page30"/>
    <w:bookmarkEnd w:id="29"/>
    <w:p>
      <w:pPr>
        <w:ind w:right="3399"/>
        <w:spacing w:after="0" w:line="235" w:lineRule="auto"/>
        <w:rPr>
          <w:sz w:val="20"/>
          <w:szCs w:val="20"/>
          <w:color w:val="auto"/>
        </w:rPr>
      </w:pPr>
      <w:r>
        <w:rPr>
          <w:rFonts w:ascii="Courier New" w:cs="Courier New" w:eastAsia="Courier New" w:hAnsi="Courier New"/>
          <w:sz w:val="15"/>
          <w:szCs w:val="15"/>
          <w:color w:val="auto"/>
        </w:rPr>
        <w:t>redeveloped and retenanted properties in Los Angeles and San Francisco, California. On an overall basis rental income increased $2.1 million from $7.0 million in 2000 to $9.1 million in 2001.</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third quarter of 2001 with 2000, net operating income, on a same center basis as defined above, increased $1.2 million from $5.3 million in 2000 to $6.5 million in 2001. Overall net operating income increased $1.0 million, since it also includes marketing and leasing costs associated with the Santana Row development.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440" w:hanging="343"/>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2" w:lineRule="exact"/>
        <w:rPr>
          <w:rFonts w:ascii="Courier New" w:cs="Courier New" w:eastAsia="Courier New" w:hAnsi="Courier New"/>
          <w:sz w:val="15"/>
          <w:szCs w:val="15"/>
          <w:color w:val="auto"/>
        </w:rPr>
      </w:pPr>
    </w:p>
    <w:p>
      <w:pPr>
        <w:ind w:left="440" w:right="3239" w:firstLine="7"/>
        <w:spacing w:after="0" w:line="235" w:lineRule="auto"/>
        <w:tabs>
          <w:tab w:leader="none" w:pos="87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Declaration of Trust of Federal Realty Investment Trust dated May 5, 1999 filed with the Commission on May 25, 1999 as an exhibit to the Trust's Current Report on Form 8-K is incorporated herein by reference thereto.</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315"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dated May 5, 1999 filed with the Commission on May 25, 1999 as an exhibit to the Trust's Current Report on Form 8-K is incorporated herein by reference thereto.</w:t>
      </w:r>
    </w:p>
    <w:p>
      <w:pPr>
        <w:spacing w:after="0" w:line="167" w:lineRule="exact"/>
        <w:rPr>
          <w:rFonts w:ascii="Courier New" w:cs="Courier New" w:eastAsia="Courier New" w:hAnsi="Courier New"/>
          <w:sz w:val="15"/>
          <w:szCs w:val="15"/>
          <w:color w:val="auto"/>
        </w:rPr>
      </w:pPr>
    </w:p>
    <w:p>
      <w:pPr>
        <w:ind w:left="440" w:hanging="343"/>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 Form 8-K, dated June 30, 2001 was filed on July 30, 2001 in response to Item 5.</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4200"/>
        <w:spacing w:after="0" w:line="238"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617"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2001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Steven J. Guttman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J. Guttman, Chairman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Chief Executive Officer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 (Chief Executive Officer)</w:t>
      </w:r>
    </w:p>
    <w:p>
      <w:pPr>
        <w:spacing w:after="0" w:line="166" w:lineRule="exact"/>
        <w:rPr>
          <w:sz w:val="20"/>
          <w:szCs w:val="20"/>
          <w:color w:val="auto"/>
        </w:rPr>
      </w:pPr>
    </w:p>
    <w:p>
      <w:pPr>
        <w:sectPr>
          <w:pgSz w:w="11900" w:h="16838" w:orient="portrait"/>
          <w:cols w:equalWidth="0" w:num="2">
            <w:col w:w="1480" w:space="720"/>
            <w:col w:w="8039"/>
          </w:cols>
          <w:pgMar w:left="220" w:top="6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2001</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/s/ Cecily A. Ward</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 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166" w:lineRule="exact"/>
        <w:rPr>
          <w:sz w:val="20"/>
          <w:szCs w:val="20"/>
          <w:color w:val="auto"/>
        </w:rPr>
      </w:pPr>
    </w:p>
    <w:p>
      <w:pPr>
        <w:sectPr>
          <w:pgSz w:w="11900" w:h="16838" w:orient="portrait"/>
          <w:cols w:equalWidth="0" w:num="2">
            <w:col w:w="1480" w:space="720"/>
            <w:col w:w="8039"/>
          </w:cols>
          <w:pgMar w:left="220" w:top="617"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31</w:t>
      </w:r>
    </w:p>
    <w:sectPr>
      <w:pgSz w:w="11900" w:h="16838" w:orient="portrait"/>
      <w:cols w:equalWidth="0" w:num="1">
        <w:col w:w="10239"/>
      </w:cols>
      <w:pgMar w:left="220" w:top="6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89"/>
    </w:lvl>
  </w:abstractNum>
  <w:abstractNum w:abstractNumId="1">
    <w:nsid w:val="46E87CCD"/>
    <w:multiLevelType w:val="hybridMultilevel"/>
    <w:lvl w:ilvl="0">
      <w:lvlJc w:val="left"/>
      <w:lvlText w:val="%1"/>
      <w:numFmt w:val="decimal"/>
      <w:start w:val="240"/>
    </w:lvl>
  </w:abstractNum>
  <w:abstractNum w:abstractNumId="2">
    <w:nsid w:val="3D1B58BA"/>
    <w:multiLevelType w:val="hybridMultilevel"/>
    <w:lvl w:ilvl="0">
      <w:lvlJc w:val="left"/>
      <w:lvlText w:val="%1"/>
      <w:numFmt w:val="decimal"/>
      <w:start w:val="905"/>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2019-12-13T01:02:11Z</dcterms:created>
  <dcterms:modified xsi:type="dcterms:W3CDTF">2019-12-13T01:02:11Z</dcterms:modified>
</cp:coreProperties>
</file>