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2014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August 4, 2014 was 67,718,240.</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QUARTER ENDED JUNE 30, 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June 30, 2014 (unaudited) and December 31,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Comprehensive Income (unaudited) for the three and six months ended June 30, 2014 and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 of Shareholders' Equity (unaudited) for the six months ended June 30,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Cash Flows (unaudited) for the six months ended June 30, 2014 and 2013</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15</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balance sheet as of December 31, 2013,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six months ended June 30, 2014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$281,311 and $265,138 of consolidated variable interest entities,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5,004,993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4,618,258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472,570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531,205</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5,477,563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$22,840 and $19,086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4,060,187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3,798,992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97,741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145,062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$10,969 and $9,535, respectively</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14,056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4,431,485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$188,739 and $202,782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634,045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588,456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290,765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1,360,913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168,615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156,270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100,283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2,702,741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2,643,572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110,688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104,425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67,712,366 and 66,701,422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2,170,152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2,062,708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(623,795)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1,448,160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88,295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1,618,056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1,471,297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4,431,485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305,828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167,947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157,388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338,775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314,537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57,710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35,204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15,359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80,274</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99,586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93,900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206,970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188,547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125,990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33,379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85,961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68,818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Discontinued operations -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69,645</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74,639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72,127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71,856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64,922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diluted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84,659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82,147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6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Preferred Shares</w:t>
            </w:r>
          </w:p>
        </w:tc>
        <w:tc>
          <w:tcPr>
            <w:tcW w:w="280" w:type="dxa"/>
            <w:vAlign w:val="bottom"/>
            <w:vMerge w:val="restart"/>
          </w:tcPr>
          <w:p>
            <w:pPr>
              <w:spacing w:after="0"/>
              <w:rPr>
                <w:sz w:val="13"/>
                <w:szCs w:val="13"/>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Shares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399,896</w:t>
            </w: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$ 9,997</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66,701,422</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667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$2,062,708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(623,795)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23,137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$ 1,471,297</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rPr>
              <w:t>Net income, excluding $1,640</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40"/>
              <w:spacing w:after="0"/>
              <w:rPr>
                <w:sz w:val="20"/>
                <w:szCs w:val="20"/>
                <w:color w:val="auto"/>
              </w:rPr>
            </w:pPr>
            <w:r>
              <w:rPr>
                <w:rFonts w:ascii="Arial" w:cs="Arial" w:eastAsia="Arial" w:hAnsi="Arial"/>
                <w:sz w:val="16"/>
                <w:szCs w:val="16"/>
                <w:color w:val="auto"/>
              </w:rPr>
              <w:t>attributable to redeemable</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82,298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84,321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Other comprehensive loss - change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 value of interest rate swaps</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(105,238)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(105,238)</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rPr>
              <w:t>Distributions declared to</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896,545</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102,339</w:t>
            </w: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19,610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 under dividend</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reinvestment plan</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9,443</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w w:val="90"/>
              </w:rPr>
              <w:t>Share-based compensation expense,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40"/>
              <w:spacing w:after="0"/>
              <w:rPr>
                <w:sz w:val="20"/>
                <w:szCs w:val="20"/>
                <w:color w:val="auto"/>
              </w:rPr>
            </w:pPr>
            <w:r>
              <w:rPr>
                <w:rFonts w:ascii="Arial" w:cs="Arial" w:eastAsia="Arial" w:hAnsi="Arial"/>
                <w:sz w:val="16"/>
                <w:szCs w:val="16"/>
                <w:color w:val="auto"/>
                <w:w w:val="95"/>
              </w:rPr>
              <w:t>net of shares withheld for employee</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taxes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85,346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OP units</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0"/>
        </w:trPr>
        <w:tc>
          <w:tcPr>
            <w:tcW w:w="2460" w:type="dxa"/>
            <w:vAlign w:val="bottom"/>
          </w:tcPr>
          <w:p>
            <w:pPr>
              <w:ind w:left="40"/>
              <w:spacing w:after="0"/>
              <w:rPr>
                <w:sz w:val="20"/>
                <w:szCs w:val="20"/>
                <w:color w:val="auto"/>
              </w:rPr>
            </w:pPr>
            <w:r>
              <w:rPr>
                <w:rFonts w:ascii="Arial" w:cs="Arial" w:eastAsia="Arial" w:hAnsi="Arial"/>
                <w:sz w:val="16"/>
                <w:szCs w:val="16"/>
                <w:color w:val="auto"/>
              </w:rPr>
              <w:t>Contributions from noncontrolling</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65,350</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65,350</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 to redeemable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0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7"/>
        </w:trPr>
        <w:tc>
          <w:tcPr>
            <w:tcW w:w="2460" w:type="dxa"/>
            <w:vAlign w:val="bottom"/>
          </w:tcPr>
          <w:p>
            <w:pPr>
              <w:ind w:left="40"/>
              <w:spacing w:after="0"/>
              <w:rPr>
                <w:sz w:val="20"/>
                <w:szCs w:val="20"/>
                <w:color w:val="auto"/>
              </w:rPr>
            </w:pPr>
            <w:r>
              <w:rPr>
                <w:rFonts w:ascii="Arial" w:cs="Arial" w:eastAsia="Arial" w:hAnsi="Arial"/>
                <w:sz w:val="16"/>
                <w:szCs w:val="16"/>
                <w:color w:val="auto"/>
              </w:rPr>
              <w:t>BALANCE AT JUNE 30, 2014</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399,896</w:t>
            </w:r>
          </w:p>
        </w:tc>
        <w:tc>
          <w:tcPr>
            <w:tcW w:w="280" w:type="dxa"/>
            <w:vAlign w:val="bottom"/>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$ 9,997</w:t>
            </w:r>
          </w:p>
        </w:tc>
        <w:tc>
          <w:tcPr>
            <w:tcW w:w="280" w:type="dxa"/>
            <w:vAlign w:val="bottom"/>
          </w:tcPr>
          <w:p>
            <w:pPr>
              <w:spacing w:after="0"/>
              <w:rPr>
                <w:sz w:val="18"/>
                <w:szCs w:val="18"/>
                <w:color w:val="auto"/>
              </w:rPr>
            </w:pP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67,712,366</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2"/>
              </w:rPr>
              <w:t>678</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$2,170,152</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(647,006)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(4,060)</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88,295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$ 1,618,056</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74,639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including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80,477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2,128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(7,756)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7,683</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(decrease) in accounts payable and accrued expenses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security deposits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172,069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146,696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(47,202)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(93,290)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(20,014)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(190,122)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Costs to upsize and extend revolving credit facility</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269,343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common shares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103,931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83,220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(94,196)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82,860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(47,615)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41,312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108,366</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2014</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June 30, 2014, we owned or had a majority interest in community and neighborhood shopping centers and mixed-use properties which are operated as 89 predominantly retail real estate projects.</w:t>
      </w:r>
    </w:p>
    <w:p>
      <w:pPr>
        <w:spacing w:after="0" w:line="10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2013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ASU 2014-08 amends the definition of a discontinued operation to include only the disposal of a component of an entity that represents a strategic shift that has or will have a major impact on an entity’s operations and financial results. The standard also requires additional disclosures about discontinued operations as well as disposal transactions that do not meet the discontinued operations criteria. The standard is applicable prospectively for all disposals initially classified as held for sale in periods after adoption. We adopted the standard effective January 1, 2014, and there was no impact to the current period financial statements. In future periods, the adoption will result in most individual property disposals not qualifying for discontinued operations presentation and thus, the results of those disposals will remain in “income from continuing operations.” Properties sold prior to January 1, 2014, are not subject to ASU 2014-08 and therefore, continue to be classified as discontinued operations using the previous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ASU 2014-09 supersedes nearly all existing revenue recognition guidance under GAAP and replaces it with a core revenue recognition principle, that an entity will 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ASU 2014-09 also requires new disclosures in both interim and annual reporting periods. The guidance in ASU 2014-09 does not apply to contracts within the scope of ASC 840, Leases. ASU 2014-09 will be effective for us in the first quarter of 2017 and allows for either full retrospective or modified retrospective adoption. We are currently assessing the impact of this standard to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54,552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40,855</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57,410</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loan refinanced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note payable with public funding/related construction-in-progress offset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0"/>
                <w:szCs w:val="20"/>
                <w:color w:val="auto"/>
              </w:rPr>
            </w:pPr>
            <w:r>
              <w:rPr>
                <w:rFonts w:ascii="Arial" w:cs="Arial" w:eastAsia="Arial" w:hAnsi="Arial"/>
                <w:sz w:val="18"/>
                <w:szCs w:val="18"/>
                <w:color w:val="auto"/>
              </w:rPr>
              <w:t>See Note 3 for additional disclosures relating to The Grove at Shrewsbury and Brook 35 acquisition.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downREIT operating partnership units, and $13 million of cash (which was in an escrow account at December 31, 2013). Approximately $1.7 million and $2.3 million of net assets acquired were allocated to other assets for "above market leases" and other liabilities for "below market leases," respectively. Additionally, $71.1 million was allocated to redeemable and nonredeemable noncontrolling interests. We incurred $2.0 million of acquisition costs, of which $0.9 million were incurred in 2014 and included in "general and administrative expense" for the six months ended June 30, 2014.</w:t>
      </w:r>
    </w:p>
    <w:p>
      <w:pPr>
        <w:spacing w:after="0" w:line="124"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have entered into an agreement to acquire the interest of one of the noncontrolling interest holders in The Grove at Shrewsbury in 2015. As this noncontrolling interest is mandatorily redeemable, it has been classified as a liability of approximately $9 million and is included in "other liabilities and deferred credits" on the June 30, 2014 consolidated balance sheet. An additional noncontrolling interest holder has the right to require us to acquire its interests in The Grove at Shrewsbury and Brook 35 at the then current fair market value beginning on January 1, 2017.</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2014,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40" w:type="dxa"/>
            <w:vAlign w:val="bottom"/>
            <w:gridSpan w:val="4"/>
          </w:tcPr>
          <w:p>
            <w:pPr>
              <w:jc w:val="center"/>
              <w:ind w:right="2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4,469</w:t>
            </w:r>
          </w:p>
        </w:tc>
        <w:tc>
          <w:tcPr>
            <w:tcW w:w="12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4,624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9,487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1,390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1,318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3,761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3,520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1,104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gridSpan w:val="4"/>
          </w:tcPr>
          <w:p>
            <w:pPr>
              <w:jc w:val="center"/>
              <w:ind w:right="29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169,193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170,867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177,409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44,885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128,587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117,723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177,409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13,466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June 5, 2014, the Partnership repaid an $11.9 million mortgage loan secured by one of its properties at par prior to the original maturity date of July 5, 2014. Both partners made additional capital contributions totaling $11.9 million to repay the mortgage loan, of which our contribution was $3.6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connection with the acquisition of The Grove at Shrewsbury and Brook 35 on January 1, 2014, we assumed mortgage loans with a face amount of $68.3 million and a fair value of $73.8 million. The mortgage loans are secured by the individual properties with the following contractual terms: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Stated Interest Rate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Maturity Date</w:t>
            </w:r>
          </w:p>
        </w:tc>
      </w:tr>
      <w:tr>
        <w:trPr>
          <w:trHeight w:val="264"/>
        </w:trPr>
        <w:tc>
          <w:tcPr>
            <w:tcW w:w="5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2014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The Grove at Shrewsbury (East)</w:t>
            </w:r>
          </w:p>
        </w:tc>
        <w:tc>
          <w:tcPr>
            <w:tcW w:w="2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1, 2017</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Grove at Shrewsbury (West)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2018</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2, 2014 we refinanced the above mortgage loan on Brook 35 at a face amount of $11.5 million. The new mortgage loan bears interest at 4.65% and matures on July 1, 2029.</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June 3, 2014 we repaid the mortgage loan on Melville Mall prior to its original maturity date at par for $20.3 million. The loan had an original maturity date of September 1, 2014.</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6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the three and six months ended June 30, 2014, the maximum amount of borrowings outstanding under our $600.0 million revolving credit facility was $19.0 million, the weighted average borrowings outstanding was $4.0 million and $2.1 million, respectively, and the weighted average interest rate, before amortization of debt fees, was 1.04% and 1.05%, respectively. At June 30, 2014, there was no balance outstanding. Our revolving credit facility, term loan and certain notes require us to comply with various financial covenants, including the maintenance of minimum shareholders’ equity and debt coverage ratios and a maximum ratio of debt to net worth. As of June 30, 2014, we were in compliance with all debt covenants.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924,810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941,366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889,278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912,251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1,361,282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1,443,172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1,360,913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1,397,731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June 30, 2014, we have two interest rate swap agreements with a notional amount of $275.0 million that are measured at fair value on a recurring basis. The interest rate swap agreements fix the variable portion of our $275.0 million term loan at 1.72% through November 1, 2018, and effectively fix the rate of the term loan at 3.02%.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$4.2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June 30, 2014, and we do not anticipate it will have a significant effect in the future.</w:t>
      </w:r>
    </w:p>
    <w:p>
      <w:pPr>
        <w:spacing w:after="0" w:line="205"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2014 was a liability of $4.1 million and is included in "accounts payable and accrued expenses" on our consolidated balance sheet. For the three and six months ended June 30, 2014, the change in valuation on our interest rate swaps was $2.1 million and $2.6 million, respectively, (including $1.1 million and $2.2 million, respectively, reclassified from other comprehensive loss to interest expense) and is included in "accumulated other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4,060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4,060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1,417</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917,255 downREIT operating partnership units are outstanding which have a total fair value of $110.9 million, based on our closing stock price on June 30,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2013</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0.677</w:t>
            </w:r>
          </w:p>
        </w:tc>
      </w:tr>
    </w:tbl>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February 12, 2014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June 30, 2014, we issued 440,778 common shares at a weighted average price per share of $119.66 for net cash proceeds of $52.2 million and paid $0.5 million in commissions and less than $0.1 million in additional offering expenses related to the sales of these common shares. For the six months ended June 30, 2014, we issued 896,490 common shares at a weighted average price per share of $115.44 for net cash proceeds of $102.3 million and paid $1.0 million in commissions and $0.1 million in additional offering expenses related to the sales of these common shares. As of June 30, 2014, we had the capacity to issue up to $196.5 million in common shares under our ATM equity program.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154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116,840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112,669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232,905</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222,700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32,158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28,658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69,617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59,486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5,532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162,383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153,212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328,576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305,828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154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During 2013 and prior to our adoption of ASU 2014-08 as further discussed in Note 2, certain disposal transactions were considered discontinued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financial information for these discontinued operations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w w:val="93"/>
              </w:rPr>
              <w:t>Three Months Ended June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30,</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83"/>
              </w:rPr>
              <w:t>2013</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5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52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Arial" w:cs="Arial" w:eastAsia="Arial" w:hAnsi="Arial"/>
                <w:sz w:val="18"/>
                <w:szCs w:val="18"/>
                <w:b w:val="1"/>
                <w:bCs w:val="1"/>
                <w:color w:val="auto"/>
              </w:rPr>
              <w:t>NOTE 11—SHARE-BASED COMPENSATION PLANS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gridSpan w:val="4"/>
          </w:tcPr>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5"/>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6"/>
          </w:tcPr>
          <w:p>
            <w:pPr>
              <w:jc w:val="right"/>
              <w:ind w:right="754"/>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incurred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Grants of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2,624</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20" w:type="dxa"/>
            <w:vAlign w:val="bottom"/>
            <w:gridSpan w:val="3"/>
          </w:tcPr>
          <w:p>
            <w:pPr>
              <w:jc w:val="right"/>
              <w:ind w:right="28"/>
              <w:spacing w:after="0"/>
              <w:rPr>
                <w:sz w:val="20"/>
                <w:szCs w:val="20"/>
                <w:color w:val="auto"/>
              </w:rPr>
            </w:pPr>
            <w:r>
              <w:rPr>
                <w:rFonts w:ascii="Arial" w:cs="Arial" w:eastAsia="Arial" w:hAnsi="Arial"/>
                <w:sz w:val="18"/>
                <w:szCs w:val="18"/>
                <w:color w:val="auto"/>
                <w:w w:val="88"/>
              </w:rPr>
              <w:t>6,592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options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2,692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w w:val="88"/>
              </w:rPr>
              <w:t>6,628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share-based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2,506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w w:val="88"/>
              </w:rPr>
              <w:t>6,043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6"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six months ended June 30, 2014 and 2013,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three and six months ended June 30, 2014 and 2013.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70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7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9"/>
          </w:tcPr>
          <w:p>
            <w:pPr>
              <w:jc w:val="right"/>
              <w:ind w:right="110"/>
              <w:spacing w:after="0"/>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33,379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85,961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68,818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43,173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31,772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81,552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65,607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37,190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71,428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65,149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64,922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67,277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65,311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67,021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65,080</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attributable to the Trust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4"/>
              </w:rPr>
              <w:t>32,121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82,298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66,306</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On July 24, 2014, our Partnership with Clarion sold the fee interest in Pleasant Shops in Weymouth, Massachusetts for a sales price of $34.3 million.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2013 filed with the Securities and Exchange Commission (the “SEC”) on February 11, 2014.</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2013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June 30, 2014, we owned or had a majority interest in community and neighborhood shopping centers and mixed-use properties which are operated as 89 predominantly retail real estate projects comprising approximately 20.0 million square feet (excludes unconsolidated joint venture properties). In total, the real estate projects were 95.3% leased and 94.3% occupied at June 30, 2014. A joint venture in which we own a 30% interest owned seven retail real estate projects totaling approximately 1.0 million square feet as of June 30, 2014. In total, the joint venture properties in which we own a 30% interest were 84.0% leased and 84.0% occupied at June 30,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Property Acquisition and 2014 Property Disposition</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downREIT operating partnership units, and $13 million of cash (which was in an escrow account at December 31, 2013). Approximately $1.7 million and $2.3 million of net assets acquired were allocated to other assets for "above market leases" and other liabilities for "below market leases," respectively. Additionally, $71.1 million was allocated to redeemable and nonredeemable noncontrolling interests. We incurred $2.0 million of acquisition costs, of which $0.9 million were incurred in 2014 and included in "general and administrative expense" for the six months ended June 30, 2014.</w:t>
      </w:r>
    </w:p>
    <w:p>
      <w:pPr>
        <w:spacing w:after="0" w:line="124"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have entered into an agreement to acquire the interest of one of the noncontrolling interest holders in The Grove at Shrewsbury in 2015. As this noncontrolling interest is mandatorily redeemable it has been classified as a liability of approximately $9 million and is included in "other liabilities and deferred credits" on the June 30, 2014 consolidated balance sheet. An additional noncontrolling interest holder has the right to require us to acquire its interests in The Grove at Shrewsbury and Brook 35 at the then current fair market value beginning on January 1,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July 24, 2014, our Partnership with Clarion sold the fee interest in Pleasant Shops in Weymouth, Massachusetts for a sales price of $34.3 million.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Debt and Equity Transactions</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connection with the acquisition of The Grove at Shrewsbury and Brook 35 on January 1, 2014, we assumed mortgage debt secured by the individual properties with the following contractual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Stated Interest Rate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Maturity Date</w:t>
            </w:r>
          </w:p>
        </w:tc>
      </w:tr>
      <w:tr>
        <w:trPr>
          <w:trHeight w:val="264"/>
        </w:trPr>
        <w:tc>
          <w:tcPr>
            <w:tcW w:w="5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2014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The Grove at Shrewsbury (East)</w:t>
            </w:r>
          </w:p>
        </w:tc>
        <w:tc>
          <w:tcPr>
            <w:tcW w:w="2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1, 2017</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Grove at Shrewsbury (West)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 2018</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2, 2014 we refinanced the above mortgage loan on Brook 35 at a face amount of $11.5 million. The new mortgage loan bears interest at 4.65% and matures on July 1, 2029.</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3, 2014 we repaid the mortgage loan on Melville Mall prior to its original maturity date for $20.3 million. The loan had an original maturity date of September 1, 2014.</w:t>
      </w:r>
    </w:p>
    <w:p>
      <w:pPr>
        <w:spacing w:after="0" w:line="1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On February 12, 2014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June 30, 2014, we issued 440,778 common shares at a weighted average price per share of $119.66 for net cash proceeds of $52.2 million and paid $0.5 million in commissions and less than $0.1 million in additional offering expenses related to the sales of these common shares. For the six months ended June 30, 2014, we issued 896,490 common shares at a weighted average price per share of $115.44 for net cash proceeds of $102.3 million and paid $1.0 million in commissions and $0.1 million in additional operating expenses related to the sales of these common shares. As of June 30, 2014, we had the capacity to issue up to $196.5 million in common shares under our ATM equity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$147 million and $3 million, respectively, for the six months ended June 30, 2014 and $121 million and $3 million, respectively, for the six months ended June 30, 2013. We capitalized external and internal costs related to other property improvements of $19 million and $1 million, respectively, for the six months ended June 30, 2014 and $17 million and $1 million, respectively, for the six months ended June 30, 2013. We capitalized external and internal costs related to leasing activities of $8 million and $3 million, respectively, for the six months ended June 30, 2014 and $5 million and $3 million, respectively, for the six months ended June 30, 2013. The amount of capitalized internal costs for salaries and related benefits for development and redevelopment activities, other property improvements, and leasing activities were $3 million, $1 million, and $3 million, respectively, for the six months ended June 30, 2014 and $3 million, $1 million, and $2 million, respectively for the six months ended June 30,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ASU 2014-08 amends the definition of a discontinued operation to include only the disposal of a component of an entity that represents a strategic shift that has or will have a major impact on an entity’s operations and financial results. The standard also requires additional disclosures about discontinued operations as well as disposal transactions that do not meet the discontinued operations criteria. The standard is applicable prospectively for all disposals initially classified as held for sale in periods after adoption. We adopted the standard effective January 1, 2014, and there was no impact to the current period financial statements. In future periods, the adoption will result in most individual property disposals not qualifying for discontinued operations presentation and thus, the results of those disposals will remain in “income from continuing operations.” Properties sold prior to January 1, 2014, are not subject to ASU 2014-08 and therefore, continue to be classified as discontinued operations using the previous definition.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ASU 2014-09 supersedes nearly all existing revenue recognition guidance under GAAP and replaces it with a core revenue recognition principle, that an entity will 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ASU 2014-09 also requires new disclosures in both interim and annual reporting periods. The guidance in ASU 2014-09 does not apply to contracts within the scope of ASC 840, Leases.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ASU 2014-09 will be effective for us in the first quarter of 2017 and allows for either full retrospective or modified retrospective adoption. We are currently assessing the impact of this standard to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generally continued to see positive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few years. We believe the locations of our centers and diverse tenant base partially mitigates any negative change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June 30, 2014, no single tenant accounted for more than 3.2% of annualized base rent.</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properties are located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2014, we expect to have redevelopment projects stabilizing with projected costs of approximately $87 million, including our 212 unit residential building at Santana Row discussed below. In 2015, we expect to have redevelopment projects stabilizing with projected costs of approximately $149 million.</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continue our ongoing redevelopment efforts at Santana Row. Our most recent 212 unit residential building was fully completed during second quarter. The building is expected to stabilize in 2014, was 93.9% leased as of June 30, 2014, and has a total cost of approximately $75 million. We are also proceeding with our next phase of redevelopment which is a six story building including approximately 225,500 square feet of office space, 1,500 square feet of retail space, and 670 parking spaces. After current phases, we have approximately 9 acres remaining for further redevelopment and entitlements in place for an additional 348 residential units and 69,000 square feet of commercial space. We are currently in the process of seeking additional entitlements and have under control an additional 12 acres of land adjacent to Santana Row.</w:t>
      </w:r>
    </w:p>
    <w:p>
      <w:pPr>
        <w:spacing w:after="0" w:line="1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continue to invest in the development at Assembly Row which is a long-term development project we expect to be involved in over the coming years. The carrying value of the development portion of this project at June 30, 2014 is approximately $301 million. The project currently has zoning entitlements to build 3.4 million square feet of commercial-use buildings, 1,843 residential units, and a 170 room hotel. We have agreements with AvalonBay Communities ("AvalonBay") for a portion of the first phase of development at Assembly Row which includes 450 residential units (by AvalonBay) and approximately 326,000 square feet of retail space and 98,000 square feet of office space (both by the Trust). The Massachusetts Bay Transit Authority (MBTA) is constructing the new orange line T-Stop at the property, which is expected to open in 2014. Construction on the first phase and infrastructure is ongoing. Approximately 213,000 square feet of retail space in Phase I opened in second quarter 2014, with the remainder of the retail and office space expected over the next three to nine months. Phase I is expected to stabilize in 2015. Total expected costs for Phase I of Assembly Row range from $190 million to $200 million (net of reimbursements) of which $172 million has been incurred to date. In total, including costs incurred in the first six months of 2014, we expect to invest between $65 million and $85 million in Assembly Row in 2014, net of expected public funding.</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third quarter 2012, we broke ground on the first phase of Pike &amp; Rose in Rockville, MD, a long-term multi-phased mixed-use project located on a portion of our Mid-Pike Plaza property. The property currently has zoning entitlements to build 1.7 million square feet of commercial-use buildings and 1,583 residential units. Phase I of Pike &amp; Rose involved demolition of roughly 25% of the existing gross leasable area at Mid-Pike Plaza (which was completed during the second quarter of 2012). The remainder of Mid-Pike Plaza was fully demolished in the third quarter of 2014. Construction on the 493 residential units, 151,000 square feet of retail space and 79,000 square feet of office space in Phase I is ongoing. In late June 2014, the first phase of our 174 unit residential building opened. We expect a portion of Phase I to open in 2014 and the remainder in 2015 and expect Phase I to stabilize in 2015/2016. Total expected costs for Phase I of Pike &amp; Rose range from $245 million to $255 million of which $173 million has been incurred to date. Including costs incurred in the first six months of 2014, we expect to invest between $90 million and $120 million in 2014 related to Phase 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June 30, 2014, the leasable square feet in our properties was 94.3% occupied and 95.3%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second quarter of 2014, we signed leases for a total of 623,000 square feet of retail space including 537,000 square feet of comparable space leases (leases for which there was a prior tenant) at an average rental increase of 16% on a cash basis and 30% on a straight-line basis. New leases for comparable spaces were signed for 225,000 square feet at an average rental increase of 30% on a cash basis and 50% on a straight-line basis. Renewals for comparable spaces were signed for 312,000 square feet at an average rental increase of 8% on a cash basis and 20% on a straight-line basis. Tenant improvements and incentives for comparable spaces were $41.18 per square foot for new leases and $1.65 per square foot for renewals for the three months ended June 30, 2014.</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six months ended June 30, 2014, we signed leases for a total of 987,000 square feet of retail space including 865,000 square feet of comparable space leases (leases for which there was a prior tenant) at an average rental increase of 17% on a cash basis and 30% on a straight-line basis. New leases for comparable spaces were signed for 402,000 square feet at an average rental increase of 24% on a cash basis and 40% on a straight-line basis. Renewals for comparable spaces were signed for 464,000 square feet at an average rental increase of 12% on a cash basis and 24% on a straight-line basis. Tenant improvements and incentives for comparable spaces were $42.12 per square foot for new leases and $1.47 per square foot for renewals for the six months ended June 30, 2014.</w:t>
      </w:r>
    </w:p>
    <w:p>
      <w:pPr>
        <w:spacing w:after="0" w:line="13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2014 generally become effective over the following two years though some may not become effective until 2017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We believe our leasing volume for 2014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three and six months ended June 30, 2014, all or a portion of 79 and 78 properties, respectively, were considered same-center and eleven and twelve properties, respectively, were considered redevelopment or expansion. For the six months ended June 30, 2014, two properties were moved from same-center to redevelopment, one property was moved from redevelopment to same-center, and one property was removed from redevelopment as it is vacant and prepared to be demolished, when compared to the designations as of December 31, 2013. For the three months ended June 30, 2014, one additional property was moved from redevelopment to same-center.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6"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2014 AND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157,388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10,559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117,378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111,547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3,399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12,037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43,545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37,539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6,006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property revenue increased $10.6 million, or 6.7%, to $167.9 million in the three months ended June 30, 2014 compared to $157.4 million in the three months ended June 30, 2013. The percentage occupied at our shopping centers decreased to 94.3% at June 30, 2014 compared to 94.5% at June 30, 2013.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12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$9.2 million, or 6.0%, to $162.4 million in the three months ended June 30, 2014 compared to $153.2 million in the three months ended June 30, 2013 due primarily to the following:</w:t>
      </w:r>
    </w:p>
    <w:p>
      <w:pPr>
        <w:ind w:left="1700" w:right="34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$4.6 million at same-center properties due primarily to a $2.5 million increase in recovery income and higher rental rates of approximately $2.2 million,</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$3.9 million attributable to properties acquired in 2014 and 2013, and</w:t>
      </w:r>
    </w:p>
    <w:p>
      <w:pPr>
        <w:spacing w:after="0" w:line="63" w:lineRule="exact"/>
        <w:rPr>
          <w:rFonts w:ascii="Arial" w:cs="Arial" w:eastAsia="Arial" w:hAnsi="Arial"/>
          <w:sz w:val="18"/>
          <w:szCs w:val="18"/>
          <w:color w:val="auto"/>
        </w:rPr>
      </w:pPr>
    </w:p>
    <w:p>
      <w:pPr>
        <w:ind w:left="1700" w:right="54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$1.3 million at redevelopment properties due primarily to the lease-up of our new 212 unit residential building at Santana Row.</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34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$0.5 million from Mid-Pike Plaza as the property is prepared to be demolished for the future development of Pike &amp; Rose.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ind w:left="60" w:right="300"/>
        <w:spacing w:after="0" w:line="312" w:lineRule="auto"/>
        <w:rPr>
          <w:sz w:val="20"/>
          <w:szCs w:val="20"/>
          <w:color w:val="auto"/>
        </w:rPr>
      </w:pPr>
      <w:r>
        <w:rPr>
          <w:rFonts w:ascii="Arial" w:cs="Arial" w:eastAsia="Arial" w:hAnsi="Arial"/>
          <w:sz w:val="16"/>
          <w:szCs w:val="16"/>
          <w:color w:val="auto"/>
        </w:rPr>
        <w:t>Other property income increased $1.4 million, or 48.5%, to $4.3 million in the three months ended June 30, 2014 compared to $2.9 million in the three months ended June 30, 2013. Included in other property income are items which, although recurring, inherently tend to fluctuate more than rental income from period to period, such as lease termination fees. This increase is primarily due to an increase in lease termination fees at same-center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property expenses increased $4.7 million, or 10.3%, to $50.6 million in the three months ended June 30, 2014 compared to $45.8 million in the three months ended June 30, 2013.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Rental expenses increased $3.2 million, or 11.3%, to $31.4 million in the three months ended June 30, 2014 compared to $28.2 million in the three months ended June 30, 2013.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$0.8 million related to properties acquired in 2014 and 2013,</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$0.6 million in repairs and maintenance at same-center and redevelopment properties,</w:t>
      </w:r>
    </w:p>
    <w:p>
      <w:pPr>
        <w:spacing w:after="0" w:line="63" w:lineRule="exact"/>
        <w:rPr>
          <w:rFonts w:ascii="Arial" w:cs="Arial" w:eastAsia="Arial" w:hAnsi="Arial"/>
          <w:sz w:val="18"/>
          <w:szCs w:val="18"/>
          <w:color w:val="auto"/>
        </w:rPr>
      </w:pPr>
    </w:p>
    <w:p>
      <w:pPr>
        <w:ind w:left="1700" w:right="160" w:hanging="801"/>
        <w:spacing w:after="0" w:line="277"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$0.6 million related to Assembly Row and Pike &amp; Rose, as portions of these projects began to open during the second quarter of 2014,</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$0.4 million in bad debt expense at same-center properties,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$0.3 million in payroll expense at same-center and redevelopment properties.</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18.8% in the three months ended June 30, 2014 from 18.1% in the three months ended June 30,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Real estate tax expense increased $1.5 million, or 8.7%, to $19.2 million in the three months ended June 30, 2014 compared to $17.6 million in the three months ended June 30, 2013 due primarily to higher assessments and lower refunds at our same-center properties and real estate taxes on properties acquired in 2014 and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operating income increased $5.8 million, or 5.2%, to $117.4 million in the three months ended June 30, 2014 compared to $111.5 million in the three months ended June 30, 2013. This increase is primarily due to growth in earnings at same-center properties, properties acquired in 2014 and 2013, and earnings from our redevelopment properties, partially offset by a decline in earnings at Mid-Pike Plaza and the impact of Assembly Row and Pike &amp; Rose as portions of the projects opened in the second quarter of 2014.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decreased $3.9 million, or 14.5%, to $23.2 million in the three months ended June 30, 2014 compared to $27.1 million in the three months ended June 30, 2013.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$2.9 million due to a lower overall weighted average borrowing rate, and</w:t>
      </w:r>
    </w:p>
    <w:p>
      <w:pPr>
        <w:spacing w:after="0" w:line="63" w:lineRule="exact"/>
        <w:rPr>
          <w:rFonts w:ascii="Arial" w:cs="Arial" w:eastAsia="Arial" w:hAnsi="Arial"/>
          <w:sz w:val="18"/>
          <w:szCs w:val="18"/>
          <w:color w:val="auto"/>
        </w:rPr>
      </w:pPr>
    </w:p>
    <w:p>
      <w:pPr>
        <w:ind w:left="1700" w:right="28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$1.7 million in capitalized interest due primarily to our ongoing development projects at Assembly Row and Pike &amp; Rose,</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$0.6 million due to higher borrowings.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Gross interest costs were $28.7 million and $30.9 million in the three months ended June 30, 2014 and 2013, respectively. Capitalized interest was $5.5 million and $3.8 million in the three months ended June 30, 2014 and 2013,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$3.4 million of early extinguishment of debt in the three months ended June 30, 2013 relates to the make-whole premium paid as part of the early redemption of our 5.40% senior notes and the related write-off of unamortized debt fees.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6"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and amortization expense increased $1.1 million, or 2.9%, to $40.9 million in the three months ended June 30, 2014 from $39.8 million in the three months ended June 30, 2013. This increase is due primarily to 2014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Income</w:t>
      </w:r>
    </w:p>
    <w:p>
      <w:pPr>
        <w:spacing w:after="0" w:line="9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Income from discontinued operations represents the operating income of properties that were disposed prior to January 1, 2014, which were required to be reported separately from results of ongoing operations. The reported operating income of $0.4 million for the three months ended June 30, 2013 primarily represents the operating income for the period during which we owned properties sold in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$5.0 million gain on sale of real estate for the three months ended June 30,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2014 AND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328,576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305,828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22,748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338,775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314,537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24,238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37,864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2,660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232,376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221,623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10,753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3,399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85,961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68,818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17,143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82,298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72,127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10,171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Total property revenue increased $24.2 million, or 7.7%, to $338.8 million in the six months ended June 30, 2014 compared to $314.5 million in the six months ended June 30, 2013. The percentage occupied at our shopping centers decreased to 94.3% at June 30, 2014 compared to 94.5% at June 30, 2013. Changes in the components of property revenue are discussed below.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$22.7 million, or 7.4%, to $328.6 million in the six months ended June 30, 2014 compared to $305.8 million in the six months ended June 30, 2013 due primarily to the following:</w:t>
      </w:r>
    </w:p>
    <w:p>
      <w:pPr>
        <w:ind w:left="1700" w:right="20" w:hanging="801"/>
        <w:spacing w:after="0" w:line="27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$12.3 million at same-center properties due primarily to a $7.6 million increase in recovery income (largely the result of reimbursements for higher snow removal costs) and higher rental rates of approximately $4.8 million,</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$8.5 million attributable to properties acquired in 2014 and 2013, and</w:t>
      </w:r>
    </w:p>
    <w:p>
      <w:pPr>
        <w:spacing w:after="0" w:line="63" w:lineRule="exact"/>
        <w:rPr>
          <w:rFonts w:ascii="Arial" w:cs="Arial" w:eastAsia="Arial" w:hAnsi="Arial"/>
          <w:sz w:val="18"/>
          <w:szCs w:val="18"/>
          <w:color w:val="auto"/>
        </w:rPr>
      </w:pPr>
    </w:p>
    <w:p>
      <w:pPr>
        <w:ind w:left="1700" w:right="540" w:hanging="801"/>
        <w:spacing w:after="0" w:line="27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$3.2 million at redevelopment properties due primarily to the lease-up of our new 212 unit residential building at Santana Row and the net impact of other redevelopment properties,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340" w:hanging="801"/>
        <w:spacing w:after="0" w:line="27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$1.1 million from Mid-Pike Plaza as the property is prepared to be demolished for the future development of Pike &amp; Rose.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ind w:left="60" w:right="220"/>
        <w:spacing w:after="0" w:line="312" w:lineRule="auto"/>
        <w:rPr>
          <w:sz w:val="20"/>
          <w:szCs w:val="20"/>
          <w:color w:val="auto"/>
        </w:rPr>
      </w:pPr>
      <w:r>
        <w:rPr>
          <w:rFonts w:ascii="Arial" w:cs="Arial" w:eastAsia="Arial" w:hAnsi="Arial"/>
          <w:sz w:val="16"/>
          <w:szCs w:val="16"/>
          <w:color w:val="auto"/>
        </w:rPr>
        <w:t>Other property income increased $1.5 million, or 25.0%, to $7.7 million in the six months ended June 30, 2014 compared to $6.2 million in the six months ended June 30, 2013. Included in other property income are items which, although recurring, inherently tend to fluctuate more than rental income from period to period, such as lease termination fees. This increase is primarily due to an increase in lease termination fees at same-center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property expenses increased $13.5 million, or 14.5%, to $106.4 million in the six months ended June 30, 2014 compared to $92.9 million in the six months ended June 30, 2013.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Rental expenses increased $10.8 million, or 18.8%, to $68.5 million in the six months ended June 30, 2014 compared to $57.7 million in the six months ended June 30, 2013. This increase is primarily due to the following:</w:t>
      </w:r>
    </w:p>
    <w:p>
      <w:pPr>
        <w:spacing w:after="0" w:line="8" w:lineRule="exact"/>
        <w:rPr>
          <w:sz w:val="20"/>
          <w:szCs w:val="20"/>
          <w:color w:val="auto"/>
        </w:rPr>
      </w:pPr>
    </w:p>
    <w:p>
      <w:pPr>
        <w:ind w:left="1700" w:right="40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$5.7 million in repairs and maintenance at same-center and redevelopment properties due primarily to higher snow removal costs,</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$1.6 million related to properties acquired in 2014 and 2013,</w:t>
      </w:r>
    </w:p>
    <w:p>
      <w:pPr>
        <w:spacing w:after="0" w:line="63" w:lineRule="exact"/>
        <w:rPr>
          <w:rFonts w:ascii="Arial" w:cs="Arial" w:eastAsia="Arial" w:hAnsi="Arial"/>
          <w:sz w:val="18"/>
          <w:szCs w:val="18"/>
          <w:color w:val="auto"/>
        </w:rPr>
      </w:pPr>
    </w:p>
    <w:p>
      <w:pPr>
        <w:ind w:left="1700" w:right="46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$0.9 million related to Assembly Row and Pike &amp; Rose, as portions of these projects began to open during the six months ended June 30, 2014,</w:t>
      </w:r>
    </w:p>
    <w:p>
      <w:pPr>
        <w:spacing w:after="0" w:line="8" w:lineRule="exact"/>
        <w:rPr>
          <w:rFonts w:ascii="Arial" w:cs="Arial" w:eastAsia="Arial" w:hAnsi="Arial"/>
          <w:sz w:val="18"/>
          <w:szCs w:val="18"/>
          <w:color w:val="auto"/>
        </w:rPr>
      </w:pPr>
    </w:p>
    <w:p>
      <w:pPr>
        <w:ind w:left="170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$0.9 million in utilities at our same-center and redevelopment properties primarily due to higher electric costs and usage as a result of the harsh winter,</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$0.7 million in payroll expense at same-center and redevelopment properties,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$0.7 million in bad debt expense at same-center properties.</w:t>
      </w:r>
    </w:p>
    <w:p>
      <w:pPr>
        <w:spacing w:after="0" w:line="17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20.4% in the six months ended June 30, 2014 from 18.5% in the six months ended June 30,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Real estate tax expense increased $2.7 million, or 7.6%, to $37.9 million in the six months ended June 30, 2014 compared to $35.2 million in the six months ended June 30, 2013 due primarily to higher assessments and lower refunds at our same-center properties and real estate taxes on properties acquired in 2014 and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Property operating income increased $10.8 million, or 4.9%, to $232.4 million in the six months ended June 30, 2014 compared to $221.6 million in the six months ended June 30, 2013. This increase is primarily due to growth in earnings at our same-center properties, properties acquired in 2014 and 2013, and earnings from our redevelopment properties, partially offset by a decline in earnings at Mid-Pike Plaza.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$8.2 million, or 15.0%, to $46.4 million in the six months ended June 30, 2014 compared to $54.6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2013. This decrease is due primarily to the following:</w:t>
      </w:r>
    </w:p>
    <w:p>
      <w:pPr>
        <w:spacing w:after="0" w:line="49" w:lineRule="exact"/>
        <w:rPr>
          <w:sz w:val="20"/>
          <w:szCs w:val="20"/>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$6.9 million due to a lower overall weighted average borrowing rate, and</w:t>
      </w:r>
    </w:p>
    <w:p>
      <w:pPr>
        <w:spacing w:after="0" w:line="63" w:lineRule="exact"/>
        <w:rPr>
          <w:rFonts w:ascii="Arial" w:cs="Arial" w:eastAsia="Arial" w:hAnsi="Arial"/>
          <w:sz w:val="18"/>
          <w:szCs w:val="18"/>
          <w:color w:val="auto"/>
        </w:rPr>
      </w:pPr>
    </w:p>
    <w:p>
      <w:pPr>
        <w:ind w:left="1700" w:right="30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$4.4 million in capitalized interest due primarily to our ongoing development projects at Assembly Row and Pike &amp; Rose,</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$3.0 million due to higher borrowings.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$57.4 million and $61.2 million in the six months ended June 30, 2014 and 2013, respectively. Capitalized interest was $11.0 million and $6.6 million in the six months ended June 30,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$3.4 million of early extinguishment of debt in the six months ended June 30, 2013 relates to the make-whole premium paid as part of the early redemption of our 5.40% senior notes and the related write-off of unamortized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and amortization expense increased $4.5 million, or 5.6%, to $84.7 million in the six months ended June 30, 2014 from $80.3 million in the six months ended June 30, 2013. This increase is due primarily to 2014 and 2013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 Income</w:t>
      </w:r>
    </w:p>
    <w:p>
      <w:pPr>
        <w:spacing w:after="0" w:line="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Income from discontinued operations represents the operating income of properties that were disposed prior to January 1, 2014, which were required to be reported separately from results of ongoing operations. The reported operating income of $0.8 million for the six months ended June 30, 2013 primarily represents the operating income for the period during which we owned properties sold in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$5.0 million gain on sale of real estate for the six months ended June 30,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and cash equivalents were $41.3 million at June 30, 2014. Additionally, we have a $600.0 million unsecured revolving credit facility which matures on April 21, 2017, subject to a one-year extension at our option, and had no borrowings outstanding at June 30, 2014. In addition, we have an option (subject to bank approval) to increase the credit facility through an accordion feature to $1.0 billion. Our $275.0 million unsecured term loan, which matures on November 21, 2018, also has an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option (subject to bank approval) to increase the term loan through an accordion feature to $350.0 million. As of June 30, 2014, we had the capacity to issue up to $196.5 million in common shares under our ATM equity program.</w:t>
      </w:r>
    </w:p>
    <w:p>
      <w:pPr>
        <w:spacing w:after="0" w:line="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six months ended June 30, 2014, the maximum amount of borrowings outstanding under our revolving credit facility was $19.0 million, the weighted average amount of borrowings outstanding was $2.1 million and the weighted average interest rate, before amortization of debt fees, was 1.05%. For the remainder of 2014, we have no additional debt maturing.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3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overall capital requirements for the remainder of 2014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2014 which is the result of the continued construction of Phase I at both Assembly Row and Pike &amp; Rose with openings of portions of both projects in 2014. Over the next eighteen months, we expect to invest approximately $125 million related to the current phases of these two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172,069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146,696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(190,122)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(158,178)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82,860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(47,615)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71,378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88,927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36,988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41,312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108,366</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increased $25.4 million to $172.1 million during the six months ended June 30, 2014 from $146.7 million during the six months ended June 30, 2013. The increase was primarily attributable to higher net income before certain non-cash items.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increased $31.9 million to $190.1 million during the six months ended June 30, 2014 from $158.2 million during the six months ended June 30, 2013. The increase was primarily attributable to:</w:t>
      </w:r>
    </w:p>
    <w:p>
      <w:pPr>
        <w:spacing w:after="0" w:line="8" w:lineRule="exact"/>
        <w:rPr>
          <w:sz w:val="20"/>
          <w:szCs w:val="20"/>
          <w:color w:val="auto"/>
        </w:rPr>
      </w:pPr>
    </w:p>
    <w:p>
      <w:pPr>
        <w:ind w:left="1700" w:hanging="80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$63.2 million increase in capital investments and leasing costs in 2014 primarily related to our development projects at Assembly Row and Pike &amp; Rose,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$8.6 million in proceeds from the sale of real estate in 2013, and</w:t>
      </w:r>
    </w:p>
    <w:p>
      <w:pPr>
        <w:spacing w:after="0" w:line="63" w:lineRule="exact"/>
        <w:rPr>
          <w:rFonts w:ascii="Arial" w:cs="Arial" w:eastAsia="Arial" w:hAnsi="Arial"/>
          <w:sz w:val="18"/>
          <w:szCs w:val="18"/>
          <w:color w:val="auto"/>
        </w:rPr>
      </w:pPr>
    </w:p>
    <w:p>
      <w:pPr>
        <w:ind w:left="1700" w:right="60" w:hanging="80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$3.6 million contribution to our real estate partnership to repay the mortgage loan of one of its properties prior to the original maturity date,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5620" w:right="3020" w:hanging="4721"/>
        <w:spacing w:after="0" w:line="559" w:lineRule="auto"/>
        <w:tabs>
          <w:tab w:leader="none" w:pos="17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$42.9 million decrease in acquisitions of real estate due to the April 2013 Darien acquisition. 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in financing activities decreased $112.4 million to $29.6 million during the six months ended June 30, 2014 from $82.9 million provided during the six months ended June 30, 2013. The decrease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$269.3 million in net proceeds from the issuance of 2.75% senior notes in May 2013, and</w:t>
      </w:r>
    </w:p>
    <w:p>
      <w:pPr>
        <w:spacing w:after="0" w:line="63" w:lineRule="exact"/>
        <w:rPr>
          <w:rFonts w:ascii="Arial" w:cs="Arial" w:eastAsia="Arial" w:hAnsi="Arial"/>
          <w:sz w:val="18"/>
          <w:szCs w:val="18"/>
          <w:color w:val="auto"/>
        </w:rPr>
      </w:pPr>
    </w:p>
    <w:p>
      <w:pPr>
        <w:ind w:left="1700" w:right="680" w:hanging="80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$9.7 million increase in dividends paid to shareholders due to an increase in the dividend rate and increased number of shares outstanding,</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$135.0 million redemption of our 5.40% senior notes in June 2013,</w:t>
      </w:r>
    </w:p>
    <w:p>
      <w:pPr>
        <w:spacing w:after="0" w:line="63" w:lineRule="exact"/>
        <w:rPr>
          <w:rFonts w:ascii="Arial" w:cs="Arial" w:eastAsia="Arial" w:hAnsi="Arial"/>
          <w:sz w:val="18"/>
          <w:szCs w:val="18"/>
          <w:color w:val="auto"/>
        </w:rPr>
      </w:pPr>
    </w:p>
    <w:p>
      <w:pPr>
        <w:ind w:left="1700" w:right="100" w:hanging="801"/>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$20.7 million increase in net proceeds from the issuance of common shares due primarily to the sale of 0.9 million shares under our ATM equity program at a weighted average price of $115.44 in the six months ended June 30, 2014 compared to 0.7 million shares at a weighted average price of $113.08 in the six months ended June 30, 2013, and</w:t>
      </w:r>
    </w:p>
    <w:p>
      <w:pPr>
        <w:spacing w:after="0" w:line="19" w:lineRule="exact"/>
        <w:rPr>
          <w:rFonts w:ascii="Arial" w:cs="Arial" w:eastAsia="Arial" w:hAnsi="Arial"/>
          <w:sz w:val="18"/>
          <w:szCs w:val="18"/>
          <w:color w:val="auto"/>
        </w:rPr>
      </w:pPr>
    </w:p>
    <w:p>
      <w:pPr>
        <w:ind w:left="170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$8.4 million decrease in repayment of mortgages, capital leases, and notes payable due to the payoff of one mortgage for $20.3 million in 2014, compared to two mortgages totaling $28.2 million in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2014,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June 30, 2014, our investment in the Partnership was $35.5 million and the Partnership had approximately $44.9 million of mortgages payable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July 24, 2014, our Partnership with Clarion sold the fee interest in Pleasant Shops in Weymouth, Massachusetts for a sales price of $34.3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339"/>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2014</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53,418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36,538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25,898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26,393</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26,842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East Bay Bridge</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61,474</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March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44,980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22,326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76,612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7,172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621,068</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12,977</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634,045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Term loan (2)</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+ 1.30%</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6,365</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(3)</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Revolving credit facility (4)</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290,765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5.65%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(7,918)</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1,361,282</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71,659</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2,357,751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Mortgages payable do not include our 30% share ($13.5 million) of the $44.9 million debt of the partnership with a discretionary fund created and advised by Clarion.</w:t>
      </w:r>
    </w:p>
    <w:p>
      <w:pPr>
        <w:spacing w:after="0" w:line="8"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130 basis points resulting in a fixed rate of 3.02%.</w:t>
      </w:r>
    </w:p>
    <w:p>
      <w:pPr>
        <w:spacing w:after="0" w:line="8" w:lineRule="exact"/>
        <w:rPr>
          <w:rFonts w:ascii="Arial" w:cs="Arial" w:eastAsia="Arial" w:hAnsi="Arial"/>
          <w:sz w:val="18"/>
          <w:szCs w:val="18"/>
          <w:color w:val="auto"/>
        </w:rPr>
      </w:pPr>
    </w:p>
    <w:p>
      <w:pPr>
        <w:ind w:left="660" w:right="44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ectPr>
          <w:pgSz w:w="11900" w:h="16838" w:orient="portrait"/>
          <w:cols w:equalWidth="0" w:num="1">
            <w:col w:w="11420"/>
          </w:cols>
          <w:pgMar w:left="240" w:top="126"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19"/>
          </w:cols>
          <w:pgMar w:left="1440" w:top="125"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660" w:right="32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six months ended June 30, 2014 was $19.0 million, and the weighted average interest rate on borrowings under our revolving credit facility, before amortization of debt fees, was 1.05%.</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June 30, 2014,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5,224</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5,522</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207,188</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207,588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134,811</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63,665</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198,506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200,456</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220,438</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420,928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275,505</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13,326</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288,868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1,048,538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111,227</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1,231,280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1,659,965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621,068</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2,352,692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June 30, 2014, there was no balance outstanding under this credit facility.</w:t>
      </w:r>
    </w:p>
    <w:p>
      <w:pPr>
        <w:spacing w:after="0" w:line="8"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June 30,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2014, we are party to two interest rate swap agreements that effectively fixed the rate on the term loan at 3.02%. Both swaps were designated and qualified as cash flow hedges and were recorded at fair value. Hedge ineffectiveness has not impacted earnings as of June 30, 2014, and we do not anticipate it will have a significant effect in the future.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6" w:right="2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FFO, we have also included FFO excluding the 2013 "early extinguishment of debt" charge which relates to the early redemption of our 5.40% senior notes. We believe the unusual nature of this charge, being a make-whole payment on the remaining principal and interest on the redeemed notes, is worthy of separate evaluation and consequently have provided both relevant metrics.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reconciliation of net income to FFO available for common shareholders and FFO available for common shareholders excluding early extinguishment of debt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74,639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72,396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145,682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145,197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Funds from operations available for common shareholders excluding early</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83,635</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74,531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165,382</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148,580</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extinguishment of debt</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68,194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65,605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67,939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65,383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8"/>
              </w:rPr>
              <w:t>Funds from operations available for common shareholders, per diluted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excluding early</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extinguishment of debt, per diluted share</w:t>
            </w: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jc w:val="both"/>
        <w:ind w:left="660" w:right="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June 30, 2014, we were party to two interest rate swap agreements that effectively fixed the rate on the term loan at 3.02%.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our outstanding debt obligations (maturing at various times through 2031 or, with respect to capital lease obligations, through 2106) have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fixed interest rates which limit the risk of fluctuating interest rates. However, interest rate fluctuations may affect the fair value of our fixed rate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instruments. At June 30, 2014, we had $2.3 billion of fixed-rate debt outstanding, including our $275.0 million term loan as the rate is effectively fixed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two interest rate swap agreements; we also had $71.7 million of capital lease obligations. If market interest rates used to calculate the fair value on our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debt instruments at June 30, 2014 had been 1.0% higher, the fair value of those debt instruments on that date would have decreased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$100.7 million. If market interest rates used to calculate the fair value on our fixed-rate debt instruments at June 30, 2014 had been 1.0% lower,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those debt instruments on that date would have increased by approximately $107.1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June 30, 2014, we had $9.4 million of variable rate debt outstanding which consisted of municipal bonds. Our revolving credit facility had no outstanding balance as of June 30, 2014.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2014. Based on this evaluation, our management, including our Chief Executive Officer and Chief Financial Officer, concluded that our disclosure controls and procedures were effective as of June 30, 2014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2013 filed with the SEC on February 11, 2014.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6"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00" w:hanging="807"/>
        <w:spacing w:after="0" w:line="277"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20" w:hanging="801"/>
        <w:spacing w:after="0" w:line="286" w:lineRule="auto"/>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4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June 30, 2014 we redeemed 500 downREIT operating partnership units for cash.</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6" w:right="29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August 7,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Arial" w:cs="Arial" w:eastAsia="Arial" w:hAnsi="Arial"/>
          <w:sz w:val="18"/>
          <w:szCs w:val="18"/>
          <w:color w:val="auto"/>
        </w:rPr>
        <w:t>August 7,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due 2013; 5.95% Notes due 2014 and the 5.90% Notes due 2020; 3.00% Notes due 2022; 2.75% Notes due 2023; 3.95% Notes due 2024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(previously filed as Exhibit 4(a) to the Trust’s Registration Statement on Form S-3 (File No. 333-63619) filed on September 17, 1998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Annual Incentive Bonus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files as Exhibit 10.29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bl>
    <w:p>
      <w:pPr>
        <w:ind w:left="1080" w:right="140"/>
        <w:spacing w:after="0" w:line="255" w:lineRule="auto"/>
        <w:rPr>
          <w:sz w:val="20"/>
          <w:szCs w:val="20"/>
          <w:color w:val="auto"/>
        </w:rPr>
      </w:pPr>
      <w:r>
        <w:rPr>
          <w:rFonts w:ascii="Arial" w:cs="Arial" w:eastAsia="Arial" w:hAnsi="Arial"/>
          <w:sz w:val="18"/>
          <w:szCs w:val="18"/>
          <w:color w:val="auto"/>
        </w:rPr>
        <w:t>Syndication Agent, PNC Capital Markets, LLC, as a Lead Arranger and Book Manager, and Capital One, N.A., as a Lead Arranger and Book Manager (previously filed as Exhibit 10.1 to the Trust’s Current Report on Form 8-K (File No. 1-07533), filed on November 28, 2011 and incorporated herein by reference)</w:t>
      </w:r>
    </w:p>
    <w:p>
      <w:pPr>
        <w:sectPr>
          <w:pgSz w:w="11900" w:h="16838" w:orient="portrait"/>
          <w:cols w:equalWidth="0" w:num="1">
            <w:col w:w="11420"/>
          </w:cols>
          <w:pgMar w:left="240" w:top="126"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issued out of the 2010 Plan (previously filed as Exhibit 10.35 to the Trust's Annual Report on Form 10-K for the year ended December 31,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Performance Share Award Agreement for shares awarded out of the 2010 Plan (previously filed as Exhibit 10.37 to the Trust's 2012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60" w:hanging="1045"/>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2014,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7, 2014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August 7, 2014</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2014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7, 2014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2014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August 7, 2014</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4"/>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lvl w:ilvl="1">
      <w:lvlJc w:val="left"/>
      <w:lvlText w:val="•"/>
      <w:numFmt w:val="bullet"/>
      <w:start w:val="1"/>
    </w:lvl>
  </w:abstractNum>
  <w:abstractNum w:abstractNumId="25">
    <w:nsid w:val="2CA88611"/>
    <w:multiLevelType w:val="hybridMultilevel"/>
    <w:lvl w:ilvl="0">
      <w:lvlJc w:val="left"/>
      <w:lvlText w:val="%1"/>
      <w:numFmt w:val="decimal"/>
      <w:start w:val="10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2019-12-05T09:24:40Z</dcterms:created>
  <dcterms:modified xsi:type="dcterms:W3CDTF">2019-12-05T09:24:40Z</dcterms:modified>
</cp:coreProperties>
</file>